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3AF6C">
      <w:pPr>
        <w:spacing w:line="360" w:lineRule="auto"/>
        <w:jc w:val="center"/>
        <w:rPr>
          <w:rFonts w:hint="eastAsia" w:ascii="宋体" w:hAnsi="宋体" w:cs="宋体"/>
          <w:b/>
          <w:bCs/>
          <w:color w:val="auto"/>
          <w:sz w:val="72"/>
          <w:szCs w:val="72"/>
          <w:highlight w:val="none"/>
        </w:rPr>
      </w:pPr>
    </w:p>
    <w:p w14:paraId="1478DC47">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广西中启招标咨询有限公司</w:t>
      </w:r>
    </w:p>
    <w:p w14:paraId="55E306CE">
      <w:pPr>
        <w:rPr>
          <w:rFonts w:hint="eastAsia" w:ascii="宋体" w:hAnsi="宋体" w:cs="宋体"/>
          <w:color w:val="auto"/>
          <w:highlight w:val="none"/>
        </w:rPr>
      </w:pPr>
      <w:r>
        <w:rPr>
          <w:rFonts w:hint="eastAsia" w:ascii="宋体" w:hAnsi="宋体" w:cs="宋体"/>
          <w:b/>
          <w:color w:val="auto"/>
          <w:sz w:val="48"/>
          <w:szCs w:val="48"/>
          <w:highlight w:val="none"/>
        </w:rPr>
        <w:drawing>
          <wp:anchor distT="0" distB="0" distL="114300" distR="114300" simplePos="0" relativeHeight="251659264" behindDoc="0" locked="0" layoutInCell="1" allowOverlap="1">
            <wp:simplePos x="0" y="0"/>
            <wp:positionH relativeFrom="column">
              <wp:posOffset>1963420</wp:posOffset>
            </wp:positionH>
            <wp:positionV relativeFrom="paragraph">
              <wp:posOffset>1003935</wp:posOffset>
            </wp:positionV>
            <wp:extent cx="1891665" cy="1891665"/>
            <wp:effectExtent l="0" t="0" r="13335" b="13335"/>
            <wp:wrapSquare wrapText="bothSides"/>
            <wp:docPr id="1" name="图片 7" descr="57b69ef081d63843b0d78339239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57b69ef081d63843b0d783392390110"/>
                    <pic:cNvPicPr>
                      <a:picLocks noChangeAspect="1"/>
                    </pic:cNvPicPr>
                  </pic:nvPicPr>
                  <pic:blipFill>
                    <a:blip r:embed="rId18"/>
                    <a:stretch>
                      <a:fillRect/>
                    </a:stretch>
                  </pic:blipFill>
                  <pic:spPr>
                    <a:xfrm>
                      <a:off x="0" y="0"/>
                      <a:ext cx="1891665" cy="1891665"/>
                    </a:xfrm>
                    <a:prstGeom prst="rect">
                      <a:avLst/>
                    </a:prstGeom>
                    <a:noFill/>
                    <a:ln>
                      <a:noFill/>
                    </a:ln>
                  </pic:spPr>
                </pic:pic>
              </a:graphicData>
            </a:graphic>
          </wp:anchor>
        </w:drawing>
      </w:r>
    </w:p>
    <w:p w14:paraId="2F6D8535">
      <w:pPr>
        <w:pStyle w:val="39"/>
        <w:rPr>
          <w:rFonts w:hint="eastAsia" w:ascii="宋体" w:hAnsi="宋体" w:cs="宋体"/>
          <w:color w:val="auto"/>
          <w:highlight w:val="none"/>
        </w:rPr>
      </w:pPr>
    </w:p>
    <w:p w14:paraId="40184A8A">
      <w:pPr>
        <w:pStyle w:val="32"/>
        <w:spacing w:line="360" w:lineRule="auto"/>
        <w:rPr>
          <w:rFonts w:hint="eastAsia" w:hAnsi="宋体" w:cs="宋体"/>
          <w:b/>
          <w:color w:val="auto"/>
          <w:sz w:val="84"/>
          <w:szCs w:val="84"/>
          <w:highlight w:val="none"/>
        </w:rPr>
      </w:pPr>
    </w:p>
    <w:p w14:paraId="181DA1BE">
      <w:pPr>
        <w:pStyle w:val="32"/>
        <w:spacing w:line="360" w:lineRule="auto"/>
        <w:jc w:val="center"/>
        <w:rPr>
          <w:rFonts w:hint="eastAsia" w:hAnsi="宋体" w:cs="宋体"/>
          <w:b/>
          <w:bCs/>
          <w:color w:val="auto"/>
          <w:sz w:val="72"/>
          <w:szCs w:val="72"/>
          <w:highlight w:val="none"/>
        </w:rPr>
      </w:pPr>
      <w:bookmarkStart w:id="149" w:name="_GoBack"/>
      <w:bookmarkEnd w:id="149"/>
    </w:p>
    <w:p w14:paraId="5366834F">
      <w:pPr>
        <w:pStyle w:val="32"/>
        <w:spacing w:line="360" w:lineRule="auto"/>
        <w:jc w:val="center"/>
        <w:rPr>
          <w:rFonts w:hint="eastAsia" w:hAnsi="宋体" w:cs="宋体"/>
          <w:b/>
          <w:bCs/>
          <w:color w:val="auto"/>
          <w:sz w:val="72"/>
          <w:szCs w:val="72"/>
          <w:highlight w:val="none"/>
        </w:rPr>
      </w:pPr>
    </w:p>
    <w:p w14:paraId="3E0A9453">
      <w:pPr>
        <w:pStyle w:val="32"/>
        <w:spacing w:line="360" w:lineRule="auto"/>
        <w:jc w:val="center"/>
        <w:rPr>
          <w:rFonts w:hint="eastAsia" w:hAnsi="宋体" w:cs="宋体"/>
          <w:b/>
          <w:bCs/>
          <w:color w:val="auto"/>
          <w:sz w:val="72"/>
          <w:szCs w:val="72"/>
          <w:highlight w:val="none"/>
        </w:rPr>
      </w:pPr>
      <w:r>
        <w:rPr>
          <w:rFonts w:hint="eastAsia" w:hAnsi="宋体" w:cs="宋体"/>
          <w:b/>
          <w:bCs/>
          <w:color w:val="auto"/>
          <w:sz w:val="72"/>
          <w:szCs w:val="72"/>
          <w:highlight w:val="none"/>
        </w:rPr>
        <w:t>招标文件</w:t>
      </w:r>
    </w:p>
    <w:p w14:paraId="2E906DEF">
      <w:pPr>
        <w:snapToGrid w:val="0"/>
        <w:spacing w:before="165" w:beforeLines="50" w:line="360" w:lineRule="auto"/>
        <w:ind w:firstLine="1205" w:firstLineChars="400"/>
        <w:rPr>
          <w:rFonts w:hint="eastAsia" w:ascii="宋体" w:hAnsi="宋体" w:cs="宋体"/>
          <w:b/>
          <w:bCs/>
          <w:color w:val="auto"/>
          <w:sz w:val="30"/>
          <w:szCs w:val="30"/>
          <w:highlight w:val="none"/>
        </w:rPr>
      </w:pPr>
    </w:p>
    <w:p w14:paraId="59547897">
      <w:pPr>
        <w:snapToGrid w:val="0"/>
        <w:spacing w:before="165" w:beforeLines="50" w:line="360" w:lineRule="auto"/>
        <w:ind w:firstLine="1205" w:firstLineChars="400"/>
        <w:rPr>
          <w:rFonts w:hint="eastAsia" w:ascii="宋体" w:hAnsi="宋体" w:cs="宋体"/>
          <w:b/>
          <w:bCs/>
          <w:color w:val="auto"/>
          <w:sz w:val="30"/>
          <w:szCs w:val="30"/>
          <w:highlight w:val="none"/>
        </w:rPr>
      </w:pPr>
    </w:p>
    <w:p w14:paraId="0DA75C36">
      <w:pPr>
        <w:snapToGrid w:val="0"/>
        <w:spacing w:before="50" w:after="120" w:line="360" w:lineRule="auto"/>
        <w:ind w:firstLine="1145" w:firstLineChars="400"/>
        <w:rPr>
          <w:rFonts w:hint="eastAsia" w:ascii="宋体" w:hAnsi="宋体" w:eastAsia="宋体" w:cs="宋体"/>
          <w:b/>
          <w:bCs/>
          <w:color w:val="auto"/>
          <w:w w:val="95"/>
          <w:kern w:val="1"/>
          <w:sz w:val="30"/>
          <w:szCs w:val="30"/>
          <w:highlight w:val="none"/>
          <w:lang w:eastAsia="zh-CN"/>
        </w:rPr>
      </w:pPr>
      <w:r>
        <w:rPr>
          <w:rFonts w:hint="eastAsia" w:ascii="宋体" w:hAnsi="宋体" w:cs="宋体"/>
          <w:b/>
          <w:bCs/>
          <w:color w:val="auto"/>
          <w:w w:val="95"/>
          <w:kern w:val="1"/>
          <w:sz w:val="30"/>
          <w:szCs w:val="30"/>
          <w:highlight w:val="none"/>
        </w:rPr>
        <w:t>项目名称：</w:t>
      </w:r>
      <w:r>
        <w:rPr>
          <w:rFonts w:hint="eastAsia" w:ascii="宋体" w:hAnsi="宋体" w:cs="宋体"/>
          <w:b/>
          <w:bCs/>
          <w:color w:val="auto"/>
          <w:w w:val="95"/>
          <w:kern w:val="1"/>
          <w:sz w:val="30"/>
          <w:szCs w:val="30"/>
          <w:highlight w:val="none"/>
          <w:lang w:eastAsia="zh-CN"/>
        </w:rPr>
        <w:t>2025年农业速测技术推广试点服务采购</w:t>
      </w:r>
    </w:p>
    <w:p w14:paraId="75003805">
      <w:pPr>
        <w:snapToGrid w:val="0"/>
        <w:spacing w:before="50" w:after="120" w:line="360" w:lineRule="auto"/>
        <w:ind w:firstLine="1125" w:firstLineChars="393"/>
        <w:rPr>
          <w:rFonts w:hint="eastAsia" w:ascii="宋体" w:hAnsi="宋体" w:cs="宋体"/>
          <w:b/>
          <w:bCs/>
          <w:color w:val="auto"/>
          <w:w w:val="95"/>
          <w:kern w:val="1"/>
          <w:sz w:val="30"/>
          <w:szCs w:val="30"/>
          <w:highlight w:val="none"/>
        </w:rPr>
      </w:pPr>
      <w:r>
        <w:rPr>
          <w:rFonts w:hint="eastAsia" w:ascii="宋体" w:hAnsi="宋体" w:cs="宋体"/>
          <w:b/>
          <w:bCs/>
          <w:color w:val="auto"/>
          <w:w w:val="95"/>
          <w:kern w:val="1"/>
          <w:sz w:val="30"/>
          <w:szCs w:val="30"/>
          <w:highlight w:val="none"/>
        </w:rPr>
        <w:t xml:space="preserve">项目编号：GXZC2025-G3-001894-ZQZB      </w:t>
      </w:r>
    </w:p>
    <w:p w14:paraId="73B0BDD8">
      <w:pPr>
        <w:snapToGrid w:val="0"/>
        <w:spacing w:before="50" w:after="120" w:line="360" w:lineRule="auto"/>
        <w:ind w:firstLine="1125" w:firstLineChars="393"/>
        <w:rPr>
          <w:rFonts w:hint="eastAsia" w:ascii="宋体" w:hAnsi="宋体" w:cs="宋体"/>
          <w:b/>
          <w:bCs/>
          <w:color w:val="auto"/>
          <w:w w:val="95"/>
          <w:kern w:val="1"/>
          <w:sz w:val="30"/>
          <w:szCs w:val="30"/>
          <w:highlight w:val="none"/>
        </w:rPr>
      </w:pPr>
      <w:r>
        <w:rPr>
          <w:rFonts w:hint="eastAsia" w:ascii="宋体" w:hAnsi="宋体" w:cs="宋体"/>
          <w:b/>
          <w:bCs/>
          <w:color w:val="auto"/>
          <w:w w:val="95"/>
          <w:kern w:val="1"/>
          <w:sz w:val="30"/>
          <w:szCs w:val="30"/>
          <w:highlight w:val="none"/>
        </w:rPr>
        <w:t>采 购 人：广西壮族自治区农业农村厅</w:t>
      </w:r>
    </w:p>
    <w:p w14:paraId="71A6B490">
      <w:pPr>
        <w:snapToGrid w:val="0"/>
        <w:spacing w:before="50" w:after="120" w:line="360" w:lineRule="auto"/>
        <w:ind w:firstLine="1125" w:firstLineChars="393"/>
        <w:rPr>
          <w:rFonts w:hint="eastAsia" w:ascii="宋体" w:hAnsi="宋体" w:cs="宋体"/>
          <w:b/>
          <w:bCs/>
          <w:color w:val="auto"/>
          <w:w w:val="95"/>
          <w:kern w:val="1"/>
          <w:sz w:val="30"/>
          <w:szCs w:val="30"/>
          <w:highlight w:val="none"/>
        </w:rPr>
      </w:pPr>
      <w:r>
        <w:rPr>
          <w:rFonts w:hint="eastAsia" w:ascii="宋体" w:hAnsi="宋体" w:cs="宋体"/>
          <w:b/>
          <w:bCs/>
          <w:color w:val="auto"/>
          <w:w w:val="95"/>
          <w:kern w:val="1"/>
          <w:sz w:val="30"/>
          <w:szCs w:val="30"/>
          <w:highlight w:val="none"/>
        </w:rPr>
        <w:t>采购代理机构：广西中启招标咨询有限公司</w:t>
      </w:r>
    </w:p>
    <w:p w14:paraId="208B7DDA">
      <w:pPr>
        <w:snapToGrid w:val="0"/>
        <w:spacing w:before="50" w:after="120" w:line="360" w:lineRule="auto"/>
        <w:ind w:firstLine="841" w:firstLineChars="294"/>
        <w:rPr>
          <w:rFonts w:hint="eastAsia" w:ascii="宋体" w:hAnsi="宋体" w:cs="宋体"/>
          <w:b/>
          <w:bCs/>
          <w:color w:val="auto"/>
          <w:w w:val="95"/>
          <w:kern w:val="1"/>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cs="宋体"/>
          <w:b/>
          <w:bCs/>
          <w:color w:val="auto"/>
          <w:w w:val="95"/>
          <w:kern w:val="1"/>
          <w:sz w:val="30"/>
          <w:szCs w:val="30"/>
          <w:highlight w:val="none"/>
        </w:rPr>
        <w:t xml:space="preserve">                     2025年</w:t>
      </w:r>
      <w:r>
        <w:rPr>
          <w:rFonts w:hint="eastAsia" w:ascii="宋体" w:hAnsi="宋体" w:cs="宋体"/>
          <w:b/>
          <w:bCs/>
          <w:color w:val="auto"/>
          <w:w w:val="95"/>
          <w:kern w:val="1"/>
          <w:sz w:val="30"/>
          <w:szCs w:val="30"/>
          <w:highlight w:val="none"/>
          <w:lang w:val="en-US" w:eastAsia="zh-CN"/>
        </w:rPr>
        <w:t>7</w:t>
      </w:r>
      <w:r>
        <w:rPr>
          <w:rFonts w:hint="eastAsia" w:ascii="宋体" w:hAnsi="宋体" w:cs="宋体"/>
          <w:b/>
          <w:bCs/>
          <w:color w:val="auto"/>
          <w:w w:val="95"/>
          <w:kern w:val="1"/>
          <w:sz w:val="30"/>
          <w:szCs w:val="30"/>
          <w:highlight w:val="none"/>
        </w:rPr>
        <w:t>月</w:t>
      </w:r>
      <w:r>
        <w:rPr>
          <w:rFonts w:hint="eastAsia" w:ascii="宋体" w:hAnsi="宋体" w:cs="宋体"/>
          <w:b/>
          <w:bCs/>
          <w:color w:val="auto"/>
          <w:w w:val="95"/>
          <w:kern w:val="1"/>
          <w:sz w:val="30"/>
          <w:szCs w:val="30"/>
          <w:highlight w:val="none"/>
          <w:lang w:val="en-US" w:eastAsia="zh-CN"/>
        </w:rPr>
        <w:t>11</w:t>
      </w:r>
      <w:r>
        <w:rPr>
          <w:rFonts w:hint="eastAsia" w:ascii="宋体" w:hAnsi="宋体" w:cs="宋体"/>
          <w:b/>
          <w:bCs/>
          <w:color w:val="auto"/>
          <w:w w:val="95"/>
          <w:kern w:val="1"/>
          <w:sz w:val="30"/>
          <w:szCs w:val="30"/>
          <w:highlight w:val="none"/>
        </w:rPr>
        <w:t>日</w:t>
      </w:r>
    </w:p>
    <w:p w14:paraId="01128FA2">
      <w:pPr>
        <w:spacing w:line="360" w:lineRule="auto"/>
        <w:jc w:val="center"/>
        <w:rPr>
          <w:rFonts w:hint="eastAsia" w:ascii="宋体" w:hAnsi="宋体" w:cs="宋体"/>
          <w:b/>
          <w:color w:val="auto"/>
          <w:sz w:val="44"/>
          <w:szCs w:val="44"/>
          <w:highlight w:val="none"/>
        </w:rPr>
      </w:pPr>
    </w:p>
    <w:p w14:paraId="620B1664">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474EDC40">
      <w:pPr>
        <w:spacing w:line="400" w:lineRule="exact"/>
        <w:jc w:val="center"/>
        <w:rPr>
          <w:rFonts w:hint="eastAsia" w:ascii="宋体" w:hAnsi="宋体" w:cs="宋体"/>
          <w:b/>
          <w:color w:val="auto"/>
          <w:sz w:val="44"/>
          <w:szCs w:val="44"/>
          <w:highlight w:val="none"/>
        </w:rPr>
      </w:pPr>
    </w:p>
    <w:p w14:paraId="4AF73ED1">
      <w:pPr>
        <w:pStyle w:val="41"/>
        <w:tabs>
          <w:tab w:val="right" w:leader="dot" w:pos="9642"/>
          <w:tab w:val="clear" w:pos="8398"/>
        </w:tabs>
        <w:spacing w:line="480" w:lineRule="auto"/>
        <w:ind w:firstLine="241"/>
        <w:rPr>
          <w:rFonts w:hint="eastAsia" w:cs="宋体"/>
          <w:color w:val="auto"/>
          <w:sz w:val="28"/>
          <w:szCs w:val="28"/>
          <w:highlight w:val="none"/>
        </w:rPr>
      </w:pPr>
      <w:r>
        <w:rPr>
          <w:rFonts w:hint="eastAsia" w:cs="宋体"/>
          <w:color w:val="auto"/>
          <w:highlight w:val="none"/>
        </w:rPr>
        <w:fldChar w:fldCharType="begin"/>
      </w:r>
      <w:r>
        <w:rPr>
          <w:rFonts w:hint="eastAsia" w:cs="宋体"/>
          <w:color w:val="auto"/>
          <w:highlight w:val="none"/>
        </w:rPr>
        <w:instrText xml:space="preserve">TOC \o "1-2" \h \u </w:instrText>
      </w:r>
      <w:r>
        <w:rPr>
          <w:rFonts w:hint="eastAsia" w:cs="宋体"/>
          <w:color w:val="auto"/>
          <w:highlight w:val="none"/>
        </w:rPr>
        <w:fldChar w:fldCharType="separate"/>
      </w:r>
      <w:r>
        <w:rPr>
          <w:color w:val="auto"/>
          <w:highlight w:val="none"/>
        </w:rPr>
        <w:fldChar w:fldCharType="begin"/>
      </w:r>
      <w:r>
        <w:rPr>
          <w:color w:val="auto"/>
          <w:highlight w:val="none"/>
        </w:rPr>
        <w:instrText xml:space="preserve"> HYPERLINK \l "_Toc12659" </w:instrText>
      </w:r>
      <w:r>
        <w:rPr>
          <w:color w:val="auto"/>
          <w:highlight w:val="none"/>
        </w:rPr>
        <w:fldChar w:fldCharType="separate"/>
      </w:r>
      <w:r>
        <w:rPr>
          <w:rFonts w:hint="eastAsia" w:cs="宋体"/>
          <w:color w:val="auto"/>
          <w:sz w:val="28"/>
          <w:szCs w:val="28"/>
          <w:highlight w:val="none"/>
        </w:rPr>
        <w:t>第一章  招标公告</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_Toc12659 \h </w:instrText>
      </w:r>
      <w:r>
        <w:rPr>
          <w:rFonts w:hint="eastAsia" w:cs="宋体"/>
          <w:color w:val="auto"/>
          <w:sz w:val="28"/>
          <w:szCs w:val="28"/>
          <w:highlight w:val="none"/>
        </w:rPr>
        <w:fldChar w:fldCharType="separate"/>
      </w:r>
      <w:r>
        <w:rPr>
          <w:rFonts w:hint="eastAsia" w:cs="宋体"/>
          <w:color w:val="auto"/>
          <w:sz w:val="28"/>
          <w:szCs w:val="28"/>
          <w:highlight w:val="none"/>
        </w:rPr>
        <w:t>1</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5D8E63FC">
      <w:pPr>
        <w:pStyle w:val="41"/>
        <w:tabs>
          <w:tab w:val="right" w:leader="dot" w:pos="9642"/>
          <w:tab w:val="clear" w:pos="8398"/>
        </w:tabs>
        <w:spacing w:line="480" w:lineRule="auto"/>
        <w:ind w:firstLine="241"/>
        <w:rPr>
          <w:rFonts w:hint="eastAsia" w:cs="宋体"/>
          <w:color w:val="auto"/>
          <w:sz w:val="28"/>
          <w:szCs w:val="28"/>
          <w:highlight w:val="none"/>
        </w:rPr>
      </w:pPr>
      <w:r>
        <w:rPr>
          <w:color w:val="auto"/>
          <w:highlight w:val="none"/>
        </w:rPr>
        <w:fldChar w:fldCharType="begin"/>
      </w:r>
      <w:r>
        <w:rPr>
          <w:color w:val="auto"/>
          <w:highlight w:val="none"/>
        </w:rPr>
        <w:instrText xml:space="preserve"> HYPERLINK \l "_Toc6541" </w:instrText>
      </w:r>
      <w:r>
        <w:rPr>
          <w:color w:val="auto"/>
          <w:highlight w:val="none"/>
        </w:rPr>
        <w:fldChar w:fldCharType="separate"/>
      </w:r>
      <w:r>
        <w:rPr>
          <w:rFonts w:hint="eastAsia" w:cs="宋体"/>
          <w:color w:val="auto"/>
          <w:kern w:val="44"/>
          <w:sz w:val="28"/>
          <w:szCs w:val="28"/>
          <w:highlight w:val="none"/>
        </w:rPr>
        <w:t>第二章  采购需求</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_Toc6541 \h </w:instrText>
      </w:r>
      <w:r>
        <w:rPr>
          <w:rFonts w:hint="eastAsia" w:cs="宋体"/>
          <w:color w:val="auto"/>
          <w:sz w:val="28"/>
          <w:szCs w:val="28"/>
          <w:highlight w:val="none"/>
        </w:rPr>
        <w:fldChar w:fldCharType="separate"/>
      </w:r>
      <w:r>
        <w:rPr>
          <w:rFonts w:hint="eastAsia" w:cs="宋体"/>
          <w:color w:val="auto"/>
          <w:sz w:val="28"/>
          <w:szCs w:val="28"/>
          <w:highlight w:val="none"/>
        </w:rPr>
        <w:t>4</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683C7F42">
      <w:pPr>
        <w:pStyle w:val="41"/>
        <w:tabs>
          <w:tab w:val="right" w:leader="dot" w:pos="9642"/>
          <w:tab w:val="clear" w:pos="8398"/>
        </w:tabs>
        <w:spacing w:line="480" w:lineRule="auto"/>
        <w:ind w:firstLine="241"/>
        <w:rPr>
          <w:rFonts w:hint="eastAsia" w:cs="宋体"/>
          <w:color w:val="auto"/>
          <w:sz w:val="28"/>
          <w:szCs w:val="28"/>
          <w:highlight w:val="none"/>
        </w:rPr>
      </w:pPr>
      <w:r>
        <w:rPr>
          <w:color w:val="auto"/>
          <w:highlight w:val="none"/>
        </w:rPr>
        <w:fldChar w:fldCharType="begin"/>
      </w:r>
      <w:r>
        <w:rPr>
          <w:color w:val="auto"/>
          <w:highlight w:val="none"/>
        </w:rPr>
        <w:instrText xml:space="preserve"> HYPERLINK \l "_Toc18664" </w:instrText>
      </w:r>
      <w:r>
        <w:rPr>
          <w:color w:val="auto"/>
          <w:highlight w:val="none"/>
        </w:rPr>
        <w:fldChar w:fldCharType="separate"/>
      </w:r>
      <w:r>
        <w:rPr>
          <w:rFonts w:hint="eastAsia" w:cs="宋体"/>
          <w:color w:val="auto"/>
          <w:sz w:val="28"/>
          <w:szCs w:val="28"/>
          <w:highlight w:val="none"/>
        </w:rPr>
        <w:t>第三章  投标人须知</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_Toc18664 \h </w:instrText>
      </w:r>
      <w:r>
        <w:rPr>
          <w:rFonts w:hint="eastAsia" w:cs="宋体"/>
          <w:color w:val="auto"/>
          <w:sz w:val="28"/>
          <w:szCs w:val="28"/>
          <w:highlight w:val="none"/>
        </w:rPr>
        <w:fldChar w:fldCharType="separate"/>
      </w:r>
      <w:r>
        <w:rPr>
          <w:rFonts w:hint="eastAsia" w:cs="宋体"/>
          <w:color w:val="auto"/>
          <w:sz w:val="28"/>
          <w:szCs w:val="28"/>
          <w:highlight w:val="none"/>
        </w:rPr>
        <w:t>22</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5F260E28">
      <w:pPr>
        <w:pStyle w:val="41"/>
        <w:tabs>
          <w:tab w:val="right" w:leader="dot" w:pos="9642"/>
          <w:tab w:val="clear" w:pos="8398"/>
        </w:tabs>
        <w:spacing w:line="480" w:lineRule="auto"/>
        <w:ind w:firstLine="241"/>
        <w:rPr>
          <w:rFonts w:hint="eastAsia" w:cs="宋体"/>
          <w:color w:val="auto"/>
          <w:sz w:val="28"/>
          <w:szCs w:val="28"/>
          <w:highlight w:val="none"/>
        </w:rPr>
      </w:pPr>
      <w:r>
        <w:rPr>
          <w:color w:val="auto"/>
          <w:highlight w:val="none"/>
        </w:rPr>
        <w:fldChar w:fldCharType="begin"/>
      </w:r>
      <w:r>
        <w:rPr>
          <w:color w:val="auto"/>
          <w:highlight w:val="none"/>
        </w:rPr>
        <w:instrText xml:space="preserve"> HYPERLINK \l "_Toc27918" </w:instrText>
      </w:r>
      <w:r>
        <w:rPr>
          <w:color w:val="auto"/>
          <w:highlight w:val="none"/>
        </w:rPr>
        <w:fldChar w:fldCharType="separate"/>
      </w:r>
      <w:r>
        <w:rPr>
          <w:rFonts w:hint="eastAsia" w:cs="宋体"/>
          <w:color w:val="auto"/>
          <w:sz w:val="28"/>
          <w:szCs w:val="28"/>
          <w:highlight w:val="none"/>
        </w:rPr>
        <w:t>第四章  评标方法及评标标准</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_Toc27918 \h </w:instrText>
      </w:r>
      <w:r>
        <w:rPr>
          <w:rFonts w:hint="eastAsia" w:cs="宋体"/>
          <w:color w:val="auto"/>
          <w:sz w:val="28"/>
          <w:szCs w:val="28"/>
          <w:highlight w:val="none"/>
        </w:rPr>
        <w:fldChar w:fldCharType="separate"/>
      </w:r>
      <w:r>
        <w:rPr>
          <w:rFonts w:hint="eastAsia" w:cs="宋体"/>
          <w:color w:val="auto"/>
          <w:sz w:val="28"/>
          <w:szCs w:val="28"/>
          <w:highlight w:val="none"/>
        </w:rPr>
        <w:t>41</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6672FA8E">
      <w:pPr>
        <w:pStyle w:val="41"/>
        <w:tabs>
          <w:tab w:val="right" w:leader="dot" w:pos="9642"/>
          <w:tab w:val="clear" w:pos="8398"/>
        </w:tabs>
        <w:spacing w:line="480" w:lineRule="auto"/>
        <w:ind w:firstLine="241"/>
        <w:rPr>
          <w:rFonts w:hint="eastAsia" w:cs="宋体"/>
          <w:color w:val="auto"/>
          <w:sz w:val="28"/>
          <w:szCs w:val="28"/>
          <w:highlight w:val="none"/>
        </w:rPr>
      </w:pPr>
      <w:r>
        <w:rPr>
          <w:color w:val="auto"/>
          <w:highlight w:val="none"/>
        </w:rPr>
        <w:fldChar w:fldCharType="begin"/>
      </w:r>
      <w:r>
        <w:rPr>
          <w:color w:val="auto"/>
          <w:highlight w:val="none"/>
        </w:rPr>
        <w:instrText xml:space="preserve"> HYPERLINK \l "_Toc28267" </w:instrText>
      </w:r>
      <w:r>
        <w:rPr>
          <w:color w:val="auto"/>
          <w:highlight w:val="none"/>
        </w:rPr>
        <w:fldChar w:fldCharType="separate"/>
      </w:r>
      <w:r>
        <w:rPr>
          <w:rFonts w:hint="eastAsia" w:cs="宋体"/>
          <w:color w:val="auto"/>
          <w:sz w:val="28"/>
          <w:szCs w:val="28"/>
          <w:highlight w:val="none"/>
        </w:rPr>
        <w:t>第五章  拟签订的合同文本</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_Toc28267 \h </w:instrText>
      </w:r>
      <w:r>
        <w:rPr>
          <w:rFonts w:hint="eastAsia" w:cs="宋体"/>
          <w:color w:val="auto"/>
          <w:sz w:val="28"/>
          <w:szCs w:val="28"/>
          <w:highlight w:val="none"/>
        </w:rPr>
        <w:fldChar w:fldCharType="separate"/>
      </w:r>
      <w:r>
        <w:rPr>
          <w:rFonts w:hint="eastAsia" w:cs="宋体"/>
          <w:color w:val="auto"/>
          <w:sz w:val="28"/>
          <w:szCs w:val="28"/>
          <w:highlight w:val="none"/>
        </w:rPr>
        <w:t>50</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6D02AB0D">
      <w:pPr>
        <w:pStyle w:val="41"/>
        <w:tabs>
          <w:tab w:val="right" w:leader="dot" w:pos="9642"/>
          <w:tab w:val="clear" w:pos="8398"/>
        </w:tabs>
        <w:spacing w:line="480" w:lineRule="auto"/>
        <w:ind w:firstLine="241"/>
        <w:rPr>
          <w:rFonts w:hint="eastAsia" w:cs="宋体"/>
          <w:color w:val="auto"/>
          <w:highlight w:val="none"/>
        </w:rPr>
      </w:pPr>
      <w:r>
        <w:rPr>
          <w:color w:val="auto"/>
          <w:highlight w:val="none"/>
        </w:rPr>
        <w:fldChar w:fldCharType="begin"/>
      </w:r>
      <w:r>
        <w:rPr>
          <w:color w:val="auto"/>
          <w:highlight w:val="none"/>
        </w:rPr>
        <w:instrText xml:space="preserve"> HYPERLINK \l "_Toc21405" </w:instrText>
      </w:r>
      <w:r>
        <w:rPr>
          <w:color w:val="auto"/>
          <w:highlight w:val="none"/>
        </w:rPr>
        <w:fldChar w:fldCharType="separate"/>
      </w:r>
      <w:r>
        <w:rPr>
          <w:rFonts w:hint="eastAsia" w:cs="宋体"/>
          <w:color w:val="auto"/>
          <w:sz w:val="28"/>
          <w:szCs w:val="28"/>
          <w:highlight w:val="none"/>
        </w:rPr>
        <w:t>第六章　投标文件格式</w:t>
      </w:r>
      <w:r>
        <w:rPr>
          <w:rFonts w:hint="eastAsia" w:cs="宋体"/>
          <w:color w:val="auto"/>
          <w:sz w:val="28"/>
          <w:szCs w:val="28"/>
          <w:highlight w:val="none"/>
        </w:rPr>
        <w:tab/>
      </w:r>
      <w:r>
        <w:rPr>
          <w:rFonts w:hint="eastAsia" w:cs="宋体"/>
          <w:color w:val="auto"/>
          <w:sz w:val="28"/>
          <w:szCs w:val="28"/>
          <w:highlight w:val="none"/>
        </w:rPr>
        <w:fldChar w:fldCharType="begin"/>
      </w:r>
      <w:r>
        <w:rPr>
          <w:rFonts w:hint="eastAsia" w:cs="宋体"/>
          <w:color w:val="auto"/>
          <w:sz w:val="28"/>
          <w:szCs w:val="28"/>
          <w:highlight w:val="none"/>
        </w:rPr>
        <w:instrText xml:space="preserve"> PAGEREF _Toc21405 \h </w:instrText>
      </w:r>
      <w:r>
        <w:rPr>
          <w:rFonts w:hint="eastAsia" w:cs="宋体"/>
          <w:color w:val="auto"/>
          <w:sz w:val="28"/>
          <w:szCs w:val="28"/>
          <w:highlight w:val="none"/>
        </w:rPr>
        <w:fldChar w:fldCharType="separate"/>
      </w:r>
      <w:r>
        <w:rPr>
          <w:rFonts w:hint="eastAsia" w:cs="宋体"/>
          <w:color w:val="auto"/>
          <w:sz w:val="28"/>
          <w:szCs w:val="28"/>
          <w:highlight w:val="none"/>
        </w:rPr>
        <w:t>57</w:t>
      </w:r>
      <w:r>
        <w:rPr>
          <w:rFonts w:hint="eastAsia" w:cs="宋体"/>
          <w:color w:val="auto"/>
          <w:sz w:val="28"/>
          <w:szCs w:val="28"/>
          <w:highlight w:val="none"/>
        </w:rPr>
        <w:fldChar w:fldCharType="end"/>
      </w:r>
      <w:r>
        <w:rPr>
          <w:rFonts w:hint="eastAsia" w:cs="宋体"/>
          <w:color w:val="auto"/>
          <w:sz w:val="28"/>
          <w:szCs w:val="28"/>
          <w:highlight w:val="none"/>
        </w:rPr>
        <w:fldChar w:fldCharType="end"/>
      </w:r>
    </w:p>
    <w:p w14:paraId="340E0E86">
      <w:pPr>
        <w:tabs>
          <w:tab w:val="right" w:leader="dot" w:pos="8789"/>
        </w:tabs>
        <w:snapToGrid w:val="0"/>
        <w:spacing w:line="360" w:lineRule="auto"/>
        <w:rPr>
          <w:rFonts w:hint="eastAsia" w:ascii="宋体" w:hAnsi="宋体" w:cs="宋体"/>
          <w:color w:val="auto"/>
          <w:sz w:val="24"/>
          <w:highlight w:val="none"/>
        </w:rPr>
      </w:pPr>
      <w:r>
        <w:rPr>
          <w:rFonts w:hint="eastAsia" w:ascii="宋体" w:hAnsi="宋体" w:cs="宋体"/>
          <w:color w:val="auto"/>
          <w:highlight w:val="none"/>
        </w:rPr>
        <w:fldChar w:fldCharType="end"/>
      </w:r>
    </w:p>
    <w:p w14:paraId="7FA11240">
      <w:pPr>
        <w:spacing w:before="120" w:beforeLines="50" w:line="480" w:lineRule="exact"/>
        <w:rPr>
          <w:rFonts w:hint="eastAsia" w:ascii="宋体" w:hAnsi="宋体" w:cs="宋体"/>
          <w:color w:val="auto"/>
          <w:sz w:val="30"/>
          <w:highlight w:val="none"/>
        </w:rPr>
      </w:pPr>
    </w:p>
    <w:p w14:paraId="6551DC63">
      <w:pPr>
        <w:rPr>
          <w:rFonts w:hint="eastAsia" w:ascii="宋体" w:hAnsi="宋体" w:cs="宋体"/>
          <w:color w:val="auto"/>
          <w:highlight w:val="none"/>
        </w:rPr>
      </w:pPr>
    </w:p>
    <w:p w14:paraId="53746F6E">
      <w:pPr>
        <w:spacing w:before="120" w:beforeLines="50" w:line="480" w:lineRule="exact"/>
        <w:rPr>
          <w:rFonts w:hint="eastAsia" w:ascii="宋体" w:hAnsi="宋体" w:cs="宋体"/>
          <w:color w:val="auto"/>
          <w:sz w:val="30"/>
          <w:highlight w:val="none"/>
        </w:rPr>
      </w:pPr>
    </w:p>
    <w:p w14:paraId="135DFB92">
      <w:pPr>
        <w:spacing w:before="120" w:beforeLines="50" w:line="480" w:lineRule="exact"/>
        <w:rPr>
          <w:rFonts w:hint="eastAsia" w:ascii="宋体" w:hAnsi="宋体" w:cs="宋体"/>
          <w:color w:val="auto"/>
          <w:sz w:val="30"/>
          <w:highlight w:val="none"/>
        </w:rPr>
      </w:pPr>
    </w:p>
    <w:p w14:paraId="248B2955">
      <w:pPr>
        <w:pStyle w:val="19"/>
        <w:rPr>
          <w:rFonts w:hint="eastAsia" w:ascii="宋体" w:hAnsi="宋体" w:cs="宋体"/>
          <w:b/>
          <w:bCs/>
          <w:color w:val="auto"/>
          <w:highlight w:val="none"/>
        </w:rPr>
      </w:pPr>
      <w:bookmarkStart w:id="0" w:name="_Toc254970489"/>
      <w:bookmarkStart w:id="1" w:name="_Toc254970630"/>
    </w:p>
    <w:p w14:paraId="2E8EA9D5">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b w:val="0"/>
          <w:bCs w:val="0"/>
          <w:color w:val="auto"/>
          <w:highlight w:val="none"/>
        </w:rPr>
        <w:br w:type="page"/>
      </w:r>
      <w:bookmarkStart w:id="2" w:name="_Toc29748"/>
      <w:bookmarkStart w:id="3" w:name="_Toc12659"/>
      <w:r>
        <w:rPr>
          <w:rFonts w:hint="eastAsia" w:ascii="宋体" w:hAnsi="宋体" w:cs="宋体"/>
          <w:color w:val="auto"/>
          <w:highlight w:val="none"/>
        </w:rPr>
        <w:t>第一章</w:t>
      </w:r>
      <w:bookmarkEnd w:id="0"/>
      <w:bookmarkEnd w:id="1"/>
      <w:bookmarkStart w:id="4" w:name="_Toc28359001"/>
      <w:bookmarkStart w:id="5" w:name="_Toc35393789"/>
      <w:r>
        <w:rPr>
          <w:rFonts w:hint="eastAsia" w:ascii="宋体" w:hAnsi="宋体" w:cs="宋体"/>
          <w:color w:val="auto"/>
          <w:highlight w:val="none"/>
        </w:rPr>
        <w:t xml:space="preserve">  招标公告</w:t>
      </w:r>
      <w:bookmarkEnd w:id="2"/>
      <w:bookmarkEnd w:id="3"/>
      <w:bookmarkEnd w:id="4"/>
      <w:bookmarkEnd w:id="5"/>
    </w:p>
    <w:p w14:paraId="39EF934A">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287FA77F">
      <w:pPr>
        <w:pBdr>
          <w:top w:val="single" w:color="auto" w:sz="4" w:space="1"/>
          <w:left w:val="single" w:color="auto" w:sz="4" w:space="4"/>
          <w:bottom w:val="single" w:color="auto" w:sz="4" w:space="1"/>
          <w:right w:val="single" w:color="auto" w:sz="4" w:space="4"/>
        </w:pBd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u w:val="single"/>
          <w:lang w:eastAsia="zh-CN"/>
        </w:rPr>
        <w:t>2025年农业速测技术推广试点服务采购</w:t>
      </w:r>
      <w:r>
        <w:rPr>
          <w:rFonts w:hint="eastAsia" w:ascii="宋体" w:hAnsi="宋体" w:cs="宋体"/>
          <w:color w:val="auto"/>
          <w:szCs w:val="21"/>
          <w:highlight w:val="none"/>
        </w:rPr>
        <w:t>的潜在投标人应在“广西政府采购云平台”（https://www.gcy.zfcg.gxzf.gov.cn/）获取（下载）招标文件，并于</w:t>
      </w:r>
      <w:r>
        <w:rPr>
          <w:rFonts w:hint="eastAsia" w:ascii="宋体" w:hAnsi="宋体" w:cs="宋体"/>
          <w:b/>
          <w:bCs/>
          <w:color w:val="auto"/>
          <w:szCs w:val="21"/>
          <w:highlight w:val="none"/>
          <w:u w:val="single"/>
        </w:rPr>
        <w:t>2025年</w:t>
      </w:r>
      <w:r>
        <w:rPr>
          <w:rFonts w:hint="eastAsia" w:ascii="宋体" w:hAnsi="宋体" w:cs="宋体"/>
          <w:b/>
          <w:bCs/>
          <w:color w:val="auto"/>
          <w:szCs w:val="21"/>
          <w:highlight w:val="none"/>
          <w:u w:val="single"/>
          <w:lang w:val="en-US" w:eastAsia="zh-CN"/>
        </w:rPr>
        <w:t>8</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1</w:t>
      </w:r>
      <w:r>
        <w:rPr>
          <w:rFonts w:hint="eastAsia" w:ascii="宋体" w:hAnsi="宋体" w:cs="宋体"/>
          <w:b/>
          <w:bCs/>
          <w:color w:val="auto"/>
          <w:szCs w:val="21"/>
          <w:highlight w:val="none"/>
          <w:u w:val="single"/>
        </w:rPr>
        <w:t>日9时30分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北京时间）前按要求递交（上传）投标文件</w:t>
      </w:r>
      <w:r>
        <w:rPr>
          <w:rFonts w:hint="eastAsia" w:ascii="宋体" w:hAnsi="宋体" w:cs="宋体"/>
          <w:bCs/>
          <w:color w:val="auto"/>
          <w:szCs w:val="21"/>
          <w:highlight w:val="none"/>
          <w:lang w:eastAsia="zh-CN"/>
        </w:rPr>
        <w:t>。</w:t>
      </w:r>
    </w:p>
    <w:p w14:paraId="508932B6">
      <w:pPr>
        <w:spacing w:line="360" w:lineRule="auto"/>
        <w:rPr>
          <w:rFonts w:hint="eastAsia" w:ascii="宋体" w:hAnsi="宋体" w:cs="宋体"/>
          <w:b/>
          <w:bCs/>
          <w:color w:val="auto"/>
          <w:sz w:val="24"/>
          <w:highlight w:val="none"/>
        </w:rPr>
      </w:pPr>
      <w:bookmarkStart w:id="6" w:name="_Toc35393790"/>
      <w:bookmarkStart w:id="7" w:name="_Toc35393621"/>
      <w:bookmarkStart w:id="8" w:name="_Toc28359002"/>
      <w:bookmarkStart w:id="9" w:name="_Toc28359079"/>
      <w:bookmarkStart w:id="10" w:name="_Hlk24379207"/>
      <w:r>
        <w:rPr>
          <w:rFonts w:hint="eastAsia" w:ascii="宋体" w:hAnsi="宋体" w:cs="宋体"/>
          <w:b/>
          <w:bCs/>
          <w:color w:val="auto"/>
          <w:sz w:val="24"/>
          <w:highlight w:val="none"/>
        </w:rPr>
        <w:t>一、项目基本情况</w:t>
      </w:r>
      <w:bookmarkEnd w:id="6"/>
      <w:bookmarkEnd w:id="7"/>
      <w:bookmarkEnd w:id="8"/>
      <w:bookmarkEnd w:id="9"/>
      <w:r>
        <w:rPr>
          <w:rFonts w:hint="eastAsia" w:ascii="宋体" w:hAnsi="宋体" w:cs="宋体"/>
          <w:b/>
          <w:bCs/>
          <w:color w:val="auto"/>
          <w:sz w:val="24"/>
          <w:highlight w:val="none"/>
        </w:rPr>
        <w:t>：</w:t>
      </w:r>
    </w:p>
    <w:bookmarkEnd w:id="10"/>
    <w:p w14:paraId="692C96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项目编号：GXZC2025-G3-001894-ZQZB    </w:t>
      </w:r>
    </w:p>
    <w:p w14:paraId="4B5E107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2025年农业速测技术推广试点服务采购</w:t>
      </w:r>
    </w:p>
    <w:p w14:paraId="50605E50">
      <w:pPr>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预算金额：1000.00万元（其中</w:t>
      </w:r>
      <w:r>
        <w:rPr>
          <w:rFonts w:hint="eastAsia" w:ascii="宋体" w:hAnsi="宋体" w:cs="宋体"/>
          <w:color w:val="auto"/>
          <w:kern w:val="0"/>
          <w:szCs w:val="21"/>
          <w:highlight w:val="none"/>
        </w:rPr>
        <w:t>其中A分标：250.00万元； B分标：250.00万元；C分标：250.00万元；D分标：250.00万元</w:t>
      </w:r>
      <w:r>
        <w:rPr>
          <w:rFonts w:hint="eastAsia" w:ascii="宋体" w:hAnsi="宋体" w:cs="宋体"/>
          <w:color w:val="auto"/>
          <w:szCs w:val="21"/>
          <w:highlight w:val="none"/>
        </w:rPr>
        <w:t>）</w:t>
      </w:r>
    </w:p>
    <w:p w14:paraId="0F9274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62"/>
        <w:tblW w:w="9652" w:type="dxa"/>
        <w:jc w:val="center"/>
        <w:tblLayout w:type="fixed"/>
        <w:tblCellMar>
          <w:top w:w="0" w:type="dxa"/>
          <w:left w:w="10" w:type="dxa"/>
          <w:bottom w:w="0" w:type="dxa"/>
          <w:right w:w="10" w:type="dxa"/>
        </w:tblCellMar>
      </w:tblPr>
      <w:tblGrid>
        <w:gridCol w:w="942"/>
        <w:gridCol w:w="3022"/>
        <w:gridCol w:w="946"/>
        <w:gridCol w:w="981"/>
        <w:gridCol w:w="2960"/>
        <w:gridCol w:w="801"/>
      </w:tblGrid>
      <w:tr w14:paraId="1C83C65C">
        <w:tblPrEx>
          <w:tblCellMar>
            <w:top w:w="0" w:type="dxa"/>
            <w:left w:w="10" w:type="dxa"/>
            <w:bottom w:w="0" w:type="dxa"/>
            <w:right w:w="10" w:type="dxa"/>
          </w:tblCellMar>
        </w:tblPrEx>
        <w:trPr>
          <w:trHeight w:val="605" w:hRule="atLeast"/>
          <w:jc w:val="center"/>
        </w:trPr>
        <w:tc>
          <w:tcPr>
            <w:tcW w:w="94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DD32D78">
            <w:pPr>
              <w:widowControl/>
              <w:pBdr>
                <w:top w:val="none" w:color="000000" w:sz="0" w:space="0"/>
                <w:left w:val="none" w:color="000000" w:sz="0" w:space="0"/>
                <w:bottom w:val="none" w:color="000000" w:sz="0" w:space="0"/>
                <w:right w:val="none" w:color="000000" w:sz="0" w:space="0"/>
                <w:between w:val="none" w:color="000000" w:sz="0" w:space="0"/>
              </w:pBdr>
              <w:spacing w:line="336" w:lineRule="auto"/>
              <w:jc w:val="center"/>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分标号</w:t>
            </w:r>
          </w:p>
        </w:tc>
        <w:tc>
          <w:tcPr>
            <w:tcW w:w="302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CACB7D4">
            <w:pPr>
              <w:widowControl/>
              <w:pBdr>
                <w:top w:val="none" w:color="000000" w:sz="0" w:space="0"/>
                <w:left w:val="none" w:color="000000" w:sz="0" w:space="0"/>
                <w:bottom w:val="none" w:color="000000" w:sz="0" w:space="0"/>
                <w:right w:val="none" w:color="000000" w:sz="0" w:space="0"/>
                <w:between w:val="none" w:color="000000" w:sz="0" w:space="0"/>
              </w:pBdr>
              <w:spacing w:line="336" w:lineRule="auto"/>
              <w:jc w:val="center"/>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采购项目名称</w:t>
            </w:r>
          </w:p>
        </w:tc>
        <w:tc>
          <w:tcPr>
            <w:tcW w:w="94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913EC00">
            <w:pPr>
              <w:widowControl/>
              <w:pBdr>
                <w:top w:val="none" w:color="000000" w:sz="0" w:space="0"/>
                <w:left w:val="none" w:color="000000" w:sz="0" w:space="0"/>
                <w:bottom w:val="none" w:color="000000" w:sz="0" w:space="0"/>
                <w:right w:val="none" w:color="000000" w:sz="0" w:space="0"/>
                <w:between w:val="none" w:color="000000" w:sz="0" w:space="0"/>
              </w:pBdr>
              <w:spacing w:line="336" w:lineRule="auto"/>
              <w:jc w:val="center"/>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数量</w:t>
            </w:r>
          </w:p>
        </w:tc>
        <w:tc>
          <w:tcPr>
            <w:tcW w:w="98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4F2C687">
            <w:pPr>
              <w:widowControl/>
              <w:pBdr>
                <w:top w:val="none" w:color="000000" w:sz="0" w:space="0"/>
                <w:left w:val="none" w:color="000000" w:sz="0" w:space="0"/>
                <w:bottom w:val="none" w:color="000000" w:sz="0" w:space="0"/>
                <w:right w:val="none" w:color="000000" w:sz="0" w:space="0"/>
                <w:between w:val="none" w:color="000000" w:sz="0" w:space="0"/>
              </w:pBdr>
              <w:spacing w:line="336" w:lineRule="auto"/>
              <w:jc w:val="center"/>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单位</w:t>
            </w:r>
          </w:p>
        </w:tc>
        <w:tc>
          <w:tcPr>
            <w:tcW w:w="29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C53DF87">
            <w:pPr>
              <w:widowControl/>
              <w:pBdr>
                <w:top w:val="none" w:color="000000" w:sz="0" w:space="0"/>
                <w:left w:val="none" w:color="000000" w:sz="0" w:space="0"/>
                <w:bottom w:val="none" w:color="000000" w:sz="0" w:space="0"/>
                <w:right w:val="none" w:color="000000" w:sz="0" w:space="0"/>
                <w:between w:val="none" w:color="000000" w:sz="0" w:space="0"/>
              </w:pBdr>
              <w:spacing w:line="336" w:lineRule="auto"/>
              <w:jc w:val="center"/>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项目需求</w:t>
            </w:r>
          </w:p>
        </w:tc>
        <w:tc>
          <w:tcPr>
            <w:tcW w:w="80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3C3F97E">
            <w:pPr>
              <w:widowControl/>
              <w:pBdr>
                <w:top w:val="none" w:color="000000" w:sz="0" w:space="0"/>
                <w:left w:val="none" w:color="000000" w:sz="0" w:space="0"/>
                <w:bottom w:val="none" w:color="000000" w:sz="0" w:space="0"/>
                <w:right w:val="none" w:color="000000" w:sz="0" w:space="0"/>
                <w:between w:val="none" w:color="000000" w:sz="0" w:space="0"/>
              </w:pBdr>
              <w:spacing w:line="336" w:lineRule="auto"/>
              <w:jc w:val="center"/>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备注</w:t>
            </w:r>
          </w:p>
        </w:tc>
      </w:tr>
      <w:tr w14:paraId="7D26BD40">
        <w:tblPrEx>
          <w:tblCellMar>
            <w:top w:w="0" w:type="dxa"/>
            <w:left w:w="10" w:type="dxa"/>
            <w:bottom w:w="0" w:type="dxa"/>
            <w:right w:w="10" w:type="dxa"/>
          </w:tblCellMar>
        </w:tblPrEx>
        <w:trPr>
          <w:trHeight w:val="852" w:hRule="atLeast"/>
          <w:jc w:val="center"/>
        </w:trPr>
        <w:tc>
          <w:tcPr>
            <w:tcW w:w="94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3BB951E">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A分标</w:t>
            </w:r>
          </w:p>
        </w:tc>
        <w:tc>
          <w:tcPr>
            <w:tcW w:w="302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9D80600">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豇豆等农产品胶体金快速检测试纸、仪器、设备及技术支持、培训</w:t>
            </w:r>
          </w:p>
        </w:tc>
        <w:tc>
          <w:tcPr>
            <w:tcW w:w="94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DAFE3FD">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98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0549BDD">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29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1A13713">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具体内容详见第二章招标项目采购需求。</w:t>
            </w:r>
          </w:p>
        </w:tc>
        <w:tc>
          <w:tcPr>
            <w:tcW w:w="80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1B5C4A8">
            <w:pPr>
              <w:widowControl/>
              <w:pBdr>
                <w:top w:val="none" w:color="000000" w:sz="0" w:space="0"/>
                <w:left w:val="none" w:color="000000" w:sz="0" w:space="0"/>
                <w:bottom w:val="none" w:color="000000" w:sz="0" w:space="0"/>
                <w:right w:val="none" w:color="000000" w:sz="0" w:space="0"/>
                <w:between w:val="none" w:color="000000" w:sz="0" w:space="0"/>
              </w:pBdr>
              <w:spacing w:line="336" w:lineRule="auto"/>
              <w:jc w:val="right"/>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　</w:t>
            </w:r>
          </w:p>
        </w:tc>
      </w:tr>
      <w:tr w14:paraId="213A1F5B">
        <w:tblPrEx>
          <w:tblCellMar>
            <w:top w:w="0" w:type="dxa"/>
            <w:left w:w="10" w:type="dxa"/>
            <w:bottom w:w="0" w:type="dxa"/>
            <w:right w:w="10" w:type="dxa"/>
          </w:tblCellMar>
        </w:tblPrEx>
        <w:trPr>
          <w:trHeight w:val="473" w:hRule="atLeast"/>
          <w:jc w:val="center"/>
        </w:trPr>
        <w:tc>
          <w:tcPr>
            <w:tcW w:w="94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10AE9DB">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B分标</w:t>
            </w:r>
          </w:p>
        </w:tc>
        <w:tc>
          <w:tcPr>
            <w:tcW w:w="302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8A0769B">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豇豆等农产品胶体金快速检测试纸、仪器、设备及技术支持、培训</w:t>
            </w:r>
          </w:p>
        </w:tc>
        <w:tc>
          <w:tcPr>
            <w:tcW w:w="94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6CE25BF">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98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1281A02">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29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D6B4D48">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具体内容详见第二章招标项目采购需求。</w:t>
            </w:r>
          </w:p>
        </w:tc>
        <w:tc>
          <w:tcPr>
            <w:tcW w:w="80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DED5EED">
            <w:pPr>
              <w:widowControl/>
              <w:pBdr>
                <w:top w:val="none" w:color="000000" w:sz="0" w:space="0"/>
                <w:left w:val="none" w:color="000000" w:sz="0" w:space="0"/>
                <w:bottom w:val="none" w:color="000000" w:sz="0" w:space="0"/>
                <w:right w:val="none" w:color="000000" w:sz="0" w:space="0"/>
                <w:between w:val="none" w:color="000000" w:sz="0" w:space="0"/>
              </w:pBdr>
              <w:spacing w:line="336" w:lineRule="auto"/>
              <w:jc w:val="right"/>
              <w:rPr>
                <w:rFonts w:hint="eastAsia" w:ascii="宋体" w:hAnsi="宋体" w:cs="宋体"/>
                <w:b/>
                <w:bCs/>
                <w:color w:val="auto"/>
                <w:kern w:val="1"/>
                <w:szCs w:val="21"/>
                <w:highlight w:val="none"/>
              </w:rPr>
            </w:pPr>
          </w:p>
        </w:tc>
      </w:tr>
      <w:tr w14:paraId="7DC41492">
        <w:tblPrEx>
          <w:tblCellMar>
            <w:top w:w="0" w:type="dxa"/>
            <w:left w:w="10" w:type="dxa"/>
            <w:bottom w:w="0" w:type="dxa"/>
            <w:right w:w="10" w:type="dxa"/>
          </w:tblCellMar>
        </w:tblPrEx>
        <w:trPr>
          <w:trHeight w:val="987" w:hRule="atLeast"/>
          <w:jc w:val="center"/>
        </w:trPr>
        <w:tc>
          <w:tcPr>
            <w:tcW w:w="94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D206AB3">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C分标</w:t>
            </w:r>
          </w:p>
        </w:tc>
        <w:tc>
          <w:tcPr>
            <w:tcW w:w="302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8C33045">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豇豆等农产品胶体金快速检测试纸、仪器、设备及技术支持、培训</w:t>
            </w:r>
          </w:p>
        </w:tc>
        <w:tc>
          <w:tcPr>
            <w:tcW w:w="94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8219DCC">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98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FE79C20">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29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1A15F768">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具体内容详见第二章招标项目采购需求。</w:t>
            </w:r>
          </w:p>
        </w:tc>
        <w:tc>
          <w:tcPr>
            <w:tcW w:w="80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350F927">
            <w:pPr>
              <w:widowControl/>
              <w:pBdr>
                <w:top w:val="none" w:color="000000" w:sz="0" w:space="0"/>
                <w:left w:val="none" w:color="000000" w:sz="0" w:space="0"/>
                <w:bottom w:val="none" w:color="000000" w:sz="0" w:space="0"/>
                <w:right w:val="none" w:color="000000" w:sz="0" w:space="0"/>
                <w:between w:val="none" w:color="000000" w:sz="0" w:space="0"/>
              </w:pBdr>
              <w:spacing w:line="336" w:lineRule="auto"/>
              <w:jc w:val="right"/>
              <w:rPr>
                <w:rFonts w:hint="eastAsia" w:ascii="宋体" w:hAnsi="宋体" w:cs="宋体"/>
                <w:b/>
                <w:bCs/>
                <w:color w:val="auto"/>
                <w:kern w:val="1"/>
                <w:szCs w:val="21"/>
                <w:highlight w:val="none"/>
              </w:rPr>
            </w:pPr>
          </w:p>
        </w:tc>
      </w:tr>
      <w:tr w14:paraId="5A9D5F06">
        <w:tblPrEx>
          <w:tblCellMar>
            <w:top w:w="0" w:type="dxa"/>
            <w:left w:w="10" w:type="dxa"/>
            <w:bottom w:w="0" w:type="dxa"/>
            <w:right w:w="10" w:type="dxa"/>
          </w:tblCellMar>
        </w:tblPrEx>
        <w:trPr>
          <w:trHeight w:val="987" w:hRule="atLeast"/>
          <w:jc w:val="center"/>
        </w:trPr>
        <w:tc>
          <w:tcPr>
            <w:tcW w:w="94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F54B2B1">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D分标</w:t>
            </w:r>
          </w:p>
        </w:tc>
        <w:tc>
          <w:tcPr>
            <w:tcW w:w="302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91D8F74">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豇豆等农产品胶体金快速检测试纸、仪器、设备及技术支持、培训</w:t>
            </w:r>
          </w:p>
        </w:tc>
        <w:tc>
          <w:tcPr>
            <w:tcW w:w="94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1F37913">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98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2D817F9">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296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5329EC9">
            <w:pPr>
              <w:widowControl/>
              <w:adjustRightInd w:val="0"/>
              <w:snapToGrid w:val="0"/>
              <w:spacing w:line="33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具体内容详见第二章招标项目采购需求。</w:t>
            </w:r>
          </w:p>
        </w:tc>
        <w:tc>
          <w:tcPr>
            <w:tcW w:w="80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406DBA1">
            <w:pPr>
              <w:widowControl/>
              <w:pBdr>
                <w:top w:val="none" w:color="000000" w:sz="0" w:space="0"/>
                <w:left w:val="none" w:color="000000" w:sz="0" w:space="0"/>
                <w:bottom w:val="none" w:color="000000" w:sz="0" w:space="0"/>
                <w:right w:val="none" w:color="000000" w:sz="0" w:space="0"/>
                <w:between w:val="none" w:color="000000" w:sz="0" w:space="0"/>
              </w:pBdr>
              <w:spacing w:line="336" w:lineRule="auto"/>
              <w:jc w:val="right"/>
              <w:rPr>
                <w:rFonts w:hint="eastAsia" w:ascii="宋体" w:hAnsi="宋体" w:cs="宋体"/>
                <w:b/>
                <w:bCs/>
                <w:color w:val="auto"/>
                <w:kern w:val="1"/>
                <w:szCs w:val="21"/>
                <w:highlight w:val="none"/>
              </w:rPr>
            </w:pPr>
          </w:p>
        </w:tc>
      </w:tr>
    </w:tbl>
    <w:p w14:paraId="2D392FCC">
      <w:pPr>
        <w:pStyle w:val="22"/>
        <w:spacing w:line="360" w:lineRule="auto"/>
        <w:ind w:firstLine="211" w:firstLineChars="100"/>
        <w:rPr>
          <w:rFonts w:hint="eastAsia" w:ascii="宋体" w:hAnsi="宋体" w:cs="宋体"/>
          <w:b/>
          <w:color w:val="auto"/>
          <w:kern w:val="2"/>
          <w:sz w:val="21"/>
          <w:szCs w:val="21"/>
          <w:highlight w:val="none"/>
        </w:rPr>
      </w:pPr>
      <w:r>
        <w:rPr>
          <w:rFonts w:hint="eastAsia" w:ascii="宋体" w:hAnsi="宋体" w:cs="宋体"/>
          <w:b/>
          <w:color w:val="auto"/>
          <w:sz w:val="21"/>
          <w:szCs w:val="21"/>
          <w:highlight w:val="none"/>
        </w:rPr>
        <w:t>注：投标人可以对所有分标进行投标，也可以选择某个分标或某几个分标进行投标并报价。为保证履约质量，一个投标人只能中 A、B、C、D分标其中一个分标。评标/中标顺序按 A→B→C→D分标顺推。(即中A分标后不能再中 B、C、D分标;中B分标后不能再中 C、D分标，中C分标后不能再中 D分标，以此类推)。采购人应当按评审委员会推荐的排名顺序，按前述原则确定中标候选人作为中标人。</w:t>
      </w:r>
    </w:p>
    <w:p w14:paraId="6DA995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服务期限：自合同签订之日起一年内。</w:t>
      </w:r>
    </w:p>
    <w:p w14:paraId="27841F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p w14:paraId="7C3392B5">
      <w:pPr>
        <w:spacing w:line="360" w:lineRule="auto"/>
        <w:rPr>
          <w:rFonts w:hint="eastAsia" w:ascii="宋体" w:hAnsi="宋体" w:cs="宋体"/>
          <w:b/>
          <w:bCs/>
          <w:color w:val="auto"/>
          <w:sz w:val="24"/>
          <w:highlight w:val="none"/>
        </w:rPr>
      </w:pPr>
      <w:bookmarkStart w:id="11" w:name="_Toc28359003"/>
      <w:bookmarkStart w:id="12" w:name="_Toc35393791"/>
      <w:bookmarkStart w:id="13" w:name="_Toc35393622"/>
      <w:bookmarkStart w:id="14" w:name="_Toc28359080"/>
      <w:r>
        <w:rPr>
          <w:rFonts w:hint="eastAsia" w:ascii="宋体" w:hAnsi="宋体" w:cs="宋体"/>
          <w:b/>
          <w:bCs/>
          <w:color w:val="auto"/>
          <w:sz w:val="24"/>
          <w:highlight w:val="none"/>
        </w:rPr>
        <w:t>二、申请人的资格要求：</w:t>
      </w:r>
      <w:bookmarkEnd w:id="11"/>
      <w:bookmarkEnd w:id="12"/>
      <w:bookmarkEnd w:id="13"/>
      <w:bookmarkEnd w:id="14"/>
    </w:p>
    <w:p w14:paraId="37FE2D90">
      <w:pPr>
        <w:spacing w:line="360" w:lineRule="auto"/>
        <w:ind w:firstLine="420" w:firstLineChars="200"/>
        <w:rPr>
          <w:rFonts w:hint="eastAsia" w:ascii="宋体" w:hAnsi="宋体" w:cs="宋体"/>
          <w:color w:val="auto"/>
          <w:szCs w:val="21"/>
          <w:highlight w:val="none"/>
        </w:rPr>
      </w:pPr>
      <w:bookmarkStart w:id="15" w:name="_Hlk51746371"/>
      <w:bookmarkStart w:id="16" w:name="_Toc28359004"/>
      <w:bookmarkStart w:id="17" w:name="_Toc28359081"/>
      <w:bookmarkStart w:id="18" w:name="_Toc35393623"/>
      <w:bookmarkStart w:id="19" w:name="_Toc35393792"/>
      <w:r>
        <w:rPr>
          <w:rFonts w:hint="eastAsia" w:ascii="宋体" w:hAnsi="宋体" w:cs="宋体"/>
          <w:color w:val="auto"/>
          <w:szCs w:val="21"/>
          <w:highlight w:val="none"/>
        </w:rPr>
        <w:t>1.满足《中华人民共和国政府采购法》第二十二条规定；</w:t>
      </w:r>
    </w:p>
    <w:p w14:paraId="4858D7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2BF535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□专门面向中小企业采购的项目（供应商应为中小微企业、监狱企业、残疾人福利性单位）</w:t>
      </w:r>
    </w:p>
    <w:p w14:paraId="030DA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☑非专门面向中小企业采购的项目</w:t>
      </w:r>
    </w:p>
    <w:p w14:paraId="1EC708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3.本项目的特定资格要求：无。 </w:t>
      </w:r>
    </w:p>
    <w:bookmarkEnd w:id="15"/>
    <w:p w14:paraId="6EEF43BD">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16"/>
      <w:bookmarkEnd w:id="17"/>
      <w:bookmarkEnd w:id="18"/>
      <w:bookmarkEnd w:id="19"/>
      <w:r>
        <w:rPr>
          <w:rFonts w:hint="eastAsia" w:ascii="宋体" w:hAnsi="宋体" w:cs="宋体"/>
          <w:b/>
          <w:bCs/>
          <w:color w:val="auto"/>
          <w:sz w:val="24"/>
          <w:highlight w:val="none"/>
        </w:rPr>
        <w:t>：</w:t>
      </w:r>
    </w:p>
    <w:p w14:paraId="6F58F971">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single"/>
        </w:rPr>
        <w:t>2025</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lang w:val="en-US" w:eastAsia="zh-CN"/>
        </w:rPr>
        <w:t>12</w:t>
      </w:r>
      <w:r>
        <w:rPr>
          <w:rFonts w:hint="eastAsia" w:ascii="宋体" w:hAnsi="宋体" w:cs="宋体"/>
          <w:bCs/>
          <w:color w:val="auto"/>
          <w:kern w:val="0"/>
          <w:szCs w:val="21"/>
          <w:highlight w:val="none"/>
        </w:rPr>
        <w:t>日至</w:t>
      </w:r>
      <w:r>
        <w:rPr>
          <w:rFonts w:hint="eastAsia" w:ascii="宋体" w:hAnsi="宋体" w:cs="宋体"/>
          <w:bCs/>
          <w:color w:val="auto"/>
          <w:kern w:val="0"/>
          <w:szCs w:val="21"/>
          <w:highlight w:val="none"/>
          <w:u w:val="single"/>
        </w:rPr>
        <w:t>2025</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lang w:val="en-US" w:eastAsia="zh-CN"/>
        </w:rPr>
        <w:t>7</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lang w:val="en-US" w:eastAsia="zh-CN"/>
        </w:rPr>
        <w:t>18</w:t>
      </w:r>
      <w:r>
        <w:rPr>
          <w:rFonts w:hint="eastAsia" w:ascii="宋体" w:hAnsi="宋体" w:cs="宋体"/>
          <w:bCs/>
          <w:color w:val="auto"/>
          <w:kern w:val="0"/>
          <w:szCs w:val="21"/>
          <w:highlight w:val="none"/>
        </w:rPr>
        <w:t>日，每天上午</w:t>
      </w:r>
      <w:r>
        <w:rPr>
          <w:rFonts w:hint="eastAsia" w:ascii="宋体" w:hAnsi="宋体" w:cs="宋体"/>
          <w:bCs/>
          <w:color w:val="auto"/>
          <w:kern w:val="0"/>
          <w:szCs w:val="21"/>
          <w:highlight w:val="none"/>
          <w:u w:val="single"/>
        </w:rPr>
        <w:t>9:00至12:00</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u w:val="single"/>
        </w:rPr>
        <w:t>下午15:00至18:00</w:t>
      </w:r>
      <w:r>
        <w:rPr>
          <w:rFonts w:hint="eastAsia" w:ascii="宋体" w:hAnsi="宋体" w:cs="宋体"/>
          <w:bCs/>
          <w:color w:val="auto"/>
          <w:kern w:val="0"/>
          <w:szCs w:val="21"/>
          <w:highlight w:val="none"/>
        </w:rPr>
        <w:t>（北京时间）</w:t>
      </w:r>
    </w:p>
    <w:p w14:paraId="650FF7CD">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szCs w:val="21"/>
          <w:highlight w:val="none"/>
        </w:rPr>
        <w:t>“广西政府采购云平台”（https://www.gcy.zfcg.gxzf.gov.cn/）</w:t>
      </w:r>
    </w:p>
    <w:p w14:paraId="53E33345">
      <w:pPr>
        <w:spacing w:line="360" w:lineRule="auto"/>
        <w:ind w:firstLine="540"/>
        <w:rPr>
          <w:rFonts w:hint="eastAsia" w:ascii="宋体" w:hAnsi="宋体" w:cs="宋体"/>
          <w:bCs/>
          <w:color w:val="auto"/>
          <w:kern w:val="0"/>
          <w:szCs w:val="21"/>
          <w:highlight w:val="none"/>
        </w:rPr>
      </w:pPr>
      <w:r>
        <w:rPr>
          <w:rFonts w:hint="eastAsia" w:ascii="宋体" w:hAnsi="宋体" w:cs="宋体"/>
          <w:color w:val="auto"/>
          <w:highlight w:val="none"/>
        </w:rPr>
        <w:t>方式：网上下载。本项目不提供纸质文件，潜在供应商需使用账号登录或者使用CA登录“广西政府采购云平台”（https://www.gcy.zfcg.gxzf.gov.cn）-进入“项目采购”应用，在获取采购文件菜单中选择项目，获取招标文件（或在“广西政府采购客户端-获取采购文件”）。电子投标文件制作需要基于“广西政府采购云平台”获取的招标文件编制，通过其他方式获取招标文件的，将有可能导致供应商无法在“广西政府采购云平台”编制及上传投标文件。</w:t>
      </w:r>
    </w:p>
    <w:p w14:paraId="757F1797">
      <w:pPr>
        <w:spacing w:line="360" w:lineRule="auto"/>
        <w:ind w:firstLine="540"/>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u w:val="single"/>
        </w:rPr>
        <w:t>0</w:t>
      </w:r>
      <w:r>
        <w:rPr>
          <w:rFonts w:hint="eastAsia" w:ascii="宋体" w:hAnsi="宋体" w:cs="宋体"/>
          <w:color w:val="auto"/>
          <w:szCs w:val="21"/>
          <w:highlight w:val="none"/>
        </w:rPr>
        <w:t>元</w:t>
      </w:r>
    </w:p>
    <w:p w14:paraId="47BE8674">
      <w:pPr>
        <w:spacing w:line="360" w:lineRule="auto"/>
        <w:rPr>
          <w:rFonts w:hint="eastAsia" w:ascii="宋体" w:hAnsi="宋体" w:cs="宋体"/>
          <w:b/>
          <w:bCs/>
          <w:color w:val="auto"/>
          <w:sz w:val="24"/>
          <w:highlight w:val="none"/>
        </w:rPr>
      </w:pPr>
      <w:bookmarkStart w:id="20" w:name="_Toc28359005"/>
      <w:bookmarkStart w:id="21" w:name="_Toc28359082"/>
      <w:bookmarkStart w:id="22" w:name="_Toc35393624"/>
      <w:bookmarkStart w:id="23" w:name="_Toc35393793"/>
      <w:r>
        <w:rPr>
          <w:rFonts w:hint="eastAsia" w:ascii="宋体" w:hAnsi="宋体" w:cs="宋体"/>
          <w:b/>
          <w:bCs/>
          <w:color w:val="auto"/>
          <w:sz w:val="24"/>
          <w:highlight w:val="none"/>
        </w:rPr>
        <w:t>四、提交投标文件</w:t>
      </w:r>
      <w:bookmarkEnd w:id="20"/>
      <w:bookmarkEnd w:id="21"/>
      <w:r>
        <w:rPr>
          <w:rFonts w:hint="eastAsia" w:ascii="宋体" w:hAnsi="宋体" w:cs="宋体"/>
          <w:b/>
          <w:bCs/>
          <w:color w:val="auto"/>
          <w:sz w:val="24"/>
          <w:highlight w:val="none"/>
        </w:rPr>
        <w:t>截止时间、开标时间和地点</w:t>
      </w:r>
      <w:bookmarkEnd w:id="22"/>
      <w:bookmarkEnd w:id="23"/>
      <w:r>
        <w:rPr>
          <w:rFonts w:hint="eastAsia" w:ascii="宋体" w:hAnsi="宋体" w:cs="宋体"/>
          <w:b/>
          <w:bCs/>
          <w:color w:val="auto"/>
          <w:sz w:val="24"/>
          <w:highlight w:val="none"/>
        </w:rPr>
        <w:t>：</w:t>
      </w:r>
    </w:p>
    <w:p w14:paraId="4D928E1D">
      <w:pPr>
        <w:spacing w:line="360" w:lineRule="auto"/>
        <w:ind w:firstLine="420" w:firstLineChars="200"/>
        <w:rPr>
          <w:rFonts w:hint="eastAsia" w:ascii="宋体" w:hAnsi="宋体" w:cs="宋体"/>
          <w:bCs/>
          <w:color w:val="auto"/>
          <w:szCs w:val="21"/>
          <w:highlight w:val="none"/>
        </w:rPr>
      </w:pPr>
      <w:bookmarkStart w:id="24" w:name="_Toc28359084"/>
      <w:bookmarkStart w:id="25" w:name="_Toc28359007"/>
      <w:bookmarkStart w:id="26" w:name="_Toc35393625"/>
      <w:bookmarkStart w:id="27" w:name="_Toc35393794"/>
      <w:r>
        <w:rPr>
          <w:rFonts w:hint="eastAsia" w:ascii="宋体" w:hAnsi="宋体" w:cs="宋体"/>
          <w:bCs/>
          <w:color w:val="auto"/>
          <w:szCs w:val="21"/>
          <w:highlight w:val="none"/>
          <w:u w:val="single"/>
        </w:rPr>
        <w:t>2025年</w:t>
      </w:r>
      <w:r>
        <w:rPr>
          <w:rFonts w:hint="eastAsia" w:ascii="宋体" w:hAnsi="宋体" w:cs="宋体"/>
          <w:bCs/>
          <w:color w:val="auto"/>
          <w:szCs w:val="21"/>
          <w:highlight w:val="none"/>
          <w:u w:val="single"/>
          <w:lang w:val="en-US" w:eastAsia="zh-CN"/>
        </w:rPr>
        <w:t>8</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w:t>
      </w:r>
    </w:p>
    <w:p w14:paraId="15E27F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投标地点：“广西政府采购云平台”（https://www.gcy.zfcg.gxzf.gov.cn/）</w:t>
      </w:r>
    </w:p>
    <w:p w14:paraId="55CB88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开标地点：“广西政府采购云平台”电子开标大厅</w:t>
      </w:r>
    </w:p>
    <w:p w14:paraId="310913D5">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24"/>
      <w:bookmarkEnd w:id="25"/>
      <w:bookmarkEnd w:id="26"/>
      <w:bookmarkEnd w:id="27"/>
      <w:r>
        <w:rPr>
          <w:rFonts w:hint="eastAsia" w:ascii="宋体" w:hAnsi="宋体" w:cs="宋体"/>
          <w:b/>
          <w:bCs/>
          <w:color w:val="auto"/>
          <w:sz w:val="24"/>
          <w:highlight w:val="none"/>
        </w:rPr>
        <w:t>：</w:t>
      </w:r>
    </w:p>
    <w:p w14:paraId="78C1D63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E236E9C">
      <w:pPr>
        <w:spacing w:line="360" w:lineRule="auto"/>
        <w:rPr>
          <w:rFonts w:hint="eastAsia" w:ascii="宋体" w:hAnsi="宋体" w:cs="宋体"/>
          <w:b/>
          <w:bCs/>
          <w:color w:val="auto"/>
          <w:sz w:val="24"/>
          <w:highlight w:val="none"/>
        </w:rPr>
      </w:pPr>
      <w:bookmarkStart w:id="28" w:name="_Toc35393795"/>
      <w:bookmarkStart w:id="29" w:name="_Toc35393626"/>
      <w:r>
        <w:rPr>
          <w:rFonts w:hint="eastAsia" w:ascii="宋体" w:hAnsi="宋体" w:cs="宋体"/>
          <w:b/>
          <w:bCs/>
          <w:color w:val="auto"/>
          <w:sz w:val="24"/>
          <w:highlight w:val="none"/>
        </w:rPr>
        <w:t>六、其他补充事宜</w:t>
      </w:r>
      <w:bookmarkEnd w:id="28"/>
      <w:bookmarkEnd w:id="29"/>
      <w:r>
        <w:rPr>
          <w:rFonts w:hint="eastAsia" w:ascii="宋体" w:hAnsi="宋体" w:cs="宋体"/>
          <w:b/>
          <w:bCs/>
          <w:color w:val="auto"/>
          <w:sz w:val="24"/>
          <w:highlight w:val="none"/>
        </w:rPr>
        <w:t>：</w:t>
      </w:r>
    </w:p>
    <w:p w14:paraId="6DFCFC77">
      <w:pPr>
        <w:spacing w:line="360" w:lineRule="auto"/>
        <w:ind w:firstLine="210" w:firstLineChars="100"/>
        <w:rPr>
          <w:rFonts w:hint="eastAsia" w:ascii="宋体" w:hAnsi="宋体" w:cs="宋体"/>
          <w:color w:val="auto"/>
          <w:kern w:val="0"/>
          <w:szCs w:val="21"/>
          <w:highlight w:val="none"/>
        </w:rPr>
      </w:pPr>
      <w:bookmarkStart w:id="30" w:name="_Hlk37429595"/>
      <w:bookmarkStart w:id="31" w:name="_Hlk37429585"/>
      <w:bookmarkStart w:id="32" w:name="_Toc28359008"/>
      <w:bookmarkStart w:id="33" w:name="_Toc28359085"/>
      <w:bookmarkStart w:id="34" w:name="_Toc35393627"/>
      <w:bookmarkStart w:id="35" w:name="_Toc35393796"/>
      <w:r>
        <w:rPr>
          <w:rFonts w:hint="eastAsia" w:ascii="宋体" w:hAnsi="宋体" w:cs="宋体"/>
          <w:color w:val="auto"/>
          <w:kern w:val="0"/>
          <w:szCs w:val="21"/>
          <w:highlight w:val="none"/>
        </w:rPr>
        <w:t>1.网上查询地址</w:t>
      </w:r>
    </w:p>
    <w:bookmarkEnd w:id="30"/>
    <w:bookmarkEnd w:id="31"/>
    <w:p w14:paraId="6E046AF9">
      <w:pPr>
        <w:spacing w:line="360" w:lineRule="auto"/>
        <w:ind w:left="210" w:leftChars="100"/>
        <w:rPr>
          <w:rFonts w:hint="eastAsia" w:ascii="宋体" w:hAnsi="宋体" w:cs="宋体"/>
          <w:color w:val="auto"/>
          <w:kern w:val="0"/>
          <w:szCs w:val="21"/>
          <w:highlight w:val="none"/>
        </w:rPr>
      </w:pPr>
      <w:bookmarkStart w:id="36" w:name="_Hlk37429674"/>
      <w:r>
        <w:rPr>
          <w:rFonts w:hint="eastAsia" w:ascii="宋体" w:hAnsi="宋体" w:cs="宋体"/>
          <w:color w:val="auto"/>
          <w:highlight w:val="none"/>
        </w:rPr>
        <w:t>中国政府采购网（http://www.ccgp.gov.cn）、广西壮族自治区政府采购网（http://zfcg.gxzf.gov.cn）、广西壮族自治区公共资源交易中心网（gxggzy.gxzf.gov.cn）</w:t>
      </w:r>
      <w:r>
        <w:rPr>
          <w:rFonts w:hint="eastAsia" w:ascii="宋体" w:hAnsi="宋体" w:cs="宋体"/>
          <w:color w:val="auto"/>
          <w:highlight w:val="none"/>
          <w:lang w:eastAsia="zh-CN"/>
        </w:rPr>
        <w:t>、</w:t>
      </w:r>
      <w:r>
        <w:rPr>
          <w:rFonts w:hint="eastAsia" w:ascii="宋体" w:hAnsi="宋体" w:cs="宋体"/>
          <w:color w:val="auto"/>
          <w:highlight w:val="none"/>
        </w:rPr>
        <w:t>全国公共资源交易平台(广西·柳州)</w:t>
      </w:r>
      <w:r>
        <w:rPr>
          <w:rFonts w:hint="eastAsia" w:ascii="宋体" w:hAnsi="宋体" w:cs="宋体"/>
          <w:color w:val="auto"/>
          <w:highlight w:val="none"/>
          <w:lang w:eastAsia="zh-CN"/>
        </w:rPr>
        <w:t>（http://ggzy.jgswj.gxzf.gov.cn/lzggzy/）</w:t>
      </w:r>
      <w:r>
        <w:rPr>
          <w:rFonts w:hint="eastAsia" w:ascii="宋体" w:hAnsi="宋体" w:cs="宋体"/>
          <w:color w:val="auto"/>
          <w:highlight w:val="none"/>
        </w:rPr>
        <w:t>。</w:t>
      </w:r>
      <w:r>
        <w:rPr>
          <w:rFonts w:hint="eastAsia" w:ascii="宋体" w:hAnsi="宋体" w:cs="宋体"/>
          <w:color w:val="auto"/>
          <w:highlight w:val="none"/>
        </w:rPr>
        <w:br w:type="textWrapping"/>
      </w:r>
      <w:r>
        <w:rPr>
          <w:rFonts w:hint="eastAsia" w:ascii="宋体" w:hAnsi="宋体" w:cs="宋体"/>
          <w:color w:val="auto"/>
          <w:kern w:val="0"/>
          <w:szCs w:val="21"/>
          <w:highlight w:val="none"/>
        </w:rPr>
        <w:t>2.本项目需要落实的政府采购政策</w:t>
      </w:r>
    </w:p>
    <w:p w14:paraId="193620E7">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FDF10F4">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7E05B22D">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0611966E">
      <w:pPr>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bookmarkEnd w:id="36"/>
    <w:p w14:paraId="751CC383">
      <w:pPr>
        <w:widowControl/>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kern w:val="0"/>
          <w:szCs w:val="21"/>
          <w:highlight w:val="none"/>
        </w:rPr>
        <w:t>3.投标人</w:t>
      </w:r>
      <w:r>
        <w:rPr>
          <w:rFonts w:hint="eastAsia" w:ascii="宋体" w:hAnsi="宋体" w:cs="宋体"/>
          <w:color w:val="auto"/>
          <w:szCs w:val="21"/>
          <w:highlight w:val="none"/>
        </w:rPr>
        <w:t>投标注意事项</w:t>
      </w:r>
    </w:p>
    <w:p w14:paraId="2DE0B13D">
      <w:pPr>
        <w:widowControl/>
        <w:spacing w:line="360" w:lineRule="auto"/>
        <w:ind w:firstLine="210" w:firstLineChars="100"/>
        <w:jc w:val="left"/>
        <w:rPr>
          <w:rFonts w:hint="eastAsia" w:ascii="宋体" w:hAnsi="宋体" w:cs="宋体"/>
          <w:b/>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），投标人在“广西政府采购云平台”提交电子投标文件时，请填写参加远程开标活动经办人联系方式。</w:t>
      </w:r>
      <w:r>
        <w:rPr>
          <w:rFonts w:hint="eastAsia" w:ascii="宋体" w:hAnsi="宋体" w:cs="宋体"/>
          <w:color w:val="auto"/>
          <w:highlight w:val="none"/>
        </w:rPr>
        <w:t>投标人登录“广西政府采购云平台”，依次进入“服务中心-帮助文档-操作流程-电子招投标-政府采购项目电子交易管理操作指南-供应商”查看电子投标具体操作流程。</w:t>
      </w:r>
    </w:p>
    <w:p w14:paraId="47323987">
      <w:pPr>
        <w:widowControl/>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如在操作过程中遇到问题或者需要技术支持，请致电政府采购平台客服电话：95763</w:t>
      </w:r>
      <w:r>
        <w:rPr>
          <w:rFonts w:hint="eastAsia" w:ascii="宋体" w:hAnsi="宋体" w:cs="宋体"/>
          <w:color w:val="auto"/>
          <w:szCs w:val="21"/>
          <w:highlight w:val="none"/>
        </w:rPr>
        <w:t>）。</w:t>
      </w:r>
    </w:p>
    <w:p w14:paraId="5F58C87C">
      <w:pPr>
        <w:snapToGrid w:val="0"/>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394FF186">
      <w:pPr>
        <w:spacing w:line="360" w:lineRule="auto"/>
        <w:ind w:firstLine="211" w:firstLineChars="100"/>
        <w:rPr>
          <w:rFonts w:hint="eastAsia" w:ascii="宋体" w:hAnsi="宋体" w:cs="宋体"/>
          <w:color w:val="auto"/>
          <w:szCs w:val="21"/>
          <w:highlight w:val="none"/>
        </w:rPr>
      </w:pPr>
      <w:r>
        <w:rPr>
          <w:rFonts w:hint="eastAsia" w:ascii="宋体" w:hAnsi="宋体" w:cs="宋体"/>
          <w:b/>
          <w:bCs/>
          <w:color w:val="auto"/>
          <w:szCs w:val="21"/>
          <w:highlight w:val="none"/>
        </w:rPr>
        <w:t>注：</w:t>
      </w:r>
      <w:r>
        <w:rPr>
          <w:rFonts w:hint="eastAsia" w:ascii="宋体" w:hAnsi="宋体" w:cs="宋体"/>
          <w:color w:val="auto"/>
          <w:szCs w:val="21"/>
          <w:highlight w:val="none"/>
        </w:rPr>
        <w:t>1）为确保网上操作合法、有效和安全，请投标人确保在电子投标过程中能够对相关数据电文进行加密和使用电子签章，妥善保管CA数字证书并使用有效的CA数字证书参与整个招标活动。</w:t>
      </w:r>
    </w:p>
    <w:p w14:paraId="59C5684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38A40021">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32"/>
      <w:bookmarkEnd w:id="33"/>
      <w:bookmarkEnd w:id="34"/>
      <w:bookmarkEnd w:id="35"/>
      <w:r>
        <w:rPr>
          <w:rFonts w:hint="eastAsia" w:ascii="宋体" w:hAnsi="宋体" w:cs="宋体"/>
          <w:b/>
          <w:bCs/>
          <w:color w:val="auto"/>
          <w:sz w:val="24"/>
          <w:highlight w:val="none"/>
        </w:rPr>
        <w:t>：</w:t>
      </w:r>
    </w:p>
    <w:p w14:paraId="70512AC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79EFF0C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名称：广西壮族自治区农业农村厅</w:t>
      </w:r>
    </w:p>
    <w:p w14:paraId="22D2007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bCs/>
          <w:color w:val="auto"/>
          <w:szCs w:val="21"/>
          <w:highlight w:val="none"/>
        </w:rPr>
        <w:t>广西壮族自治区南宁市青秀区青山路8号</w:t>
      </w:r>
    </w:p>
    <w:p w14:paraId="05A8F03D">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联系方式：</w:t>
      </w:r>
      <w:bookmarkStart w:id="37" w:name="_Toc28359086"/>
      <w:bookmarkStart w:id="38" w:name="_Toc28359009"/>
      <w:r>
        <w:rPr>
          <w:rFonts w:hint="eastAsia" w:ascii="宋体" w:hAnsi="宋体" w:cs="宋体"/>
          <w:color w:val="auto"/>
          <w:szCs w:val="21"/>
          <w:highlight w:val="none"/>
        </w:rPr>
        <w:t xml:space="preserve">0771-2182772 </w:t>
      </w:r>
      <w:bookmarkEnd w:id="37"/>
      <w:bookmarkEnd w:id="38"/>
    </w:p>
    <w:p w14:paraId="6C87767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5CF5E3F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名    称：广西中启招标咨询有限公司</w:t>
      </w:r>
    </w:p>
    <w:p w14:paraId="2532F77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 xml:space="preserve">地　　址：广西南宁市那洪大道7号研祥智谷A1栋7楼   </w:t>
      </w:r>
    </w:p>
    <w:p w14:paraId="5D1AACB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 xml:space="preserve">联系方式：雷鸣春  </w:t>
      </w:r>
    </w:p>
    <w:p w14:paraId="31BB1F6E">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 xml:space="preserve">电话：0771-3154419                                                   </w:t>
      </w:r>
    </w:p>
    <w:p w14:paraId="31485BEC">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广西中启招标咨询有限公司</w:t>
      </w:r>
    </w:p>
    <w:p w14:paraId="3312531D">
      <w:pPr>
        <w:snapToGrid w:val="0"/>
        <w:spacing w:line="360" w:lineRule="auto"/>
        <w:ind w:firstLine="424" w:firstLineChars="202"/>
        <w:jc w:val="right"/>
        <w:rPr>
          <w:rFonts w:hint="eastAsia"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w:t>
      </w:r>
    </w:p>
    <w:p w14:paraId="1171DCC8">
      <w:pPr>
        <w:snapToGrid w:val="0"/>
        <w:spacing w:line="360" w:lineRule="auto"/>
        <w:ind w:firstLine="484" w:firstLineChars="202"/>
        <w:jc w:val="center"/>
        <w:outlineLvl w:val="0"/>
        <w:rPr>
          <w:rFonts w:hint="eastAsia" w:ascii="宋体" w:hAnsi="宋体" w:cs="宋体"/>
          <w:color w:val="auto"/>
          <w:szCs w:val="21"/>
          <w:highlight w:val="none"/>
        </w:rPr>
      </w:pPr>
      <w:r>
        <w:rPr>
          <w:rFonts w:hint="eastAsia" w:ascii="宋体" w:hAnsi="宋体" w:cs="宋体"/>
          <w:color w:val="auto"/>
          <w:sz w:val="24"/>
          <w:szCs w:val="20"/>
          <w:highlight w:val="none"/>
        </w:rPr>
        <w:br w:type="page"/>
      </w:r>
      <w:bookmarkStart w:id="39" w:name="_Toc16724"/>
      <w:bookmarkStart w:id="40" w:name="_Toc6541"/>
      <w:r>
        <w:rPr>
          <w:rFonts w:hint="eastAsia" w:ascii="宋体" w:hAnsi="宋体" w:cs="宋体"/>
          <w:b/>
          <w:bCs/>
          <w:color w:val="auto"/>
          <w:kern w:val="44"/>
          <w:sz w:val="44"/>
          <w:szCs w:val="44"/>
          <w:highlight w:val="none"/>
        </w:rPr>
        <w:t>第二章  采购需求</w:t>
      </w:r>
      <w:bookmarkEnd w:id="39"/>
      <w:bookmarkEnd w:id="40"/>
      <w:bookmarkStart w:id="41" w:name="_Toc254970490"/>
      <w:bookmarkStart w:id="42" w:name="_Toc254970631"/>
    </w:p>
    <w:p w14:paraId="5B99971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06EA673A">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 为落实政府采购政策需满足的要求</w:t>
      </w:r>
    </w:p>
    <w:p w14:paraId="23FCE99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64E79D77">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扫描件（加盖投标人电子签章），否则按无效投标处理。如本项目包含的货物属于品目清单内非标注“★”的产品时，应优先采购，具体详见“第四章 评标方法及评标标准”。</w:t>
      </w:r>
    </w:p>
    <w:p w14:paraId="04625BF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根据《关于调整网络安全专用产品安全管理有关事项的公告》（2023年1号）规定，本项目采购需求中的产品如果包括《网络关键设备和网络安全专用产品目录》的网络安全专用产品，投标人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如属于《网络关键设备和网络安全专用产品目录》中“二、网络安全专用产品”内“产品类别”中的所描述的产品，但不属于所列“产品描述”情形的，应提供相应的说明及证明材料。</w:t>
      </w:r>
    </w:p>
    <w:p w14:paraId="4FA03E1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459F248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w:t>
      </w:r>
    </w:p>
    <w:p w14:paraId="498238E6">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4. 投标人应根据自身实际情况如实响应招标文件，对招标文件提出的要求和条件作出明确响应，</w:t>
      </w:r>
      <w:r>
        <w:rPr>
          <w:rFonts w:hint="eastAsia" w:ascii="宋体" w:hAnsi="宋体" w:cs="宋体"/>
          <w:b/>
          <w:bCs/>
          <w:color w:val="auto"/>
          <w:szCs w:val="21"/>
          <w:highlight w:val="none"/>
        </w:rPr>
        <w:t>否则将作无效响应处理</w:t>
      </w:r>
      <w:r>
        <w:rPr>
          <w:rFonts w:hint="eastAsia" w:ascii="宋体" w:hAnsi="宋体" w:cs="宋体"/>
          <w:color w:val="auto"/>
          <w:szCs w:val="21"/>
          <w:highlight w:val="none"/>
        </w:rPr>
        <w:t>。</w:t>
      </w:r>
      <w:r>
        <w:rPr>
          <w:rFonts w:hint="eastAsia" w:ascii="宋体" w:hAnsi="宋体" w:cs="宋体"/>
          <w:color w:val="auto"/>
          <w:highlight w:val="none"/>
        </w:rPr>
        <w:t>对于重要技术条款或技术参数应当在投标文件中提供技术支持资料，技术支持资料以招标文件中规定的形式为准，</w:t>
      </w:r>
      <w:r>
        <w:rPr>
          <w:rFonts w:hint="eastAsia" w:ascii="宋体" w:hAnsi="宋体" w:cs="宋体"/>
          <w:b/>
          <w:bCs/>
          <w:color w:val="auto"/>
          <w:highlight w:val="none"/>
        </w:rPr>
        <w:t>否则将视为无效技术支持资料</w:t>
      </w:r>
      <w:r>
        <w:rPr>
          <w:rFonts w:hint="eastAsia" w:ascii="宋体" w:hAnsi="宋体" w:cs="宋体"/>
          <w:color w:val="auto"/>
          <w:highlight w:val="none"/>
        </w:rPr>
        <w:t>。</w:t>
      </w:r>
    </w:p>
    <w:p w14:paraId="70FA4EE0">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投标人必须自行为其投标产品侵犯他人的知识产权或者专利成果的行为承担相应法律责任。</w:t>
      </w:r>
    </w:p>
    <w:p w14:paraId="78457AA4">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highlight w:val="none"/>
        </w:rPr>
        <w:t>6.项目所属行业：农、林、牧、渔业。</w:t>
      </w:r>
    </w:p>
    <w:bookmarkEnd w:id="41"/>
    <w:bookmarkEnd w:id="42"/>
    <w:tbl>
      <w:tblPr>
        <w:tblStyle w:val="62"/>
        <w:tblW w:w="96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9"/>
        <w:gridCol w:w="1341"/>
        <w:gridCol w:w="492"/>
        <w:gridCol w:w="348"/>
        <w:gridCol w:w="780"/>
        <w:gridCol w:w="6214"/>
      </w:tblGrid>
      <w:tr w14:paraId="13C6B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489" w:type="dxa"/>
            <w:vAlign w:val="center"/>
          </w:tcPr>
          <w:p w14:paraId="4D3454FA">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分标</w:t>
            </w:r>
          </w:p>
        </w:tc>
        <w:tc>
          <w:tcPr>
            <w:tcW w:w="1341" w:type="dxa"/>
            <w:vAlign w:val="center"/>
          </w:tcPr>
          <w:p w14:paraId="6DC78DEE">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标的名称</w:t>
            </w:r>
          </w:p>
        </w:tc>
        <w:tc>
          <w:tcPr>
            <w:tcW w:w="840" w:type="dxa"/>
            <w:gridSpan w:val="2"/>
            <w:vAlign w:val="center"/>
          </w:tcPr>
          <w:p w14:paraId="7B6F90CF">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780" w:type="dxa"/>
            <w:vAlign w:val="center"/>
          </w:tcPr>
          <w:p w14:paraId="061129C7">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6214" w:type="dxa"/>
            <w:vAlign w:val="center"/>
          </w:tcPr>
          <w:p w14:paraId="2BF45F11">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tc>
      </w:tr>
      <w:tr w14:paraId="0EFAB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489" w:type="dxa"/>
            <w:vAlign w:val="center"/>
          </w:tcPr>
          <w:p w14:paraId="6480582E">
            <w:pPr>
              <w:pStyle w:val="194"/>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A</w:t>
            </w:r>
            <w:r>
              <w:rPr>
                <w:rFonts w:hint="eastAsia" w:ascii="宋体" w:hAnsi="宋体" w:eastAsia="宋体" w:cs="宋体"/>
                <w:b/>
                <w:bCs/>
                <w:color w:val="auto"/>
                <w:sz w:val="21"/>
                <w:szCs w:val="21"/>
                <w:highlight w:val="none"/>
              </w:rPr>
              <w:t>分标</w:t>
            </w:r>
          </w:p>
        </w:tc>
        <w:tc>
          <w:tcPr>
            <w:tcW w:w="1341" w:type="dxa"/>
            <w:vAlign w:val="center"/>
          </w:tcPr>
          <w:p w14:paraId="4BB54317">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豇豆等农产品胶体金快速检测试纸、仪器、设备及技术支持、培训</w:t>
            </w:r>
          </w:p>
        </w:tc>
        <w:tc>
          <w:tcPr>
            <w:tcW w:w="840" w:type="dxa"/>
            <w:gridSpan w:val="2"/>
            <w:vAlign w:val="center"/>
          </w:tcPr>
          <w:p w14:paraId="7A8AA82F">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≥2.5万</w:t>
            </w:r>
          </w:p>
        </w:tc>
        <w:tc>
          <w:tcPr>
            <w:tcW w:w="780" w:type="dxa"/>
            <w:vAlign w:val="center"/>
          </w:tcPr>
          <w:p w14:paraId="6ADCF22F">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批次</w:t>
            </w:r>
          </w:p>
        </w:tc>
        <w:tc>
          <w:tcPr>
            <w:tcW w:w="6214" w:type="dxa"/>
            <w:vAlign w:val="center"/>
          </w:tcPr>
          <w:p w14:paraId="39FCD9D8">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一、提供服务的内容</w:t>
            </w:r>
          </w:p>
          <w:p w14:paraId="508E9C25">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w:t>
            </w:r>
            <w:r>
              <w:rPr>
                <w:rFonts w:hint="eastAsia" w:ascii="宋体" w:hAnsi="宋体" w:eastAsia="宋体" w:cs="宋体"/>
                <w:color w:val="auto"/>
                <w:kern w:val="0"/>
                <w:szCs w:val="21"/>
                <w:highlight w:val="none"/>
              </w:rPr>
              <w:t>豇豆等农产品</w:t>
            </w:r>
            <w:r>
              <w:rPr>
                <w:rFonts w:hint="eastAsia" w:ascii="宋体" w:hAnsi="宋体" w:eastAsia="宋体" w:cs="宋体"/>
                <w:color w:val="auto"/>
                <w:szCs w:val="21"/>
                <w:highlight w:val="none"/>
              </w:rPr>
              <w:t>胶体金快速检测服务2.5万批次，</w:t>
            </w:r>
            <w:r>
              <w:rPr>
                <w:rFonts w:hint="eastAsia" w:ascii="宋体" w:hAnsi="宋体" w:eastAsia="宋体" w:cs="宋体"/>
                <w:color w:val="auto"/>
                <w:kern w:val="0"/>
                <w:szCs w:val="21"/>
                <w:highlight w:val="none"/>
              </w:rPr>
              <w:t>每批次检测10个参数，需胶体金快速检测试纸共25万条；</w:t>
            </w:r>
            <w:r>
              <w:rPr>
                <w:rFonts w:hint="eastAsia" w:ascii="宋体" w:hAnsi="宋体" w:eastAsia="宋体" w:cs="宋体"/>
                <w:color w:val="auto"/>
                <w:szCs w:val="21"/>
                <w:highlight w:val="none"/>
              </w:rPr>
              <w:t>中标价格包含样品、试剂耗材、数据统计分析、技术培训、技术支持等所有相关费用。</w:t>
            </w:r>
          </w:p>
          <w:p w14:paraId="3362F975">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负责面对豇豆等农产品主产品区域内（或委托方指定的生产区域）的相关县（市、区），以工作任务所要求的检测项目为基准，结合各县（市、区）的实际情况，发放试纸、耗材、仪器、设备并提供快检服务技术支持与培训。培训监管、技术服务人员熟练掌握快速检测仪器、试纸等，抽样制样要求、快速检测技术、结果判读、数据统计上传、阳性样品处置等工作，并提供相应的技术支持。培训20场次以上，技术支持50次以上。</w:t>
            </w:r>
          </w:p>
          <w:p w14:paraId="09652EA3">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需提供具有数据上传、统计分析和预警功能的仪器、信息平台或者APP，并对接、即时将检测结果统计上传到广西农产品质量安全监管与追溯信息平台，供采购人查阅、统计、输出快检结果、掌握质量安全风险状况。</w:t>
            </w:r>
          </w:p>
          <w:p w14:paraId="31B3BF31">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4、信息平台或APP通过拍照即可完成检测结果录入，不得人工录入结果，确保检测记录准确不可篡改。</w:t>
            </w:r>
          </w:p>
          <w:p w14:paraId="602B848B">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二、快速检测试纸技术参数： </w:t>
            </w:r>
          </w:p>
          <w:p w14:paraId="0CC64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数覆盖：倍硫磷、灭蝇胺、啶虫脒、噻虫嗪、噻虫胺、克百威（3-羟基克百威）、甲氨基阿维菌素苯甲酸盐、毒死蜱、灭多威、氟虫腈，共25万条。适用于豇豆检测，检测限量（倍硫磷检测限：0.05mg/kg；灭蝇胺检测限：0.5mg/kg；啶虫脒检测限：0.4mg/kg；噻虫嗪检测限：0.3mg/kg；噻虫胺检测限：0.01mg/kg；克百威（3-羟基克百威）检测限：0.02mg/kg；甲氨基阿维菌素苯甲酸盐检测限：0.2mg/kg；毒死蜱检测限：0.02mg/kg；灭多威检测限：0.2mg/kg；氟虫腈检测限：0.02mg/kg）。</w:t>
            </w:r>
          </w:p>
          <w:p w14:paraId="164D7EB4">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（一）总体技术要求</w:t>
            </w:r>
          </w:p>
          <w:p w14:paraId="768A9BBC">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1、包装组成：</w:t>
            </w:r>
          </w:p>
          <w:p w14:paraId="486079CB">
            <w:pPr>
              <w:pStyle w:val="133"/>
              <w:spacing w:before="2" w:line="360" w:lineRule="auto"/>
              <w:ind w:right="16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kern w:val="2"/>
                <w:sz w:val="21"/>
                <w:szCs w:val="21"/>
                <w:highlight w:val="none"/>
                <w:lang w:eastAsia="zh-CN"/>
              </w:rPr>
              <w:t>密封包装，密封包装上应直接印有产品名称、生产厂家、品牌、商标、生产日期、有效期、注意事项、储存条件等相关信息；</w:t>
            </w:r>
          </w:p>
          <w:p w14:paraId="31E67ABF">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（2）保存简便、室温操作，保质期1年以上。</w:t>
            </w:r>
          </w:p>
          <w:p w14:paraId="28ED25A6">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2、检测技术要求：</w:t>
            </w:r>
          </w:p>
          <w:p w14:paraId="71F3410E">
            <w:pPr>
              <w:pStyle w:val="133"/>
              <w:spacing w:line="360" w:lineRule="auto"/>
              <w:ind w:right="1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kern w:val="2"/>
                <w:sz w:val="21"/>
                <w:szCs w:val="21"/>
                <w:highlight w:val="none"/>
                <w:lang w:eastAsia="zh-CN"/>
              </w:rPr>
              <w:t xml:space="preserve">（1）各参数农残检测限完全匹配GB2763-2021和GB2763.1-2022食品中农药最大残留限量要求；假阴性率小于2%，假阳性率小于4%。             </w:t>
            </w:r>
          </w:p>
          <w:p w14:paraId="4E49DFB8">
            <w:pPr>
              <w:pStyle w:val="133"/>
              <w:spacing w:line="360" w:lineRule="auto"/>
              <w:ind w:right="1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▲（2）胶体金检测卡本身具有质量控制对照线并附有专属二维码（不可贴标、需喷码；可用于检测时扫码识别统计及追溯）及产品名称、品牌信息；（初次报价时提供产品说明书或承诺函）；</w:t>
            </w:r>
          </w:p>
          <w:p w14:paraId="2215D6A0">
            <w:pPr>
              <w:pStyle w:val="133"/>
              <w:spacing w:line="360" w:lineRule="auto"/>
              <w:ind w:right="1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▲（3）检测单个样品时，从样品前处理到结果判断 整个过程要求在20分钟内完成；</w:t>
            </w:r>
            <w:r>
              <w:rPr>
                <w:rFonts w:hint="eastAsia" w:ascii="宋体" w:hAnsi="宋体" w:eastAsia="宋体" w:cs="宋体"/>
                <w:color w:val="auto"/>
                <w:szCs w:val="21"/>
                <w:highlight w:val="none"/>
              </w:rPr>
              <w:t>判读结果时间：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分钟内/条；</w:t>
            </w:r>
            <w:r>
              <w:rPr>
                <w:rFonts w:hint="eastAsia" w:ascii="宋体" w:hAnsi="宋体" w:eastAsia="宋体" w:cs="宋体"/>
                <w:color w:val="auto"/>
                <w:kern w:val="2"/>
                <w:sz w:val="21"/>
                <w:szCs w:val="21"/>
                <w:highlight w:val="none"/>
                <w:lang w:eastAsia="zh-CN"/>
              </w:rPr>
              <w:t>（提供产品说明书或承诺函）</w:t>
            </w:r>
          </w:p>
          <w:p w14:paraId="545A6A87">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（4）快速检测试纸条特异性强，与结构类似物交叉反应小。 </w:t>
            </w:r>
          </w:p>
          <w:p w14:paraId="369A56D8">
            <w:pPr>
              <w:pStyle w:val="133"/>
              <w:spacing w:line="360" w:lineRule="auto"/>
              <w:ind w:right="100"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（5）判读标准：以有无测试线为准，不需要设立 阴性、阳性对照，或采取检测线（T 线）与质量控 制线（C 线）颜色深浅对比进行判定；</w:t>
            </w:r>
          </w:p>
          <w:p w14:paraId="695E9CF3">
            <w:pPr>
              <w:pStyle w:val="133"/>
              <w:spacing w:line="360" w:lineRule="auto"/>
              <w:ind w:right="172"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）检测结果稳定，在 30 分钟后结果仍不发生变化；</w:t>
            </w:r>
          </w:p>
          <w:p w14:paraId="1C1E3B6E">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）胶体金试纸条检测结果通过移动终端（手机等）应用程序拍照自动判定，无需人工选择判读结果。 </w:t>
            </w:r>
          </w:p>
          <w:p w14:paraId="53553815">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）移动终端应用程序能够判读胶体金试纸条检测线（T线）和质控线（C线）的比值，即显示T/C值，并直接给出判定结果。  </w:t>
            </w:r>
          </w:p>
          <w:p w14:paraId="33B00A6D">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）判读数据通过移动终端（手机等）应用程序，对接至相关监管平台小程序，保证实时上传至指定的监管平台，确保数据安全有保证，只向客户指定的平台对接数据。</w:t>
            </w:r>
          </w:p>
          <w:p w14:paraId="1186ACD9">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）胶体金试纸条检测结果判读和图片上传实时同步进行，结果可追溯，不可篡改。 </w:t>
            </w:r>
          </w:p>
          <w:p w14:paraId="72B11543">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 xml:space="preserve">）试纸条出厂前针对不同基质中的不同检测限要求，进行批批标定，确保质量稳定。 </w:t>
            </w:r>
          </w:p>
          <w:p w14:paraId="11EDAB5B">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 xml:space="preserve">）操作简便，按照试剂盒内说明书操作，即可获得检测结果，无需专业人员； </w:t>
            </w:r>
          </w:p>
          <w:p w14:paraId="359A1876">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）合适存储条件 4-30℃，保质期一年以上。</w:t>
            </w:r>
          </w:p>
        </w:tc>
      </w:tr>
      <w:tr w14:paraId="105CC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489" w:type="dxa"/>
            <w:vAlign w:val="center"/>
          </w:tcPr>
          <w:p w14:paraId="19D7C3EF">
            <w:pPr>
              <w:pStyle w:val="194"/>
              <w:spacing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B</w:t>
            </w:r>
            <w:r>
              <w:rPr>
                <w:rFonts w:hint="eastAsia" w:ascii="宋体" w:hAnsi="宋体" w:eastAsia="宋体" w:cs="宋体"/>
                <w:b/>
                <w:bCs/>
                <w:color w:val="auto"/>
                <w:sz w:val="21"/>
                <w:szCs w:val="21"/>
                <w:highlight w:val="none"/>
              </w:rPr>
              <w:t>分标</w:t>
            </w:r>
          </w:p>
        </w:tc>
        <w:tc>
          <w:tcPr>
            <w:tcW w:w="1341" w:type="dxa"/>
            <w:vAlign w:val="center"/>
          </w:tcPr>
          <w:p w14:paraId="2D741E92">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豇豆等农产品胶体金快速检测试纸、仪器、设备及技术支持、培训</w:t>
            </w:r>
          </w:p>
        </w:tc>
        <w:tc>
          <w:tcPr>
            <w:tcW w:w="840" w:type="dxa"/>
            <w:gridSpan w:val="2"/>
            <w:vAlign w:val="center"/>
          </w:tcPr>
          <w:p w14:paraId="51520F7C">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≥2.5万</w:t>
            </w:r>
          </w:p>
        </w:tc>
        <w:tc>
          <w:tcPr>
            <w:tcW w:w="780" w:type="dxa"/>
            <w:vAlign w:val="center"/>
          </w:tcPr>
          <w:p w14:paraId="2A91B282">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批次</w:t>
            </w:r>
          </w:p>
        </w:tc>
        <w:tc>
          <w:tcPr>
            <w:tcW w:w="6214" w:type="dxa"/>
            <w:vAlign w:val="center"/>
          </w:tcPr>
          <w:p w14:paraId="168BFC1A">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一、提供服务的内容</w:t>
            </w:r>
          </w:p>
          <w:p w14:paraId="6D2841BF">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w:t>
            </w:r>
            <w:r>
              <w:rPr>
                <w:rFonts w:hint="eastAsia" w:ascii="宋体" w:hAnsi="宋体" w:eastAsia="宋体" w:cs="宋体"/>
                <w:color w:val="auto"/>
                <w:kern w:val="0"/>
                <w:szCs w:val="21"/>
                <w:highlight w:val="none"/>
              </w:rPr>
              <w:t>豇豆等农产品</w:t>
            </w:r>
            <w:r>
              <w:rPr>
                <w:rFonts w:hint="eastAsia" w:ascii="宋体" w:hAnsi="宋体" w:eastAsia="宋体" w:cs="宋体"/>
                <w:color w:val="auto"/>
                <w:szCs w:val="21"/>
                <w:highlight w:val="none"/>
              </w:rPr>
              <w:t>胶体金快速检测服务2.5万批次，</w:t>
            </w:r>
            <w:r>
              <w:rPr>
                <w:rFonts w:hint="eastAsia" w:ascii="宋体" w:hAnsi="宋体" w:eastAsia="宋体" w:cs="宋体"/>
                <w:color w:val="auto"/>
                <w:kern w:val="0"/>
                <w:szCs w:val="21"/>
                <w:highlight w:val="none"/>
              </w:rPr>
              <w:t>每批次检测10个参数，需胶体金快速检测试纸共25万条；</w:t>
            </w:r>
            <w:r>
              <w:rPr>
                <w:rFonts w:hint="eastAsia" w:ascii="宋体" w:hAnsi="宋体" w:eastAsia="宋体" w:cs="宋体"/>
                <w:color w:val="auto"/>
                <w:szCs w:val="21"/>
                <w:highlight w:val="none"/>
              </w:rPr>
              <w:t>中标价格包含样品、试剂耗材、数据统计分析、技术培训、技术支持等所有相关费用。</w:t>
            </w:r>
          </w:p>
          <w:p w14:paraId="02780F53">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负责面对豇豆等农产品主产品区域内（或委托方指定的生产区域）的相关县（市、区），以工作任务所要求的检测项目为基准，结合各县（市、区）的实际情况，发放试纸、耗材、仪器、设备并提供快检服务技术支持与培训。培训监管、技术服务人员熟练掌握快速检测仪器、试纸等，抽样制样要求、快速检测技术、结果判读、数据统计上传、阳性样品处置等工作，并提供相应的技术支持。培训20场次以上，技术支持50次以上。</w:t>
            </w:r>
          </w:p>
          <w:p w14:paraId="1942A61F">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需提供具有数据上传、统计分析和预警功能的仪器、信息平台或者APP，并对接、即时将检测结果统计上传到广西农产品质量安全监管与追溯信息平台，供采购人查阅、统计、输出快检结果、掌握质量安全风险状况。</w:t>
            </w:r>
          </w:p>
          <w:p w14:paraId="6F2140C8">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4、信息平台或APP通过拍照即可完成检测结果录入，不得人工录入结果，确保检测记录准确不可篡改。</w:t>
            </w:r>
          </w:p>
          <w:p w14:paraId="3D76B71C">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二、快速检测试纸技术参数： </w:t>
            </w:r>
          </w:p>
          <w:p w14:paraId="5BC275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数覆盖：倍硫磷、灭蝇胺、啶虫脒、噻虫嗪、噻虫胺、克百威（3-羟基克百威）、甲氨基阿维菌素苯甲酸盐、毒死蜱、灭多威、氟虫腈，共25万条。适用于豇豆检测，检测限量（倍硫磷检测限：0.05mg/kg；灭蝇胺检测限：0.5mg/kg；啶虫脒检测限：0.4mg/kg；噻虫嗪检测限：0.3mg/kg；噻虫胺检测限：0.01mg/kg；克百威（3-羟基克百威）检测限：0.02mg/kg；甲氨基阿维菌素苯甲酸盐检测限：0.2mg/kg；毒死蜱检测限：0.02mg/kg；灭多威检测限：0.2mg/kg；氟虫腈检测限：0.02mg/kg）。</w:t>
            </w:r>
          </w:p>
          <w:p w14:paraId="6FC255EB">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（一）总体技术要求 </w:t>
            </w:r>
          </w:p>
          <w:p w14:paraId="10CBF1DF">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1、包装组成：</w:t>
            </w:r>
          </w:p>
          <w:p w14:paraId="388FD042">
            <w:pPr>
              <w:pStyle w:val="133"/>
              <w:spacing w:before="2" w:line="360" w:lineRule="auto"/>
              <w:ind w:right="16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kern w:val="2"/>
                <w:sz w:val="21"/>
                <w:szCs w:val="21"/>
                <w:highlight w:val="none"/>
                <w:lang w:eastAsia="zh-CN"/>
              </w:rPr>
              <w:t>密封包装，密封包装上应直接印有产品名称、生产厂家、品牌、商标、生产日期、有效期、注意事项、储存条件等相关信息；</w:t>
            </w:r>
          </w:p>
          <w:p w14:paraId="036F3EA5">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（2）保存简便、室温操作，保质期1年以上。</w:t>
            </w:r>
          </w:p>
          <w:p w14:paraId="2ED9BE32">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2、检测技术要求：</w:t>
            </w:r>
          </w:p>
          <w:p w14:paraId="5CC7AB46">
            <w:pPr>
              <w:pStyle w:val="133"/>
              <w:spacing w:line="360" w:lineRule="auto"/>
              <w:ind w:right="1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kern w:val="2"/>
                <w:sz w:val="21"/>
                <w:szCs w:val="21"/>
                <w:highlight w:val="none"/>
                <w:lang w:eastAsia="zh-CN"/>
              </w:rPr>
              <w:t xml:space="preserve">（1）各参数农残检测限完全匹配GB2763-2021和GB2763.1-2022食品中农药最大残留限量要求；假阴性率小于2%，假阳性率小于4%。             </w:t>
            </w:r>
          </w:p>
          <w:p w14:paraId="77E19410">
            <w:pPr>
              <w:pStyle w:val="133"/>
              <w:spacing w:line="360" w:lineRule="auto"/>
              <w:ind w:right="1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▲（2）胶体金检测卡本身具有质量控制对照线并附有专属二维码（不可贴标、需喷码；可用于检测时扫码识别统计及追溯）及产品名称、品牌信息；（初次报价时提供产品说明书或承诺函）；</w:t>
            </w:r>
          </w:p>
          <w:p w14:paraId="5873741A">
            <w:pPr>
              <w:pStyle w:val="133"/>
              <w:spacing w:line="360" w:lineRule="auto"/>
              <w:ind w:right="1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▲（3）检测单个样品时，从样品前处理到结果判断整个过程要求在20分钟内完成；</w:t>
            </w:r>
            <w:r>
              <w:rPr>
                <w:rFonts w:hint="eastAsia" w:ascii="宋体" w:hAnsi="宋体" w:eastAsia="宋体" w:cs="宋体"/>
                <w:color w:val="auto"/>
                <w:szCs w:val="21"/>
                <w:highlight w:val="none"/>
              </w:rPr>
              <w:t>判读结果时间：</w:t>
            </w:r>
            <w:r>
              <w:rPr>
                <w:rFonts w:hint="eastAsia" w:ascii="宋体" w:hAnsi="宋体" w:eastAsia="宋体" w:cs="宋体"/>
                <w:color w:val="auto"/>
                <w:szCs w:val="21"/>
                <w:highlight w:val="none"/>
                <w:lang w:val="en-US" w:eastAsia="zh-CN"/>
              </w:rPr>
              <w:t>5-8</w:t>
            </w:r>
            <w:r>
              <w:rPr>
                <w:rFonts w:hint="eastAsia" w:ascii="宋体" w:hAnsi="宋体" w:eastAsia="宋体" w:cs="宋体"/>
                <w:color w:val="auto"/>
                <w:szCs w:val="21"/>
                <w:highlight w:val="none"/>
              </w:rPr>
              <w:t>分钟内/条；</w:t>
            </w:r>
            <w:r>
              <w:rPr>
                <w:rFonts w:hint="eastAsia" w:ascii="宋体" w:hAnsi="宋体" w:eastAsia="宋体" w:cs="宋体"/>
                <w:color w:val="auto"/>
                <w:kern w:val="2"/>
                <w:sz w:val="21"/>
                <w:szCs w:val="21"/>
                <w:highlight w:val="none"/>
                <w:lang w:eastAsia="zh-CN"/>
              </w:rPr>
              <w:t>（提供产品说明 书或承诺函）</w:t>
            </w:r>
          </w:p>
          <w:p w14:paraId="67E55832">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（4）快速检测试纸条特异性强，与结构类似物交叉反应小。 </w:t>
            </w:r>
          </w:p>
          <w:p w14:paraId="3C5D8890">
            <w:pPr>
              <w:pStyle w:val="133"/>
              <w:spacing w:line="360" w:lineRule="auto"/>
              <w:ind w:right="100"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（5）判读标准：以有无测试线为准，不需要设立 阴性、阳性对照，或采取检测线（T 线）与质量控 制线（C 线）颜色深浅对比进行判定；</w:t>
            </w:r>
          </w:p>
          <w:p w14:paraId="611E0C47">
            <w:pPr>
              <w:pStyle w:val="133"/>
              <w:spacing w:line="360" w:lineRule="auto"/>
              <w:ind w:right="172"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）检测结果稳定，在 30 分钟后结果仍不发生变化；</w:t>
            </w:r>
          </w:p>
          <w:p w14:paraId="606175D6">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）胶体金试纸条检测结果通过移动终端（手机等）应用程序拍照自动判定，无需人工选择判读结果。 </w:t>
            </w:r>
          </w:p>
          <w:p w14:paraId="6BA7DF46">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）移动终端应用程序能够判读胶体金试纸条检测线（T线）和质控线（C线）的比值，即显示T/C值，并直接给出判定结果。  </w:t>
            </w:r>
          </w:p>
          <w:p w14:paraId="1A6DCE37">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）判读数据通过移动终端（手机等）应用程序，对接至相关监管平台小程序，保证实时上传至指定的监管平台，确保数据安全有保证，只向客户指定的平台对接数据。</w:t>
            </w:r>
          </w:p>
          <w:p w14:paraId="4BCC1A0C">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）胶体金试纸条检测结果判读和图片上传实时同步进行，结果可追溯，不可篡改。 </w:t>
            </w:r>
          </w:p>
          <w:p w14:paraId="7FD3BC66">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）试纸条出厂前针对不同基质中的不同检测限要求，进行批批标定，确保质量稳定。 </w:t>
            </w:r>
          </w:p>
          <w:p w14:paraId="52A97990">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）操作简便，按照试剂盒内说明书操作，即可获得检测结果，无需专业人员； </w:t>
            </w:r>
          </w:p>
          <w:p w14:paraId="7F2F52E0">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）合适存储条件 4-30℃，保质期一年以上。</w:t>
            </w:r>
          </w:p>
        </w:tc>
      </w:tr>
      <w:tr w14:paraId="47C5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489" w:type="dxa"/>
            <w:vAlign w:val="center"/>
          </w:tcPr>
          <w:p w14:paraId="640B521D">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C分标</w:t>
            </w:r>
          </w:p>
        </w:tc>
        <w:tc>
          <w:tcPr>
            <w:tcW w:w="1341" w:type="dxa"/>
            <w:vAlign w:val="center"/>
          </w:tcPr>
          <w:p w14:paraId="7A495F2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豇豆等农产品胶体金快速检测试纸、仪器、设备及技术支持、培训</w:t>
            </w:r>
          </w:p>
        </w:tc>
        <w:tc>
          <w:tcPr>
            <w:tcW w:w="840" w:type="dxa"/>
            <w:gridSpan w:val="2"/>
            <w:vAlign w:val="center"/>
          </w:tcPr>
          <w:p w14:paraId="675ECE37">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≥2.5万</w:t>
            </w:r>
          </w:p>
        </w:tc>
        <w:tc>
          <w:tcPr>
            <w:tcW w:w="780" w:type="dxa"/>
            <w:vAlign w:val="center"/>
          </w:tcPr>
          <w:p w14:paraId="60847848">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批次</w:t>
            </w:r>
          </w:p>
        </w:tc>
        <w:tc>
          <w:tcPr>
            <w:tcW w:w="6214" w:type="dxa"/>
            <w:vAlign w:val="center"/>
          </w:tcPr>
          <w:p w14:paraId="70E24084">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一、提供服务的内容</w:t>
            </w:r>
          </w:p>
          <w:p w14:paraId="08FDE12C">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w:t>
            </w:r>
            <w:r>
              <w:rPr>
                <w:rFonts w:hint="eastAsia" w:ascii="宋体" w:hAnsi="宋体" w:eastAsia="宋体" w:cs="宋体"/>
                <w:color w:val="auto"/>
                <w:kern w:val="0"/>
                <w:szCs w:val="21"/>
                <w:highlight w:val="none"/>
              </w:rPr>
              <w:t>豇豆等农产品</w:t>
            </w:r>
            <w:r>
              <w:rPr>
                <w:rFonts w:hint="eastAsia" w:ascii="宋体" w:hAnsi="宋体" w:eastAsia="宋体" w:cs="宋体"/>
                <w:color w:val="auto"/>
                <w:szCs w:val="21"/>
                <w:highlight w:val="none"/>
              </w:rPr>
              <w:t>胶体金快速检测服务2.5万批次，</w:t>
            </w:r>
            <w:r>
              <w:rPr>
                <w:rFonts w:hint="eastAsia" w:ascii="宋体" w:hAnsi="宋体" w:eastAsia="宋体" w:cs="宋体"/>
                <w:color w:val="auto"/>
                <w:kern w:val="0"/>
                <w:szCs w:val="21"/>
                <w:highlight w:val="none"/>
              </w:rPr>
              <w:t>每批次检测10个参数，需胶体金快速检测试纸共25万条；</w:t>
            </w:r>
            <w:r>
              <w:rPr>
                <w:rFonts w:hint="eastAsia" w:ascii="宋体" w:hAnsi="宋体" w:eastAsia="宋体" w:cs="宋体"/>
                <w:color w:val="auto"/>
                <w:szCs w:val="21"/>
                <w:highlight w:val="none"/>
              </w:rPr>
              <w:t>中标价格包含样品、试剂耗材、数据统计分析、技术培训、技术支持等所有相关费用。</w:t>
            </w:r>
          </w:p>
          <w:p w14:paraId="5E18D87E">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负责面对豇豆等农产品主产品区域内（或委托方指定的生产区域）的相关县（市、区），以工作任务所要求的检测项目为基准，结合各县（市、区）的实际情况，发放试纸、耗材、仪器、设备并提供快检服务技术支持与培训。培训监管、技术服务人员熟练掌握快速检测仪器、试纸等，抽样制样要求、快速检测技术、结果判读、数据统计上传、阳性样品处置等工作，并提供相应的技术支持。培训20场次以上，技术支持50次以上。</w:t>
            </w:r>
          </w:p>
          <w:p w14:paraId="20FC5DE0">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需提供具有数据上传、统计分析和预警功能的仪器、信息平台或者APP，并对接、即时将检测结果统计上传到广西农产品质量安全监管与追溯信息平台，供采购人查阅、统计、输出快检结果、掌握质量安全风险状况。</w:t>
            </w:r>
          </w:p>
          <w:p w14:paraId="3CBF90A5">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4、信息平台或APP通过拍照即可完成检测结果录入，不得人工录入结果，确保检测记录准确不可篡改。</w:t>
            </w:r>
          </w:p>
          <w:p w14:paraId="40C4B045">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二、快速检测试纸技术参数： </w:t>
            </w:r>
          </w:p>
          <w:p w14:paraId="08DA7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数覆盖：倍硫磷、灭蝇胺、啶虫脒、噻虫嗪、噻虫胺、克百威（3-羟基克百威）、甲氨基阿维菌素苯甲酸盐、毒死蜱、灭多威、氟虫腈，共25万条。适用于豇豆检测，检测限量（倍硫磷检测限：0.05mg/kg；灭蝇胺检测限：0.5mg/kg；啶虫脒检测限：0.4mg/kg；噻虫嗪检测限：0.3mg/kg；噻虫胺检测限：0.01mg/kg；克百威（3-羟基克百威）检测限：0.02mg/kg；甲氨基阿维菌素苯甲酸盐检测限：0.2mg/kg；毒死蜱检测限：0.02mg/kg；灭多威检测限：0.2mg/kg；氟虫腈检测限：0.02mg/kg）。</w:t>
            </w:r>
          </w:p>
          <w:p w14:paraId="6FC1B456">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（一）总体技术要求 </w:t>
            </w:r>
          </w:p>
          <w:p w14:paraId="2D599514">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1、包装组成：</w:t>
            </w:r>
          </w:p>
          <w:p w14:paraId="1D60A07F">
            <w:pPr>
              <w:pStyle w:val="133"/>
              <w:spacing w:before="2" w:line="360" w:lineRule="auto"/>
              <w:ind w:right="16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kern w:val="2"/>
                <w:sz w:val="21"/>
                <w:szCs w:val="21"/>
                <w:highlight w:val="none"/>
                <w:lang w:eastAsia="zh-CN"/>
              </w:rPr>
              <w:t>密封包装，密封包装上应直接印有产品名称、生产厂家、品牌、商标、生产日期、有效期、注意事项、储存条件等相关信息；</w:t>
            </w:r>
          </w:p>
          <w:p w14:paraId="0433DC6F">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（2）保存简便、室温操作，保质期1年以上。</w:t>
            </w:r>
          </w:p>
          <w:p w14:paraId="5F94257B">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2、检测技术要求：</w:t>
            </w:r>
          </w:p>
          <w:p w14:paraId="6AFBC562">
            <w:pPr>
              <w:pStyle w:val="133"/>
              <w:spacing w:line="360" w:lineRule="auto"/>
              <w:ind w:right="1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kern w:val="2"/>
                <w:sz w:val="21"/>
                <w:szCs w:val="21"/>
                <w:highlight w:val="none"/>
                <w:lang w:eastAsia="zh-CN"/>
              </w:rPr>
              <w:t xml:space="preserve">（1）各参数农残检测限完全匹配GB2763-2021和GB2763.1-2022食品中农药最大残留限量要求；假阴性率小于2%，假阳性率小于4%。             </w:t>
            </w:r>
          </w:p>
          <w:p w14:paraId="729AF204">
            <w:pPr>
              <w:pStyle w:val="133"/>
              <w:spacing w:line="360" w:lineRule="auto"/>
              <w:ind w:right="1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▲（2）胶体金检测卡本身具有质量控制对照线并附有专属二维码（不可贴标、需喷码；可用于检测时扫码识别统计及追溯）及产品名称、品牌信息；（初次报价时提供产品说明书或承诺函）；</w:t>
            </w:r>
          </w:p>
          <w:p w14:paraId="0B5FE1C4">
            <w:pPr>
              <w:pStyle w:val="133"/>
              <w:spacing w:line="360" w:lineRule="auto"/>
              <w:ind w:right="1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▲（3）检测单个样品时，从样品前处理到结果判断 整个过程要求在20分钟内完成；</w:t>
            </w:r>
            <w:r>
              <w:rPr>
                <w:rFonts w:hint="eastAsia" w:ascii="宋体" w:hAnsi="宋体" w:eastAsia="宋体" w:cs="宋体"/>
                <w:color w:val="auto"/>
                <w:szCs w:val="21"/>
                <w:highlight w:val="none"/>
              </w:rPr>
              <w:t>判读结果时间：</w:t>
            </w:r>
            <w:r>
              <w:rPr>
                <w:rFonts w:hint="eastAsia" w:ascii="宋体" w:hAnsi="宋体" w:eastAsia="宋体" w:cs="宋体"/>
                <w:color w:val="auto"/>
                <w:szCs w:val="21"/>
                <w:highlight w:val="none"/>
                <w:lang w:val="en-US" w:eastAsia="zh-CN"/>
              </w:rPr>
              <w:t>5-8</w:t>
            </w:r>
            <w:r>
              <w:rPr>
                <w:rFonts w:hint="eastAsia" w:ascii="宋体" w:hAnsi="宋体" w:eastAsia="宋体" w:cs="宋体"/>
                <w:color w:val="auto"/>
                <w:szCs w:val="21"/>
                <w:highlight w:val="none"/>
              </w:rPr>
              <w:t>分钟内/条；</w:t>
            </w:r>
            <w:r>
              <w:rPr>
                <w:rFonts w:hint="eastAsia" w:ascii="宋体" w:hAnsi="宋体" w:eastAsia="宋体" w:cs="宋体"/>
                <w:color w:val="auto"/>
                <w:kern w:val="2"/>
                <w:sz w:val="21"/>
                <w:szCs w:val="21"/>
                <w:highlight w:val="none"/>
                <w:lang w:eastAsia="zh-CN"/>
              </w:rPr>
              <w:t>（提供产品说明书或承诺函）</w:t>
            </w:r>
          </w:p>
          <w:p w14:paraId="6877A92F">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（4）快速检测试纸条特异性强，与结构类似物交叉反应小。 </w:t>
            </w:r>
          </w:p>
          <w:p w14:paraId="1A9EAF96">
            <w:pPr>
              <w:pStyle w:val="133"/>
              <w:spacing w:line="360" w:lineRule="auto"/>
              <w:ind w:right="100"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（5）判读标准：以有无测试线为准，不需要设立 阴性、阳性对照，或采取检测线（T 线）与质量控 制线（C 线）颜色深浅对比进行判定；</w:t>
            </w:r>
          </w:p>
          <w:p w14:paraId="29477EEB">
            <w:pPr>
              <w:pStyle w:val="133"/>
              <w:spacing w:line="360" w:lineRule="auto"/>
              <w:ind w:right="172"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）检测结果稳定，在 30 分钟后结果仍不发生变化；</w:t>
            </w:r>
          </w:p>
          <w:p w14:paraId="4A72FBF5">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）胶体金试纸条检测结果通过移动终端（手机等）应用程序拍照自动判定，无需人工选择判读结果。 </w:t>
            </w:r>
          </w:p>
          <w:p w14:paraId="711EE85E">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）移动终端应用程序能够判读胶体金试纸条检测线（T线）和质控线（C线）的比值，即显示T/C值，并直接给出判定结果。  </w:t>
            </w:r>
          </w:p>
          <w:p w14:paraId="1AE8DD6E">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）判读数据通过移动终端（手机等）应用程序，对接至相关监管平台小程序，保证实时上传至指定的监管平台，确保数据安全有保证，只向客户指定的平台对接数据。</w:t>
            </w:r>
          </w:p>
          <w:p w14:paraId="30CC920C">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）胶体金试纸条检测结果判读和图片上传实时同步进行，结果可追溯，不可篡改。 </w:t>
            </w:r>
          </w:p>
          <w:p w14:paraId="6B16632C">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）试纸条出厂前针对不同基质中的不同检测限要求，进行批批标定，确保质量稳定。 </w:t>
            </w:r>
          </w:p>
          <w:p w14:paraId="7E078A25">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）操作简便，按照试剂盒内说明书操作，即可获得检测结果，无需专业人员； </w:t>
            </w:r>
          </w:p>
          <w:p w14:paraId="70323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）合适存储条件 4-30℃，保质期一年以上。</w:t>
            </w:r>
          </w:p>
        </w:tc>
      </w:tr>
      <w:tr w14:paraId="43468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489" w:type="dxa"/>
            <w:vAlign w:val="center"/>
          </w:tcPr>
          <w:p w14:paraId="7C0C1CEF">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D分标</w:t>
            </w:r>
          </w:p>
        </w:tc>
        <w:tc>
          <w:tcPr>
            <w:tcW w:w="1341" w:type="dxa"/>
            <w:vAlign w:val="center"/>
          </w:tcPr>
          <w:p w14:paraId="0D3D11DD">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豇豆等农产品胶体金快速检测试纸、仪器、设备及技术支持、培训</w:t>
            </w:r>
          </w:p>
        </w:tc>
        <w:tc>
          <w:tcPr>
            <w:tcW w:w="840" w:type="dxa"/>
            <w:gridSpan w:val="2"/>
            <w:vAlign w:val="center"/>
          </w:tcPr>
          <w:p w14:paraId="472082E9">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≥2.5万</w:t>
            </w:r>
          </w:p>
        </w:tc>
        <w:tc>
          <w:tcPr>
            <w:tcW w:w="780" w:type="dxa"/>
            <w:vAlign w:val="center"/>
          </w:tcPr>
          <w:p w14:paraId="77371EBC">
            <w:pPr>
              <w:tabs>
                <w:tab w:val="left" w:pos="180"/>
                <w:tab w:val="left" w:pos="1620"/>
              </w:tabs>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批次</w:t>
            </w:r>
          </w:p>
        </w:tc>
        <w:tc>
          <w:tcPr>
            <w:tcW w:w="6214" w:type="dxa"/>
            <w:vAlign w:val="center"/>
          </w:tcPr>
          <w:p w14:paraId="3B42FF05">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一、提供服务的内容</w:t>
            </w:r>
          </w:p>
          <w:p w14:paraId="0852AB23">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w:t>
            </w:r>
            <w:r>
              <w:rPr>
                <w:rFonts w:hint="eastAsia" w:ascii="宋体" w:hAnsi="宋体" w:eastAsia="宋体" w:cs="宋体"/>
                <w:color w:val="auto"/>
                <w:kern w:val="0"/>
                <w:szCs w:val="21"/>
                <w:highlight w:val="none"/>
              </w:rPr>
              <w:t>豇豆等农产品</w:t>
            </w:r>
            <w:r>
              <w:rPr>
                <w:rFonts w:hint="eastAsia" w:ascii="宋体" w:hAnsi="宋体" w:eastAsia="宋体" w:cs="宋体"/>
                <w:color w:val="auto"/>
                <w:szCs w:val="21"/>
                <w:highlight w:val="none"/>
              </w:rPr>
              <w:t>胶体金快速检测服务2.5万批次，</w:t>
            </w:r>
            <w:r>
              <w:rPr>
                <w:rFonts w:hint="eastAsia" w:ascii="宋体" w:hAnsi="宋体" w:eastAsia="宋体" w:cs="宋体"/>
                <w:color w:val="auto"/>
                <w:kern w:val="0"/>
                <w:szCs w:val="21"/>
                <w:highlight w:val="none"/>
              </w:rPr>
              <w:t>每批次检测10个参数，需胶体金快速检测试纸共25万条；</w:t>
            </w:r>
            <w:r>
              <w:rPr>
                <w:rFonts w:hint="eastAsia" w:ascii="宋体" w:hAnsi="宋体" w:eastAsia="宋体" w:cs="宋体"/>
                <w:color w:val="auto"/>
                <w:szCs w:val="21"/>
                <w:highlight w:val="none"/>
              </w:rPr>
              <w:t>中标价格包含样品、试剂耗材、数据统计分析、技术培训、技术支持等所有相关费用。</w:t>
            </w:r>
          </w:p>
          <w:p w14:paraId="07C6D239">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负责面对豇豆等农产品主产品区域内（或委托方指定的生产区域）的相关县（市、区），以工作任务所要求的检测项目为基准，结合各县（市、区）的实际情况，发放试纸、耗材、仪器、设备并提供快检服务技术支持与培训。培训监管、技术服务人员熟练掌握快速检测仪器、试纸等，抽样制样要求、快速检测技术、结果判读、数据统计上传、阳性样品处置等工作，并提供检测操作、阳性样品定量复测等相应的技术支持。培训20场次以上，技术支持50次以上。</w:t>
            </w:r>
          </w:p>
          <w:p w14:paraId="4FC12794">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需提供具有数据上传、统计分析和预警功能的仪器、信息平台或者APP，并对接、即时将检测结果统计上传到广西农产品质量安全监管与追溯信息平台，供采购人查阅、统计、输出快检结果、掌握质量安全风险状况。</w:t>
            </w:r>
          </w:p>
          <w:p w14:paraId="05D18C91">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4、信息平台或APP通过拍照即可完成检测结果录入，不得人工录入结果，确保检测记录准确不可篡改。</w:t>
            </w:r>
          </w:p>
          <w:p w14:paraId="2273A8CA">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二、快速检测试纸技术参数： </w:t>
            </w:r>
          </w:p>
          <w:p w14:paraId="2A8AA7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数覆盖：倍硫磷、灭蝇胺、啶虫脒、噻虫嗪、噻虫胺、克百威（3-羟基克百威）、甲氨基阿维菌素苯甲酸盐、毒死蜱、灭多威、氟虫腈，共25万条。适用于豇豆检测，检测限量（倍硫磷检测限：0.05mg/kg；灭蝇胺检测限：0.5mg/kg；啶虫脒检测限：0.4mg/kg；噻虫嗪检测限：0.3mg/kg；噻虫胺检测限：0.01mg/kg；克百威（3-羟基克百威）检测限：0.02mg/kg；甲氨基阿维菌素苯甲酸盐检测限：0.2mg/kg；毒死蜱检测限：0.02mg/kg；灭多威检测限：0.2mg/kg；氟虫腈检测限：0.02mg/kg）。</w:t>
            </w:r>
          </w:p>
          <w:p w14:paraId="08516055">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（一）总体技术要求 </w:t>
            </w:r>
          </w:p>
          <w:p w14:paraId="6DE72C5F">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1、包装组成：</w:t>
            </w:r>
          </w:p>
          <w:p w14:paraId="54AB8DCF">
            <w:pPr>
              <w:pStyle w:val="133"/>
              <w:spacing w:before="2" w:line="360" w:lineRule="auto"/>
              <w:ind w:right="16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kern w:val="2"/>
                <w:sz w:val="21"/>
                <w:szCs w:val="21"/>
                <w:highlight w:val="none"/>
                <w:lang w:eastAsia="zh-CN"/>
              </w:rPr>
              <w:t>密封包装，密封包装上应直接印有产品名称、生产厂家、品牌、商标、生产日期、有效期、注意事项、储存条件等相关信息；</w:t>
            </w:r>
          </w:p>
          <w:p w14:paraId="75ADE724">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（2）保存简便、室温操作，保质期1年以上。</w:t>
            </w:r>
          </w:p>
          <w:p w14:paraId="75768FAE">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2、检测技术要求：</w:t>
            </w:r>
          </w:p>
          <w:p w14:paraId="30C080CC">
            <w:pPr>
              <w:pStyle w:val="133"/>
              <w:spacing w:line="360" w:lineRule="auto"/>
              <w:ind w:right="1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kern w:val="2"/>
                <w:sz w:val="21"/>
                <w:szCs w:val="21"/>
                <w:highlight w:val="none"/>
                <w:lang w:eastAsia="zh-CN"/>
              </w:rPr>
              <w:t>（1）各参数农残检测限完全匹配GB2763-2021和GB2763.1-2022食品中农药最大残留限量要求；</w:t>
            </w:r>
          </w:p>
          <w:p w14:paraId="2D3ED461">
            <w:pPr>
              <w:pStyle w:val="133"/>
              <w:spacing w:line="360" w:lineRule="auto"/>
              <w:ind w:right="1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▲（2）胶体金检测卡本身具有质量控制对照线并附有专属二维码（不可贴标、需喷码；可用于检测时扫码识别统计及追溯）及产品名称、品牌信息；（初次报价时提供产品说明书或承诺函）；</w:t>
            </w:r>
          </w:p>
          <w:p w14:paraId="5545D5F1">
            <w:pPr>
              <w:pStyle w:val="133"/>
              <w:spacing w:line="360" w:lineRule="auto"/>
              <w:ind w:right="1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▲（3）检测单个样品时，从样品前处理到结果判断 整个过程要求在20分钟内完成；</w:t>
            </w:r>
            <w:r>
              <w:rPr>
                <w:rFonts w:hint="eastAsia" w:ascii="宋体" w:hAnsi="宋体" w:eastAsia="宋体" w:cs="宋体"/>
                <w:color w:val="auto"/>
                <w:szCs w:val="21"/>
                <w:highlight w:val="none"/>
              </w:rPr>
              <w:t>判读结果时间：</w:t>
            </w:r>
            <w:r>
              <w:rPr>
                <w:rFonts w:hint="eastAsia" w:ascii="宋体" w:hAnsi="宋体" w:eastAsia="宋体" w:cs="宋体"/>
                <w:color w:val="auto"/>
                <w:szCs w:val="21"/>
                <w:highlight w:val="none"/>
                <w:lang w:val="en-US" w:eastAsia="zh-CN"/>
              </w:rPr>
              <w:t>5-8</w:t>
            </w:r>
            <w:r>
              <w:rPr>
                <w:rFonts w:hint="eastAsia" w:ascii="宋体" w:hAnsi="宋体" w:eastAsia="宋体" w:cs="宋体"/>
                <w:color w:val="auto"/>
                <w:szCs w:val="21"/>
                <w:highlight w:val="none"/>
              </w:rPr>
              <w:t>分钟内/条；</w:t>
            </w:r>
            <w:r>
              <w:rPr>
                <w:rFonts w:hint="eastAsia" w:ascii="宋体" w:hAnsi="宋体" w:eastAsia="宋体" w:cs="宋体"/>
                <w:color w:val="auto"/>
                <w:kern w:val="2"/>
                <w:sz w:val="21"/>
                <w:szCs w:val="21"/>
                <w:highlight w:val="none"/>
                <w:lang w:eastAsia="zh-CN"/>
              </w:rPr>
              <w:t>（提供产品说明书或承诺函）</w:t>
            </w:r>
          </w:p>
          <w:p w14:paraId="40DD8A36">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（4）快速检测试纸条特异性强，与结构类似物交叉反应小。 </w:t>
            </w:r>
          </w:p>
          <w:p w14:paraId="0397DDAE">
            <w:pPr>
              <w:pStyle w:val="133"/>
              <w:spacing w:line="360" w:lineRule="auto"/>
              <w:ind w:right="100"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（5）判读标准：以有无测试线为准，不需要设立 阴性、阳性对照，或采取检测线（T 线）与质量控 制线（C 线）颜色深浅对比进行判定；</w:t>
            </w:r>
          </w:p>
          <w:p w14:paraId="208220D4">
            <w:pPr>
              <w:pStyle w:val="133"/>
              <w:spacing w:line="360" w:lineRule="auto"/>
              <w:ind w:right="172"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）检测结果稳定，在 30 分钟后结果仍不发生变化；</w:t>
            </w:r>
          </w:p>
          <w:p w14:paraId="2B6935FC">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）胶体金试纸条检测结果通过移动终端（手机等）应用程序拍照自动判定，无需人工选择判读结果。 </w:t>
            </w:r>
          </w:p>
          <w:p w14:paraId="28887093">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）移动终端应用程序能够判读胶体金试纸条检测线（T线）和质控线（C线）的比值，即显示T/C值，并直接给出判定结果。  </w:t>
            </w:r>
          </w:p>
          <w:p w14:paraId="0ABB2D81">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）判读数据通过移动终端（手机等）应用程序，对接至相关监管平台小程序，保证实时上传至指定的监管平台，确保数据安全有保证，只向客户指定的平台对接数据。</w:t>
            </w:r>
          </w:p>
          <w:p w14:paraId="23D39390">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 xml:space="preserve">）胶体金试纸条检测结果判读和图片上传实时同步进行，结果可追溯，不可篡改。 </w:t>
            </w:r>
          </w:p>
          <w:p w14:paraId="34E302D8">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）试纸条出厂前针对不同基质中的不同检测限要求，进行批批标定，确保质量稳定。 </w:t>
            </w:r>
          </w:p>
          <w:p w14:paraId="663ADB09">
            <w:pPr>
              <w:widowControl/>
              <w:shd w:val="clear" w:color="auto" w:fill="FFFFFF"/>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）操作简便，按照试剂盒内说明书操作，即可获得检测结果，无需专业人员； </w:t>
            </w:r>
          </w:p>
          <w:p w14:paraId="6CC31C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）合适存储条件 4-30℃，保质期一年以上。</w:t>
            </w:r>
          </w:p>
        </w:tc>
      </w:tr>
      <w:tr w14:paraId="73BC2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64" w:type="dxa"/>
            <w:gridSpan w:val="6"/>
            <w:tcBorders>
              <w:top w:val="single" w:color="auto" w:sz="4" w:space="0"/>
              <w:left w:val="single" w:color="auto" w:sz="4" w:space="0"/>
              <w:bottom w:val="single" w:color="auto" w:sz="4" w:space="0"/>
              <w:right w:val="single" w:color="auto" w:sz="4" w:space="0"/>
            </w:tcBorders>
          </w:tcPr>
          <w:p w14:paraId="36638971">
            <w:pPr>
              <w:pStyle w:val="220"/>
              <w:tabs>
                <w:tab w:val="left" w:pos="1995"/>
                <w:tab w:val="left" w:pos="1996"/>
              </w:tabs>
              <w:spacing w:before="140" w:line="360" w:lineRule="auto"/>
              <w:ind w:firstLine="402"/>
              <w:rPr>
                <w:rFonts w:hint="eastAsia" w:ascii="宋体" w:hAnsi="宋体" w:eastAsia="宋体" w:cs="宋体"/>
                <w:color w:val="auto"/>
                <w:szCs w:val="21"/>
                <w:highlight w:val="none"/>
              </w:rPr>
            </w:pPr>
            <w:r>
              <w:rPr>
                <w:rFonts w:hint="eastAsia" w:ascii="宋体" w:hAnsi="宋体" w:eastAsia="宋体" w:cs="宋体"/>
                <w:b/>
                <w:bCs/>
                <w:color w:val="auto"/>
                <w:spacing w:val="-5"/>
                <w:szCs w:val="21"/>
                <w:highlight w:val="none"/>
              </w:rPr>
              <w:t>一、技术响应要求</w:t>
            </w:r>
          </w:p>
        </w:tc>
      </w:tr>
      <w:tr w14:paraId="714F1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9" w:hRule="atLeast"/>
        </w:trPr>
        <w:tc>
          <w:tcPr>
            <w:tcW w:w="9664" w:type="dxa"/>
            <w:gridSpan w:val="6"/>
            <w:tcBorders>
              <w:top w:val="single" w:color="auto" w:sz="4" w:space="0"/>
              <w:left w:val="single" w:color="auto" w:sz="4" w:space="0"/>
              <w:bottom w:val="single" w:color="auto" w:sz="4" w:space="0"/>
              <w:right w:val="single" w:color="auto" w:sz="4" w:space="0"/>
            </w:tcBorders>
          </w:tcPr>
          <w:p w14:paraId="4E714CA9">
            <w:pPr>
              <w:pStyle w:val="220"/>
              <w:tabs>
                <w:tab w:val="left" w:pos="1995"/>
                <w:tab w:val="left" w:pos="1996"/>
              </w:tabs>
              <w:spacing w:before="140" w:line="360" w:lineRule="auto"/>
              <w:ind w:firstLine="380"/>
              <w:rPr>
                <w:rFonts w:hint="eastAsia" w:ascii="宋体" w:hAnsi="宋体" w:eastAsia="宋体" w:cs="宋体"/>
                <w:color w:val="auto"/>
                <w:szCs w:val="21"/>
                <w:highlight w:val="none"/>
              </w:rPr>
            </w:pPr>
            <w:r>
              <w:rPr>
                <w:rFonts w:hint="eastAsia" w:ascii="宋体" w:hAnsi="宋体" w:eastAsia="宋体" w:cs="宋体"/>
                <w:color w:val="auto"/>
                <w:spacing w:val="-10"/>
                <w:szCs w:val="21"/>
                <w:highlight w:val="none"/>
              </w:rPr>
              <w:t>1.▲产品的假阴性率和假阳性率按</w:t>
            </w:r>
            <w:r>
              <w:rPr>
                <w:rFonts w:hint="eastAsia" w:ascii="宋体" w:hAnsi="宋体" w:eastAsia="宋体" w:cs="宋体"/>
                <w:color w:val="auto"/>
                <w:highlight w:val="none"/>
              </w:rPr>
              <w:t>《农药残留胶体金免疫层析定性快速检测产品评价及性能验证规范》（NY/T 2715-2025）规定的程序进行产品评价和性能验证，</w:t>
            </w:r>
            <w:r>
              <w:rPr>
                <w:rFonts w:hint="eastAsia" w:ascii="宋体" w:hAnsi="宋体" w:eastAsia="宋体" w:cs="宋体"/>
                <w:color w:val="auto"/>
                <w:spacing w:val="-3"/>
                <w:szCs w:val="21"/>
                <w:highlight w:val="none"/>
              </w:rPr>
              <w:t>评价判定指标</w:t>
            </w:r>
            <w:r>
              <w:rPr>
                <w:rFonts w:hint="eastAsia" w:ascii="宋体" w:hAnsi="宋体" w:eastAsia="宋体" w:cs="宋体"/>
                <w:color w:val="auto"/>
                <w:spacing w:val="-3"/>
                <w:szCs w:val="21"/>
                <w:highlight w:val="none"/>
                <w:lang w:val="en-US" w:eastAsia="zh-CN"/>
              </w:rPr>
              <w:t>标准</w:t>
            </w:r>
            <w:r>
              <w:rPr>
                <w:rFonts w:hint="eastAsia" w:ascii="宋体" w:hAnsi="宋体" w:eastAsia="宋体" w:cs="宋体"/>
                <w:color w:val="auto"/>
                <w:spacing w:val="-3"/>
                <w:szCs w:val="21"/>
                <w:highlight w:val="none"/>
              </w:rPr>
              <w:t>为全部满足空白样品检测假阳性率应小于等于4%，</w:t>
            </w:r>
            <w:r>
              <w:rPr>
                <w:rFonts w:hint="eastAsia" w:ascii="宋体" w:hAnsi="宋体" w:eastAsia="宋体" w:cs="宋体"/>
                <w:color w:val="auto"/>
                <w:spacing w:val="-5"/>
                <w:szCs w:val="21"/>
                <w:highlight w:val="none"/>
              </w:rPr>
              <w:t>按照农药残留最大残留限量添加水平下的样品</w:t>
            </w:r>
            <w:r>
              <w:rPr>
                <w:rFonts w:hint="eastAsia" w:ascii="宋体" w:hAnsi="宋体" w:eastAsia="宋体" w:cs="宋体"/>
                <w:color w:val="auto"/>
                <w:spacing w:val="-4"/>
                <w:szCs w:val="21"/>
                <w:highlight w:val="none"/>
              </w:rPr>
              <w:t>检测假阴性率应小于等于</w:t>
            </w:r>
            <w:r>
              <w:rPr>
                <w:rFonts w:hint="eastAsia" w:ascii="宋体" w:hAnsi="宋体" w:eastAsia="宋体" w:cs="宋体"/>
                <w:color w:val="auto"/>
                <w:szCs w:val="21"/>
                <w:highlight w:val="none"/>
              </w:rPr>
              <w:t>2</w:t>
            </w:r>
            <w:r>
              <w:rPr>
                <w:rFonts w:hint="eastAsia" w:ascii="宋体" w:hAnsi="宋体" w:eastAsia="宋体" w:cs="宋体"/>
                <w:color w:val="auto"/>
                <w:spacing w:val="-2"/>
                <w:szCs w:val="21"/>
                <w:highlight w:val="none"/>
              </w:rPr>
              <w:t>%，检测</w:t>
            </w:r>
            <w:r>
              <w:rPr>
                <w:rFonts w:hint="eastAsia" w:ascii="宋体" w:hAnsi="宋体" w:eastAsia="宋体" w:cs="宋体"/>
                <w:color w:val="auto"/>
                <w:szCs w:val="21"/>
                <w:highlight w:val="none"/>
              </w:rPr>
              <w:t>2</w:t>
            </w:r>
            <w:r>
              <w:rPr>
                <w:rFonts w:hint="eastAsia" w:ascii="宋体" w:hAnsi="宋体" w:eastAsia="宋体" w:cs="宋体"/>
                <w:color w:val="auto"/>
                <w:spacing w:val="-3"/>
                <w:szCs w:val="21"/>
                <w:highlight w:val="none"/>
              </w:rPr>
              <w:t>倍农药残留最大残留限量添加</w:t>
            </w:r>
            <w:r>
              <w:rPr>
                <w:rFonts w:hint="eastAsia" w:ascii="宋体" w:hAnsi="宋体" w:eastAsia="宋体" w:cs="宋体"/>
                <w:color w:val="auto"/>
                <w:spacing w:val="-13"/>
                <w:szCs w:val="21"/>
                <w:highlight w:val="none"/>
              </w:rPr>
              <w:t>水平的样品时不得有假阴性结果。</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提供承诺函，格式自拟</w:t>
            </w:r>
            <w:r>
              <w:rPr>
                <w:rFonts w:hint="eastAsia" w:ascii="宋体" w:hAnsi="宋体" w:eastAsia="宋体" w:cs="宋体"/>
                <w:color w:val="auto"/>
                <w:szCs w:val="21"/>
                <w:highlight w:val="none"/>
              </w:rPr>
              <w:t>）</w:t>
            </w:r>
          </w:p>
          <w:p w14:paraId="702897B1">
            <w:pPr>
              <w:pStyle w:val="220"/>
              <w:tabs>
                <w:tab w:val="left" w:pos="1995"/>
                <w:tab w:val="left" w:pos="1996"/>
              </w:tabs>
              <w:spacing w:before="14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pacing w:val="-3"/>
                <w:szCs w:val="21"/>
                <w:highlight w:val="none"/>
              </w:rPr>
              <w:t>需要提供判读服务：供应商应提供胶</w:t>
            </w:r>
            <w:r>
              <w:rPr>
                <w:rFonts w:hint="eastAsia" w:ascii="宋体" w:hAnsi="宋体" w:eastAsia="宋体" w:cs="宋体"/>
                <w:color w:val="auto"/>
                <w:spacing w:val="-7"/>
                <w:szCs w:val="21"/>
                <w:highlight w:val="none"/>
              </w:rPr>
              <w:t>体金试剂条(卡)检测结果判读服务</w:t>
            </w:r>
            <w:r>
              <w:rPr>
                <w:rFonts w:hint="eastAsia" w:ascii="宋体" w:hAnsi="宋体" w:eastAsia="宋体" w:cs="宋体"/>
                <w:color w:val="auto"/>
                <w:spacing w:val="-3"/>
                <w:szCs w:val="21"/>
                <w:highlight w:val="none"/>
              </w:rPr>
              <w:t>（</w:t>
            </w:r>
            <w:r>
              <w:rPr>
                <w:rFonts w:hint="eastAsia" w:ascii="宋体" w:hAnsi="宋体" w:eastAsia="宋体" w:cs="宋体"/>
                <w:color w:val="auto"/>
                <w:spacing w:val="-2"/>
                <w:szCs w:val="21"/>
                <w:highlight w:val="none"/>
              </w:rPr>
              <w:t>系统软件</w:t>
            </w:r>
            <w:r>
              <w:rPr>
                <w:rFonts w:hint="eastAsia" w:ascii="宋体" w:hAnsi="宋体" w:eastAsia="宋体" w:cs="宋体"/>
                <w:color w:val="auto"/>
                <w:spacing w:val="-100"/>
                <w:szCs w:val="21"/>
                <w:highlight w:val="none"/>
              </w:rPr>
              <w:t>）</w:t>
            </w:r>
            <w:r>
              <w:rPr>
                <w:rFonts w:hint="eastAsia" w:ascii="宋体" w:hAnsi="宋体" w:eastAsia="宋体" w:cs="宋体"/>
                <w:color w:val="auto"/>
                <w:spacing w:val="-13"/>
                <w:szCs w:val="21"/>
                <w:highlight w:val="none"/>
              </w:rPr>
              <w:t>，</w:t>
            </w:r>
            <w:r>
              <w:rPr>
                <w:rFonts w:hint="eastAsia" w:ascii="宋体" w:hAnsi="宋体" w:eastAsia="宋体" w:cs="宋体"/>
                <w:color w:val="auto"/>
                <w:szCs w:val="21"/>
                <w:highlight w:val="none"/>
              </w:rPr>
              <w:t>数据格式应符合监管系统的要求，确保数据能够被系统准确识别和处理。数据内容应包括但不限于检测项目名称、检测样品编号、检测时间、判读结果（阳性/阴性/无效等）、检测人员信息等关键信息。</w:t>
            </w:r>
            <w:r>
              <w:rPr>
                <w:rFonts w:hint="eastAsia" w:ascii="宋体" w:hAnsi="宋体" w:eastAsia="宋体" w:cs="宋体"/>
                <w:color w:val="auto"/>
                <w:spacing w:val="-13"/>
                <w:szCs w:val="21"/>
                <w:highlight w:val="none"/>
              </w:rPr>
              <w:t>判读系统能自动汇总全区检测快检数据</w:t>
            </w:r>
            <w:r>
              <w:rPr>
                <w:rFonts w:hint="eastAsia" w:ascii="宋体" w:hAnsi="宋体" w:eastAsia="宋体" w:cs="宋体"/>
                <w:color w:val="auto"/>
                <w:spacing w:val="-17"/>
                <w:szCs w:val="21"/>
                <w:highlight w:val="none"/>
              </w:rPr>
              <w:t>。</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提供承诺函，格式自拟</w:t>
            </w:r>
            <w:r>
              <w:rPr>
                <w:rFonts w:hint="eastAsia" w:ascii="宋体" w:hAnsi="宋体" w:eastAsia="宋体" w:cs="宋体"/>
                <w:color w:val="auto"/>
                <w:szCs w:val="21"/>
                <w:highlight w:val="none"/>
              </w:rPr>
              <w:t>）</w:t>
            </w:r>
          </w:p>
          <w:p w14:paraId="7F1E8EA5">
            <w:pPr>
              <w:pStyle w:val="22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上传的供应商应建立数据审核机制，在数据上传前对判读结果进行再次核对，确保上传数据的真实性、有效性。如因供应商原因导致数据上传错误或延误，供应商应承担相应的责任，并及时采取措施进行纠正。</w:t>
            </w:r>
          </w:p>
          <w:p w14:paraId="23A5E5D6">
            <w:pPr>
              <w:pStyle w:val="220"/>
              <w:tabs>
                <w:tab w:val="left" w:pos="1929"/>
              </w:tabs>
              <w:spacing w:line="360" w:lineRule="auto"/>
              <w:ind w:firstLine="404"/>
              <w:rPr>
                <w:rFonts w:hint="eastAsia" w:ascii="宋体" w:hAnsi="宋体" w:eastAsia="宋体" w:cs="宋体"/>
                <w:color w:val="auto"/>
                <w:szCs w:val="21"/>
                <w:highlight w:val="none"/>
              </w:rPr>
            </w:pPr>
            <w:r>
              <w:rPr>
                <w:rFonts w:hint="eastAsia" w:ascii="宋体" w:hAnsi="宋体" w:eastAsia="宋体" w:cs="宋体"/>
                <w:color w:val="auto"/>
                <w:spacing w:val="-4"/>
                <w:szCs w:val="21"/>
                <w:highlight w:val="none"/>
              </w:rPr>
              <w:t>4.</w:t>
            </w:r>
            <w:r>
              <w:rPr>
                <w:rFonts w:hint="eastAsia" w:ascii="宋体" w:hAnsi="宋体" w:eastAsia="宋体" w:cs="宋体"/>
                <w:color w:val="auto"/>
                <w:spacing w:val="-10"/>
                <w:szCs w:val="21"/>
                <w:highlight w:val="none"/>
              </w:rPr>
              <w:t xml:space="preserve"> ▲</w:t>
            </w:r>
            <w:r>
              <w:rPr>
                <w:rFonts w:hint="eastAsia" w:ascii="宋体" w:hAnsi="宋体" w:eastAsia="宋体" w:cs="宋体"/>
                <w:color w:val="auto"/>
                <w:spacing w:val="-4"/>
                <w:szCs w:val="21"/>
                <w:highlight w:val="none"/>
              </w:rPr>
              <w:t>一个样品1次拍照完成</w:t>
            </w:r>
            <w:r>
              <w:rPr>
                <w:rFonts w:hint="eastAsia" w:ascii="宋体" w:hAnsi="宋体" w:eastAsia="宋体" w:cs="宋体"/>
                <w:color w:val="auto"/>
                <w:spacing w:val="-4"/>
                <w:szCs w:val="21"/>
                <w:highlight w:val="none"/>
                <w:lang w:val="en-US" w:eastAsia="zh-CN"/>
              </w:rPr>
              <w:t>5</w:t>
            </w:r>
            <w:r>
              <w:rPr>
                <w:rFonts w:hint="eastAsia" w:ascii="宋体" w:hAnsi="宋体" w:eastAsia="宋体" w:cs="宋体"/>
                <w:color w:val="auto"/>
                <w:spacing w:val="-4"/>
                <w:szCs w:val="21"/>
                <w:highlight w:val="none"/>
              </w:rPr>
              <w:t>-</w:t>
            </w:r>
            <w:r>
              <w:rPr>
                <w:rFonts w:hint="eastAsia" w:ascii="宋体" w:hAnsi="宋体" w:eastAsia="宋体" w:cs="宋体"/>
                <w:color w:val="auto"/>
                <w:szCs w:val="21"/>
                <w:highlight w:val="none"/>
              </w:rPr>
              <w:t>10</w:t>
            </w:r>
            <w:r>
              <w:rPr>
                <w:rFonts w:hint="eastAsia" w:ascii="宋体" w:hAnsi="宋体" w:eastAsia="宋体" w:cs="宋体"/>
                <w:color w:val="auto"/>
                <w:spacing w:val="-3"/>
                <w:szCs w:val="21"/>
                <w:highlight w:val="none"/>
              </w:rPr>
              <w:t>条试纸条（</w:t>
            </w:r>
            <w:r>
              <w:rPr>
                <w:rFonts w:hint="eastAsia" w:ascii="宋体" w:hAnsi="宋体" w:eastAsia="宋体" w:cs="宋体"/>
                <w:color w:val="auto"/>
                <w:szCs w:val="21"/>
                <w:highlight w:val="none"/>
              </w:rPr>
              <w:t>卡）判读</w:t>
            </w:r>
            <w:r>
              <w:rPr>
                <w:rFonts w:hint="eastAsia" w:ascii="宋体" w:hAnsi="宋体" w:eastAsia="宋体" w:cs="宋体"/>
                <w:color w:val="auto"/>
                <w:spacing w:val="-48"/>
                <w:szCs w:val="21"/>
                <w:highlight w:val="none"/>
              </w:rPr>
              <w:t>。</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提供承诺函，格式自拟</w:t>
            </w:r>
            <w:r>
              <w:rPr>
                <w:rFonts w:hint="eastAsia" w:ascii="宋体" w:hAnsi="宋体" w:eastAsia="宋体" w:cs="宋体"/>
                <w:color w:val="auto"/>
                <w:szCs w:val="21"/>
                <w:highlight w:val="none"/>
              </w:rPr>
              <w:t>）</w:t>
            </w:r>
          </w:p>
          <w:p w14:paraId="1A225EDF">
            <w:pPr>
              <w:pStyle w:val="220"/>
              <w:tabs>
                <w:tab w:val="left" w:pos="1996"/>
              </w:tabs>
              <w:spacing w:line="360" w:lineRule="auto"/>
              <w:ind w:firstLine="408"/>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5.供应商提供的产品不得低于采购产品的技术标准和档次，且需列出详细技术参数响应表。供应商应对技术参数进行逐条响应，若未进行逐条响应，评标委员会将做出不利于供应商的评审。</w:t>
            </w:r>
          </w:p>
          <w:p w14:paraId="20BF6EA3">
            <w:pPr>
              <w:spacing w:before="17" w:line="360" w:lineRule="auto"/>
              <w:ind w:firstLine="408" w:firstLineChars="200"/>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6.供应商应保证提供的产品必须是全新、未使用的，在国家</w:t>
            </w:r>
            <w:r>
              <w:rPr>
                <w:rFonts w:hint="eastAsia" w:ascii="宋体" w:hAnsi="宋体" w:eastAsia="宋体" w:cs="宋体"/>
                <w:color w:val="auto"/>
                <w:szCs w:val="21"/>
                <w:highlight w:val="none"/>
              </w:rPr>
              <w:t>标准规定的有效使用期限内应具有良好的性能。</w:t>
            </w:r>
          </w:p>
          <w:p w14:paraId="2FE6D9F0">
            <w:pPr>
              <w:pStyle w:val="220"/>
              <w:tabs>
                <w:tab w:val="left" w:pos="1926"/>
              </w:tabs>
              <w:spacing w:line="360" w:lineRule="auto"/>
              <w:ind w:firstLine="404"/>
              <w:rPr>
                <w:rFonts w:hint="eastAsia" w:ascii="宋体" w:hAnsi="宋体" w:eastAsia="宋体" w:cs="宋体"/>
                <w:color w:val="auto"/>
                <w:szCs w:val="21"/>
                <w:highlight w:val="none"/>
              </w:rPr>
            </w:pPr>
            <w:r>
              <w:rPr>
                <w:rFonts w:hint="eastAsia" w:ascii="宋体" w:hAnsi="宋体" w:eastAsia="宋体" w:cs="宋体"/>
                <w:color w:val="auto"/>
                <w:spacing w:val="-4"/>
                <w:szCs w:val="21"/>
                <w:highlight w:val="none"/>
              </w:rPr>
              <w:t>7.</w:t>
            </w:r>
            <w:r>
              <w:rPr>
                <w:rFonts w:hint="eastAsia" w:ascii="宋体" w:hAnsi="宋体" w:eastAsia="宋体" w:cs="宋体"/>
                <w:color w:val="auto"/>
                <w:szCs w:val="21"/>
                <w:highlight w:val="none"/>
              </w:rPr>
              <w:t xml:space="preserve"> ▲</w:t>
            </w:r>
            <w:r>
              <w:rPr>
                <w:rFonts w:hint="eastAsia" w:ascii="宋体" w:hAnsi="宋体" w:eastAsia="宋体" w:cs="宋体"/>
                <w:color w:val="auto"/>
                <w:spacing w:val="-4"/>
                <w:szCs w:val="21"/>
                <w:highlight w:val="none"/>
              </w:rPr>
              <w:t>产品为套装形式，</w:t>
            </w:r>
            <w:r>
              <w:rPr>
                <w:rFonts w:hint="eastAsia" w:ascii="宋体" w:hAnsi="宋体" w:eastAsia="宋体" w:cs="宋体"/>
                <w:color w:val="auto"/>
                <w:spacing w:val="-3"/>
                <w:szCs w:val="21"/>
                <w:highlight w:val="none"/>
              </w:rPr>
              <w:t>每盒农药残留检测套装内应配套与胶体金试纸条</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卡）匹配的耗材</w:t>
            </w:r>
            <w:r>
              <w:rPr>
                <w:rFonts w:hint="eastAsia" w:ascii="宋体" w:hAnsi="宋体" w:eastAsia="宋体" w:cs="宋体"/>
                <w:color w:val="auto"/>
                <w:spacing w:val="-19"/>
                <w:szCs w:val="21"/>
                <w:highlight w:val="none"/>
              </w:rPr>
              <w:t>（</w:t>
            </w:r>
            <w:r>
              <w:rPr>
                <w:rFonts w:hint="eastAsia" w:ascii="宋体" w:hAnsi="宋体" w:eastAsia="宋体" w:cs="宋体"/>
                <w:color w:val="auto"/>
                <w:spacing w:val="-4"/>
                <w:szCs w:val="21"/>
                <w:highlight w:val="none"/>
              </w:rPr>
              <w:t>其中提取液种类仅1</w:t>
            </w:r>
            <w:r>
              <w:rPr>
                <w:rFonts w:hint="eastAsia" w:ascii="宋体" w:hAnsi="宋体" w:eastAsia="宋体" w:cs="宋体"/>
                <w:color w:val="auto"/>
                <w:spacing w:val="-4"/>
                <w:szCs w:val="21"/>
                <w:highlight w:val="none"/>
                <w:lang w:val="en-US" w:eastAsia="zh-CN"/>
              </w:rPr>
              <w:t>-2</w:t>
            </w:r>
            <w:r>
              <w:rPr>
                <w:rFonts w:hint="eastAsia" w:ascii="宋体" w:hAnsi="宋体" w:eastAsia="宋体" w:cs="宋体"/>
                <w:color w:val="auto"/>
                <w:spacing w:val="-4"/>
                <w:szCs w:val="21"/>
                <w:highlight w:val="none"/>
              </w:rPr>
              <w:t>种</w:t>
            </w:r>
            <w:r>
              <w:rPr>
                <w:rFonts w:hint="eastAsia" w:ascii="宋体" w:hAnsi="宋体" w:eastAsia="宋体" w:cs="宋体"/>
                <w:color w:val="auto"/>
                <w:szCs w:val="21"/>
                <w:highlight w:val="none"/>
              </w:rPr>
              <w:t>），相应</w:t>
            </w:r>
            <w:r>
              <w:rPr>
                <w:rFonts w:hint="eastAsia" w:ascii="宋体" w:hAnsi="宋体" w:eastAsia="宋体" w:cs="宋体"/>
                <w:color w:val="auto"/>
                <w:spacing w:val="-3"/>
                <w:szCs w:val="21"/>
                <w:highlight w:val="none"/>
              </w:rPr>
              <w:t>数目的称样管、提取液吸管等，</w:t>
            </w:r>
            <w:r>
              <w:rPr>
                <w:rFonts w:hint="eastAsia" w:ascii="宋体" w:hAnsi="宋体" w:eastAsia="宋体" w:cs="宋体"/>
                <w:color w:val="auto"/>
                <w:szCs w:val="21"/>
                <w:highlight w:val="none"/>
              </w:rPr>
              <w:t>1份使用说明书</w:t>
            </w:r>
            <w:r>
              <w:rPr>
                <w:rFonts w:hint="eastAsia" w:ascii="宋体" w:hAnsi="宋体" w:eastAsia="宋体" w:cs="宋体"/>
                <w:color w:val="auto"/>
                <w:spacing w:val="-21"/>
                <w:szCs w:val="21"/>
                <w:highlight w:val="none"/>
              </w:rPr>
              <w:t>。</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提供承诺函，</w:t>
            </w:r>
            <w:r>
              <w:rPr>
                <w:rFonts w:hint="eastAsia" w:ascii="宋体" w:hAnsi="宋体" w:eastAsia="宋体" w:cs="宋体"/>
                <w:color w:val="auto"/>
                <w:spacing w:val="-2"/>
                <w:szCs w:val="21"/>
                <w:highlight w:val="none"/>
              </w:rPr>
              <w:t>格式自拟</w:t>
            </w:r>
            <w:r>
              <w:rPr>
                <w:rFonts w:hint="eastAsia" w:ascii="宋体" w:hAnsi="宋体" w:eastAsia="宋体" w:cs="宋体"/>
                <w:color w:val="auto"/>
                <w:szCs w:val="21"/>
                <w:highlight w:val="none"/>
              </w:rPr>
              <w:t>）</w:t>
            </w:r>
          </w:p>
          <w:p w14:paraId="68B113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pacing w:val="-3"/>
                <w:szCs w:val="21"/>
                <w:highlight w:val="none"/>
              </w:rPr>
              <w:t>供应商应在投标文件中提供</w:t>
            </w:r>
            <w:r>
              <w:rPr>
                <w:rFonts w:hint="eastAsia" w:ascii="宋体" w:hAnsi="宋体" w:eastAsia="宋体" w:cs="宋体"/>
                <w:color w:val="auto"/>
                <w:spacing w:val="-3"/>
                <w:szCs w:val="21"/>
                <w:highlight w:val="none"/>
                <w:lang w:val="en-US" w:eastAsia="zh-CN"/>
              </w:rPr>
              <w:t>加盖产品生产商公章的销售授权书和</w:t>
            </w:r>
            <w:r>
              <w:rPr>
                <w:rFonts w:hint="eastAsia" w:ascii="宋体" w:hAnsi="宋体" w:eastAsia="宋体" w:cs="宋体"/>
                <w:color w:val="auto"/>
                <w:spacing w:val="-3"/>
                <w:szCs w:val="21"/>
                <w:highlight w:val="none"/>
              </w:rPr>
              <w:t>能证明其所投产品符合国家标</w:t>
            </w:r>
            <w:r>
              <w:rPr>
                <w:rFonts w:hint="eastAsia" w:ascii="宋体" w:hAnsi="宋体" w:eastAsia="宋体" w:cs="宋体"/>
                <w:color w:val="auto"/>
                <w:spacing w:val="-15"/>
                <w:szCs w:val="21"/>
                <w:highlight w:val="none"/>
              </w:rPr>
              <w:t>准的相关证明文件</w:t>
            </w:r>
            <w:r>
              <w:rPr>
                <w:rFonts w:hint="eastAsia" w:ascii="宋体" w:hAnsi="宋体" w:eastAsia="宋体" w:cs="宋体"/>
                <w:color w:val="auto"/>
                <w:spacing w:val="-3"/>
                <w:szCs w:val="21"/>
                <w:highlight w:val="none"/>
              </w:rPr>
              <w:t>（如</w:t>
            </w:r>
            <w:r>
              <w:rPr>
                <w:rFonts w:hint="eastAsia" w:ascii="宋体" w:hAnsi="宋体" w:eastAsia="宋体" w:cs="宋体"/>
                <w:color w:val="auto"/>
                <w:spacing w:val="-3"/>
                <w:szCs w:val="21"/>
                <w:highlight w:val="none"/>
                <w:lang w:eastAsia="zh-CN"/>
              </w:rPr>
              <w:t>政府主管部门或下属机构</w:t>
            </w:r>
            <w:r>
              <w:rPr>
                <w:rFonts w:hint="eastAsia" w:ascii="宋体" w:hAnsi="宋体" w:eastAsia="宋体" w:cs="宋体"/>
                <w:color w:val="auto"/>
                <w:spacing w:val="-3"/>
                <w:szCs w:val="21"/>
                <w:highlight w:val="none"/>
              </w:rPr>
              <w:t>提供的产品评价报告或相关通报文件</w:t>
            </w:r>
            <w:r>
              <w:rPr>
                <w:rFonts w:hint="eastAsia" w:ascii="宋体" w:hAnsi="宋体" w:eastAsia="宋体" w:cs="宋体"/>
                <w:color w:val="auto"/>
                <w:spacing w:val="-142"/>
                <w:szCs w:val="21"/>
                <w:highlight w:val="none"/>
              </w:rPr>
              <w:t>）</w:t>
            </w:r>
          </w:p>
        </w:tc>
      </w:tr>
      <w:tr w14:paraId="0485F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64" w:type="dxa"/>
            <w:gridSpan w:val="6"/>
            <w:tcBorders>
              <w:top w:val="single" w:color="auto" w:sz="4" w:space="0"/>
              <w:left w:val="single" w:color="auto" w:sz="4" w:space="0"/>
              <w:bottom w:val="single" w:color="auto" w:sz="4" w:space="0"/>
              <w:right w:val="single" w:color="auto" w:sz="4" w:space="0"/>
            </w:tcBorders>
          </w:tcPr>
          <w:p w14:paraId="0EE4F7C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二、商务条款</w:t>
            </w:r>
          </w:p>
        </w:tc>
      </w:tr>
      <w:tr w14:paraId="2A8A0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gridSpan w:val="3"/>
            <w:tcBorders>
              <w:top w:val="single" w:color="auto" w:sz="4" w:space="0"/>
              <w:left w:val="single" w:color="auto" w:sz="4" w:space="0"/>
              <w:bottom w:val="single" w:color="auto" w:sz="4" w:space="0"/>
              <w:right w:val="single" w:color="auto" w:sz="4" w:space="0"/>
            </w:tcBorders>
          </w:tcPr>
          <w:p w14:paraId="06D2479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▲验收标准</w:t>
            </w:r>
          </w:p>
        </w:tc>
        <w:tc>
          <w:tcPr>
            <w:tcW w:w="7342" w:type="dxa"/>
            <w:gridSpan w:val="3"/>
            <w:tcBorders>
              <w:top w:val="single" w:color="auto" w:sz="4" w:space="0"/>
              <w:left w:val="single" w:color="auto" w:sz="4" w:space="0"/>
              <w:bottom w:val="single" w:color="auto" w:sz="4" w:space="0"/>
              <w:right w:val="single" w:color="auto" w:sz="4" w:space="0"/>
            </w:tcBorders>
          </w:tcPr>
          <w:p w14:paraId="155A93B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执行的国家标准、行业标准、地方标准或者其他标准、规范，及本文件“第二章  采购需求”规定的要求。</w:t>
            </w:r>
          </w:p>
        </w:tc>
      </w:tr>
      <w:tr w14:paraId="5FE83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322" w:type="dxa"/>
            <w:gridSpan w:val="3"/>
            <w:tcBorders>
              <w:top w:val="single" w:color="auto" w:sz="4" w:space="0"/>
              <w:left w:val="single" w:color="auto" w:sz="4" w:space="0"/>
              <w:bottom w:val="single" w:color="auto" w:sz="4" w:space="0"/>
              <w:right w:val="single" w:color="auto" w:sz="4" w:space="0"/>
            </w:tcBorders>
          </w:tcPr>
          <w:p w14:paraId="267367FC">
            <w:pPr>
              <w:spacing w:line="360" w:lineRule="auto"/>
              <w:jc w:val="center"/>
              <w:rPr>
                <w:rFonts w:hint="eastAsia" w:ascii="宋体" w:hAnsi="宋体" w:eastAsia="宋体" w:cs="宋体"/>
                <w:color w:val="auto"/>
                <w:szCs w:val="21"/>
                <w:highlight w:val="none"/>
              </w:rPr>
            </w:pPr>
          </w:p>
          <w:p w14:paraId="2913A3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▲验收要求</w:t>
            </w:r>
          </w:p>
        </w:tc>
        <w:tc>
          <w:tcPr>
            <w:tcW w:w="7342" w:type="dxa"/>
            <w:gridSpan w:val="3"/>
            <w:tcBorders>
              <w:top w:val="single" w:color="auto" w:sz="4" w:space="0"/>
              <w:left w:val="single" w:color="auto" w:sz="4" w:space="0"/>
              <w:bottom w:val="single" w:color="auto" w:sz="4" w:space="0"/>
              <w:right w:val="single" w:color="auto" w:sz="4" w:space="0"/>
            </w:tcBorders>
          </w:tcPr>
          <w:p w14:paraId="72312AD1">
            <w:pPr>
              <w:tabs>
                <w:tab w:val="left" w:pos="180"/>
                <w:tab w:val="left" w:pos="162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1.项目验收：在项目结束后进行。</w:t>
            </w:r>
          </w:p>
          <w:p w14:paraId="66A2AE80">
            <w:pPr>
              <w:tabs>
                <w:tab w:val="left" w:pos="180"/>
                <w:tab w:val="left" w:pos="162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2.验收标准：按国家相关标准、行业标准、地方标准或者其他标准、规范，及本文件“第二章  采购需求”规定的要求。</w:t>
            </w:r>
          </w:p>
          <w:p w14:paraId="15154D2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3.验收过程中所产生的一切费用均由中标供应商承担，及本文件“第二章  采购需求”规定的要求。报价时应考虑相关费用。</w:t>
            </w:r>
          </w:p>
          <w:p w14:paraId="337445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4.中标供应商在项目验收时由采购单位或采购单位委托的第三方验收小组对照招标文件及投标文件中的“采购需求”并结合工作方案进行验收，</w:t>
            </w:r>
            <w:r>
              <w:rPr>
                <w:rFonts w:hint="eastAsia" w:ascii="宋体" w:hAnsi="宋体" w:eastAsia="宋体" w:cs="宋体"/>
                <w:color w:val="auto"/>
                <w:kern w:val="0"/>
                <w:szCs w:val="21"/>
                <w:highlight w:val="none"/>
              </w:rPr>
              <w:t>对中标人履约情况进行评定，达到考核标准后无息退还履约保证金。若中标供应商未达到考评标准，将扣除履约保证金。</w:t>
            </w:r>
          </w:p>
        </w:tc>
      </w:tr>
      <w:tr w14:paraId="716C9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gridSpan w:val="3"/>
            <w:tcBorders>
              <w:top w:val="single" w:color="auto" w:sz="4" w:space="0"/>
              <w:left w:val="single" w:color="auto" w:sz="4" w:space="0"/>
              <w:bottom w:val="single" w:color="auto" w:sz="4" w:space="0"/>
              <w:right w:val="single" w:color="auto" w:sz="4" w:space="0"/>
            </w:tcBorders>
            <w:vAlign w:val="center"/>
          </w:tcPr>
          <w:p w14:paraId="24101E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▲合同签订期</w:t>
            </w:r>
          </w:p>
        </w:tc>
        <w:tc>
          <w:tcPr>
            <w:tcW w:w="7342" w:type="dxa"/>
            <w:gridSpan w:val="3"/>
            <w:tcBorders>
              <w:top w:val="single" w:color="auto" w:sz="4" w:space="0"/>
              <w:left w:val="single" w:color="auto" w:sz="4" w:space="0"/>
              <w:bottom w:val="single" w:color="auto" w:sz="4" w:space="0"/>
              <w:right w:val="single" w:color="auto" w:sz="4" w:space="0"/>
            </w:tcBorders>
            <w:vAlign w:val="center"/>
          </w:tcPr>
          <w:p w14:paraId="5C10668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自中标通知书发出之日起25日内。</w:t>
            </w:r>
          </w:p>
        </w:tc>
      </w:tr>
      <w:tr w14:paraId="7C646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322" w:type="dxa"/>
            <w:gridSpan w:val="3"/>
            <w:tcBorders>
              <w:top w:val="single" w:color="auto" w:sz="4" w:space="0"/>
              <w:left w:val="single" w:color="auto" w:sz="4" w:space="0"/>
              <w:bottom w:val="single" w:color="auto" w:sz="4" w:space="0"/>
              <w:right w:val="single" w:color="auto" w:sz="4" w:space="0"/>
            </w:tcBorders>
            <w:vAlign w:val="center"/>
          </w:tcPr>
          <w:p w14:paraId="0F1C43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▲服务期限及服务地点</w:t>
            </w:r>
          </w:p>
        </w:tc>
        <w:tc>
          <w:tcPr>
            <w:tcW w:w="7342" w:type="dxa"/>
            <w:gridSpan w:val="3"/>
            <w:tcBorders>
              <w:top w:val="single" w:color="auto" w:sz="4" w:space="0"/>
              <w:left w:val="single" w:color="auto" w:sz="4" w:space="0"/>
              <w:bottom w:val="single" w:color="auto" w:sz="4" w:space="0"/>
              <w:right w:val="single" w:color="auto" w:sz="4" w:space="0"/>
            </w:tcBorders>
          </w:tcPr>
          <w:p w14:paraId="7DF8095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服务期限：自合同签订之日起一年内；</w:t>
            </w:r>
          </w:p>
          <w:p w14:paraId="2A8E5B9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服务地点：广西14个市及所属的各县（市、区），具体在签订合同后另行约定。</w:t>
            </w:r>
          </w:p>
        </w:tc>
      </w:tr>
      <w:tr w14:paraId="49E71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322" w:type="dxa"/>
            <w:gridSpan w:val="3"/>
            <w:tcBorders>
              <w:top w:val="single" w:color="auto" w:sz="4" w:space="0"/>
              <w:left w:val="single" w:color="auto" w:sz="4" w:space="0"/>
              <w:bottom w:val="single" w:color="auto" w:sz="4" w:space="0"/>
              <w:right w:val="single" w:color="auto" w:sz="4" w:space="0"/>
            </w:tcBorders>
            <w:vAlign w:val="center"/>
          </w:tcPr>
          <w:p w14:paraId="7CD3DA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7342" w:type="dxa"/>
            <w:gridSpan w:val="3"/>
            <w:tcBorders>
              <w:top w:val="single" w:color="auto" w:sz="4" w:space="0"/>
              <w:left w:val="single" w:color="auto" w:sz="4" w:space="0"/>
              <w:bottom w:val="single" w:color="auto" w:sz="4" w:space="0"/>
              <w:right w:val="single" w:color="auto" w:sz="4" w:space="0"/>
            </w:tcBorders>
          </w:tcPr>
          <w:p w14:paraId="237DE57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投标报价为采购人指定地点的现场交货价，包括：</w:t>
            </w:r>
          </w:p>
          <w:p w14:paraId="1641D33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（1）货物的价格：包括货款、验收费（含检定、校准费等）；</w:t>
            </w:r>
          </w:p>
          <w:p w14:paraId="0A2C031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（2）货物的标准附件、备品备件、专用工具的价格；</w:t>
            </w:r>
          </w:p>
          <w:p w14:paraId="759FBFE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（3）运输、装卸、售后服务费；</w:t>
            </w:r>
          </w:p>
          <w:p w14:paraId="0C78EAA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（4）投标报价包含本次检测项目所需要的所有费用、招标代理服务费、保险费、验收费用和各项税金；</w:t>
            </w:r>
          </w:p>
          <w:p w14:paraId="0FF64881">
            <w:pPr>
              <w:tabs>
                <w:tab w:val="left" w:pos="180"/>
                <w:tab w:val="left" w:pos="162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（5）技术支持、宣传培训、驻点检测、信息平台对接及其相关工作开展需要的其他费用；所检测样品的抽样、制备和各项检测指标的费用。</w:t>
            </w:r>
          </w:p>
          <w:p w14:paraId="0CBD011B">
            <w:pPr>
              <w:pStyle w:val="194"/>
              <w:spacing w:line="360" w:lineRule="auto"/>
              <w:ind w:left="0" w:leftChars="0" w:firstLine="0" w:firstLine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（6）投标人投标时必须按照单价进行报价，A 、B、C、D分标产品快速检测服务单价最高限价为100元/批次。</w:t>
            </w:r>
          </w:p>
          <w:p w14:paraId="149415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（7）供应商自行考虑完成项目所需的人力、物力等，投标报价中应包含全部内容，中标后采购人不再另行支付额外费用。</w:t>
            </w:r>
          </w:p>
        </w:tc>
      </w:tr>
      <w:tr w14:paraId="2EE19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322" w:type="dxa"/>
            <w:gridSpan w:val="3"/>
            <w:tcBorders>
              <w:top w:val="single" w:color="auto" w:sz="4" w:space="0"/>
              <w:left w:val="single" w:color="auto" w:sz="4" w:space="0"/>
              <w:bottom w:val="single" w:color="auto" w:sz="4" w:space="0"/>
              <w:right w:val="single" w:color="auto" w:sz="4" w:space="0"/>
            </w:tcBorders>
            <w:vAlign w:val="center"/>
          </w:tcPr>
          <w:p w14:paraId="0D884A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342" w:type="dxa"/>
            <w:gridSpan w:val="3"/>
            <w:tcBorders>
              <w:top w:val="single" w:color="auto" w:sz="4" w:space="0"/>
              <w:left w:val="single" w:color="auto" w:sz="4" w:space="0"/>
              <w:bottom w:val="single" w:color="auto" w:sz="4" w:space="0"/>
              <w:right w:val="single" w:color="auto" w:sz="4" w:space="0"/>
            </w:tcBorders>
          </w:tcPr>
          <w:p w14:paraId="263E77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担保措施生效及具备实施条件后十个工作日内付合同金额的30%，（供应商属于中小企业的按照50%），供应商按照实际检测需求提供快速检测试纸、仪器、设备及技术支持和培训等服务，提供50%的货物及服务后支付合同金额的65%（供应商属于中小企业的按照45%），项目整体验收通过后支付合同金额的5%。</w:t>
            </w:r>
          </w:p>
          <w:p w14:paraId="47E1F8B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2.每次付款前由中标供应商向采购人提出付款申请，并开具合法有效的发票后支付合同款。</w:t>
            </w:r>
          </w:p>
          <w:p w14:paraId="4EDFAF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如未按国家要求开具全额发票或发现中标供应商提供虚假发票，除须向采购人补开合法发票外，须赔偿采购人发票票面金额一倍的违约金，且采购人有权终止合同，供应商不得提出异议，因终止合同而产生的一切损失均由供应商承担。</w:t>
            </w:r>
          </w:p>
        </w:tc>
      </w:tr>
      <w:tr w14:paraId="0ED64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322" w:type="dxa"/>
            <w:gridSpan w:val="3"/>
            <w:tcBorders>
              <w:top w:val="single" w:color="auto" w:sz="4" w:space="0"/>
              <w:left w:val="single" w:color="auto" w:sz="4" w:space="0"/>
              <w:bottom w:val="single" w:color="auto" w:sz="4" w:space="0"/>
              <w:right w:val="single" w:color="auto" w:sz="4" w:space="0"/>
            </w:tcBorders>
            <w:vAlign w:val="center"/>
          </w:tcPr>
          <w:p w14:paraId="0557AB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▲服务要求</w:t>
            </w:r>
          </w:p>
        </w:tc>
        <w:tc>
          <w:tcPr>
            <w:tcW w:w="7342" w:type="dxa"/>
            <w:gridSpan w:val="3"/>
            <w:tcBorders>
              <w:top w:val="single" w:color="auto" w:sz="4" w:space="0"/>
              <w:left w:val="single" w:color="auto" w:sz="4" w:space="0"/>
              <w:bottom w:val="single" w:color="auto" w:sz="4" w:space="0"/>
              <w:right w:val="single" w:color="auto" w:sz="4" w:space="0"/>
            </w:tcBorders>
          </w:tcPr>
          <w:p w14:paraId="25560E9F">
            <w:pPr>
              <w:pStyle w:val="220"/>
              <w:tabs>
                <w:tab w:val="left" w:pos="1996"/>
              </w:tabs>
              <w:spacing w:line="360" w:lineRule="auto"/>
              <w:ind w:firstLine="408"/>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rPr>
              <w:t>1、供应商应具备完善的售后服务体系，在自治区内具有固定的维</w:t>
            </w:r>
            <w:r>
              <w:rPr>
                <w:rFonts w:hint="eastAsia" w:ascii="宋体" w:hAnsi="宋体" w:eastAsia="宋体" w:cs="宋体"/>
                <w:color w:val="auto"/>
                <w:spacing w:val="-8"/>
                <w:szCs w:val="21"/>
                <w:highlight w:val="none"/>
              </w:rPr>
              <w:t>护人员并有能力及时处理所有可能发生的故障；外省供应商应委托本</w:t>
            </w:r>
            <w:r>
              <w:rPr>
                <w:rFonts w:hint="eastAsia" w:ascii="宋体" w:hAnsi="宋体" w:eastAsia="宋体" w:cs="宋体"/>
                <w:color w:val="auto"/>
                <w:spacing w:val="-7"/>
                <w:szCs w:val="21"/>
                <w:highlight w:val="none"/>
              </w:rPr>
              <w:t>自治区有固定地点的维护人员及时处理所有可能发生的故障。</w:t>
            </w:r>
          </w:p>
          <w:p w14:paraId="218C924F">
            <w:pPr>
              <w:pStyle w:val="220"/>
              <w:tabs>
                <w:tab w:val="left" w:pos="1929"/>
              </w:tabs>
              <w:spacing w:line="360" w:lineRule="auto"/>
              <w:ind w:firstLine="376"/>
              <w:rPr>
                <w:rFonts w:hint="eastAsia" w:ascii="宋体" w:hAnsi="宋体" w:eastAsia="宋体" w:cs="宋体"/>
                <w:color w:val="auto"/>
                <w:szCs w:val="21"/>
                <w:highlight w:val="none"/>
              </w:rPr>
            </w:pPr>
            <w:r>
              <w:rPr>
                <w:rFonts w:hint="eastAsia" w:ascii="宋体" w:hAnsi="宋体" w:eastAsia="宋体" w:cs="宋体"/>
                <w:color w:val="auto"/>
                <w:spacing w:val="-11"/>
                <w:szCs w:val="21"/>
                <w:highlight w:val="none"/>
              </w:rPr>
              <w:t>2</w:t>
            </w:r>
            <w:r>
              <w:rPr>
                <w:rFonts w:hint="eastAsia" w:ascii="宋体" w:hAnsi="宋体" w:eastAsia="宋体" w:cs="宋体"/>
                <w:color w:val="auto"/>
                <w:spacing w:val="-11"/>
                <w:szCs w:val="21"/>
                <w:highlight w:val="none"/>
                <w:lang w:val="en-US" w:eastAsia="zh-CN"/>
              </w:rPr>
              <w:t>.</w:t>
            </w:r>
            <w:r>
              <w:rPr>
                <w:rFonts w:hint="eastAsia" w:ascii="宋体" w:hAnsi="宋体" w:eastAsia="宋体" w:cs="宋体"/>
                <w:color w:val="auto"/>
                <w:spacing w:val="-11"/>
                <w:szCs w:val="21"/>
                <w:highlight w:val="none"/>
              </w:rPr>
              <w:t>在保质期以内，供应商应根据国家最新版食品中农药最大</w:t>
            </w:r>
            <w:r>
              <w:rPr>
                <w:rFonts w:hint="eastAsia" w:ascii="宋体" w:hAnsi="宋体" w:eastAsia="宋体" w:cs="宋体"/>
                <w:color w:val="auto"/>
                <w:spacing w:val="-10"/>
                <w:szCs w:val="21"/>
                <w:highlight w:val="none"/>
              </w:rPr>
              <w:t>残留限量值变化，提供包括不仅限于样本前处理的技术调整。</w:t>
            </w: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提供承诺函</w:t>
            </w:r>
            <w:r>
              <w:rPr>
                <w:rFonts w:hint="eastAsia" w:ascii="宋体" w:hAnsi="宋体" w:eastAsia="宋体" w:cs="宋体"/>
                <w:color w:val="auto"/>
                <w:szCs w:val="21"/>
                <w:highlight w:val="none"/>
              </w:rPr>
              <w:t>）</w:t>
            </w:r>
          </w:p>
          <w:p w14:paraId="52CBB9D5">
            <w:pPr>
              <w:pStyle w:val="220"/>
              <w:tabs>
                <w:tab w:val="left" w:pos="1996"/>
              </w:tabs>
              <w:spacing w:line="360" w:lineRule="auto"/>
              <w:ind w:firstLine="408"/>
              <w:rPr>
                <w:rFonts w:hint="eastAsia" w:ascii="宋体" w:hAnsi="宋体" w:eastAsia="宋体" w:cs="宋体"/>
                <w:color w:val="auto"/>
                <w:spacing w:val="-3"/>
                <w:szCs w:val="21"/>
                <w:highlight w:val="none"/>
              </w:rPr>
            </w:pPr>
            <w:r>
              <w:rPr>
                <w:rFonts w:hint="eastAsia" w:ascii="宋体" w:hAnsi="宋体" w:eastAsia="宋体" w:cs="宋体"/>
                <w:color w:val="auto"/>
                <w:spacing w:val="-3"/>
                <w:szCs w:val="21"/>
                <w:highlight w:val="none"/>
                <w:lang w:val="en-US" w:eastAsia="zh-CN"/>
              </w:rPr>
              <w:t>3.</w:t>
            </w:r>
            <w:r>
              <w:rPr>
                <w:rFonts w:hint="eastAsia" w:ascii="宋体" w:hAnsi="宋体" w:eastAsia="宋体" w:cs="宋体"/>
                <w:color w:val="auto"/>
                <w:spacing w:val="-3"/>
                <w:szCs w:val="21"/>
                <w:highlight w:val="none"/>
              </w:rPr>
              <w:t>除投标文件明确外，中标人不得以任何方式转包或分包本项目，同一包须为同一个厂家、同一个品牌的产品。（提供承诺函）</w:t>
            </w:r>
          </w:p>
          <w:p w14:paraId="36A4DA2E">
            <w:pPr>
              <w:pStyle w:val="133"/>
              <w:widowControl/>
              <w:spacing w:before="76" w:line="360" w:lineRule="auto"/>
              <w:ind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4.所提供的产品包括配件必须是厂家原包装全新正品，且产品有效使用期长（自接收到样品第二天计，以天计）应≥90%产品保质期长（以天计），否则不予验收。</w:t>
            </w:r>
          </w:p>
          <w:p w14:paraId="1E260D18">
            <w:pPr>
              <w:pStyle w:val="133"/>
              <w:widowControl/>
              <w:spacing w:before="76" w:line="360" w:lineRule="auto"/>
              <w:ind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5.接到采购人质量问题报告，1小时内响应，4小时内到达现场，24小时内排除问题，如在规定时间内无法排除，提供备品备件，保证采购人正常工作需要。</w:t>
            </w:r>
          </w:p>
          <w:p w14:paraId="1E2B2A32">
            <w:pPr>
              <w:pStyle w:val="133"/>
              <w:widowControl/>
              <w:spacing w:before="76" w:line="360" w:lineRule="auto"/>
              <w:ind w:firstLine="420" w:firstLineChars="200"/>
              <w:rPr>
                <w:rFonts w:hint="eastAsia" w:ascii="宋体" w:hAnsi="宋体" w:eastAsia="宋体" w:cs="宋体"/>
                <w:b/>
                <w:bCs/>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6.在项目实施过程中，中标人须提供中标产品数量的5%用于进行产品评价和性能验证实验，验证产品随机抽取，由采购人指定部级农检机构参照《农药残留胶体金免疫层析定性快速检测产品评价及性能验证规范》（NY/T 2715-2025）规定的程序进行产品评价及性能验证，样品基质为豇豆等果蔬类，评价判定指标为空白样品检测假阳性率应小于等于4%，按照农药残留最大残留限量添加水平下的样品检测假阴性率应小于等于2%，检测2倍农药残留最大残留限量添加水平的样品时不得有假阴性结果。全部满足该评价判定指标要求时为“通过”，否则为“不通过”。产品评价为不通过时，中标人须提供抽取产品数量的50倍产品赔偿。</w:t>
            </w:r>
          </w:p>
          <w:p w14:paraId="5970D784">
            <w:pPr>
              <w:pStyle w:val="133"/>
              <w:widowControl/>
              <w:spacing w:before="76" w:line="360" w:lineRule="auto"/>
              <w:ind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7.检测结果归采购人所有，中标人必须对一切检测数据和检测技术资料保密，不得泄露给任何第三方，也不得将与样品有关的技术资料用于任何经营、开发及学术活动，否则，后果自负。</w:t>
            </w:r>
          </w:p>
          <w:p w14:paraId="3757666F">
            <w:pPr>
              <w:pStyle w:val="133"/>
              <w:widowControl/>
              <w:spacing w:before="76" w:line="360" w:lineRule="auto"/>
              <w:ind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8.中标人接受采购人不定期的电话、电子邮件以及现场检查等方式的督促和相关的质量控制，以保证检测服务工作的进度和质量。</w:t>
            </w:r>
          </w:p>
          <w:p w14:paraId="33906A7F">
            <w:pPr>
              <w:pStyle w:val="133"/>
              <w:widowControl/>
              <w:spacing w:before="76" w:line="360" w:lineRule="auto"/>
              <w:ind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9.中标人须按照采购人制定的工作实施方案内容开展工作，并定期汇报服务进度，项目结束提供合同期内工作开展情况及佐证材料。</w:t>
            </w:r>
          </w:p>
          <w:p w14:paraId="4CEED3B9">
            <w:pPr>
              <w:pStyle w:val="220"/>
              <w:tabs>
                <w:tab w:val="left" w:pos="1996"/>
              </w:tabs>
              <w:spacing w:line="360" w:lineRule="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10.服务方案：投标时，投标人需提供详细的实施、服务方案。</w:t>
            </w:r>
          </w:p>
        </w:tc>
      </w:tr>
      <w:tr w14:paraId="472AF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322" w:type="dxa"/>
            <w:gridSpan w:val="3"/>
            <w:tcBorders>
              <w:top w:val="single" w:color="auto" w:sz="4" w:space="0"/>
              <w:left w:val="single" w:color="auto" w:sz="4" w:space="0"/>
              <w:bottom w:val="single" w:color="auto" w:sz="4" w:space="0"/>
              <w:right w:val="single" w:color="auto" w:sz="4" w:space="0"/>
            </w:tcBorders>
            <w:vAlign w:val="center"/>
          </w:tcPr>
          <w:p w14:paraId="210504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▲售后服务期限</w:t>
            </w:r>
          </w:p>
        </w:tc>
        <w:tc>
          <w:tcPr>
            <w:tcW w:w="7342" w:type="dxa"/>
            <w:gridSpan w:val="3"/>
            <w:tcBorders>
              <w:top w:val="single" w:color="auto" w:sz="4" w:space="0"/>
              <w:left w:val="single" w:color="auto" w:sz="4" w:space="0"/>
              <w:bottom w:val="single" w:color="auto" w:sz="4" w:space="0"/>
              <w:right w:val="single" w:color="auto" w:sz="4" w:space="0"/>
            </w:tcBorders>
          </w:tcPr>
          <w:p w14:paraId="6271BAB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质保期自验收合格之日起计算不少于一年，质保期内免费上门服务，质保期满后，以优惠价格提供服务。</w:t>
            </w:r>
          </w:p>
        </w:tc>
      </w:tr>
      <w:tr w14:paraId="74189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322" w:type="dxa"/>
            <w:gridSpan w:val="3"/>
            <w:tcBorders>
              <w:top w:val="single" w:color="auto" w:sz="4" w:space="0"/>
              <w:left w:val="single" w:color="auto" w:sz="4" w:space="0"/>
              <w:bottom w:val="single" w:color="auto" w:sz="4" w:space="0"/>
              <w:right w:val="single" w:color="auto" w:sz="4" w:space="0"/>
            </w:tcBorders>
            <w:vAlign w:val="center"/>
          </w:tcPr>
          <w:p w14:paraId="645B0F6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7342" w:type="dxa"/>
            <w:gridSpan w:val="3"/>
            <w:tcBorders>
              <w:top w:val="single" w:color="auto" w:sz="4" w:space="0"/>
              <w:left w:val="single" w:color="auto" w:sz="4" w:space="0"/>
              <w:bottom w:val="single" w:color="auto" w:sz="4" w:space="0"/>
              <w:right w:val="single" w:color="auto" w:sz="4" w:space="0"/>
            </w:tcBorders>
          </w:tcPr>
          <w:p w14:paraId="39CA591E">
            <w:pPr>
              <w:pStyle w:val="39"/>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1.交货时，所有产品均严格按供应商响应和承诺的技术参数及性能和国家有关标准进行验收，达不到要求的不予验收，视为产品验收不合格。</w:t>
            </w:r>
          </w:p>
          <w:p w14:paraId="632361BE">
            <w:pPr>
              <w:pStyle w:val="39"/>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2.按国家有关产品“三包”规定实行“三包”。</w:t>
            </w:r>
          </w:p>
          <w:p w14:paraId="7A123C7D">
            <w:pPr>
              <w:pStyle w:val="39"/>
              <w:snapToGrid/>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3.货物出现质量问题三个月内全免费上门包换或作退货处理。</w:t>
            </w:r>
          </w:p>
          <w:p w14:paraId="617FBA09">
            <w:pPr>
              <w:pStyle w:val="133"/>
              <w:tabs>
                <w:tab w:val="left" w:pos="319"/>
              </w:tabs>
              <w:spacing w:before="119"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4.投标产品应通过近三年</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lang w:eastAsia="zh-CN"/>
              </w:rPr>
              <w:t>省级及省级以上检测机构组织的农产品/水产品药物残留快速检测验证，未验证的参数需提供相应的试验验证材料。（在响应文件中提供证明资料和相关汇总表（包括但不限于验证产品名称、验证药物残留参数、样品基质、限量标准、评价判定依据、评价验证结果、评价验证结论、评价验证年度，评价验证机构等信息），并加盖公章）。</w:t>
            </w:r>
          </w:p>
        </w:tc>
      </w:tr>
    </w:tbl>
    <w:p w14:paraId="22AC62D7">
      <w:pPr>
        <w:pStyle w:val="161"/>
        <w:jc w:val="left"/>
        <w:rPr>
          <w:rFonts w:hint="eastAsia" w:ascii="宋体" w:hAnsi="宋体" w:cs="宋体"/>
          <w:color w:val="auto"/>
          <w:highlight w:val="none"/>
        </w:rPr>
      </w:pPr>
    </w:p>
    <w:p w14:paraId="74029BBB">
      <w:pPr>
        <w:pStyle w:val="161"/>
        <w:rPr>
          <w:rFonts w:hint="eastAsia" w:ascii="宋体" w:hAnsi="宋体" w:cs="宋体"/>
          <w:color w:val="auto"/>
          <w:highlight w:val="none"/>
        </w:rPr>
      </w:pPr>
    </w:p>
    <w:p w14:paraId="06C51D68">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20A302FC">
      <w:pPr>
        <w:jc w:val="left"/>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附件1：</w:t>
      </w:r>
    </w:p>
    <w:p w14:paraId="3D567F8A">
      <w:pPr>
        <w:pStyle w:val="161"/>
        <w:rPr>
          <w:rFonts w:hint="eastAsia" w:ascii="宋体" w:hAnsi="宋体" w:cs="宋体"/>
          <w:color w:val="auto"/>
          <w:sz w:val="21"/>
          <w:szCs w:val="21"/>
          <w:highlight w:val="none"/>
        </w:rPr>
      </w:pPr>
    </w:p>
    <w:p w14:paraId="2A147EB7">
      <w:pPr>
        <w:spacing w:line="230" w:lineRule="auto"/>
        <w:rPr>
          <w:rFonts w:hint="eastAsia" w:ascii="宋体" w:hAnsi="宋体" w:cs="宋体"/>
          <w:color w:val="auto"/>
          <w:spacing w:val="5"/>
          <w:sz w:val="20"/>
          <w:szCs w:val="20"/>
          <w:highlight w:val="none"/>
        </w:rPr>
      </w:pPr>
    </w:p>
    <w:p w14:paraId="027EA720">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节能产品政府采购品目清单</w:t>
      </w:r>
    </w:p>
    <w:tbl>
      <w:tblPr>
        <w:tblStyle w:val="62"/>
        <w:tblW w:w="90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
        <w:gridCol w:w="554"/>
        <w:gridCol w:w="1614"/>
        <w:gridCol w:w="1350"/>
        <w:gridCol w:w="1868"/>
        <w:gridCol w:w="3632"/>
      </w:tblGrid>
      <w:tr w14:paraId="73163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564" w:type="dxa"/>
            <w:gridSpan w:val="2"/>
            <w:vAlign w:val="center"/>
          </w:tcPr>
          <w:p w14:paraId="74090529">
            <w:pPr>
              <w:autoSpaceDE w:val="0"/>
              <w:autoSpaceDN w:val="0"/>
              <w:jc w:val="center"/>
              <w:rPr>
                <w:rFonts w:hint="eastAsia" w:ascii="宋体" w:hAnsi="宋体" w:cs="宋体"/>
                <w:b/>
                <w:bCs/>
                <w:color w:val="auto"/>
                <w:highlight w:val="none"/>
              </w:rPr>
            </w:pPr>
            <w:bookmarkStart w:id="43" w:name="_Hlk72765337"/>
            <w:r>
              <w:rPr>
                <w:rFonts w:hint="eastAsia" w:ascii="宋体" w:hAnsi="宋体" w:cs="宋体"/>
                <w:b/>
                <w:bCs/>
                <w:color w:val="auto"/>
                <w:highlight w:val="none"/>
              </w:rPr>
              <w:t>品目序号</w:t>
            </w:r>
          </w:p>
        </w:tc>
        <w:tc>
          <w:tcPr>
            <w:tcW w:w="4832" w:type="dxa"/>
            <w:gridSpan w:val="3"/>
            <w:vAlign w:val="center"/>
          </w:tcPr>
          <w:p w14:paraId="3C88BBE5">
            <w:pPr>
              <w:autoSpaceDE w:val="0"/>
              <w:autoSpaceDN w:val="0"/>
              <w:jc w:val="center"/>
              <w:rPr>
                <w:rFonts w:hint="eastAsia" w:ascii="宋体" w:hAnsi="宋体" w:cs="宋体"/>
                <w:b/>
                <w:bCs/>
                <w:color w:val="auto"/>
                <w:highlight w:val="none"/>
              </w:rPr>
            </w:pPr>
            <w:r>
              <w:rPr>
                <w:rFonts w:hint="eastAsia" w:ascii="宋体" w:hAnsi="宋体" w:cs="宋体"/>
                <w:b/>
                <w:bCs/>
                <w:color w:val="auto"/>
                <w:highlight w:val="none"/>
              </w:rPr>
              <w:t>名称</w:t>
            </w:r>
          </w:p>
        </w:tc>
        <w:tc>
          <w:tcPr>
            <w:tcW w:w="3632" w:type="dxa"/>
            <w:vAlign w:val="center"/>
          </w:tcPr>
          <w:p w14:paraId="65E98F40">
            <w:pPr>
              <w:autoSpaceDE w:val="0"/>
              <w:autoSpaceDN w:val="0"/>
              <w:jc w:val="center"/>
              <w:rPr>
                <w:rFonts w:hint="eastAsia" w:ascii="宋体" w:hAnsi="宋体" w:cs="宋体"/>
                <w:b/>
                <w:bCs/>
                <w:color w:val="auto"/>
                <w:highlight w:val="none"/>
              </w:rPr>
            </w:pPr>
            <w:r>
              <w:rPr>
                <w:rFonts w:hint="eastAsia" w:ascii="宋体" w:hAnsi="宋体" w:cs="宋体"/>
                <w:b/>
                <w:bCs/>
                <w:color w:val="auto"/>
                <w:highlight w:val="none"/>
              </w:rPr>
              <w:t>依据的标准</w:t>
            </w:r>
          </w:p>
        </w:tc>
      </w:tr>
      <w:tr w14:paraId="7ADB7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564" w:type="dxa"/>
            <w:gridSpan w:val="2"/>
            <w:vMerge w:val="restart"/>
            <w:vAlign w:val="center"/>
          </w:tcPr>
          <w:p w14:paraId="1DF8C113">
            <w:pPr>
              <w:autoSpaceDE w:val="0"/>
              <w:autoSpaceDN w:val="0"/>
              <w:jc w:val="center"/>
              <w:rPr>
                <w:rFonts w:hint="eastAsia" w:ascii="宋体" w:hAnsi="宋体" w:cs="宋体"/>
                <w:color w:val="auto"/>
                <w:highlight w:val="none"/>
              </w:rPr>
            </w:pPr>
            <w:r>
              <w:rPr>
                <w:rFonts w:hint="eastAsia" w:ascii="宋体" w:hAnsi="宋体" w:cs="宋体"/>
                <w:color w:val="auto"/>
                <w:highlight w:val="none"/>
              </w:rPr>
              <w:t>1</w:t>
            </w:r>
          </w:p>
        </w:tc>
        <w:tc>
          <w:tcPr>
            <w:tcW w:w="1614" w:type="dxa"/>
            <w:vMerge w:val="restart"/>
            <w:vAlign w:val="center"/>
          </w:tcPr>
          <w:p w14:paraId="15CA2D71">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A020101</w:t>
            </w:r>
            <w:r>
              <w:rPr>
                <w:rFonts w:hint="eastAsia" w:ascii="宋体" w:hAnsi="宋体" w:cs="宋体"/>
                <w:color w:val="auto"/>
                <w:spacing w:val="-20"/>
                <w:highlight w:val="none"/>
              </w:rPr>
              <w:t xml:space="preserve"> 计算</w:t>
            </w:r>
            <w:r>
              <w:rPr>
                <w:rFonts w:hint="eastAsia" w:ascii="宋体" w:hAnsi="宋体" w:cs="宋体"/>
                <w:color w:val="auto"/>
                <w:highlight w:val="none"/>
              </w:rPr>
              <w:t>机设备</w:t>
            </w:r>
          </w:p>
        </w:tc>
        <w:tc>
          <w:tcPr>
            <w:tcW w:w="1350" w:type="dxa"/>
            <w:vAlign w:val="center"/>
          </w:tcPr>
          <w:p w14:paraId="3E88A5DA">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★A02010104</w:t>
            </w:r>
            <w:r>
              <w:rPr>
                <w:rFonts w:hint="eastAsia" w:ascii="宋体" w:hAnsi="宋体" w:cs="宋体"/>
                <w:color w:val="auto"/>
                <w:spacing w:val="-7"/>
                <w:highlight w:val="none"/>
              </w:rPr>
              <w:t xml:space="preserve"> 台式计</w:t>
            </w:r>
            <w:r>
              <w:rPr>
                <w:rFonts w:hint="eastAsia" w:ascii="宋体" w:hAnsi="宋体" w:cs="宋体"/>
                <w:color w:val="auto"/>
                <w:highlight w:val="none"/>
              </w:rPr>
              <w:t>算机</w:t>
            </w:r>
          </w:p>
        </w:tc>
        <w:tc>
          <w:tcPr>
            <w:tcW w:w="1868" w:type="dxa"/>
            <w:vAlign w:val="center"/>
          </w:tcPr>
          <w:p w14:paraId="0C89C1FC">
            <w:pPr>
              <w:autoSpaceDE w:val="0"/>
              <w:autoSpaceDN w:val="0"/>
              <w:jc w:val="center"/>
              <w:rPr>
                <w:rFonts w:hint="eastAsia" w:ascii="宋体" w:hAnsi="宋体" w:cs="宋体"/>
                <w:color w:val="auto"/>
                <w:highlight w:val="none"/>
              </w:rPr>
            </w:pPr>
          </w:p>
        </w:tc>
        <w:tc>
          <w:tcPr>
            <w:tcW w:w="3632" w:type="dxa"/>
            <w:vAlign w:val="center"/>
          </w:tcPr>
          <w:p w14:paraId="0BC817A9">
            <w:pPr>
              <w:autoSpaceDE w:val="0"/>
              <w:autoSpaceDN w:val="0"/>
              <w:jc w:val="center"/>
              <w:rPr>
                <w:rFonts w:hint="eastAsia" w:ascii="宋体" w:hAnsi="宋体" w:cs="宋体"/>
                <w:color w:val="auto"/>
                <w:highlight w:val="none"/>
              </w:rPr>
            </w:pPr>
            <w:r>
              <w:rPr>
                <w:rFonts w:hint="eastAsia" w:ascii="宋体" w:hAnsi="宋体" w:cs="宋体"/>
                <w:color w:val="auto"/>
                <w:spacing w:val="9"/>
                <w:highlight w:val="none"/>
              </w:rPr>
              <w:t>《微型计算机能效限定值及能效</w:t>
            </w:r>
            <w:r>
              <w:rPr>
                <w:rFonts w:hint="eastAsia" w:ascii="宋体" w:hAnsi="宋体" w:cs="宋体"/>
                <w:color w:val="auto"/>
                <w:highlight w:val="none"/>
              </w:rPr>
              <w:t>等级》（GB</w:t>
            </w:r>
            <w:r>
              <w:rPr>
                <w:rFonts w:hint="eastAsia" w:ascii="宋体" w:hAnsi="宋体" w:cs="宋体"/>
                <w:color w:val="auto"/>
                <w:spacing w:val="1"/>
                <w:highlight w:val="none"/>
              </w:rPr>
              <w:t xml:space="preserve"> </w:t>
            </w:r>
            <w:r>
              <w:rPr>
                <w:rFonts w:hint="eastAsia" w:ascii="宋体" w:hAnsi="宋体" w:cs="宋体"/>
                <w:color w:val="auto"/>
                <w:highlight w:val="none"/>
              </w:rPr>
              <w:t>28380）</w:t>
            </w:r>
          </w:p>
        </w:tc>
      </w:tr>
      <w:tr w14:paraId="3A3AE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564" w:type="dxa"/>
            <w:gridSpan w:val="2"/>
            <w:vMerge w:val="continue"/>
            <w:vAlign w:val="center"/>
          </w:tcPr>
          <w:p w14:paraId="504DBC7B">
            <w:pPr>
              <w:autoSpaceDE w:val="0"/>
              <w:autoSpaceDN w:val="0"/>
              <w:jc w:val="center"/>
              <w:rPr>
                <w:rFonts w:hint="eastAsia" w:ascii="宋体" w:hAnsi="宋体" w:cs="宋体"/>
                <w:color w:val="auto"/>
                <w:highlight w:val="none"/>
              </w:rPr>
            </w:pPr>
          </w:p>
        </w:tc>
        <w:tc>
          <w:tcPr>
            <w:tcW w:w="1614" w:type="dxa"/>
            <w:vMerge w:val="continue"/>
            <w:vAlign w:val="center"/>
          </w:tcPr>
          <w:p w14:paraId="3C03365D">
            <w:pPr>
              <w:autoSpaceDE w:val="0"/>
              <w:autoSpaceDN w:val="0"/>
              <w:jc w:val="center"/>
              <w:rPr>
                <w:rFonts w:hint="eastAsia" w:ascii="宋体" w:hAnsi="宋体" w:cs="宋体"/>
                <w:color w:val="auto"/>
                <w:highlight w:val="none"/>
              </w:rPr>
            </w:pPr>
          </w:p>
        </w:tc>
        <w:tc>
          <w:tcPr>
            <w:tcW w:w="1350" w:type="dxa"/>
            <w:vAlign w:val="center"/>
          </w:tcPr>
          <w:p w14:paraId="3F6D7442">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★A02010105</w:t>
            </w:r>
            <w:r>
              <w:rPr>
                <w:rFonts w:hint="eastAsia" w:ascii="宋体" w:hAnsi="宋体" w:cs="宋体"/>
                <w:color w:val="auto"/>
                <w:spacing w:val="-7"/>
                <w:highlight w:val="none"/>
              </w:rPr>
              <w:t xml:space="preserve"> 便携式</w:t>
            </w:r>
            <w:r>
              <w:rPr>
                <w:rFonts w:hint="eastAsia" w:ascii="宋体" w:hAnsi="宋体" w:cs="宋体"/>
                <w:color w:val="auto"/>
                <w:highlight w:val="none"/>
              </w:rPr>
              <w:t>计算机</w:t>
            </w:r>
          </w:p>
        </w:tc>
        <w:tc>
          <w:tcPr>
            <w:tcW w:w="1868" w:type="dxa"/>
            <w:vAlign w:val="center"/>
          </w:tcPr>
          <w:p w14:paraId="3F17A257">
            <w:pPr>
              <w:autoSpaceDE w:val="0"/>
              <w:autoSpaceDN w:val="0"/>
              <w:jc w:val="center"/>
              <w:rPr>
                <w:rFonts w:hint="eastAsia" w:ascii="宋体" w:hAnsi="宋体" w:cs="宋体"/>
                <w:color w:val="auto"/>
                <w:highlight w:val="none"/>
              </w:rPr>
            </w:pPr>
          </w:p>
        </w:tc>
        <w:tc>
          <w:tcPr>
            <w:tcW w:w="3632" w:type="dxa"/>
            <w:vAlign w:val="center"/>
          </w:tcPr>
          <w:p w14:paraId="6BB795A5">
            <w:pPr>
              <w:autoSpaceDE w:val="0"/>
              <w:autoSpaceDN w:val="0"/>
              <w:jc w:val="center"/>
              <w:rPr>
                <w:rFonts w:hint="eastAsia" w:ascii="宋体" w:hAnsi="宋体" w:cs="宋体"/>
                <w:color w:val="auto"/>
                <w:highlight w:val="none"/>
              </w:rPr>
            </w:pPr>
            <w:r>
              <w:rPr>
                <w:rFonts w:hint="eastAsia" w:ascii="宋体" w:hAnsi="宋体" w:cs="宋体"/>
                <w:color w:val="auto"/>
                <w:spacing w:val="9"/>
                <w:highlight w:val="none"/>
              </w:rPr>
              <w:t>《微型计算机能效限定值及能效</w:t>
            </w:r>
            <w:r>
              <w:rPr>
                <w:rFonts w:hint="eastAsia" w:ascii="宋体" w:hAnsi="宋体" w:cs="宋体"/>
                <w:color w:val="auto"/>
                <w:highlight w:val="none"/>
              </w:rPr>
              <w:t>等级》（GB</w:t>
            </w:r>
            <w:r>
              <w:rPr>
                <w:rFonts w:hint="eastAsia" w:ascii="宋体" w:hAnsi="宋体" w:cs="宋体"/>
                <w:color w:val="auto"/>
                <w:spacing w:val="1"/>
                <w:highlight w:val="none"/>
              </w:rPr>
              <w:t xml:space="preserve"> </w:t>
            </w:r>
            <w:r>
              <w:rPr>
                <w:rFonts w:hint="eastAsia" w:ascii="宋体" w:hAnsi="宋体" w:cs="宋体"/>
                <w:color w:val="auto"/>
                <w:highlight w:val="none"/>
              </w:rPr>
              <w:t>28380）</w:t>
            </w:r>
          </w:p>
        </w:tc>
      </w:tr>
      <w:tr w14:paraId="0B5B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564" w:type="dxa"/>
            <w:gridSpan w:val="2"/>
            <w:vMerge w:val="continue"/>
            <w:vAlign w:val="center"/>
          </w:tcPr>
          <w:p w14:paraId="70B244AD">
            <w:pPr>
              <w:autoSpaceDE w:val="0"/>
              <w:autoSpaceDN w:val="0"/>
              <w:jc w:val="center"/>
              <w:rPr>
                <w:rFonts w:hint="eastAsia" w:ascii="宋体" w:hAnsi="宋体" w:cs="宋体"/>
                <w:color w:val="auto"/>
                <w:highlight w:val="none"/>
              </w:rPr>
            </w:pPr>
          </w:p>
        </w:tc>
        <w:tc>
          <w:tcPr>
            <w:tcW w:w="1614" w:type="dxa"/>
            <w:vMerge w:val="continue"/>
            <w:vAlign w:val="center"/>
          </w:tcPr>
          <w:p w14:paraId="529ABE0F">
            <w:pPr>
              <w:autoSpaceDE w:val="0"/>
              <w:autoSpaceDN w:val="0"/>
              <w:jc w:val="center"/>
              <w:rPr>
                <w:rFonts w:hint="eastAsia" w:ascii="宋体" w:hAnsi="宋体" w:cs="宋体"/>
                <w:color w:val="auto"/>
                <w:highlight w:val="none"/>
              </w:rPr>
            </w:pPr>
          </w:p>
        </w:tc>
        <w:tc>
          <w:tcPr>
            <w:tcW w:w="1350" w:type="dxa"/>
            <w:vAlign w:val="center"/>
          </w:tcPr>
          <w:p w14:paraId="7DD9FB74">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★A02010107</w:t>
            </w:r>
            <w:r>
              <w:rPr>
                <w:rFonts w:hint="eastAsia" w:ascii="宋体" w:hAnsi="宋体" w:cs="宋体"/>
                <w:color w:val="auto"/>
                <w:spacing w:val="-7"/>
                <w:highlight w:val="none"/>
              </w:rPr>
              <w:t xml:space="preserve"> 平板式</w:t>
            </w:r>
            <w:r>
              <w:rPr>
                <w:rFonts w:hint="eastAsia" w:ascii="宋体" w:hAnsi="宋体" w:cs="宋体"/>
                <w:color w:val="auto"/>
                <w:highlight w:val="none"/>
              </w:rPr>
              <w:t>微型计算机</w:t>
            </w:r>
          </w:p>
        </w:tc>
        <w:tc>
          <w:tcPr>
            <w:tcW w:w="1868" w:type="dxa"/>
            <w:vAlign w:val="center"/>
          </w:tcPr>
          <w:p w14:paraId="190FFA3C">
            <w:pPr>
              <w:autoSpaceDE w:val="0"/>
              <w:autoSpaceDN w:val="0"/>
              <w:jc w:val="center"/>
              <w:rPr>
                <w:rFonts w:hint="eastAsia" w:ascii="宋体" w:hAnsi="宋体" w:cs="宋体"/>
                <w:color w:val="auto"/>
                <w:highlight w:val="none"/>
              </w:rPr>
            </w:pPr>
          </w:p>
        </w:tc>
        <w:tc>
          <w:tcPr>
            <w:tcW w:w="3632" w:type="dxa"/>
            <w:vAlign w:val="center"/>
          </w:tcPr>
          <w:p w14:paraId="31AF1590">
            <w:pPr>
              <w:autoSpaceDE w:val="0"/>
              <w:autoSpaceDN w:val="0"/>
              <w:jc w:val="center"/>
              <w:rPr>
                <w:rFonts w:hint="eastAsia" w:ascii="宋体" w:hAnsi="宋体" w:cs="宋体"/>
                <w:color w:val="auto"/>
                <w:highlight w:val="none"/>
              </w:rPr>
            </w:pPr>
            <w:r>
              <w:rPr>
                <w:rFonts w:hint="eastAsia" w:ascii="宋体" w:hAnsi="宋体" w:cs="宋体"/>
                <w:color w:val="auto"/>
                <w:spacing w:val="9"/>
                <w:highlight w:val="none"/>
              </w:rPr>
              <w:t>《微型计算机能效限定值及能效</w:t>
            </w:r>
            <w:r>
              <w:rPr>
                <w:rFonts w:hint="eastAsia" w:ascii="宋体" w:hAnsi="宋体" w:cs="宋体"/>
                <w:color w:val="auto"/>
                <w:highlight w:val="none"/>
              </w:rPr>
              <w:t>等级》（GB 28380）</w:t>
            </w:r>
          </w:p>
        </w:tc>
      </w:tr>
      <w:tr w14:paraId="62123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564" w:type="dxa"/>
            <w:gridSpan w:val="2"/>
            <w:vMerge w:val="restart"/>
            <w:vAlign w:val="center"/>
          </w:tcPr>
          <w:p w14:paraId="08D284E5">
            <w:pPr>
              <w:autoSpaceDE w:val="0"/>
              <w:autoSpaceDN w:val="0"/>
              <w:jc w:val="center"/>
              <w:rPr>
                <w:rFonts w:hint="eastAsia" w:ascii="宋体" w:hAnsi="宋体" w:cs="宋体"/>
                <w:color w:val="auto"/>
                <w:highlight w:val="none"/>
              </w:rPr>
            </w:pPr>
            <w:r>
              <w:rPr>
                <w:rFonts w:hint="eastAsia" w:ascii="宋体" w:hAnsi="宋体" w:cs="宋体"/>
                <w:color w:val="auto"/>
                <w:highlight w:val="none"/>
              </w:rPr>
              <w:t>2</w:t>
            </w:r>
          </w:p>
        </w:tc>
        <w:tc>
          <w:tcPr>
            <w:tcW w:w="1614" w:type="dxa"/>
            <w:vMerge w:val="restart"/>
            <w:vAlign w:val="center"/>
          </w:tcPr>
          <w:p w14:paraId="736A2021">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A020106</w:t>
            </w:r>
            <w:r>
              <w:rPr>
                <w:rFonts w:hint="eastAsia" w:ascii="宋体" w:hAnsi="宋体" w:cs="宋体"/>
                <w:color w:val="auto"/>
                <w:spacing w:val="-20"/>
                <w:highlight w:val="none"/>
              </w:rPr>
              <w:t xml:space="preserve"> 输入</w:t>
            </w:r>
            <w:r>
              <w:rPr>
                <w:rFonts w:hint="eastAsia" w:ascii="宋体" w:hAnsi="宋体" w:cs="宋体"/>
                <w:color w:val="auto"/>
                <w:highlight w:val="none"/>
              </w:rPr>
              <w:t>输出设备</w:t>
            </w:r>
          </w:p>
        </w:tc>
        <w:tc>
          <w:tcPr>
            <w:tcW w:w="1350" w:type="dxa"/>
            <w:vMerge w:val="restart"/>
            <w:vAlign w:val="center"/>
          </w:tcPr>
          <w:p w14:paraId="52F3A0FF">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A02010601 打印设备</w:t>
            </w:r>
          </w:p>
        </w:tc>
        <w:tc>
          <w:tcPr>
            <w:tcW w:w="1868" w:type="dxa"/>
            <w:vAlign w:val="center"/>
          </w:tcPr>
          <w:p w14:paraId="238BBE62">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A0201060101</w:t>
            </w:r>
            <w:r>
              <w:rPr>
                <w:rFonts w:hint="eastAsia" w:ascii="宋体" w:hAnsi="宋体" w:cs="宋体"/>
                <w:color w:val="auto"/>
                <w:spacing w:val="18"/>
                <w:highlight w:val="none"/>
              </w:rPr>
              <w:t xml:space="preserve"> 喷墨打</w:t>
            </w:r>
            <w:r>
              <w:rPr>
                <w:rFonts w:hint="eastAsia" w:ascii="宋体" w:hAnsi="宋体" w:cs="宋体"/>
                <w:color w:val="auto"/>
                <w:highlight w:val="none"/>
              </w:rPr>
              <w:t>印机</w:t>
            </w:r>
          </w:p>
        </w:tc>
        <w:tc>
          <w:tcPr>
            <w:tcW w:w="3632" w:type="dxa"/>
            <w:vAlign w:val="center"/>
          </w:tcPr>
          <w:p w14:paraId="6247491C">
            <w:pPr>
              <w:autoSpaceDE w:val="0"/>
              <w:autoSpaceDN w:val="0"/>
              <w:jc w:val="center"/>
              <w:rPr>
                <w:rFonts w:hint="eastAsia" w:ascii="宋体" w:hAnsi="宋体" w:cs="宋体"/>
                <w:color w:val="auto"/>
                <w:highlight w:val="none"/>
              </w:rPr>
            </w:pPr>
            <w:r>
              <w:rPr>
                <w:rFonts w:hint="eastAsia" w:ascii="宋体" w:hAnsi="宋体" w:cs="宋体"/>
                <w:color w:val="auto"/>
                <w:spacing w:val="-8"/>
                <w:highlight w:val="none"/>
              </w:rPr>
              <w:t>《复印机、打印机和传真机能效限</w:t>
            </w:r>
            <w:r>
              <w:rPr>
                <w:rFonts w:hint="eastAsia" w:ascii="宋体" w:hAnsi="宋体" w:cs="宋体"/>
                <w:color w:val="auto"/>
                <w:highlight w:val="none"/>
              </w:rPr>
              <w:t>定值及能效等级》（GB 21521）</w:t>
            </w:r>
          </w:p>
        </w:tc>
      </w:tr>
      <w:tr w14:paraId="2672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564" w:type="dxa"/>
            <w:gridSpan w:val="2"/>
            <w:vMerge w:val="continue"/>
            <w:vAlign w:val="center"/>
          </w:tcPr>
          <w:p w14:paraId="0C492836">
            <w:pPr>
              <w:autoSpaceDE w:val="0"/>
              <w:autoSpaceDN w:val="0"/>
              <w:jc w:val="center"/>
              <w:rPr>
                <w:rFonts w:hint="eastAsia" w:ascii="宋体" w:hAnsi="宋体" w:cs="宋体"/>
                <w:color w:val="auto"/>
                <w:highlight w:val="none"/>
              </w:rPr>
            </w:pPr>
          </w:p>
        </w:tc>
        <w:tc>
          <w:tcPr>
            <w:tcW w:w="1614" w:type="dxa"/>
            <w:vMerge w:val="continue"/>
            <w:vAlign w:val="center"/>
          </w:tcPr>
          <w:p w14:paraId="346972B7">
            <w:pPr>
              <w:autoSpaceDE w:val="0"/>
              <w:autoSpaceDN w:val="0"/>
              <w:jc w:val="center"/>
              <w:rPr>
                <w:rFonts w:hint="eastAsia" w:ascii="宋体" w:hAnsi="宋体" w:cs="宋体"/>
                <w:color w:val="auto"/>
                <w:highlight w:val="none"/>
              </w:rPr>
            </w:pPr>
          </w:p>
        </w:tc>
        <w:tc>
          <w:tcPr>
            <w:tcW w:w="1350" w:type="dxa"/>
            <w:vMerge w:val="continue"/>
            <w:vAlign w:val="center"/>
          </w:tcPr>
          <w:p w14:paraId="7BD4C519">
            <w:pPr>
              <w:autoSpaceDE w:val="0"/>
              <w:autoSpaceDN w:val="0"/>
              <w:jc w:val="center"/>
              <w:rPr>
                <w:rFonts w:hint="eastAsia" w:ascii="宋体" w:hAnsi="宋体" w:cs="宋体"/>
                <w:color w:val="auto"/>
                <w:highlight w:val="none"/>
              </w:rPr>
            </w:pPr>
          </w:p>
        </w:tc>
        <w:tc>
          <w:tcPr>
            <w:tcW w:w="1868" w:type="dxa"/>
            <w:vAlign w:val="center"/>
          </w:tcPr>
          <w:p w14:paraId="63F73AAD">
            <w:pPr>
              <w:autoSpaceDE w:val="0"/>
              <w:autoSpaceDN w:val="0"/>
              <w:jc w:val="center"/>
              <w:rPr>
                <w:rFonts w:hint="eastAsia" w:ascii="宋体" w:hAnsi="宋体" w:cs="宋体"/>
                <w:color w:val="auto"/>
                <w:highlight w:val="none"/>
              </w:rPr>
            </w:pPr>
            <w:r>
              <w:rPr>
                <w:rFonts w:hint="eastAsia" w:ascii="宋体" w:hAnsi="宋体" w:cs="宋体"/>
                <w:color w:val="auto"/>
                <w:spacing w:val="-26"/>
                <w:highlight w:val="none"/>
              </w:rPr>
              <w:t xml:space="preserve">★ </w:t>
            </w:r>
            <w:r>
              <w:rPr>
                <w:rFonts w:hint="eastAsia" w:ascii="宋体" w:hAnsi="宋体" w:cs="宋体"/>
                <w:color w:val="auto"/>
                <w:highlight w:val="none"/>
              </w:rPr>
              <w:t>A0201060102</w:t>
            </w:r>
            <w:r>
              <w:rPr>
                <w:rFonts w:hint="eastAsia" w:ascii="宋体" w:hAnsi="宋体" w:cs="宋体"/>
                <w:color w:val="auto"/>
                <w:spacing w:val="38"/>
                <w:highlight w:val="none"/>
              </w:rPr>
              <w:t xml:space="preserve"> 激光</w:t>
            </w:r>
            <w:r>
              <w:rPr>
                <w:rFonts w:hint="eastAsia" w:ascii="宋体" w:hAnsi="宋体" w:cs="宋体"/>
                <w:color w:val="auto"/>
                <w:highlight w:val="none"/>
              </w:rPr>
              <w:t>打印机</w:t>
            </w:r>
          </w:p>
        </w:tc>
        <w:tc>
          <w:tcPr>
            <w:tcW w:w="3632" w:type="dxa"/>
            <w:vAlign w:val="center"/>
          </w:tcPr>
          <w:p w14:paraId="2A3133BD">
            <w:pPr>
              <w:autoSpaceDE w:val="0"/>
              <w:autoSpaceDN w:val="0"/>
              <w:jc w:val="center"/>
              <w:rPr>
                <w:rFonts w:hint="eastAsia" w:ascii="宋体" w:hAnsi="宋体" w:cs="宋体"/>
                <w:color w:val="auto"/>
                <w:highlight w:val="none"/>
              </w:rPr>
            </w:pPr>
            <w:r>
              <w:rPr>
                <w:rFonts w:hint="eastAsia" w:ascii="宋体" w:hAnsi="宋体" w:cs="宋体"/>
                <w:color w:val="auto"/>
                <w:spacing w:val="-8"/>
                <w:highlight w:val="none"/>
              </w:rPr>
              <w:t>《复印机、打印机和传真机能效限</w:t>
            </w:r>
            <w:r>
              <w:rPr>
                <w:rFonts w:hint="eastAsia" w:ascii="宋体" w:hAnsi="宋体" w:cs="宋体"/>
                <w:color w:val="auto"/>
                <w:highlight w:val="none"/>
              </w:rPr>
              <w:t>定值及能效等级》（GB 21521）</w:t>
            </w:r>
          </w:p>
        </w:tc>
      </w:tr>
      <w:tr w14:paraId="54010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564" w:type="dxa"/>
            <w:gridSpan w:val="2"/>
            <w:vMerge w:val="continue"/>
            <w:vAlign w:val="center"/>
          </w:tcPr>
          <w:p w14:paraId="34D4250B">
            <w:pPr>
              <w:autoSpaceDE w:val="0"/>
              <w:autoSpaceDN w:val="0"/>
              <w:jc w:val="center"/>
              <w:rPr>
                <w:rFonts w:hint="eastAsia" w:ascii="宋体" w:hAnsi="宋体" w:cs="宋体"/>
                <w:color w:val="auto"/>
                <w:highlight w:val="none"/>
              </w:rPr>
            </w:pPr>
          </w:p>
        </w:tc>
        <w:tc>
          <w:tcPr>
            <w:tcW w:w="1614" w:type="dxa"/>
            <w:vMerge w:val="continue"/>
            <w:vAlign w:val="center"/>
          </w:tcPr>
          <w:p w14:paraId="4D7C20F6">
            <w:pPr>
              <w:autoSpaceDE w:val="0"/>
              <w:autoSpaceDN w:val="0"/>
              <w:jc w:val="center"/>
              <w:rPr>
                <w:rFonts w:hint="eastAsia" w:ascii="宋体" w:hAnsi="宋体" w:cs="宋体"/>
                <w:color w:val="auto"/>
                <w:highlight w:val="none"/>
              </w:rPr>
            </w:pPr>
          </w:p>
        </w:tc>
        <w:tc>
          <w:tcPr>
            <w:tcW w:w="1350" w:type="dxa"/>
            <w:vMerge w:val="continue"/>
            <w:vAlign w:val="center"/>
          </w:tcPr>
          <w:p w14:paraId="30FEE09D">
            <w:pPr>
              <w:autoSpaceDE w:val="0"/>
              <w:autoSpaceDN w:val="0"/>
              <w:jc w:val="center"/>
              <w:rPr>
                <w:rFonts w:hint="eastAsia" w:ascii="宋体" w:hAnsi="宋体" w:cs="宋体"/>
                <w:color w:val="auto"/>
                <w:highlight w:val="none"/>
              </w:rPr>
            </w:pPr>
          </w:p>
        </w:tc>
        <w:tc>
          <w:tcPr>
            <w:tcW w:w="1868" w:type="dxa"/>
            <w:vAlign w:val="center"/>
          </w:tcPr>
          <w:p w14:paraId="6C7C7236">
            <w:pPr>
              <w:autoSpaceDE w:val="0"/>
              <w:autoSpaceDN w:val="0"/>
              <w:jc w:val="center"/>
              <w:rPr>
                <w:rFonts w:hint="eastAsia" w:ascii="宋体" w:hAnsi="宋体" w:cs="宋体"/>
                <w:color w:val="auto"/>
                <w:highlight w:val="none"/>
              </w:rPr>
            </w:pPr>
            <w:r>
              <w:rPr>
                <w:rFonts w:hint="eastAsia" w:ascii="宋体" w:hAnsi="宋体" w:cs="宋体"/>
                <w:color w:val="auto"/>
                <w:spacing w:val="-26"/>
                <w:highlight w:val="none"/>
              </w:rPr>
              <w:t xml:space="preserve">★ </w:t>
            </w:r>
            <w:r>
              <w:rPr>
                <w:rFonts w:hint="eastAsia" w:ascii="宋体" w:hAnsi="宋体" w:cs="宋体"/>
                <w:color w:val="auto"/>
                <w:highlight w:val="none"/>
              </w:rPr>
              <w:t>A0201060104</w:t>
            </w:r>
            <w:r>
              <w:rPr>
                <w:rFonts w:hint="eastAsia" w:ascii="宋体" w:hAnsi="宋体" w:cs="宋体"/>
                <w:color w:val="auto"/>
                <w:spacing w:val="38"/>
                <w:highlight w:val="none"/>
              </w:rPr>
              <w:t xml:space="preserve"> 针式</w:t>
            </w:r>
            <w:r>
              <w:rPr>
                <w:rFonts w:hint="eastAsia" w:ascii="宋体" w:hAnsi="宋体" w:cs="宋体"/>
                <w:color w:val="auto"/>
                <w:highlight w:val="none"/>
              </w:rPr>
              <w:t>打印机</w:t>
            </w:r>
          </w:p>
        </w:tc>
        <w:tc>
          <w:tcPr>
            <w:tcW w:w="3632" w:type="dxa"/>
            <w:vAlign w:val="center"/>
          </w:tcPr>
          <w:p w14:paraId="3B435ECE">
            <w:pPr>
              <w:autoSpaceDE w:val="0"/>
              <w:autoSpaceDN w:val="0"/>
              <w:jc w:val="center"/>
              <w:rPr>
                <w:rFonts w:hint="eastAsia" w:ascii="宋体" w:hAnsi="宋体" w:cs="宋体"/>
                <w:color w:val="auto"/>
                <w:highlight w:val="none"/>
              </w:rPr>
            </w:pPr>
            <w:r>
              <w:rPr>
                <w:rFonts w:hint="eastAsia" w:ascii="宋体" w:hAnsi="宋体" w:cs="宋体"/>
                <w:color w:val="auto"/>
                <w:spacing w:val="-8"/>
                <w:highlight w:val="none"/>
              </w:rPr>
              <w:t>《复印机、打印机和传真机能效限</w:t>
            </w:r>
            <w:r>
              <w:rPr>
                <w:rFonts w:hint="eastAsia" w:ascii="宋体" w:hAnsi="宋体" w:cs="宋体"/>
                <w:color w:val="auto"/>
                <w:highlight w:val="none"/>
              </w:rPr>
              <w:t>定值及能效等级》（GB 21521）</w:t>
            </w:r>
          </w:p>
        </w:tc>
      </w:tr>
      <w:tr w14:paraId="7A95F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564" w:type="dxa"/>
            <w:gridSpan w:val="2"/>
            <w:vMerge w:val="continue"/>
            <w:vAlign w:val="center"/>
          </w:tcPr>
          <w:p w14:paraId="31775BF8">
            <w:pPr>
              <w:autoSpaceDE w:val="0"/>
              <w:autoSpaceDN w:val="0"/>
              <w:jc w:val="center"/>
              <w:rPr>
                <w:rFonts w:hint="eastAsia" w:ascii="宋体" w:hAnsi="宋体" w:cs="宋体"/>
                <w:color w:val="auto"/>
                <w:highlight w:val="none"/>
              </w:rPr>
            </w:pPr>
          </w:p>
        </w:tc>
        <w:tc>
          <w:tcPr>
            <w:tcW w:w="1614" w:type="dxa"/>
            <w:vMerge w:val="continue"/>
            <w:vAlign w:val="center"/>
          </w:tcPr>
          <w:p w14:paraId="368F430C">
            <w:pPr>
              <w:autoSpaceDE w:val="0"/>
              <w:autoSpaceDN w:val="0"/>
              <w:jc w:val="center"/>
              <w:rPr>
                <w:rFonts w:hint="eastAsia" w:ascii="宋体" w:hAnsi="宋体" w:cs="宋体"/>
                <w:color w:val="auto"/>
                <w:highlight w:val="none"/>
              </w:rPr>
            </w:pPr>
          </w:p>
        </w:tc>
        <w:tc>
          <w:tcPr>
            <w:tcW w:w="1350" w:type="dxa"/>
            <w:vAlign w:val="center"/>
          </w:tcPr>
          <w:p w14:paraId="093101D8">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A02010604 显示设备</w:t>
            </w:r>
          </w:p>
        </w:tc>
        <w:tc>
          <w:tcPr>
            <w:tcW w:w="1868" w:type="dxa"/>
            <w:vAlign w:val="center"/>
          </w:tcPr>
          <w:p w14:paraId="53C4A859">
            <w:pPr>
              <w:autoSpaceDE w:val="0"/>
              <w:autoSpaceDN w:val="0"/>
              <w:jc w:val="center"/>
              <w:rPr>
                <w:rFonts w:hint="eastAsia" w:ascii="宋体" w:hAnsi="宋体" w:cs="宋体"/>
                <w:color w:val="auto"/>
                <w:highlight w:val="none"/>
              </w:rPr>
            </w:pPr>
            <w:r>
              <w:rPr>
                <w:rFonts w:hint="eastAsia" w:ascii="宋体" w:hAnsi="宋体" w:cs="宋体"/>
                <w:color w:val="auto"/>
                <w:spacing w:val="-26"/>
                <w:highlight w:val="none"/>
              </w:rPr>
              <w:t xml:space="preserve">★ </w:t>
            </w:r>
            <w:r>
              <w:rPr>
                <w:rFonts w:hint="eastAsia" w:ascii="宋体" w:hAnsi="宋体" w:cs="宋体"/>
                <w:color w:val="auto"/>
                <w:highlight w:val="none"/>
              </w:rPr>
              <w:t>A0201060401</w:t>
            </w:r>
            <w:r>
              <w:rPr>
                <w:rFonts w:hint="eastAsia" w:ascii="宋体" w:hAnsi="宋体" w:cs="宋体"/>
                <w:color w:val="auto"/>
                <w:spacing w:val="38"/>
                <w:highlight w:val="none"/>
              </w:rPr>
              <w:t xml:space="preserve"> 液晶</w:t>
            </w:r>
            <w:r>
              <w:rPr>
                <w:rFonts w:hint="eastAsia" w:ascii="宋体" w:hAnsi="宋体" w:cs="宋体"/>
                <w:color w:val="auto"/>
                <w:highlight w:val="none"/>
              </w:rPr>
              <w:t>显示器</w:t>
            </w:r>
          </w:p>
        </w:tc>
        <w:tc>
          <w:tcPr>
            <w:tcW w:w="3632" w:type="dxa"/>
            <w:vAlign w:val="center"/>
          </w:tcPr>
          <w:p w14:paraId="79BE9D1D">
            <w:pPr>
              <w:autoSpaceDE w:val="0"/>
              <w:autoSpaceDN w:val="0"/>
              <w:jc w:val="center"/>
              <w:rPr>
                <w:rFonts w:hint="eastAsia" w:ascii="宋体" w:hAnsi="宋体" w:cs="宋体"/>
                <w:color w:val="auto"/>
                <w:highlight w:val="none"/>
              </w:rPr>
            </w:pPr>
            <w:r>
              <w:rPr>
                <w:rFonts w:hint="eastAsia" w:ascii="宋体" w:hAnsi="宋体" w:cs="宋体"/>
                <w:color w:val="auto"/>
                <w:spacing w:val="9"/>
                <w:highlight w:val="none"/>
              </w:rPr>
              <w:t>《计算机显示器能效限定值及能</w:t>
            </w:r>
            <w:r>
              <w:rPr>
                <w:rFonts w:hint="eastAsia" w:ascii="宋体" w:hAnsi="宋体" w:cs="宋体"/>
                <w:color w:val="auto"/>
                <w:highlight w:val="none"/>
              </w:rPr>
              <w:t>效等级》（GB</w:t>
            </w:r>
            <w:r>
              <w:rPr>
                <w:rFonts w:hint="eastAsia" w:ascii="宋体" w:hAnsi="宋体" w:cs="宋体"/>
                <w:color w:val="auto"/>
                <w:spacing w:val="1"/>
                <w:highlight w:val="none"/>
              </w:rPr>
              <w:t xml:space="preserve"> </w:t>
            </w:r>
            <w:r>
              <w:rPr>
                <w:rFonts w:hint="eastAsia" w:ascii="宋体" w:hAnsi="宋体" w:cs="宋体"/>
                <w:color w:val="auto"/>
                <w:highlight w:val="none"/>
              </w:rPr>
              <w:t>21520）</w:t>
            </w:r>
          </w:p>
        </w:tc>
      </w:tr>
      <w:tr w14:paraId="4985D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564" w:type="dxa"/>
            <w:gridSpan w:val="2"/>
            <w:vMerge w:val="continue"/>
            <w:vAlign w:val="center"/>
          </w:tcPr>
          <w:p w14:paraId="24C11A45">
            <w:pPr>
              <w:autoSpaceDE w:val="0"/>
              <w:autoSpaceDN w:val="0"/>
              <w:jc w:val="center"/>
              <w:rPr>
                <w:rFonts w:hint="eastAsia" w:ascii="宋体" w:hAnsi="宋体" w:cs="宋体"/>
                <w:color w:val="auto"/>
                <w:highlight w:val="none"/>
              </w:rPr>
            </w:pPr>
          </w:p>
        </w:tc>
        <w:tc>
          <w:tcPr>
            <w:tcW w:w="1614" w:type="dxa"/>
            <w:vMerge w:val="continue"/>
            <w:vAlign w:val="center"/>
          </w:tcPr>
          <w:p w14:paraId="571CCDB5">
            <w:pPr>
              <w:autoSpaceDE w:val="0"/>
              <w:autoSpaceDN w:val="0"/>
              <w:jc w:val="center"/>
              <w:rPr>
                <w:rFonts w:hint="eastAsia" w:ascii="宋体" w:hAnsi="宋体" w:cs="宋体"/>
                <w:color w:val="auto"/>
                <w:highlight w:val="none"/>
              </w:rPr>
            </w:pPr>
          </w:p>
        </w:tc>
        <w:tc>
          <w:tcPr>
            <w:tcW w:w="1350" w:type="dxa"/>
            <w:vAlign w:val="center"/>
          </w:tcPr>
          <w:p w14:paraId="547523EA">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A02010609</w:t>
            </w:r>
            <w:r>
              <w:rPr>
                <w:rFonts w:hint="eastAsia" w:ascii="宋体" w:hAnsi="宋体" w:cs="宋体"/>
                <w:color w:val="auto"/>
                <w:spacing w:val="-6"/>
                <w:highlight w:val="none"/>
              </w:rPr>
              <w:t xml:space="preserve"> 图形图像</w:t>
            </w:r>
            <w:r>
              <w:rPr>
                <w:rFonts w:hint="eastAsia" w:ascii="宋体" w:hAnsi="宋体" w:cs="宋体"/>
                <w:color w:val="auto"/>
                <w:highlight w:val="none"/>
              </w:rPr>
              <w:t>输入设备</w:t>
            </w:r>
          </w:p>
        </w:tc>
        <w:tc>
          <w:tcPr>
            <w:tcW w:w="1868" w:type="dxa"/>
            <w:vAlign w:val="center"/>
          </w:tcPr>
          <w:p w14:paraId="35542B9E">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A0201060901</w:t>
            </w:r>
            <w:r>
              <w:rPr>
                <w:rFonts w:hint="eastAsia" w:ascii="宋体" w:hAnsi="宋体" w:cs="宋体"/>
                <w:color w:val="auto"/>
                <w:spacing w:val="-7"/>
                <w:highlight w:val="none"/>
              </w:rPr>
              <w:t xml:space="preserve"> 扫描仪</w:t>
            </w:r>
          </w:p>
        </w:tc>
        <w:tc>
          <w:tcPr>
            <w:tcW w:w="3632" w:type="dxa"/>
            <w:vAlign w:val="center"/>
          </w:tcPr>
          <w:p w14:paraId="4CD633E8">
            <w:pPr>
              <w:autoSpaceDE w:val="0"/>
              <w:autoSpaceDN w:val="0"/>
              <w:jc w:val="center"/>
              <w:rPr>
                <w:rFonts w:hint="eastAsia" w:ascii="宋体" w:hAnsi="宋体" w:cs="宋体"/>
                <w:color w:val="auto"/>
                <w:highlight w:val="none"/>
              </w:rPr>
            </w:pPr>
            <w:r>
              <w:rPr>
                <w:rFonts w:hint="eastAsia" w:ascii="宋体" w:hAnsi="宋体" w:cs="宋体"/>
                <w:color w:val="auto"/>
                <w:highlight w:val="none"/>
              </w:rPr>
              <w:t>参照《复印机、打印机和传真机能</w:t>
            </w:r>
            <w:r>
              <w:rPr>
                <w:rFonts w:hint="eastAsia" w:ascii="宋体" w:hAnsi="宋体" w:cs="宋体"/>
                <w:color w:val="auto"/>
                <w:spacing w:val="-11"/>
                <w:highlight w:val="none"/>
              </w:rPr>
              <w:t>效限定值及能效等级》</w:t>
            </w:r>
            <w:r>
              <w:rPr>
                <w:rFonts w:hint="eastAsia" w:ascii="宋体" w:hAnsi="宋体" w:cs="宋体"/>
                <w:color w:val="auto"/>
                <w:highlight w:val="none"/>
              </w:rPr>
              <w:t>（GB</w:t>
            </w:r>
            <w:r>
              <w:rPr>
                <w:rFonts w:hint="eastAsia" w:ascii="宋体" w:hAnsi="宋体" w:cs="宋体"/>
                <w:color w:val="auto"/>
                <w:spacing w:val="1"/>
                <w:highlight w:val="none"/>
              </w:rPr>
              <w:t xml:space="preserve"> </w:t>
            </w:r>
            <w:r>
              <w:rPr>
                <w:rFonts w:hint="eastAsia" w:ascii="宋体" w:hAnsi="宋体" w:cs="宋体"/>
                <w:color w:val="auto"/>
                <w:highlight w:val="none"/>
              </w:rPr>
              <w:t>21521）</w:t>
            </w:r>
            <w:r>
              <w:rPr>
                <w:rFonts w:hint="eastAsia" w:ascii="宋体" w:hAnsi="宋体" w:cs="宋体"/>
                <w:color w:val="auto"/>
                <w:spacing w:val="-92"/>
                <w:highlight w:val="none"/>
              </w:rPr>
              <w:t xml:space="preserve"> </w:t>
            </w:r>
            <w:r>
              <w:rPr>
                <w:rFonts w:hint="eastAsia" w:ascii="宋体" w:hAnsi="宋体" w:cs="宋体"/>
                <w:color w:val="auto"/>
                <w:spacing w:val="1"/>
                <w:highlight w:val="none"/>
              </w:rPr>
              <w:t xml:space="preserve">中打印速度为 </w:t>
            </w:r>
            <w:r>
              <w:rPr>
                <w:rFonts w:hint="eastAsia" w:ascii="宋体" w:hAnsi="宋体" w:cs="宋体"/>
                <w:color w:val="auto"/>
                <w:highlight w:val="none"/>
              </w:rPr>
              <w:t>15</w:t>
            </w:r>
            <w:r>
              <w:rPr>
                <w:rFonts w:hint="eastAsia" w:ascii="宋体" w:hAnsi="宋体" w:cs="宋体"/>
                <w:color w:val="auto"/>
                <w:spacing w:val="6"/>
                <w:highlight w:val="none"/>
              </w:rPr>
              <w:t xml:space="preserve"> 页</w:t>
            </w:r>
            <w:r>
              <w:rPr>
                <w:rFonts w:hint="eastAsia" w:ascii="宋体" w:hAnsi="宋体" w:cs="宋体"/>
                <w:color w:val="auto"/>
                <w:highlight w:val="none"/>
              </w:rPr>
              <w:t>/分的针式打印机相关要求</w:t>
            </w:r>
          </w:p>
        </w:tc>
      </w:tr>
      <w:tr w14:paraId="63D15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64" w:type="dxa"/>
            <w:gridSpan w:val="2"/>
            <w:vAlign w:val="center"/>
          </w:tcPr>
          <w:p w14:paraId="214CDFA8">
            <w:pPr>
              <w:autoSpaceDE w:val="0"/>
              <w:autoSpaceDN w:val="0"/>
              <w:jc w:val="center"/>
              <w:rPr>
                <w:rFonts w:hint="eastAsia" w:ascii="宋体" w:hAnsi="宋体" w:cs="宋体"/>
                <w:color w:val="auto"/>
                <w:highlight w:val="none"/>
              </w:rPr>
            </w:pPr>
            <w:r>
              <w:rPr>
                <w:rFonts w:hint="eastAsia" w:ascii="宋体" w:hAnsi="宋体" w:cs="宋体"/>
                <w:color w:val="auto"/>
                <w:highlight w:val="none"/>
              </w:rPr>
              <w:t>3</w:t>
            </w:r>
          </w:p>
        </w:tc>
        <w:tc>
          <w:tcPr>
            <w:tcW w:w="1614" w:type="dxa"/>
            <w:vAlign w:val="center"/>
          </w:tcPr>
          <w:p w14:paraId="0C88EEBE">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A020202</w:t>
            </w:r>
            <w:r>
              <w:rPr>
                <w:rFonts w:hint="eastAsia" w:ascii="宋体" w:hAnsi="宋体" w:cs="宋体"/>
                <w:color w:val="auto"/>
                <w:spacing w:val="-20"/>
                <w:highlight w:val="none"/>
              </w:rPr>
              <w:t xml:space="preserve"> 投影</w:t>
            </w:r>
            <w:r>
              <w:rPr>
                <w:rFonts w:hint="eastAsia" w:ascii="宋体" w:hAnsi="宋体" w:cs="宋体"/>
                <w:color w:val="auto"/>
                <w:highlight w:val="none"/>
              </w:rPr>
              <w:t>仪</w:t>
            </w:r>
          </w:p>
        </w:tc>
        <w:tc>
          <w:tcPr>
            <w:tcW w:w="1350" w:type="dxa"/>
            <w:vAlign w:val="center"/>
          </w:tcPr>
          <w:p w14:paraId="70D99362">
            <w:pPr>
              <w:autoSpaceDE w:val="0"/>
              <w:autoSpaceDN w:val="0"/>
              <w:jc w:val="center"/>
              <w:rPr>
                <w:rFonts w:hint="eastAsia" w:ascii="宋体" w:hAnsi="宋体" w:cs="宋体"/>
                <w:color w:val="auto"/>
                <w:highlight w:val="none"/>
              </w:rPr>
            </w:pPr>
          </w:p>
        </w:tc>
        <w:tc>
          <w:tcPr>
            <w:tcW w:w="1868" w:type="dxa"/>
            <w:vAlign w:val="center"/>
          </w:tcPr>
          <w:p w14:paraId="4208F5E3">
            <w:pPr>
              <w:autoSpaceDE w:val="0"/>
              <w:autoSpaceDN w:val="0"/>
              <w:jc w:val="center"/>
              <w:rPr>
                <w:rFonts w:hint="eastAsia" w:ascii="宋体" w:hAnsi="宋体" w:cs="宋体"/>
                <w:color w:val="auto"/>
                <w:highlight w:val="none"/>
              </w:rPr>
            </w:pPr>
          </w:p>
        </w:tc>
        <w:tc>
          <w:tcPr>
            <w:tcW w:w="3632" w:type="dxa"/>
            <w:vAlign w:val="center"/>
          </w:tcPr>
          <w:p w14:paraId="63C4AE07">
            <w:pPr>
              <w:autoSpaceDE w:val="0"/>
              <w:autoSpaceDN w:val="0"/>
              <w:jc w:val="center"/>
              <w:rPr>
                <w:rFonts w:hint="eastAsia" w:ascii="宋体" w:hAnsi="宋体" w:cs="宋体"/>
                <w:color w:val="auto"/>
                <w:highlight w:val="none"/>
              </w:rPr>
            </w:pPr>
            <w:r>
              <w:rPr>
                <w:rFonts w:hint="eastAsia" w:ascii="宋体" w:hAnsi="宋体" w:cs="宋体"/>
                <w:color w:val="auto"/>
                <w:highlight w:val="none"/>
              </w:rPr>
              <w:t>《投影机能效限定值及能效等级》（GB</w:t>
            </w:r>
            <w:r>
              <w:rPr>
                <w:rFonts w:hint="eastAsia" w:ascii="宋体" w:hAnsi="宋体" w:cs="宋体"/>
                <w:color w:val="auto"/>
                <w:spacing w:val="1"/>
                <w:highlight w:val="none"/>
              </w:rPr>
              <w:t xml:space="preserve"> </w:t>
            </w:r>
            <w:r>
              <w:rPr>
                <w:rFonts w:hint="eastAsia" w:ascii="宋体" w:hAnsi="宋体" w:cs="宋体"/>
                <w:color w:val="auto"/>
                <w:highlight w:val="none"/>
              </w:rPr>
              <w:t>32028）</w:t>
            </w:r>
          </w:p>
        </w:tc>
      </w:tr>
      <w:tr w14:paraId="7BC57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564" w:type="dxa"/>
            <w:gridSpan w:val="2"/>
            <w:vAlign w:val="center"/>
          </w:tcPr>
          <w:p w14:paraId="7BCA8F1D">
            <w:pPr>
              <w:autoSpaceDE w:val="0"/>
              <w:autoSpaceDN w:val="0"/>
              <w:jc w:val="center"/>
              <w:rPr>
                <w:rFonts w:hint="eastAsia" w:ascii="宋体" w:hAnsi="宋体" w:cs="宋体"/>
                <w:color w:val="auto"/>
                <w:highlight w:val="none"/>
              </w:rPr>
            </w:pPr>
            <w:r>
              <w:rPr>
                <w:rFonts w:hint="eastAsia" w:ascii="宋体" w:hAnsi="宋体" w:cs="宋体"/>
                <w:color w:val="auto"/>
                <w:highlight w:val="none"/>
              </w:rPr>
              <w:t>4</w:t>
            </w:r>
          </w:p>
        </w:tc>
        <w:tc>
          <w:tcPr>
            <w:tcW w:w="1614" w:type="dxa"/>
            <w:vAlign w:val="center"/>
          </w:tcPr>
          <w:p w14:paraId="363FEB8F">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A020204</w:t>
            </w:r>
            <w:r>
              <w:rPr>
                <w:rFonts w:hint="eastAsia" w:ascii="宋体" w:hAnsi="宋体" w:cs="宋体"/>
                <w:color w:val="auto"/>
                <w:spacing w:val="-20"/>
                <w:highlight w:val="none"/>
              </w:rPr>
              <w:t xml:space="preserve"> 多功</w:t>
            </w:r>
            <w:r>
              <w:rPr>
                <w:rFonts w:hint="eastAsia" w:ascii="宋体" w:hAnsi="宋体" w:cs="宋体"/>
                <w:color w:val="auto"/>
                <w:highlight w:val="none"/>
              </w:rPr>
              <w:t>能一体机</w:t>
            </w:r>
          </w:p>
        </w:tc>
        <w:tc>
          <w:tcPr>
            <w:tcW w:w="1350" w:type="dxa"/>
            <w:vAlign w:val="center"/>
          </w:tcPr>
          <w:p w14:paraId="22E734E6">
            <w:pPr>
              <w:autoSpaceDE w:val="0"/>
              <w:autoSpaceDN w:val="0"/>
              <w:jc w:val="center"/>
              <w:rPr>
                <w:rFonts w:hint="eastAsia" w:ascii="宋体" w:hAnsi="宋体" w:cs="宋体"/>
                <w:color w:val="auto"/>
                <w:highlight w:val="none"/>
              </w:rPr>
            </w:pPr>
          </w:p>
        </w:tc>
        <w:tc>
          <w:tcPr>
            <w:tcW w:w="1868" w:type="dxa"/>
            <w:vAlign w:val="center"/>
          </w:tcPr>
          <w:p w14:paraId="57A98A2B">
            <w:pPr>
              <w:autoSpaceDE w:val="0"/>
              <w:autoSpaceDN w:val="0"/>
              <w:jc w:val="center"/>
              <w:rPr>
                <w:rFonts w:hint="eastAsia" w:ascii="宋体" w:hAnsi="宋体" w:cs="宋体"/>
                <w:color w:val="auto"/>
                <w:highlight w:val="none"/>
              </w:rPr>
            </w:pPr>
          </w:p>
        </w:tc>
        <w:tc>
          <w:tcPr>
            <w:tcW w:w="3632" w:type="dxa"/>
            <w:vAlign w:val="center"/>
          </w:tcPr>
          <w:p w14:paraId="72F90A80">
            <w:pPr>
              <w:autoSpaceDE w:val="0"/>
              <w:autoSpaceDN w:val="0"/>
              <w:jc w:val="center"/>
              <w:rPr>
                <w:rFonts w:hint="eastAsia" w:ascii="宋体" w:hAnsi="宋体" w:cs="宋体"/>
                <w:color w:val="auto"/>
                <w:highlight w:val="none"/>
              </w:rPr>
            </w:pPr>
            <w:r>
              <w:rPr>
                <w:rFonts w:hint="eastAsia" w:ascii="宋体" w:hAnsi="宋体" w:cs="宋体"/>
                <w:color w:val="auto"/>
                <w:spacing w:val="-8"/>
                <w:highlight w:val="none"/>
              </w:rPr>
              <w:t>《复印机、打印机和传真机能效限</w:t>
            </w:r>
            <w:r>
              <w:rPr>
                <w:rFonts w:hint="eastAsia" w:ascii="宋体" w:hAnsi="宋体" w:cs="宋体"/>
                <w:color w:val="auto"/>
                <w:highlight w:val="none"/>
              </w:rPr>
              <w:t>定值及能效等级》（GB 21521）</w:t>
            </w:r>
          </w:p>
        </w:tc>
      </w:tr>
      <w:tr w14:paraId="49953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64" w:type="dxa"/>
            <w:gridSpan w:val="2"/>
            <w:vAlign w:val="center"/>
          </w:tcPr>
          <w:p w14:paraId="5BC85771">
            <w:pPr>
              <w:autoSpaceDE w:val="0"/>
              <w:autoSpaceDN w:val="0"/>
              <w:jc w:val="center"/>
              <w:rPr>
                <w:rFonts w:hint="eastAsia" w:ascii="宋体" w:hAnsi="宋体" w:cs="宋体"/>
                <w:color w:val="auto"/>
                <w:highlight w:val="none"/>
              </w:rPr>
            </w:pPr>
            <w:r>
              <w:rPr>
                <w:rFonts w:hint="eastAsia" w:ascii="宋体" w:hAnsi="宋体" w:cs="宋体"/>
                <w:color w:val="auto"/>
                <w:highlight w:val="none"/>
              </w:rPr>
              <w:t>5</w:t>
            </w:r>
          </w:p>
        </w:tc>
        <w:tc>
          <w:tcPr>
            <w:tcW w:w="1614" w:type="dxa"/>
            <w:vAlign w:val="center"/>
          </w:tcPr>
          <w:p w14:paraId="5BA487C1">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A020519</w:t>
            </w:r>
            <w:r>
              <w:rPr>
                <w:rFonts w:hint="eastAsia" w:ascii="宋体" w:hAnsi="宋体" w:cs="宋体"/>
                <w:color w:val="auto"/>
                <w:spacing w:val="-25"/>
                <w:highlight w:val="none"/>
              </w:rPr>
              <w:t xml:space="preserve"> 泵</w:t>
            </w:r>
          </w:p>
        </w:tc>
        <w:tc>
          <w:tcPr>
            <w:tcW w:w="1350" w:type="dxa"/>
            <w:vAlign w:val="center"/>
          </w:tcPr>
          <w:p w14:paraId="559C68D0">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A02051901</w:t>
            </w:r>
            <w:r>
              <w:rPr>
                <w:rFonts w:hint="eastAsia" w:ascii="宋体" w:hAnsi="宋体" w:cs="宋体"/>
                <w:color w:val="auto"/>
                <w:spacing w:val="-8"/>
                <w:highlight w:val="none"/>
              </w:rPr>
              <w:t xml:space="preserve"> 离心泵</w:t>
            </w:r>
          </w:p>
        </w:tc>
        <w:tc>
          <w:tcPr>
            <w:tcW w:w="1868" w:type="dxa"/>
            <w:vAlign w:val="center"/>
          </w:tcPr>
          <w:p w14:paraId="41AED79A">
            <w:pPr>
              <w:autoSpaceDE w:val="0"/>
              <w:autoSpaceDN w:val="0"/>
              <w:jc w:val="center"/>
              <w:rPr>
                <w:rFonts w:hint="eastAsia" w:ascii="宋体" w:hAnsi="宋体" w:cs="宋体"/>
                <w:color w:val="auto"/>
                <w:highlight w:val="none"/>
              </w:rPr>
            </w:pPr>
          </w:p>
        </w:tc>
        <w:tc>
          <w:tcPr>
            <w:tcW w:w="3632" w:type="dxa"/>
            <w:vAlign w:val="center"/>
          </w:tcPr>
          <w:p w14:paraId="0C8ECF1E">
            <w:pPr>
              <w:autoSpaceDE w:val="0"/>
              <w:autoSpaceDN w:val="0"/>
              <w:jc w:val="center"/>
              <w:rPr>
                <w:rFonts w:hint="eastAsia" w:ascii="宋体" w:hAnsi="宋体" w:cs="宋体"/>
                <w:color w:val="auto"/>
                <w:highlight w:val="none"/>
              </w:rPr>
            </w:pPr>
            <w:r>
              <w:rPr>
                <w:rFonts w:hint="eastAsia" w:ascii="宋体" w:hAnsi="宋体" w:cs="宋体"/>
                <w:color w:val="auto"/>
                <w:spacing w:val="9"/>
                <w:highlight w:val="none"/>
              </w:rPr>
              <w:t>《清水离心泵能效限定值及节能</w:t>
            </w:r>
            <w:r>
              <w:rPr>
                <w:rFonts w:hint="eastAsia" w:ascii="宋体" w:hAnsi="宋体" w:cs="宋体"/>
                <w:color w:val="auto"/>
                <w:highlight w:val="none"/>
              </w:rPr>
              <w:t>评价值》（GB 19762）</w:t>
            </w:r>
          </w:p>
        </w:tc>
      </w:tr>
      <w:tr w14:paraId="43612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64" w:type="dxa"/>
            <w:gridSpan w:val="2"/>
            <w:vMerge w:val="restart"/>
            <w:vAlign w:val="center"/>
          </w:tcPr>
          <w:p w14:paraId="55879839">
            <w:pPr>
              <w:autoSpaceDE w:val="0"/>
              <w:autoSpaceDN w:val="0"/>
              <w:jc w:val="center"/>
              <w:rPr>
                <w:rFonts w:hint="eastAsia" w:ascii="宋体" w:hAnsi="宋体" w:cs="宋体"/>
                <w:color w:val="auto"/>
                <w:highlight w:val="none"/>
              </w:rPr>
            </w:pPr>
            <w:r>
              <w:rPr>
                <w:rFonts w:hint="eastAsia" w:ascii="宋体" w:hAnsi="宋体" w:cs="宋体"/>
                <w:color w:val="auto"/>
                <w:highlight w:val="none"/>
              </w:rPr>
              <w:t>6</w:t>
            </w:r>
          </w:p>
        </w:tc>
        <w:tc>
          <w:tcPr>
            <w:tcW w:w="1614" w:type="dxa"/>
            <w:vMerge w:val="restart"/>
            <w:vAlign w:val="center"/>
          </w:tcPr>
          <w:p w14:paraId="53140502">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A020523</w:t>
            </w:r>
            <w:r>
              <w:rPr>
                <w:rFonts w:hint="eastAsia" w:ascii="宋体" w:hAnsi="宋体" w:cs="宋体"/>
                <w:color w:val="auto"/>
                <w:spacing w:val="-20"/>
                <w:highlight w:val="none"/>
              </w:rPr>
              <w:t xml:space="preserve"> 制冷</w:t>
            </w:r>
            <w:r>
              <w:rPr>
                <w:rFonts w:hint="eastAsia" w:ascii="宋体" w:hAnsi="宋体" w:cs="宋体"/>
                <w:color w:val="auto"/>
                <w:highlight w:val="none"/>
              </w:rPr>
              <w:t>空调设备</w:t>
            </w:r>
          </w:p>
        </w:tc>
        <w:tc>
          <w:tcPr>
            <w:tcW w:w="1350" w:type="dxa"/>
            <w:vMerge w:val="restart"/>
            <w:vAlign w:val="center"/>
          </w:tcPr>
          <w:p w14:paraId="055B39CF">
            <w:pPr>
              <w:autoSpaceDE w:val="0"/>
              <w:autoSpaceDN w:val="0"/>
              <w:jc w:val="center"/>
              <w:rPr>
                <w:rFonts w:hint="eastAsia" w:ascii="宋体" w:hAnsi="宋体" w:cs="宋体"/>
                <w:color w:val="auto"/>
                <w:highlight w:val="none"/>
              </w:rPr>
            </w:pPr>
            <w:r>
              <w:rPr>
                <w:rFonts w:hint="eastAsia" w:ascii="宋体" w:hAnsi="宋体" w:cs="宋体"/>
                <w:color w:val="auto"/>
                <w:highlight w:val="none"/>
              </w:rPr>
              <w:t>★A02052301</w:t>
            </w:r>
            <w:r>
              <w:rPr>
                <w:rFonts w:hint="eastAsia" w:ascii="宋体" w:hAnsi="宋体" w:cs="宋体"/>
                <w:color w:val="auto"/>
                <w:spacing w:val="-7"/>
                <w:highlight w:val="none"/>
              </w:rPr>
              <w:t xml:space="preserve"> 制冷压</w:t>
            </w:r>
            <w:r>
              <w:rPr>
                <w:rFonts w:hint="eastAsia" w:ascii="宋体" w:hAnsi="宋体" w:cs="宋体"/>
                <w:color w:val="auto"/>
                <w:highlight w:val="none"/>
              </w:rPr>
              <w:t>缩机</w:t>
            </w:r>
          </w:p>
        </w:tc>
        <w:tc>
          <w:tcPr>
            <w:tcW w:w="1868" w:type="dxa"/>
            <w:vAlign w:val="center"/>
          </w:tcPr>
          <w:p w14:paraId="36C0F498">
            <w:pPr>
              <w:autoSpaceDE w:val="0"/>
              <w:autoSpaceDN w:val="0"/>
              <w:jc w:val="center"/>
              <w:rPr>
                <w:rFonts w:hint="eastAsia" w:ascii="宋体" w:hAnsi="宋体" w:cs="宋体"/>
                <w:color w:val="auto"/>
                <w:highlight w:val="none"/>
              </w:rPr>
            </w:pPr>
            <w:r>
              <w:rPr>
                <w:rFonts w:hint="eastAsia" w:ascii="宋体" w:hAnsi="宋体" w:cs="宋体"/>
                <w:color w:val="auto"/>
                <w:highlight w:val="none"/>
              </w:rPr>
              <w:t>冷水机组</w:t>
            </w:r>
          </w:p>
        </w:tc>
        <w:tc>
          <w:tcPr>
            <w:tcW w:w="3632" w:type="dxa"/>
            <w:vAlign w:val="center"/>
          </w:tcPr>
          <w:p w14:paraId="753E0F51">
            <w:pPr>
              <w:autoSpaceDE w:val="0"/>
              <w:autoSpaceDN w:val="0"/>
              <w:jc w:val="center"/>
              <w:rPr>
                <w:rFonts w:hint="eastAsia" w:ascii="宋体" w:hAnsi="宋体" w:cs="宋体"/>
                <w:color w:val="auto"/>
                <w:spacing w:val="9"/>
                <w:highlight w:val="none"/>
              </w:rPr>
            </w:pPr>
            <w:r>
              <w:rPr>
                <w:rFonts w:hint="eastAsia" w:ascii="宋体" w:hAnsi="宋体" w:cs="宋体"/>
                <w:color w:val="auto"/>
                <w:spacing w:val="9"/>
                <w:highlight w:val="none"/>
              </w:rPr>
              <w:t>《冷水机组能效限定值及能效等</w:t>
            </w:r>
            <w:r>
              <w:rPr>
                <w:rFonts w:hint="eastAsia" w:ascii="宋体" w:hAnsi="宋体" w:cs="宋体"/>
                <w:color w:val="auto"/>
                <w:highlight w:val="none"/>
              </w:rPr>
              <w:t>级》（GB</w:t>
            </w:r>
            <w:r>
              <w:rPr>
                <w:rFonts w:hint="eastAsia" w:ascii="宋体" w:hAnsi="宋体" w:cs="宋体"/>
                <w:color w:val="auto"/>
                <w:spacing w:val="41"/>
                <w:highlight w:val="none"/>
              </w:rPr>
              <w:t xml:space="preserve"> </w:t>
            </w:r>
            <w:r>
              <w:rPr>
                <w:rFonts w:hint="eastAsia" w:ascii="宋体" w:hAnsi="宋体" w:cs="宋体"/>
                <w:color w:val="auto"/>
                <w:highlight w:val="none"/>
              </w:rPr>
              <w:t>19577），《低环境温度</w:t>
            </w:r>
            <w:r>
              <w:rPr>
                <w:rFonts w:hint="eastAsia" w:ascii="宋体" w:hAnsi="宋体" w:cs="宋体"/>
                <w:color w:val="auto"/>
                <w:spacing w:val="-5"/>
                <w:highlight w:val="none"/>
              </w:rPr>
              <w:t>空气源热泵</w:t>
            </w:r>
            <w:r>
              <w:rPr>
                <w:rFonts w:hint="eastAsia" w:ascii="宋体" w:hAnsi="宋体" w:cs="宋体"/>
                <w:color w:val="auto"/>
                <w:spacing w:val="-4"/>
                <w:highlight w:val="none"/>
              </w:rPr>
              <w:t>（冷水）机组能效限定</w:t>
            </w:r>
            <w:r>
              <w:rPr>
                <w:rFonts w:hint="eastAsia" w:ascii="宋体" w:hAnsi="宋体" w:cs="宋体"/>
                <w:color w:val="auto"/>
                <w:highlight w:val="none"/>
              </w:rPr>
              <w:t>值及能效等级》（GB 37480）</w:t>
            </w:r>
          </w:p>
        </w:tc>
      </w:tr>
      <w:tr w14:paraId="631A8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64" w:type="dxa"/>
            <w:gridSpan w:val="2"/>
            <w:vMerge w:val="continue"/>
            <w:vAlign w:val="center"/>
          </w:tcPr>
          <w:p w14:paraId="3E615DEC">
            <w:pPr>
              <w:autoSpaceDE w:val="0"/>
              <w:autoSpaceDN w:val="0"/>
              <w:jc w:val="center"/>
              <w:rPr>
                <w:rFonts w:hint="eastAsia" w:ascii="宋体" w:hAnsi="宋体" w:cs="宋体"/>
                <w:color w:val="auto"/>
                <w:highlight w:val="none"/>
              </w:rPr>
            </w:pPr>
          </w:p>
        </w:tc>
        <w:tc>
          <w:tcPr>
            <w:tcW w:w="1614" w:type="dxa"/>
            <w:vMerge w:val="continue"/>
            <w:vAlign w:val="center"/>
          </w:tcPr>
          <w:p w14:paraId="1EF94BDA">
            <w:pPr>
              <w:autoSpaceDE w:val="0"/>
              <w:autoSpaceDN w:val="0"/>
              <w:jc w:val="center"/>
              <w:rPr>
                <w:rFonts w:hint="eastAsia" w:ascii="宋体" w:hAnsi="宋体" w:cs="宋体"/>
                <w:color w:val="auto"/>
                <w:highlight w:val="none"/>
              </w:rPr>
            </w:pPr>
          </w:p>
        </w:tc>
        <w:tc>
          <w:tcPr>
            <w:tcW w:w="1350" w:type="dxa"/>
            <w:vMerge w:val="continue"/>
            <w:vAlign w:val="center"/>
          </w:tcPr>
          <w:p w14:paraId="747C177B">
            <w:pPr>
              <w:autoSpaceDE w:val="0"/>
              <w:autoSpaceDN w:val="0"/>
              <w:jc w:val="center"/>
              <w:rPr>
                <w:rFonts w:hint="eastAsia" w:ascii="宋体" w:hAnsi="宋体" w:cs="宋体"/>
                <w:color w:val="auto"/>
                <w:highlight w:val="none"/>
              </w:rPr>
            </w:pPr>
          </w:p>
        </w:tc>
        <w:tc>
          <w:tcPr>
            <w:tcW w:w="1868" w:type="dxa"/>
            <w:vAlign w:val="center"/>
          </w:tcPr>
          <w:p w14:paraId="17E436C8">
            <w:pPr>
              <w:autoSpaceDE w:val="0"/>
              <w:autoSpaceDN w:val="0"/>
              <w:jc w:val="center"/>
              <w:rPr>
                <w:rFonts w:hint="eastAsia" w:ascii="宋体" w:hAnsi="宋体" w:cs="宋体"/>
                <w:color w:val="auto"/>
                <w:highlight w:val="none"/>
              </w:rPr>
            </w:pPr>
            <w:r>
              <w:rPr>
                <w:rFonts w:hint="eastAsia" w:ascii="宋体" w:hAnsi="宋体" w:cs="宋体"/>
                <w:color w:val="auto"/>
                <w:highlight w:val="none"/>
              </w:rPr>
              <w:t>水源热泵机组</w:t>
            </w:r>
          </w:p>
        </w:tc>
        <w:tc>
          <w:tcPr>
            <w:tcW w:w="3632" w:type="dxa"/>
            <w:vAlign w:val="center"/>
          </w:tcPr>
          <w:p w14:paraId="3A8AE921">
            <w:pPr>
              <w:autoSpaceDE w:val="0"/>
              <w:autoSpaceDN w:val="0"/>
              <w:jc w:val="center"/>
              <w:rPr>
                <w:rFonts w:hint="eastAsia" w:ascii="宋体" w:hAnsi="宋体" w:cs="宋体"/>
                <w:color w:val="auto"/>
                <w:spacing w:val="9"/>
                <w:highlight w:val="none"/>
              </w:rPr>
            </w:pPr>
            <w:r>
              <w:rPr>
                <w:rFonts w:hint="eastAsia" w:ascii="宋体" w:hAnsi="宋体" w:cs="宋体"/>
                <w:color w:val="auto"/>
                <w:spacing w:val="-5"/>
                <w:highlight w:val="none"/>
              </w:rPr>
              <w:t>《水（地</w:t>
            </w:r>
            <w:r>
              <w:rPr>
                <w:rFonts w:hint="eastAsia" w:ascii="宋体" w:hAnsi="宋体" w:cs="宋体"/>
                <w:color w:val="auto"/>
                <w:spacing w:val="-4"/>
                <w:highlight w:val="none"/>
              </w:rPr>
              <w:t>）源热泵机组能效限定值</w:t>
            </w:r>
            <w:r>
              <w:rPr>
                <w:rFonts w:hint="eastAsia" w:ascii="宋体" w:hAnsi="宋体" w:cs="宋体"/>
                <w:color w:val="auto"/>
                <w:highlight w:val="none"/>
              </w:rPr>
              <w:t>及能效等级》（GB</w:t>
            </w:r>
            <w:r>
              <w:rPr>
                <w:rFonts w:hint="eastAsia" w:ascii="宋体" w:hAnsi="宋体" w:cs="宋体"/>
                <w:color w:val="auto"/>
                <w:spacing w:val="1"/>
                <w:highlight w:val="none"/>
              </w:rPr>
              <w:t xml:space="preserve"> </w:t>
            </w:r>
            <w:r>
              <w:rPr>
                <w:rFonts w:hint="eastAsia" w:ascii="宋体" w:hAnsi="宋体" w:cs="宋体"/>
                <w:color w:val="auto"/>
                <w:highlight w:val="none"/>
              </w:rPr>
              <w:t>30721）</w:t>
            </w:r>
          </w:p>
        </w:tc>
      </w:tr>
      <w:tr w14:paraId="1E277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64" w:type="dxa"/>
            <w:gridSpan w:val="2"/>
            <w:vMerge w:val="continue"/>
            <w:vAlign w:val="center"/>
          </w:tcPr>
          <w:p w14:paraId="38DC9ED1">
            <w:pPr>
              <w:autoSpaceDE w:val="0"/>
              <w:autoSpaceDN w:val="0"/>
              <w:jc w:val="center"/>
              <w:rPr>
                <w:rFonts w:hint="eastAsia" w:ascii="宋体" w:hAnsi="宋体" w:cs="宋体"/>
                <w:color w:val="auto"/>
                <w:highlight w:val="none"/>
              </w:rPr>
            </w:pPr>
          </w:p>
        </w:tc>
        <w:tc>
          <w:tcPr>
            <w:tcW w:w="1614" w:type="dxa"/>
            <w:vMerge w:val="continue"/>
            <w:vAlign w:val="center"/>
          </w:tcPr>
          <w:p w14:paraId="44F9CEDB">
            <w:pPr>
              <w:autoSpaceDE w:val="0"/>
              <w:autoSpaceDN w:val="0"/>
              <w:jc w:val="center"/>
              <w:rPr>
                <w:rFonts w:hint="eastAsia" w:ascii="宋体" w:hAnsi="宋体" w:cs="宋体"/>
                <w:color w:val="auto"/>
                <w:highlight w:val="none"/>
              </w:rPr>
            </w:pPr>
          </w:p>
        </w:tc>
        <w:tc>
          <w:tcPr>
            <w:tcW w:w="1350" w:type="dxa"/>
            <w:vMerge w:val="continue"/>
            <w:vAlign w:val="center"/>
          </w:tcPr>
          <w:p w14:paraId="68FDEE64">
            <w:pPr>
              <w:autoSpaceDE w:val="0"/>
              <w:autoSpaceDN w:val="0"/>
              <w:jc w:val="center"/>
              <w:rPr>
                <w:rFonts w:hint="eastAsia" w:ascii="宋体" w:hAnsi="宋体" w:cs="宋体"/>
                <w:color w:val="auto"/>
                <w:highlight w:val="none"/>
              </w:rPr>
            </w:pPr>
          </w:p>
        </w:tc>
        <w:tc>
          <w:tcPr>
            <w:tcW w:w="1868" w:type="dxa"/>
            <w:vAlign w:val="center"/>
          </w:tcPr>
          <w:p w14:paraId="3FF509F4">
            <w:pPr>
              <w:autoSpaceDE w:val="0"/>
              <w:autoSpaceDN w:val="0"/>
              <w:jc w:val="center"/>
              <w:rPr>
                <w:rFonts w:hint="eastAsia" w:ascii="宋体" w:hAnsi="宋体" w:cs="宋体"/>
                <w:color w:val="auto"/>
                <w:highlight w:val="none"/>
              </w:rPr>
            </w:pPr>
            <w:r>
              <w:rPr>
                <w:rFonts w:hint="eastAsia" w:ascii="宋体" w:hAnsi="宋体" w:cs="宋体"/>
                <w:color w:val="auto"/>
                <w:spacing w:val="8"/>
                <w:highlight w:val="none"/>
              </w:rPr>
              <w:t>溴化锂吸收式冷水机</w:t>
            </w:r>
            <w:r>
              <w:rPr>
                <w:rFonts w:hint="eastAsia" w:ascii="宋体" w:hAnsi="宋体" w:cs="宋体"/>
                <w:color w:val="auto"/>
                <w:highlight w:val="none"/>
              </w:rPr>
              <w:t>组</w:t>
            </w:r>
          </w:p>
        </w:tc>
        <w:tc>
          <w:tcPr>
            <w:tcW w:w="3632" w:type="dxa"/>
            <w:vAlign w:val="center"/>
          </w:tcPr>
          <w:p w14:paraId="51875B84">
            <w:pPr>
              <w:autoSpaceDE w:val="0"/>
              <w:autoSpaceDN w:val="0"/>
              <w:jc w:val="center"/>
              <w:rPr>
                <w:rFonts w:hint="eastAsia" w:ascii="宋体" w:hAnsi="宋体" w:cs="宋体"/>
                <w:color w:val="auto"/>
                <w:spacing w:val="9"/>
                <w:highlight w:val="none"/>
              </w:rPr>
            </w:pPr>
            <w:r>
              <w:rPr>
                <w:rFonts w:hint="eastAsia" w:ascii="宋体" w:hAnsi="宋体" w:cs="宋体"/>
                <w:color w:val="auto"/>
                <w:spacing w:val="9"/>
                <w:highlight w:val="none"/>
              </w:rPr>
              <w:t>《溴化锂吸收式冷水机组能效限</w:t>
            </w:r>
            <w:r>
              <w:rPr>
                <w:rFonts w:hint="eastAsia" w:ascii="宋体" w:hAnsi="宋体" w:cs="宋体"/>
                <w:color w:val="auto"/>
                <w:highlight w:val="none"/>
              </w:rPr>
              <w:t>定值及能效等级》（GB 29540）</w:t>
            </w:r>
          </w:p>
        </w:tc>
      </w:tr>
      <w:tr w14:paraId="2DDD5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64" w:type="dxa"/>
            <w:gridSpan w:val="2"/>
            <w:vMerge w:val="continue"/>
            <w:vAlign w:val="center"/>
          </w:tcPr>
          <w:p w14:paraId="4A7D8348">
            <w:pPr>
              <w:autoSpaceDE w:val="0"/>
              <w:autoSpaceDN w:val="0"/>
              <w:jc w:val="center"/>
              <w:rPr>
                <w:rFonts w:hint="eastAsia" w:ascii="宋体" w:hAnsi="宋体" w:cs="宋体"/>
                <w:color w:val="auto"/>
                <w:highlight w:val="none"/>
              </w:rPr>
            </w:pPr>
          </w:p>
        </w:tc>
        <w:tc>
          <w:tcPr>
            <w:tcW w:w="1614" w:type="dxa"/>
            <w:vMerge w:val="continue"/>
            <w:vAlign w:val="center"/>
          </w:tcPr>
          <w:p w14:paraId="48E5CBE4">
            <w:pPr>
              <w:autoSpaceDE w:val="0"/>
              <w:autoSpaceDN w:val="0"/>
              <w:jc w:val="center"/>
              <w:rPr>
                <w:rFonts w:hint="eastAsia" w:ascii="宋体" w:hAnsi="宋体" w:cs="宋体"/>
                <w:color w:val="auto"/>
                <w:highlight w:val="none"/>
              </w:rPr>
            </w:pPr>
          </w:p>
        </w:tc>
        <w:tc>
          <w:tcPr>
            <w:tcW w:w="1350" w:type="dxa"/>
            <w:vMerge w:val="restart"/>
            <w:vAlign w:val="center"/>
          </w:tcPr>
          <w:p w14:paraId="532AB58A">
            <w:pPr>
              <w:autoSpaceDE w:val="0"/>
              <w:autoSpaceDN w:val="0"/>
              <w:jc w:val="center"/>
              <w:rPr>
                <w:rFonts w:hint="eastAsia" w:ascii="宋体" w:hAnsi="宋体" w:cs="宋体"/>
                <w:color w:val="auto"/>
                <w:highlight w:val="none"/>
              </w:rPr>
            </w:pPr>
            <w:r>
              <w:rPr>
                <w:rFonts w:hint="eastAsia" w:ascii="宋体" w:hAnsi="宋体" w:cs="宋体"/>
                <w:color w:val="auto"/>
                <w:spacing w:val="-2"/>
                <w:highlight w:val="none"/>
              </w:rPr>
              <w:t>★A02052305</w:t>
            </w:r>
            <w:r>
              <w:rPr>
                <w:rFonts w:hint="eastAsia" w:ascii="宋体" w:hAnsi="宋体" w:cs="宋体"/>
                <w:color w:val="auto"/>
                <w:spacing w:val="-7"/>
                <w:highlight w:val="none"/>
              </w:rPr>
              <w:t xml:space="preserve"> 空调机</w:t>
            </w:r>
            <w:r>
              <w:rPr>
                <w:rFonts w:hint="eastAsia" w:ascii="宋体" w:hAnsi="宋体" w:cs="宋体"/>
                <w:color w:val="auto"/>
                <w:highlight w:val="none"/>
              </w:rPr>
              <w:t>组</w:t>
            </w:r>
          </w:p>
        </w:tc>
        <w:tc>
          <w:tcPr>
            <w:tcW w:w="1868" w:type="dxa"/>
            <w:vAlign w:val="center"/>
          </w:tcPr>
          <w:p w14:paraId="2381DD75">
            <w:pPr>
              <w:autoSpaceDE w:val="0"/>
              <w:autoSpaceDN w:val="0"/>
              <w:jc w:val="center"/>
              <w:rPr>
                <w:rFonts w:hint="eastAsia" w:ascii="宋体" w:hAnsi="宋体" w:cs="宋体"/>
                <w:color w:val="auto"/>
                <w:highlight w:val="none"/>
              </w:rPr>
            </w:pPr>
            <w:r>
              <w:rPr>
                <w:rFonts w:hint="eastAsia" w:ascii="宋体" w:hAnsi="宋体" w:cs="宋体"/>
                <w:color w:val="auto"/>
                <w:highlight w:val="none"/>
              </w:rPr>
              <w:t>多联式空调（热泵）机 组 ( 制 冷量&gt;14000W)</w:t>
            </w:r>
          </w:p>
        </w:tc>
        <w:tc>
          <w:tcPr>
            <w:tcW w:w="3632" w:type="dxa"/>
            <w:vAlign w:val="center"/>
          </w:tcPr>
          <w:p w14:paraId="549DFBFE">
            <w:pPr>
              <w:autoSpaceDE w:val="0"/>
              <w:autoSpaceDN w:val="0"/>
              <w:jc w:val="center"/>
              <w:rPr>
                <w:rFonts w:hint="eastAsia" w:ascii="宋体" w:hAnsi="宋体" w:cs="宋体"/>
                <w:color w:val="auto"/>
                <w:spacing w:val="9"/>
                <w:highlight w:val="none"/>
              </w:rPr>
            </w:pPr>
            <w:r>
              <w:rPr>
                <w:rFonts w:hint="eastAsia" w:ascii="宋体" w:hAnsi="宋体" w:cs="宋体"/>
                <w:color w:val="auto"/>
                <w:highlight w:val="none"/>
              </w:rPr>
              <w:t>《多联式空调（热泵）机组能效限</w:t>
            </w:r>
            <w:r>
              <w:rPr>
                <w:rFonts w:hint="eastAsia" w:ascii="宋体" w:hAnsi="宋体" w:cs="宋体"/>
                <w:color w:val="auto"/>
                <w:spacing w:val="-11"/>
                <w:highlight w:val="none"/>
              </w:rPr>
              <w:t>定值及能源效率等级》</w:t>
            </w:r>
            <w:r>
              <w:rPr>
                <w:rFonts w:hint="eastAsia" w:ascii="宋体" w:hAnsi="宋体" w:cs="宋体"/>
                <w:color w:val="auto"/>
                <w:highlight w:val="none"/>
              </w:rPr>
              <w:t>（GB</w:t>
            </w:r>
            <w:r>
              <w:rPr>
                <w:rFonts w:hint="eastAsia" w:ascii="宋体" w:hAnsi="宋体" w:cs="宋体"/>
                <w:color w:val="auto"/>
                <w:spacing w:val="55"/>
                <w:highlight w:val="none"/>
              </w:rPr>
              <w:t xml:space="preserve"> </w:t>
            </w:r>
            <w:r>
              <w:rPr>
                <w:rFonts w:hint="eastAsia" w:ascii="宋体" w:hAnsi="宋体" w:cs="宋体"/>
                <w:color w:val="auto"/>
                <w:highlight w:val="none"/>
              </w:rPr>
              <w:t>21454）</w:t>
            </w:r>
          </w:p>
        </w:tc>
      </w:tr>
      <w:tr w14:paraId="7C07D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64" w:type="dxa"/>
            <w:gridSpan w:val="2"/>
            <w:vMerge w:val="continue"/>
            <w:vAlign w:val="center"/>
          </w:tcPr>
          <w:p w14:paraId="227B5277">
            <w:pPr>
              <w:autoSpaceDE w:val="0"/>
              <w:autoSpaceDN w:val="0"/>
              <w:jc w:val="center"/>
              <w:rPr>
                <w:rFonts w:hint="eastAsia" w:ascii="宋体" w:hAnsi="宋体" w:cs="宋体"/>
                <w:color w:val="auto"/>
                <w:highlight w:val="none"/>
              </w:rPr>
            </w:pPr>
          </w:p>
        </w:tc>
        <w:tc>
          <w:tcPr>
            <w:tcW w:w="1614" w:type="dxa"/>
            <w:vMerge w:val="continue"/>
            <w:vAlign w:val="center"/>
          </w:tcPr>
          <w:p w14:paraId="3E3F81C8">
            <w:pPr>
              <w:autoSpaceDE w:val="0"/>
              <w:autoSpaceDN w:val="0"/>
              <w:jc w:val="center"/>
              <w:rPr>
                <w:rFonts w:hint="eastAsia" w:ascii="宋体" w:hAnsi="宋体" w:cs="宋体"/>
                <w:color w:val="auto"/>
                <w:highlight w:val="none"/>
              </w:rPr>
            </w:pPr>
          </w:p>
        </w:tc>
        <w:tc>
          <w:tcPr>
            <w:tcW w:w="1350" w:type="dxa"/>
            <w:vMerge w:val="continue"/>
            <w:vAlign w:val="center"/>
          </w:tcPr>
          <w:p w14:paraId="158592B2">
            <w:pPr>
              <w:autoSpaceDE w:val="0"/>
              <w:autoSpaceDN w:val="0"/>
              <w:jc w:val="center"/>
              <w:rPr>
                <w:rFonts w:hint="eastAsia" w:ascii="宋体" w:hAnsi="宋体" w:cs="宋体"/>
                <w:color w:val="auto"/>
                <w:highlight w:val="none"/>
              </w:rPr>
            </w:pPr>
          </w:p>
        </w:tc>
        <w:tc>
          <w:tcPr>
            <w:tcW w:w="1868" w:type="dxa"/>
            <w:vAlign w:val="center"/>
          </w:tcPr>
          <w:p w14:paraId="28BF5282">
            <w:pPr>
              <w:autoSpaceDE w:val="0"/>
              <w:autoSpaceDN w:val="0"/>
              <w:jc w:val="center"/>
              <w:rPr>
                <w:rFonts w:hint="eastAsia" w:ascii="宋体" w:hAnsi="宋体" w:cs="宋体"/>
                <w:color w:val="auto"/>
                <w:spacing w:val="8"/>
                <w:highlight w:val="none"/>
              </w:rPr>
            </w:pPr>
            <w:r>
              <w:rPr>
                <w:rFonts w:hint="eastAsia" w:ascii="宋体" w:hAnsi="宋体" w:cs="宋体"/>
                <w:color w:val="auto"/>
                <w:spacing w:val="35"/>
                <w:highlight w:val="none"/>
              </w:rPr>
              <w:t>单元式空气调节机</w:t>
            </w:r>
            <w:r>
              <w:rPr>
                <w:rFonts w:hint="eastAsia" w:ascii="宋体" w:hAnsi="宋体" w:cs="宋体"/>
                <w:color w:val="auto"/>
                <w:highlight w:val="none"/>
              </w:rPr>
              <w:t>(制冷量&gt;14000W)</w:t>
            </w:r>
          </w:p>
        </w:tc>
        <w:tc>
          <w:tcPr>
            <w:tcW w:w="3632" w:type="dxa"/>
            <w:vAlign w:val="center"/>
          </w:tcPr>
          <w:p w14:paraId="74152EA9">
            <w:pPr>
              <w:autoSpaceDE w:val="0"/>
              <w:autoSpaceDN w:val="0"/>
              <w:jc w:val="center"/>
              <w:rPr>
                <w:rFonts w:hint="eastAsia" w:ascii="宋体" w:hAnsi="宋体" w:cs="宋体"/>
                <w:color w:val="auto"/>
                <w:spacing w:val="9"/>
                <w:highlight w:val="none"/>
              </w:rPr>
            </w:pPr>
            <w:r>
              <w:rPr>
                <w:rFonts w:hint="eastAsia" w:ascii="宋体" w:hAnsi="宋体" w:cs="宋体"/>
                <w:color w:val="auto"/>
                <w:spacing w:val="9"/>
                <w:highlight w:val="none"/>
              </w:rPr>
              <w:t>《单元式空气调节机能效限定值</w:t>
            </w:r>
            <w:r>
              <w:rPr>
                <w:rFonts w:hint="eastAsia" w:ascii="宋体" w:hAnsi="宋体" w:cs="宋体"/>
                <w:color w:val="auto"/>
                <w:highlight w:val="none"/>
              </w:rPr>
              <w:t>及能效等级》（GB</w:t>
            </w:r>
            <w:r>
              <w:rPr>
                <w:rFonts w:hint="eastAsia" w:ascii="宋体" w:hAnsi="宋体" w:cs="宋体"/>
                <w:color w:val="auto"/>
                <w:spacing w:val="41"/>
                <w:highlight w:val="none"/>
              </w:rPr>
              <w:t xml:space="preserve"> </w:t>
            </w:r>
            <w:r>
              <w:rPr>
                <w:rFonts w:hint="eastAsia" w:ascii="宋体" w:hAnsi="宋体" w:cs="宋体"/>
                <w:color w:val="auto"/>
                <w:highlight w:val="none"/>
              </w:rPr>
              <w:t>19576）《风管</w:t>
            </w:r>
            <w:r>
              <w:rPr>
                <w:rFonts w:hint="eastAsia" w:ascii="宋体" w:hAnsi="宋体" w:cs="宋体"/>
                <w:color w:val="auto"/>
                <w:spacing w:val="9"/>
                <w:highlight w:val="none"/>
              </w:rPr>
              <w:t>送风式空调机组能效限定值及能</w:t>
            </w:r>
            <w:r>
              <w:rPr>
                <w:rFonts w:hint="eastAsia" w:ascii="宋体" w:hAnsi="宋体" w:cs="宋体"/>
                <w:color w:val="auto"/>
                <w:highlight w:val="none"/>
              </w:rPr>
              <w:t>效等级》（GB 37479）</w:t>
            </w:r>
          </w:p>
        </w:tc>
      </w:tr>
      <w:tr w14:paraId="152B8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64" w:type="dxa"/>
            <w:gridSpan w:val="2"/>
            <w:vMerge w:val="continue"/>
            <w:vAlign w:val="center"/>
          </w:tcPr>
          <w:p w14:paraId="30B4F33E">
            <w:pPr>
              <w:autoSpaceDE w:val="0"/>
              <w:autoSpaceDN w:val="0"/>
              <w:jc w:val="center"/>
              <w:rPr>
                <w:rFonts w:hint="eastAsia" w:ascii="宋体" w:hAnsi="宋体" w:cs="宋体"/>
                <w:color w:val="auto"/>
                <w:highlight w:val="none"/>
              </w:rPr>
            </w:pPr>
          </w:p>
        </w:tc>
        <w:tc>
          <w:tcPr>
            <w:tcW w:w="1614" w:type="dxa"/>
            <w:vMerge w:val="continue"/>
            <w:vAlign w:val="center"/>
          </w:tcPr>
          <w:p w14:paraId="75987192">
            <w:pPr>
              <w:autoSpaceDE w:val="0"/>
              <w:autoSpaceDN w:val="0"/>
              <w:jc w:val="center"/>
              <w:rPr>
                <w:rFonts w:hint="eastAsia" w:ascii="宋体" w:hAnsi="宋体" w:cs="宋体"/>
                <w:color w:val="auto"/>
                <w:highlight w:val="none"/>
              </w:rPr>
            </w:pPr>
          </w:p>
        </w:tc>
        <w:tc>
          <w:tcPr>
            <w:tcW w:w="1350" w:type="dxa"/>
            <w:vAlign w:val="center"/>
          </w:tcPr>
          <w:p w14:paraId="7FDAB306">
            <w:pPr>
              <w:autoSpaceDE w:val="0"/>
              <w:autoSpaceDN w:val="0"/>
              <w:jc w:val="center"/>
              <w:rPr>
                <w:rFonts w:hint="eastAsia" w:ascii="宋体" w:hAnsi="宋体" w:cs="宋体"/>
                <w:color w:val="auto"/>
                <w:highlight w:val="none"/>
              </w:rPr>
            </w:pPr>
            <w:r>
              <w:rPr>
                <w:rFonts w:hint="eastAsia" w:ascii="宋体" w:hAnsi="宋体" w:cs="宋体"/>
                <w:color w:val="auto"/>
                <w:spacing w:val="-2"/>
                <w:highlight w:val="none"/>
              </w:rPr>
              <w:t>★A02052309</w:t>
            </w:r>
            <w:r>
              <w:rPr>
                <w:rFonts w:hint="eastAsia" w:ascii="宋体" w:hAnsi="宋体" w:cs="宋体"/>
                <w:color w:val="auto"/>
                <w:spacing w:val="-7"/>
                <w:highlight w:val="none"/>
              </w:rPr>
              <w:t xml:space="preserve"> 专用制</w:t>
            </w:r>
            <w:r>
              <w:rPr>
                <w:rFonts w:hint="eastAsia" w:ascii="宋体" w:hAnsi="宋体" w:cs="宋体"/>
                <w:color w:val="auto"/>
                <w:highlight w:val="none"/>
              </w:rPr>
              <w:t>冷、空调设备</w:t>
            </w:r>
          </w:p>
        </w:tc>
        <w:tc>
          <w:tcPr>
            <w:tcW w:w="1868" w:type="dxa"/>
            <w:vAlign w:val="center"/>
          </w:tcPr>
          <w:p w14:paraId="48EDFCB0">
            <w:pPr>
              <w:autoSpaceDE w:val="0"/>
              <w:autoSpaceDN w:val="0"/>
              <w:jc w:val="center"/>
              <w:rPr>
                <w:rFonts w:hint="eastAsia" w:ascii="宋体" w:hAnsi="宋体" w:cs="宋体"/>
                <w:color w:val="auto"/>
                <w:spacing w:val="8"/>
                <w:highlight w:val="none"/>
              </w:rPr>
            </w:pPr>
            <w:r>
              <w:rPr>
                <w:rFonts w:hint="eastAsia" w:ascii="宋体" w:hAnsi="宋体" w:cs="宋体"/>
                <w:color w:val="auto"/>
                <w:highlight w:val="none"/>
              </w:rPr>
              <w:t>机房空调</w:t>
            </w:r>
          </w:p>
        </w:tc>
        <w:tc>
          <w:tcPr>
            <w:tcW w:w="3632" w:type="dxa"/>
            <w:vAlign w:val="center"/>
          </w:tcPr>
          <w:p w14:paraId="3A8BDCEC">
            <w:pPr>
              <w:autoSpaceDE w:val="0"/>
              <w:autoSpaceDN w:val="0"/>
              <w:jc w:val="center"/>
              <w:rPr>
                <w:rFonts w:hint="eastAsia" w:ascii="宋体" w:hAnsi="宋体" w:cs="宋体"/>
                <w:color w:val="auto"/>
                <w:spacing w:val="9"/>
                <w:highlight w:val="none"/>
              </w:rPr>
            </w:pPr>
            <w:r>
              <w:rPr>
                <w:rFonts w:hint="eastAsia" w:ascii="宋体" w:hAnsi="宋体" w:cs="宋体"/>
                <w:color w:val="auto"/>
                <w:spacing w:val="9"/>
                <w:highlight w:val="none"/>
              </w:rPr>
              <w:t>《单元式空气调节机能效限定值</w:t>
            </w:r>
            <w:r>
              <w:rPr>
                <w:rFonts w:hint="eastAsia" w:ascii="宋体" w:hAnsi="宋体" w:cs="宋体"/>
                <w:color w:val="auto"/>
                <w:highlight w:val="none"/>
              </w:rPr>
              <w:t>及能效等级》（GB</w:t>
            </w:r>
            <w:r>
              <w:rPr>
                <w:rFonts w:hint="eastAsia" w:ascii="宋体" w:hAnsi="宋体" w:cs="宋体"/>
                <w:color w:val="auto"/>
                <w:spacing w:val="1"/>
                <w:highlight w:val="none"/>
              </w:rPr>
              <w:t xml:space="preserve"> </w:t>
            </w:r>
            <w:r>
              <w:rPr>
                <w:rFonts w:hint="eastAsia" w:ascii="宋体" w:hAnsi="宋体" w:cs="宋体"/>
                <w:color w:val="auto"/>
                <w:highlight w:val="none"/>
              </w:rPr>
              <w:t>19576）</w:t>
            </w:r>
          </w:p>
        </w:tc>
      </w:tr>
      <w:tr w14:paraId="0535B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64" w:type="dxa"/>
            <w:gridSpan w:val="2"/>
            <w:vMerge w:val="continue"/>
            <w:vAlign w:val="center"/>
          </w:tcPr>
          <w:p w14:paraId="79E7B07D">
            <w:pPr>
              <w:autoSpaceDE w:val="0"/>
              <w:autoSpaceDN w:val="0"/>
              <w:jc w:val="center"/>
              <w:rPr>
                <w:rFonts w:hint="eastAsia" w:ascii="宋体" w:hAnsi="宋体" w:cs="宋体"/>
                <w:color w:val="auto"/>
                <w:highlight w:val="none"/>
              </w:rPr>
            </w:pPr>
          </w:p>
        </w:tc>
        <w:tc>
          <w:tcPr>
            <w:tcW w:w="1614" w:type="dxa"/>
            <w:vMerge w:val="continue"/>
            <w:vAlign w:val="center"/>
          </w:tcPr>
          <w:p w14:paraId="30B3F47C">
            <w:pPr>
              <w:autoSpaceDE w:val="0"/>
              <w:autoSpaceDN w:val="0"/>
              <w:jc w:val="center"/>
              <w:rPr>
                <w:rFonts w:hint="eastAsia" w:ascii="宋体" w:hAnsi="宋体" w:cs="宋体"/>
                <w:color w:val="auto"/>
                <w:highlight w:val="none"/>
              </w:rPr>
            </w:pPr>
          </w:p>
        </w:tc>
        <w:tc>
          <w:tcPr>
            <w:tcW w:w="1350" w:type="dxa"/>
            <w:vAlign w:val="center"/>
          </w:tcPr>
          <w:p w14:paraId="57E298E2">
            <w:pPr>
              <w:autoSpaceDE w:val="0"/>
              <w:autoSpaceDN w:val="0"/>
              <w:jc w:val="center"/>
              <w:rPr>
                <w:rFonts w:hint="eastAsia" w:ascii="宋体" w:hAnsi="宋体" w:cs="宋体"/>
                <w:color w:val="auto"/>
                <w:highlight w:val="none"/>
              </w:rPr>
            </w:pPr>
            <w:r>
              <w:rPr>
                <w:rFonts w:hint="eastAsia" w:ascii="宋体" w:hAnsi="宋体" w:cs="宋体"/>
                <w:color w:val="auto"/>
                <w:spacing w:val="-2"/>
                <w:highlight w:val="none"/>
              </w:rPr>
              <w:t>A02052399</w:t>
            </w:r>
            <w:r>
              <w:rPr>
                <w:rFonts w:hint="eastAsia" w:ascii="宋体" w:hAnsi="宋体" w:cs="宋体"/>
                <w:color w:val="auto"/>
                <w:spacing w:val="-6"/>
                <w:highlight w:val="none"/>
              </w:rPr>
              <w:t xml:space="preserve"> 其他制冷</w:t>
            </w:r>
            <w:r>
              <w:rPr>
                <w:rFonts w:hint="eastAsia" w:ascii="宋体" w:hAnsi="宋体" w:cs="宋体"/>
                <w:color w:val="auto"/>
                <w:highlight w:val="none"/>
              </w:rPr>
              <w:t>空调设备</w:t>
            </w:r>
          </w:p>
        </w:tc>
        <w:tc>
          <w:tcPr>
            <w:tcW w:w="1868" w:type="dxa"/>
            <w:vAlign w:val="center"/>
          </w:tcPr>
          <w:p w14:paraId="1C466D54">
            <w:pPr>
              <w:autoSpaceDE w:val="0"/>
              <w:autoSpaceDN w:val="0"/>
              <w:jc w:val="center"/>
              <w:rPr>
                <w:rFonts w:hint="eastAsia" w:ascii="宋体" w:hAnsi="宋体" w:cs="宋体"/>
                <w:color w:val="auto"/>
                <w:spacing w:val="8"/>
                <w:highlight w:val="none"/>
              </w:rPr>
            </w:pPr>
            <w:r>
              <w:rPr>
                <w:rFonts w:hint="eastAsia" w:ascii="宋体" w:hAnsi="宋体" w:cs="宋体"/>
                <w:color w:val="auto"/>
                <w:highlight w:val="none"/>
              </w:rPr>
              <w:t>冷却塔</w:t>
            </w:r>
          </w:p>
        </w:tc>
        <w:tc>
          <w:tcPr>
            <w:tcW w:w="3632" w:type="dxa"/>
            <w:vAlign w:val="center"/>
          </w:tcPr>
          <w:p w14:paraId="556E9393">
            <w:pPr>
              <w:jc w:val="center"/>
              <w:rPr>
                <w:rFonts w:hint="eastAsia" w:ascii="宋体" w:hAnsi="宋体" w:cs="宋体"/>
                <w:color w:val="auto"/>
                <w:highlight w:val="none"/>
              </w:rPr>
            </w:pPr>
            <w:r>
              <w:rPr>
                <w:rFonts w:hint="eastAsia" w:ascii="宋体" w:hAnsi="宋体" w:cs="宋体"/>
                <w:color w:val="auto"/>
                <w:spacing w:val="2"/>
                <w:highlight w:val="none"/>
              </w:rPr>
              <w:t xml:space="preserve">《机械通风冷却塔 第 </w:t>
            </w:r>
            <w:r>
              <w:rPr>
                <w:rFonts w:hint="eastAsia" w:ascii="宋体" w:hAnsi="宋体" w:cs="宋体"/>
                <w:color w:val="auto"/>
                <w:highlight w:val="none"/>
              </w:rPr>
              <w:t>1 部分：中小型开式冷却塔</w:t>
            </w:r>
            <w:r>
              <w:rPr>
                <w:rFonts w:hint="eastAsia" w:ascii="宋体" w:hAnsi="宋体" w:cs="宋体"/>
                <w:color w:val="auto"/>
                <w:spacing w:val="-171"/>
                <w:highlight w:val="none"/>
              </w:rPr>
              <w:t>》</w:t>
            </w:r>
            <w:r>
              <w:rPr>
                <w:rFonts w:hint="eastAsia" w:ascii="宋体" w:hAnsi="宋体" w:cs="宋体"/>
                <w:color w:val="auto"/>
                <w:spacing w:val="-1"/>
                <w:highlight w:val="none"/>
              </w:rPr>
              <w:t>（</w:t>
            </w:r>
            <w:r>
              <w:rPr>
                <w:rFonts w:hint="eastAsia" w:ascii="宋体" w:hAnsi="宋体" w:cs="宋体"/>
                <w:color w:val="auto"/>
                <w:spacing w:val="1"/>
                <w:highlight w:val="none"/>
              </w:rPr>
              <w:t>G</w:t>
            </w:r>
            <w:r>
              <w:rPr>
                <w:rFonts w:hint="eastAsia" w:ascii="宋体" w:hAnsi="宋体" w:cs="宋体"/>
                <w:color w:val="auto"/>
                <w:highlight w:val="none"/>
              </w:rPr>
              <w:t>B</w:t>
            </w:r>
            <w:r>
              <w:rPr>
                <w:rFonts w:hint="eastAsia" w:ascii="宋体" w:hAnsi="宋体" w:cs="宋体"/>
                <w:color w:val="auto"/>
                <w:spacing w:val="-49"/>
                <w:highlight w:val="none"/>
              </w:rPr>
              <w:t xml:space="preserve"> </w:t>
            </w:r>
            <w:r>
              <w:rPr>
                <w:rFonts w:hint="eastAsia" w:ascii="宋体" w:hAnsi="宋体" w:cs="宋体"/>
                <w:color w:val="auto"/>
                <w:spacing w:val="1"/>
                <w:highlight w:val="none"/>
              </w:rPr>
              <w:t>/</w:t>
            </w:r>
            <w:r>
              <w:rPr>
                <w:rFonts w:hint="eastAsia" w:ascii="宋体" w:hAnsi="宋体" w:cs="宋体"/>
                <w:color w:val="auto"/>
                <w:highlight w:val="none"/>
              </w:rPr>
              <w:t>T</w:t>
            </w:r>
            <w:r>
              <w:rPr>
                <w:rFonts w:hint="eastAsia" w:ascii="宋体" w:hAnsi="宋体" w:cs="宋体"/>
                <w:color w:val="auto"/>
                <w:spacing w:val="-49"/>
                <w:highlight w:val="none"/>
              </w:rPr>
              <w:t xml:space="preserve"> </w:t>
            </w:r>
            <w:r>
              <w:rPr>
                <w:rFonts w:hint="eastAsia" w:ascii="宋体" w:hAnsi="宋体" w:cs="宋体"/>
                <w:color w:val="auto"/>
                <w:highlight w:val="none"/>
              </w:rPr>
              <w:t>7190</w:t>
            </w:r>
            <w:r>
              <w:rPr>
                <w:rFonts w:hint="eastAsia" w:ascii="宋体" w:hAnsi="宋体" w:cs="宋体"/>
                <w:color w:val="auto"/>
                <w:spacing w:val="1"/>
                <w:highlight w:val="none"/>
              </w:rPr>
              <w:t>.1</w:t>
            </w:r>
            <w:r>
              <w:rPr>
                <w:rFonts w:hint="eastAsia" w:ascii="宋体" w:hAnsi="宋体" w:cs="宋体"/>
                <w:color w:val="auto"/>
                <w:spacing w:val="-87"/>
                <w:highlight w:val="none"/>
              </w:rPr>
              <w:t>）</w:t>
            </w:r>
            <w:r>
              <w:rPr>
                <w:rFonts w:hint="eastAsia" w:ascii="宋体" w:hAnsi="宋体" w:cs="宋体"/>
                <w:color w:val="auto"/>
                <w:highlight w:val="none"/>
              </w:rPr>
              <w:t>；</w:t>
            </w:r>
            <w:r>
              <w:rPr>
                <w:rFonts w:hint="eastAsia" w:ascii="宋体" w:hAnsi="宋体" w:cs="宋体"/>
                <w:color w:val="auto"/>
                <w:spacing w:val="4"/>
                <w:highlight w:val="none"/>
              </w:rPr>
              <w:t xml:space="preserve">《机械通风冷却塔 第 </w:t>
            </w:r>
            <w:r>
              <w:rPr>
                <w:rFonts w:hint="eastAsia" w:ascii="宋体" w:hAnsi="宋体" w:cs="宋体"/>
                <w:color w:val="auto"/>
                <w:highlight w:val="none"/>
              </w:rPr>
              <w:t>2 部分：大型开式冷却塔》（GB</w:t>
            </w:r>
            <w:r>
              <w:rPr>
                <w:rFonts w:hint="eastAsia" w:ascii="宋体" w:hAnsi="宋体" w:cs="宋体"/>
                <w:color w:val="auto"/>
                <w:spacing w:val="-6"/>
                <w:highlight w:val="none"/>
              </w:rPr>
              <w:t xml:space="preserve"> </w:t>
            </w:r>
            <w:r>
              <w:rPr>
                <w:rFonts w:hint="eastAsia" w:ascii="宋体" w:hAnsi="宋体" w:cs="宋体"/>
                <w:color w:val="auto"/>
                <w:highlight w:val="none"/>
              </w:rPr>
              <w:t>/T</w:t>
            </w:r>
            <w:r>
              <w:rPr>
                <w:rFonts w:hint="eastAsia" w:ascii="宋体" w:hAnsi="宋体" w:cs="宋体"/>
                <w:color w:val="auto"/>
                <w:spacing w:val="-7"/>
                <w:highlight w:val="none"/>
              </w:rPr>
              <w:t xml:space="preserve"> </w:t>
            </w:r>
            <w:r>
              <w:rPr>
                <w:rFonts w:hint="eastAsia" w:ascii="宋体" w:hAnsi="宋体" w:cs="宋体"/>
                <w:color w:val="auto"/>
                <w:highlight w:val="none"/>
              </w:rPr>
              <w:t>7190.2）</w:t>
            </w:r>
          </w:p>
        </w:tc>
      </w:tr>
      <w:tr w14:paraId="1BDE9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731" w:hRule="atLeast"/>
          <w:jc w:val="center"/>
        </w:trPr>
        <w:tc>
          <w:tcPr>
            <w:tcW w:w="554" w:type="dxa"/>
            <w:vAlign w:val="center"/>
          </w:tcPr>
          <w:p w14:paraId="6F191839">
            <w:pPr>
              <w:jc w:val="center"/>
              <w:rPr>
                <w:rFonts w:hint="eastAsia" w:ascii="宋体" w:hAnsi="宋体" w:cs="宋体"/>
                <w:color w:val="auto"/>
                <w:highlight w:val="none"/>
              </w:rPr>
            </w:pPr>
            <w:r>
              <w:rPr>
                <w:rFonts w:hint="eastAsia" w:ascii="宋体" w:hAnsi="宋体" w:cs="宋体"/>
                <w:color w:val="auto"/>
                <w:highlight w:val="none"/>
              </w:rPr>
              <w:t>7</w:t>
            </w:r>
          </w:p>
        </w:tc>
        <w:tc>
          <w:tcPr>
            <w:tcW w:w="1614" w:type="dxa"/>
            <w:vAlign w:val="center"/>
          </w:tcPr>
          <w:p w14:paraId="50E8C92D">
            <w:pPr>
              <w:jc w:val="center"/>
              <w:rPr>
                <w:rFonts w:hint="eastAsia" w:ascii="宋体" w:hAnsi="宋体" w:cs="宋体"/>
                <w:color w:val="auto"/>
                <w:highlight w:val="none"/>
              </w:rPr>
            </w:pPr>
            <w:r>
              <w:rPr>
                <w:rFonts w:hint="eastAsia" w:ascii="宋体" w:hAnsi="宋体" w:cs="宋体"/>
                <w:color w:val="auto"/>
                <w:spacing w:val="-2"/>
                <w:highlight w:val="none"/>
              </w:rPr>
              <w:t>A020601</w:t>
            </w:r>
            <w:r>
              <w:rPr>
                <w:rFonts w:hint="eastAsia" w:ascii="宋体" w:hAnsi="宋体" w:cs="宋体"/>
                <w:color w:val="auto"/>
                <w:spacing w:val="-20"/>
                <w:highlight w:val="none"/>
              </w:rPr>
              <w:t xml:space="preserve"> 电机</w:t>
            </w:r>
          </w:p>
        </w:tc>
        <w:tc>
          <w:tcPr>
            <w:tcW w:w="1350" w:type="dxa"/>
            <w:vAlign w:val="center"/>
          </w:tcPr>
          <w:p w14:paraId="3DE6CD60">
            <w:pPr>
              <w:jc w:val="center"/>
              <w:rPr>
                <w:rFonts w:hint="eastAsia" w:ascii="宋体" w:hAnsi="宋体" w:cs="宋体"/>
                <w:color w:val="auto"/>
                <w:highlight w:val="none"/>
              </w:rPr>
            </w:pPr>
          </w:p>
        </w:tc>
        <w:tc>
          <w:tcPr>
            <w:tcW w:w="1868" w:type="dxa"/>
            <w:vAlign w:val="center"/>
          </w:tcPr>
          <w:p w14:paraId="34848398">
            <w:pPr>
              <w:jc w:val="center"/>
              <w:rPr>
                <w:rFonts w:hint="eastAsia" w:ascii="宋体" w:hAnsi="宋体" w:cs="宋体"/>
                <w:color w:val="auto"/>
                <w:highlight w:val="none"/>
              </w:rPr>
            </w:pPr>
          </w:p>
        </w:tc>
        <w:tc>
          <w:tcPr>
            <w:tcW w:w="3632" w:type="dxa"/>
            <w:vAlign w:val="center"/>
          </w:tcPr>
          <w:p w14:paraId="330055C3">
            <w:pPr>
              <w:jc w:val="center"/>
              <w:rPr>
                <w:rFonts w:hint="eastAsia" w:ascii="宋体" w:hAnsi="宋体" w:cs="宋体"/>
                <w:color w:val="auto"/>
                <w:highlight w:val="none"/>
              </w:rPr>
            </w:pPr>
            <w:r>
              <w:rPr>
                <w:rFonts w:hint="eastAsia" w:ascii="宋体" w:hAnsi="宋体" w:cs="宋体"/>
                <w:color w:val="auto"/>
                <w:spacing w:val="9"/>
                <w:highlight w:val="none"/>
              </w:rPr>
              <w:t>《中小型三相异步电动机能效限</w:t>
            </w:r>
            <w:r>
              <w:rPr>
                <w:rFonts w:hint="eastAsia" w:ascii="宋体" w:hAnsi="宋体" w:cs="宋体"/>
                <w:color w:val="auto"/>
                <w:highlight w:val="none"/>
              </w:rPr>
              <w:t>定值及能效等级》（GB 18613）</w:t>
            </w:r>
          </w:p>
        </w:tc>
      </w:tr>
      <w:tr w14:paraId="18ED5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688" w:hRule="atLeast"/>
          <w:jc w:val="center"/>
        </w:trPr>
        <w:tc>
          <w:tcPr>
            <w:tcW w:w="554" w:type="dxa"/>
            <w:vAlign w:val="center"/>
          </w:tcPr>
          <w:p w14:paraId="175D7A76">
            <w:pPr>
              <w:jc w:val="center"/>
              <w:rPr>
                <w:rFonts w:hint="eastAsia" w:ascii="宋体" w:hAnsi="宋体" w:cs="宋体"/>
                <w:color w:val="auto"/>
                <w:highlight w:val="none"/>
              </w:rPr>
            </w:pPr>
            <w:r>
              <w:rPr>
                <w:rFonts w:hint="eastAsia" w:ascii="宋体" w:hAnsi="宋体" w:cs="宋体"/>
                <w:color w:val="auto"/>
                <w:highlight w:val="none"/>
              </w:rPr>
              <w:t>8</w:t>
            </w:r>
          </w:p>
        </w:tc>
        <w:tc>
          <w:tcPr>
            <w:tcW w:w="1614" w:type="dxa"/>
            <w:vAlign w:val="center"/>
          </w:tcPr>
          <w:p w14:paraId="20B0E0BD">
            <w:pPr>
              <w:jc w:val="center"/>
              <w:rPr>
                <w:rFonts w:hint="eastAsia" w:ascii="宋体" w:hAnsi="宋体" w:cs="宋体"/>
                <w:color w:val="auto"/>
                <w:highlight w:val="none"/>
              </w:rPr>
            </w:pPr>
            <w:r>
              <w:rPr>
                <w:rFonts w:hint="eastAsia" w:ascii="宋体" w:hAnsi="宋体" w:cs="宋体"/>
                <w:color w:val="auto"/>
                <w:spacing w:val="-2"/>
                <w:highlight w:val="none"/>
              </w:rPr>
              <w:t>A020602</w:t>
            </w:r>
            <w:r>
              <w:rPr>
                <w:rFonts w:hint="eastAsia" w:ascii="宋体" w:hAnsi="宋体" w:cs="宋体"/>
                <w:color w:val="auto"/>
                <w:spacing w:val="-20"/>
                <w:highlight w:val="none"/>
              </w:rPr>
              <w:t xml:space="preserve"> 变 压 </w:t>
            </w:r>
            <w:r>
              <w:rPr>
                <w:rFonts w:hint="eastAsia" w:ascii="宋体" w:hAnsi="宋体" w:cs="宋体"/>
                <w:color w:val="auto"/>
                <w:highlight w:val="none"/>
              </w:rPr>
              <w:t>器</w:t>
            </w:r>
          </w:p>
        </w:tc>
        <w:tc>
          <w:tcPr>
            <w:tcW w:w="1350" w:type="dxa"/>
            <w:vAlign w:val="center"/>
          </w:tcPr>
          <w:p w14:paraId="13ED788D">
            <w:pPr>
              <w:jc w:val="center"/>
              <w:rPr>
                <w:rFonts w:hint="eastAsia" w:ascii="宋体" w:hAnsi="宋体" w:cs="宋体"/>
                <w:color w:val="auto"/>
                <w:highlight w:val="none"/>
              </w:rPr>
            </w:pPr>
            <w:r>
              <w:rPr>
                <w:rFonts w:hint="eastAsia" w:ascii="宋体" w:hAnsi="宋体" w:cs="宋体"/>
                <w:color w:val="auto"/>
                <w:highlight w:val="none"/>
              </w:rPr>
              <w:t>配电变压器</w:t>
            </w:r>
          </w:p>
        </w:tc>
        <w:tc>
          <w:tcPr>
            <w:tcW w:w="1868" w:type="dxa"/>
            <w:vAlign w:val="center"/>
          </w:tcPr>
          <w:p w14:paraId="5DF3FEA5">
            <w:pPr>
              <w:jc w:val="center"/>
              <w:rPr>
                <w:rFonts w:hint="eastAsia" w:ascii="宋体" w:hAnsi="宋体" w:cs="宋体"/>
                <w:color w:val="auto"/>
                <w:highlight w:val="none"/>
              </w:rPr>
            </w:pPr>
          </w:p>
        </w:tc>
        <w:tc>
          <w:tcPr>
            <w:tcW w:w="3632" w:type="dxa"/>
            <w:vAlign w:val="center"/>
          </w:tcPr>
          <w:p w14:paraId="68C7BFD7">
            <w:pPr>
              <w:jc w:val="center"/>
              <w:rPr>
                <w:rFonts w:hint="eastAsia" w:ascii="宋体" w:hAnsi="宋体" w:cs="宋体"/>
                <w:color w:val="auto"/>
                <w:highlight w:val="none"/>
              </w:rPr>
            </w:pPr>
            <w:r>
              <w:rPr>
                <w:rFonts w:hint="eastAsia" w:ascii="宋体" w:hAnsi="宋体" w:cs="宋体"/>
                <w:color w:val="auto"/>
                <w:spacing w:val="9"/>
                <w:highlight w:val="none"/>
              </w:rPr>
              <w:t>《三相配电变压器能效限定值及</w:t>
            </w:r>
            <w:r>
              <w:rPr>
                <w:rFonts w:hint="eastAsia" w:ascii="宋体" w:hAnsi="宋体" w:cs="宋体"/>
                <w:color w:val="auto"/>
                <w:highlight w:val="none"/>
              </w:rPr>
              <w:t>能效等级》（GB</w:t>
            </w:r>
            <w:r>
              <w:rPr>
                <w:rFonts w:hint="eastAsia" w:ascii="宋体" w:hAnsi="宋体" w:cs="宋体"/>
                <w:color w:val="auto"/>
                <w:spacing w:val="1"/>
                <w:highlight w:val="none"/>
              </w:rPr>
              <w:t xml:space="preserve"> </w:t>
            </w:r>
            <w:r>
              <w:rPr>
                <w:rFonts w:hint="eastAsia" w:ascii="宋体" w:hAnsi="宋体" w:cs="宋体"/>
                <w:color w:val="auto"/>
                <w:highlight w:val="none"/>
              </w:rPr>
              <w:t>20052）</w:t>
            </w:r>
          </w:p>
        </w:tc>
      </w:tr>
      <w:tr w14:paraId="0C45D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880" w:hRule="atLeast"/>
          <w:jc w:val="center"/>
        </w:trPr>
        <w:tc>
          <w:tcPr>
            <w:tcW w:w="554" w:type="dxa"/>
            <w:vAlign w:val="center"/>
          </w:tcPr>
          <w:p w14:paraId="5C3D56F2">
            <w:pPr>
              <w:jc w:val="center"/>
              <w:rPr>
                <w:rFonts w:hint="eastAsia" w:ascii="宋体" w:hAnsi="宋体" w:cs="宋体"/>
                <w:color w:val="auto"/>
                <w:highlight w:val="none"/>
              </w:rPr>
            </w:pPr>
            <w:r>
              <w:rPr>
                <w:rFonts w:hint="eastAsia" w:ascii="宋体" w:hAnsi="宋体" w:cs="宋体"/>
                <w:color w:val="auto"/>
                <w:highlight w:val="none"/>
              </w:rPr>
              <w:t>9</w:t>
            </w:r>
          </w:p>
        </w:tc>
        <w:tc>
          <w:tcPr>
            <w:tcW w:w="1614" w:type="dxa"/>
            <w:vAlign w:val="center"/>
          </w:tcPr>
          <w:p w14:paraId="11A0F8B5">
            <w:pPr>
              <w:jc w:val="center"/>
              <w:rPr>
                <w:rFonts w:hint="eastAsia" w:ascii="宋体" w:hAnsi="宋体" w:cs="宋体"/>
                <w:color w:val="auto"/>
                <w:highlight w:val="none"/>
              </w:rPr>
            </w:pPr>
            <w:r>
              <w:rPr>
                <w:rFonts w:hint="eastAsia" w:ascii="宋体" w:hAnsi="宋体" w:cs="宋体"/>
                <w:color w:val="auto"/>
                <w:spacing w:val="-2"/>
                <w:highlight w:val="none"/>
              </w:rPr>
              <w:t>★A020609</w:t>
            </w:r>
            <w:r>
              <w:rPr>
                <w:rFonts w:hint="eastAsia" w:ascii="宋体" w:hAnsi="宋体" w:cs="宋体"/>
                <w:color w:val="auto"/>
                <w:spacing w:val="-29"/>
                <w:highlight w:val="none"/>
              </w:rPr>
              <w:t xml:space="preserve"> 镇 </w:t>
            </w:r>
            <w:r>
              <w:rPr>
                <w:rFonts w:hint="eastAsia" w:ascii="宋体" w:hAnsi="宋体" w:cs="宋体"/>
                <w:color w:val="auto"/>
                <w:highlight w:val="none"/>
              </w:rPr>
              <w:t>流器</w:t>
            </w:r>
          </w:p>
        </w:tc>
        <w:tc>
          <w:tcPr>
            <w:tcW w:w="1350" w:type="dxa"/>
            <w:vAlign w:val="center"/>
          </w:tcPr>
          <w:p w14:paraId="21C5C522">
            <w:pPr>
              <w:jc w:val="center"/>
              <w:rPr>
                <w:rFonts w:hint="eastAsia" w:ascii="宋体" w:hAnsi="宋体" w:cs="宋体"/>
                <w:color w:val="auto"/>
                <w:highlight w:val="none"/>
              </w:rPr>
            </w:pPr>
            <w:r>
              <w:rPr>
                <w:rFonts w:hint="eastAsia" w:ascii="宋体" w:hAnsi="宋体" w:cs="宋体"/>
                <w:color w:val="auto"/>
                <w:highlight w:val="none"/>
              </w:rPr>
              <w:t>管型荧光灯镇流器</w:t>
            </w:r>
          </w:p>
        </w:tc>
        <w:tc>
          <w:tcPr>
            <w:tcW w:w="1868" w:type="dxa"/>
            <w:vAlign w:val="center"/>
          </w:tcPr>
          <w:p w14:paraId="4236D823">
            <w:pPr>
              <w:jc w:val="center"/>
              <w:rPr>
                <w:rFonts w:hint="eastAsia" w:ascii="宋体" w:hAnsi="宋体" w:cs="宋体"/>
                <w:color w:val="auto"/>
                <w:highlight w:val="none"/>
              </w:rPr>
            </w:pPr>
          </w:p>
        </w:tc>
        <w:tc>
          <w:tcPr>
            <w:tcW w:w="3632" w:type="dxa"/>
            <w:vAlign w:val="center"/>
          </w:tcPr>
          <w:p w14:paraId="1963B238">
            <w:pPr>
              <w:jc w:val="center"/>
              <w:rPr>
                <w:rFonts w:hint="eastAsia" w:ascii="宋体" w:hAnsi="宋体" w:cs="宋体"/>
                <w:color w:val="auto"/>
                <w:highlight w:val="none"/>
              </w:rPr>
            </w:pPr>
            <w:r>
              <w:rPr>
                <w:rFonts w:hint="eastAsia" w:ascii="宋体" w:hAnsi="宋体" w:cs="宋体"/>
                <w:color w:val="auto"/>
                <w:spacing w:val="9"/>
                <w:highlight w:val="none"/>
              </w:rPr>
              <w:t>《管形荧光灯镇流器能效限定值</w:t>
            </w:r>
            <w:r>
              <w:rPr>
                <w:rFonts w:hint="eastAsia" w:ascii="宋体" w:hAnsi="宋体" w:cs="宋体"/>
                <w:color w:val="auto"/>
                <w:highlight w:val="none"/>
              </w:rPr>
              <w:t>及能效等级》（GB</w:t>
            </w:r>
            <w:r>
              <w:rPr>
                <w:rFonts w:hint="eastAsia" w:ascii="宋体" w:hAnsi="宋体" w:cs="宋体"/>
                <w:color w:val="auto"/>
                <w:spacing w:val="1"/>
                <w:highlight w:val="none"/>
              </w:rPr>
              <w:t xml:space="preserve"> </w:t>
            </w:r>
            <w:r>
              <w:rPr>
                <w:rFonts w:hint="eastAsia" w:ascii="宋体" w:hAnsi="宋体" w:cs="宋体"/>
                <w:color w:val="auto"/>
                <w:highlight w:val="none"/>
              </w:rPr>
              <w:t>17896）</w:t>
            </w:r>
          </w:p>
        </w:tc>
      </w:tr>
      <w:tr w14:paraId="34D3F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734" w:hRule="atLeast"/>
          <w:jc w:val="center"/>
        </w:trPr>
        <w:tc>
          <w:tcPr>
            <w:tcW w:w="554" w:type="dxa"/>
            <w:vMerge w:val="restart"/>
            <w:vAlign w:val="center"/>
          </w:tcPr>
          <w:p w14:paraId="1E5A6B90">
            <w:pPr>
              <w:jc w:val="center"/>
              <w:rPr>
                <w:rFonts w:hint="eastAsia" w:ascii="宋体" w:hAnsi="宋体" w:cs="宋体"/>
                <w:color w:val="auto"/>
                <w:highlight w:val="none"/>
              </w:rPr>
            </w:pPr>
            <w:r>
              <w:rPr>
                <w:rFonts w:hint="eastAsia" w:ascii="宋体" w:hAnsi="宋体" w:cs="宋体"/>
                <w:color w:val="auto"/>
                <w:highlight w:val="none"/>
              </w:rPr>
              <w:t>10</w:t>
            </w:r>
          </w:p>
        </w:tc>
        <w:tc>
          <w:tcPr>
            <w:tcW w:w="1614" w:type="dxa"/>
            <w:vMerge w:val="restart"/>
            <w:vAlign w:val="center"/>
          </w:tcPr>
          <w:p w14:paraId="13DE7BAD">
            <w:pPr>
              <w:jc w:val="center"/>
              <w:rPr>
                <w:rFonts w:hint="eastAsia" w:ascii="宋体" w:hAnsi="宋体" w:cs="宋体"/>
                <w:color w:val="auto"/>
                <w:highlight w:val="none"/>
              </w:rPr>
            </w:pPr>
            <w:r>
              <w:rPr>
                <w:rFonts w:hint="eastAsia" w:ascii="宋体" w:hAnsi="宋体" w:cs="宋体"/>
                <w:color w:val="auto"/>
                <w:spacing w:val="-2"/>
                <w:highlight w:val="none"/>
              </w:rPr>
              <w:t>A020618</w:t>
            </w:r>
            <w:r>
              <w:rPr>
                <w:rFonts w:hint="eastAsia" w:ascii="宋体" w:hAnsi="宋体" w:cs="宋体"/>
                <w:color w:val="auto"/>
                <w:spacing w:val="-20"/>
                <w:highlight w:val="none"/>
              </w:rPr>
              <w:t xml:space="preserve"> 生活</w:t>
            </w:r>
            <w:r>
              <w:rPr>
                <w:rFonts w:hint="eastAsia" w:ascii="宋体" w:hAnsi="宋体" w:cs="宋体"/>
                <w:color w:val="auto"/>
                <w:highlight w:val="none"/>
              </w:rPr>
              <w:t>用电器</w:t>
            </w:r>
          </w:p>
        </w:tc>
        <w:tc>
          <w:tcPr>
            <w:tcW w:w="1350" w:type="dxa"/>
            <w:vAlign w:val="center"/>
          </w:tcPr>
          <w:p w14:paraId="30B383DF">
            <w:pPr>
              <w:jc w:val="center"/>
              <w:rPr>
                <w:rFonts w:hint="eastAsia" w:ascii="宋体" w:hAnsi="宋体" w:cs="宋体"/>
                <w:color w:val="auto"/>
                <w:highlight w:val="none"/>
              </w:rPr>
            </w:pPr>
            <w:r>
              <w:rPr>
                <w:rFonts w:hint="eastAsia" w:ascii="宋体" w:hAnsi="宋体" w:cs="宋体"/>
                <w:color w:val="auto"/>
                <w:highlight w:val="none"/>
              </w:rPr>
              <w:t>A0206180101 电冰箱</w:t>
            </w:r>
          </w:p>
        </w:tc>
        <w:tc>
          <w:tcPr>
            <w:tcW w:w="1868" w:type="dxa"/>
            <w:vAlign w:val="center"/>
          </w:tcPr>
          <w:p w14:paraId="09AD2039">
            <w:pPr>
              <w:jc w:val="center"/>
              <w:rPr>
                <w:rFonts w:hint="eastAsia" w:ascii="宋体" w:hAnsi="宋体" w:cs="宋体"/>
                <w:color w:val="auto"/>
                <w:highlight w:val="none"/>
              </w:rPr>
            </w:pPr>
          </w:p>
        </w:tc>
        <w:tc>
          <w:tcPr>
            <w:tcW w:w="3632" w:type="dxa"/>
            <w:vAlign w:val="center"/>
          </w:tcPr>
          <w:p w14:paraId="005B157C">
            <w:pPr>
              <w:jc w:val="center"/>
              <w:rPr>
                <w:rFonts w:hint="eastAsia" w:ascii="宋体" w:hAnsi="宋体" w:cs="宋体"/>
                <w:color w:val="auto"/>
                <w:highlight w:val="none"/>
              </w:rPr>
            </w:pPr>
            <w:r>
              <w:rPr>
                <w:rFonts w:hint="eastAsia" w:ascii="宋体" w:hAnsi="宋体" w:cs="宋体"/>
                <w:color w:val="auto"/>
                <w:spacing w:val="9"/>
                <w:highlight w:val="none"/>
              </w:rPr>
              <w:t>《家用电冰箱耗电量限定值及能</w:t>
            </w:r>
            <w:r>
              <w:rPr>
                <w:rFonts w:hint="eastAsia" w:ascii="宋体" w:hAnsi="宋体" w:cs="宋体"/>
                <w:color w:val="auto"/>
                <w:highlight w:val="none"/>
              </w:rPr>
              <w:t>效等级》（GB</w:t>
            </w:r>
            <w:r>
              <w:rPr>
                <w:rFonts w:hint="eastAsia" w:ascii="宋体" w:hAnsi="宋体" w:cs="宋体"/>
                <w:color w:val="auto"/>
                <w:spacing w:val="2"/>
                <w:highlight w:val="none"/>
              </w:rPr>
              <w:t xml:space="preserve"> </w:t>
            </w:r>
            <w:r>
              <w:rPr>
                <w:rFonts w:hint="eastAsia" w:ascii="宋体" w:hAnsi="宋体" w:cs="宋体"/>
                <w:color w:val="auto"/>
                <w:highlight w:val="none"/>
              </w:rPr>
              <w:t>12021.2）</w:t>
            </w:r>
          </w:p>
        </w:tc>
      </w:tr>
      <w:tr w14:paraId="71663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1883" w:hRule="atLeast"/>
          <w:jc w:val="center"/>
        </w:trPr>
        <w:tc>
          <w:tcPr>
            <w:tcW w:w="554" w:type="dxa"/>
            <w:vMerge w:val="continue"/>
            <w:vAlign w:val="center"/>
          </w:tcPr>
          <w:p w14:paraId="21A416D9">
            <w:pPr>
              <w:autoSpaceDE w:val="0"/>
              <w:autoSpaceDN w:val="0"/>
              <w:jc w:val="center"/>
              <w:rPr>
                <w:rFonts w:hint="eastAsia" w:ascii="宋体" w:hAnsi="宋体" w:cs="宋体"/>
                <w:color w:val="auto"/>
                <w:highlight w:val="none"/>
              </w:rPr>
            </w:pPr>
          </w:p>
        </w:tc>
        <w:tc>
          <w:tcPr>
            <w:tcW w:w="1614" w:type="dxa"/>
            <w:vMerge w:val="continue"/>
            <w:vAlign w:val="center"/>
          </w:tcPr>
          <w:p w14:paraId="05995267">
            <w:pPr>
              <w:autoSpaceDE w:val="0"/>
              <w:autoSpaceDN w:val="0"/>
              <w:jc w:val="center"/>
              <w:rPr>
                <w:rFonts w:hint="eastAsia" w:ascii="宋体" w:hAnsi="宋体" w:cs="宋体"/>
                <w:color w:val="auto"/>
                <w:highlight w:val="none"/>
              </w:rPr>
            </w:pPr>
          </w:p>
        </w:tc>
        <w:tc>
          <w:tcPr>
            <w:tcW w:w="1350" w:type="dxa"/>
            <w:vMerge w:val="restart"/>
            <w:vAlign w:val="center"/>
          </w:tcPr>
          <w:p w14:paraId="2FCDBED6">
            <w:pPr>
              <w:jc w:val="center"/>
              <w:rPr>
                <w:rFonts w:hint="eastAsia" w:ascii="宋体" w:hAnsi="宋体" w:cs="宋体"/>
                <w:color w:val="auto"/>
                <w:highlight w:val="none"/>
              </w:rPr>
            </w:pPr>
            <w:r>
              <w:rPr>
                <w:rFonts w:hint="eastAsia" w:ascii="宋体" w:hAnsi="宋体" w:cs="宋体"/>
                <w:color w:val="auto"/>
                <w:spacing w:val="-2"/>
                <w:highlight w:val="none"/>
              </w:rPr>
              <w:t>★A0206180203</w:t>
            </w:r>
            <w:r>
              <w:rPr>
                <w:rFonts w:hint="eastAsia" w:ascii="宋体" w:hAnsi="宋体" w:cs="宋体"/>
                <w:color w:val="auto"/>
                <w:spacing w:val="-7"/>
                <w:highlight w:val="none"/>
              </w:rPr>
              <w:t xml:space="preserve"> 空调</w:t>
            </w:r>
            <w:r>
              <w:rPr>
                <w:rFonts w:hint="eastAsia" w:ascii="宋体" w:hAnsi="宋体" w:cs="宋体"/>
                <w:color w:val="auto"/>
                <w:highlight w:val="none"/>
              </w:rPr>
              <w:t>机</w:t>
            </w:r>
          </w:p>
        </w:tc>
        <w:tc>
          <w:tcPr>
            <w:tcW w:w="1868" w:type="dxa"/>
            <w:vAlign w:val="center"/>
          </w:tcPr>
          <w:p w14:paraId="07ECB217">
            <w:pPr>
              <w:jc w:val="center"/>
              <w:rPr>
                <w:rFonts w:hint="eastAsia" w:ascii="宋体" w:hAnsi="宋体" w:cs="宋体"/>
                <w:color w:val="auto"/>
                <w:highlight w:val="none"/>
              </w:rPr>
            </w:pPr>
            <w:r>
              <w:rPr>
                <w:rFonts w:hint="eastAsia" w:ascii="宋体" w:hAnsi="宋体" w:cs="宋体"/>
                <w:color w:val="auto"/>
                <w:highlight w:val="none"/>
              </w:rPr>
              <w:t>房间空气调节器</w:t>
            </w:r>
          </w:p>
        </w:tc>
        <w:tc>
          <w:tcPr>
            <w:tcW w:w="3632" w:type="dxa"/>
            <w:vAlign w:val="center"/>
          </w:tcPr>
          <w:p w14:paraId="29B2A6B8">
            <w:pPr>
              <w:jc w:val="center"/>
              <w:rPr>
                <w:rFonts w:hint="eastAsia" w:ascii="宋体" w:hAnsi="宋体" w:cs="宋体"/>
                <w:color w:val="auto"/>
                <w:highlight w:val="none"/>
              </w:rPr>
            </w:pPr>
            <w:r>
              <w:rPr>
                <w:rFonts w:hint="eastAsia" w:ascii="宋体" w:hAnsi="宋体" w:cs="宋体"/>
                <w:color w:val="auto"/>
                <w:spacing w:val="9"/>
                <w:highlight w:val="none"/>
              </w:rPr>
              <w:t>《转速可控型房间空气调节器能</w:t>
            </w:r>
            <w:r>
              <w:rPr>
                <w:rFonts w:hint="eastAsia" w:ascii="宋体" w:hAnsi="宋体" w:cs="宋体"/>
                <w:color w:val="auto"/>
                <w:spacing w:val="-18"/>
                <w:highlight w:val="none"/>
              </w:rPr>
              <w:t xml:space="preserve">效 限 定 值 及 能 效 等 级》 </w:t>
            </w:r>
            <w:r>
              <w:rPr>
                <w:rFonts w:hint="eastAsia" w:ascii="宋体" w:hAnsi="宋体" w:cs="宋体"/>
                <w:color w:val="auto"/>
                <w:highlight w:val="none"/>
              </w:rPr>
              <w:t>（ GB</w:t>
            </w:r>
            <w:r>
              <w:rPr>
                <w:rFonts w:hint="eastAsia" w:ascii="宋体" w:hAnsi="宋体" w:cs="宋体"/>
                <w:color w:val="auto"/>
                <w:spacing w:val="-92"/>
                <w:highlight w:val="none"/>
              </w:rPr>
              <w:t xml:space="preserve"> </w:t>
            </w:r>
            <w:r>
              <w:rPr>
                <w:rFonts w:hint="eastAsia" w:ascii="宋体" w:hAnsi="宋体" w:cs="宋体"/>
                <w:color w:val="auto"/>
                <w:highlight w:val="none"/>
              </w:rPr>
              <w:t>21455-2013），</w:t>
            </w:r>
            <w:r>
              <w:rPr>
                <w:rFonts w:hint="eastAsia" w:ascii="宋体" w:hAnsi="宋体" w:cs="宋体"/>
                <w:color w:val="auto"/>
                <w:spacing w:val="6"/>
                <w:highlight w:val="none"/>
              </w:rPr>
              <w:t xml:space="preserve">待 </w:t>
            </w:r>
            <w:r>
              <w:rPr>
                <w:rFonts w:hint="eastAsia" w:ascii="宋体" w:hAnsi="宋体" w:cs="宋体"/>
                <w:color w:val="auto"/>
                <w:highlight w:val="none"/>
              </w:rPr>
              <w:t>2019</w:t>
            </w:r>
            <w:r>
              <w:rPr>
                <w:rFonts w:hint="eastAsia" w:ascii="宋体" w:hAnsi="宋体" w:cs="宋体"/>
                <w:color w:val="auto"/>
                <w:spacing w:val="2"/>
                <w:highlight w:val="none"/>
              </w:rPr>
              <w:t xml:space="preserve"> 年修订发</w:t>
            </w:r>
            <w:r>
              <w:rPr>
                <w:rFonts w:hint="eastAsia" w:ascii="宋体" w:hAnsi="宋体" w:cs="宋体"/>
                <w:color w:val="auto"/>
                <w:highlight w:val="none"/>
              </w:rPr>
              <w:t>布后，按《房间空气调节器能效限</w:t>
            </w:r>
            <w:r>
              <w:rPr>
                <w:rFonts w:hint="eastAsia" w:ascii="宋体" w:hAnsi="宋体" w:cs="宋体"/>
                <w:color w:val="auto"/>
                <w:spacing w:val="-1"/>
                <w:highlight w:val="none"/>
              </w:rPr>
              <w:t>定值及能效等级</w:t>
            </w:r>
            <w:r>
              <w:rPr>
                <w:rFonts w:hint="eastAsia" w:ascii="宋体" w:hAnsi="宋体" w:cs="宋体"/>
                <w:color w:val="auto"/>
                <w:spacing w:val="-156"/>
                <w:highlight w:val="none"/>
              </w:rPr>
              <w:t>》</w:t>
            </w:r>
            <w:r>
              <w:rPr>
                <w:rFonts w:hint="eastAsia" w:ascii="宋体" w:hAnsi="宋体" w:cs="宋体"/>
                <w:color w:val="auto"/>
                <w:highlight w:val="none"/>
              </w:rPr>
              <w:t>（GB21455-2019）实施。</w:t>
            </w:r>
          </w:p>
        </w:tc>
      </w:tr>
      <w:tr w14:paraId="08201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947" w:hRule="atLeast"/>
          <w:jc w:val="center"/>
        </w:trPr>
        <w:tc>
          <w:tcPr>
            <w:tcW w:w="554" w:type="dxa"/>
            <w:vMerge w:val="continue"/>
            <w:vAlign w:val="center"/>
          </w:tcPr>
          <w:p w14:paraId="598165CF">
            <w:pPr>
              <w:autoSpaceDE w:val="0"/>
              <w:autoSpaceDN w:val="0"/>
              <w:jc w:val="center"/>
              <w:rPr>
                <w:rFonts w:hint="eastAsia" w:ascii="宋体" w:hAnsi="宋体" w:cs="宋体"/>
                <w:color w:val="auto"/>
                <w:highlight w:val="none"/>
              </w:rPr>
            </w:pPr>
          </w:p>
        </w:tc>
        <w:tc>
          <w:tcPr>
            <w:tcW w:w="1614" w:type="dxa"/>
            <w:vMerge w:val="continue"/>
            <w:vAlign w:val="center"/>
          </w:tcPr>
          <w:p w14:paraId="3D02DFB5">
            <w:pPr>
              <w:autoSpaceDE w:val="0"/>
              <w:autoSpaceDN w:val="0"/>
              <w:jc w:val="center"/>
              <w:rPr>
                <w:rFonts w:hint="eastAsia" w:ascii="宋体" w:hAnsi="宋体" w:cs="宋体"/>
                <w:color w:val="auto"/>
                <w:highlight w:val="none"/>
              </w:rPr>
            </w:pPr>
          </w:p>
        </w:tc>
        <w:tc>
          <w:tcPr>
            <w:tcW w:w="1350" w:type="dxa"/>
            <w:vMerge w:val="continue"/>
            <w:vAlign w:val="center"/>
          </w:tcPr>
          <w:p w14:paraId="4854BB39">
            <w:pPr>
              <w:autoSpaceDE w:val="0"/>
              <w:autoSpaceDN w:val="0"/>
              <w:jc w:val="center"/>
              <w:rPr>
                <w:rFonts w:hint="eastAsia" w:ascii="宋体" w:hAnsi="宋体" w:cs="宋体"/>
                <w:color w:val="auto"/>
                <w:highlight w:val="none"/>
              </w:rPr>
            </w:pPr>
          </w:p>
        </w:tc>
        <w:tc>
          <w:tcPr>
            <w:tcW w:w="1868" w:type="dxa"/>
            <w:vAlign w:val="center"/>
          </w:tcPr>
          <w:p w14:paraId="50503AD2">
            <w:pPr>
              <w:jc w:val="center"/>
              <w:rPr>
                <w:rFonts w:hint="eastAsia" w:ascii="宋体" w:hAnsi="宋体" w:cs="宋体"/>
                <w:color w:val="auto"/>
                <w:highlight w:val="none"/>
              </w:rPr>
            </w:pPr>
            <w:r>
              <w:rPr>
                <w:rFonts w:hint="eastAsia" w:ascii="宋体" w:hAnsi="宋体" w:cs="宋体"/>
                <w:color w:val="auto"/>
                <w:spacing w:val="11"/>
                <w:highlight w:val="none"/>
              </w:rPr>
              <w:t>多联式空调（</w:t>
            </w:r>
            <w:r>
              <w:rPr>
                <w:rFonts w:hint="eastAsia" w:ascii="宋体" w:hAnsi="宋体" w:cs="宋体"/>
                <w:color w:val="auto"/>
                <w:spacing w:val="12"/>
                <w:highlight w:val="none"/>
              </w:rPr>
              <w:t>热泵</w:t>
            </w:r>
            <w:r>
              <w:rPr>
                <w:rFonts w:hint="eastAsia" w:ascii="宋体" w:hAnsi="宋体" w:cs="宋体"/>
                <w:color w:val="auto"/>
                <w:highlight w:val="none"/>
              </w:rPr>
              <w:t>）</w:t>
            </w:r>
            <w:r>
              <w:rPr>
                <w:rFonts w:hint="eastAsia" w:ascii="宋体" w:hAnsi="宋体" w:cs="宋体"/>
                <w:color w:val="auto"/>
                <w:spacing w:val="-12"/>
                <w:highlight w:val="none"/>
              </w:rPr>
              <w:t xml:space="preserve">机 组 </w:t>
            </w:r>
            <w:r>
              <w:rPr>
                <w:rFonts w:hint="eastAsia" w:ascii="宋体" w:hAnsi="宋体" w:cs="宋体"/>
                <w:color w:val="auto"/>
                <w:highlight w:val="none"/>
              </w:rPr>
              <w:t>（</w:t>
            </w:r>
            <w:r>
              <w:rPr>
                <w:rFonts w:hint="eastAsia" w:ascii="宋体" w:hAnsi="宋体" w:cs="宋体"/>
                <w:color w:val="auto"/>
                <w:spacing w:val="-13"/>
                <w:highlight w:val="none"/>
              </w:rPr>
              <w:t xml:space="preserve"> 制 冷 量 ≤</w:t>
            </w:r>
            <w:r>
              <w:rPr>
                <w:rFonts w:hint="eastAsia" w:ascii="宋体" w:hAnsi="宋体" w:cs="宋体"/>
                <w:color w:val="auto"/>
                <w:spacing w:val="-97"/>
                <w:highlight w:val="none"/>
              </w:rPr>
              <w:t xml:space="preserve"> </w:t>
            </w:r>
            <w:r>
              <w:rPr>
                <w:rFonts w:hint="eastAsia" w:ascii="宋体" w:hAnsi="宋体" w:cs="宋体"/>
                <w:color w:val="auto"/>
                <w:highlight w:val="none"/>
              </w:rPr>
              <w:t>14000W）</w:t>
            </w:r>
          </w:p>
        </w:tc>
        <w:tc>
          <w:tcPr>
            <w:tcW w:w="3632" w:type="dxa"/>
            <w:vAlign w:val="center"/>
          </w:tcPr>
          <w:p w14:paraId="5A478F54">
            <w:pPr>
              <w:jc w:val="center"/>
              <w:rPr>
                <w:rFonts w:hint="eastAsia" w:ascii="宋体" w:hAnsi="宋体" w:cs="宋体"/>
                <w:color w:val="auto"/>
                <w:highlight w:val="none"/>
              </w:rPr>
            </w:pPr>
            <w:r>
              <w:rPr>
                <w:rFonts w:hint="eastAsia" w:ascii="宋体" w:hAnsi="宋体" w:cs="宋体"/>
                <w:color w:val="auto"/>
                <w:highlight w:val="none"/>
              </w:rPr>
              <w:t>《多联式空调（热泵）机组能效限</w:t>
            </w:r>
            <w:r>
              <w:rPr>
                <w:rFonts w:hint="eastAsia" w:ascii="宋体" w:hAnsi="宋体" w:cs="宋体"/>
                <w:color w:val="auto"/>
                <w:spacing w:val="-11"/>
                <w:highlight w:val="none"/>
              </w:rPr>
              <w:t>定值及能源效率等级》</w:t>
            </w:r>
            <w:r>
              <w:rPr>
                <w:rFonts w:hint="eastAsia" w:ascii="宋体" w:hAnsi="宋体" w:cs="宋体"/>
                <w:color w:val="auto"/>
                <w:highlight w:val="none"/>
              </w:rPr>
              <w:t>（GB</w:t>
            </w:r>
            <w:r>
              <w:rPr>
                <w:rFonts w:hint="eastAsia" w:ascii="宋体" w:hAnsi="宋体" w:cs="宋体"/>
                <w:color w:val="auto"/>
                <w:spacing w:val="55"/>
                <w:highlight w:val="none"/>
              </w:rPr>
              <w:t xml:space="preserve"> </w:t>
            </w:r>
            <w:r>
              <w:rPr>
                <w:rFonts w:hint="eastAsia" w:ascii="宋体" w:hAnsi="宋体" w:cs="宋体"/>
                <w:color w:val="auto"/>
                <w:highlight w:val="none"/>
              </w:rPr>
              <w:t>21454）</w:t>
            </w:r>
          </w:p>
        </w:tc>
      </w:tr>
      <w:tr w14:paraId="1170C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1259" w:hRule="atLeast"/>
          <w:jc w:val="center"/>
        </w:trPr>
        <w:tc>
          <w:tcPr>
            <w:tcW w:w="554" w:type="dxa"/>
            <w:vMerge w:val="continue"/>
            <w:vAlign w:val="center"/>
          </w:tcPr>
          <w:p w14:paraId="3F638464">
            <w:pPr>
              <w:autoSpaceDE w:val="0"/>
              <w:autoSpaceDN w:val="0"/>
              <w:jc w:val="center"/>
              <w:rPr>
                <w:rFonts w:hint="eastAsia" w:ascii="宋体" w:hAnsi="宋体" w:cs="宋体"/>
                <w:color w:val="auto"/>
                <w:highlight w:val="none"/>
              </w:rPr>
            </w:pPr>
          </w:p>
        </w:tc>
        <w:tc>
          <w:tcPr>
            <w:tcW w:w="1614" w:type="dxa"/>
            <w:vMerge w:val="continue"/>
            <w:vAlign w:val="center"/>
          </w:tcPr>
          <w:p w14:paraId="62CF98C1">
            <w:pPr>
              <w:autoSpaceDE w:val="0"/>
              <w:autoSpaceDN w:val="0"/>
              <w:jc w:val="center"/>
              <w:rPr>
                <w:rFonts w:hint="eastAsia" w:ascii="宋体" w:hAnsi="宋体" w:cs="宋体"/>
                <w:color w:val="auto"/>
                <w:highlight w:val="none"/>
              </w:rPr>
            </w:pPr>
          </w:p>
        </w:tc>
        <w:tc>
          <w:tcPr>
            <w:tcW w:w="1350" w:type="dxa"/>
            <w:vMerge w:val="continue"/>
            <w:vAlign w:val="center"/>
          </w:tcPr>
          <w:p w14:paraId="7C5E2952">
            <w:pPr>
              <w:autoSpaceDE w:val="0"/>
              <w:autoSpaceDN w:val="0"/>
              <w:jc w:val="center"/>
              <w:rPr>
                <w:rFonts w:hint="eastAsia" w:ascii="宋体" w:hAnsi="宋体" w:cs="宋体"/>
                <w:color w:val="auto"/>
                <w:highlight w:val="none"/>
              </w:rPr>
            </w:pPr>
          </w:p>
        </w:tc>
        <w:tc>
          <w:tcPr>
            <w:tcW w:w="1868" w:type="dxa"/>
            <w:vAlign w:val="center"/>
          </w:tcPr>
          <w:p w14:paraId="39DB2BF0">
            <w:pPr>
              <w:jc w:val="center"/>
              <w:rPr>
                <w:rFonts w:hint="eastAsia" w:ascii="宋体" w:hAnsi="宋体" w:cs="宋体"/>
                <w:color w:val="auto"/>
                <w:highlight w:val="none"/>
              </w:rPr>
            </w:pPr>
            <w:r>
              <w:rPr>
                <w:rFonts w:hint="eastAsia" w:ascii="宋体" w:hAnsi="宋体" w:cs="宋体"/>
                <w:color w:val="auto"/>
                <w:spacing w:val="35"/>
                <w:highlight w:val="none"/>
              </w:rPr>
              <w:t>单元式空气调节机</w:t>
            </w:r>
            <w:r>
              <w:rPr>
                <w:rFonts w:hint="eastAsia" w:ascii="宋体" w:hAnsi="宋体" w:cs="宋体"/>
                <w:color w:val="auto"/>
                <w:highlight w:val="none"/>
              </w:rPr>
              <w:t>(制冷量≤14000W)</w:t>
            </w:r>
          </w:p>
        </w:tc>
        <w:tc>
          <w:tcPr>
            <w:tcW w:w="3632" w:type="dxa"/>
            <w:vAlign w:val="center"/>
          </w:tcPr>
          <w:p w14:paraId="2E99EA97">
            <w:pPr>
              <w:jc w:val="center"/>
              <w:rPr>
                <w:rFonts w:hint="eastAsia" w:ascii="宋体" w:hAnsi="宋体" w:cs="宋体"/>
                <w:color w:val="auto"/>
                <w:highlight w:val="none"/>
              </w:rPr>
            </w:pPr>
            <w:r>
              <w:rPr>
                <w:rFonts w:hint="eastAsia" w:ascii="宋体" w:hAnsi="宋体" w:cs="宋体"/>
                <w:color w:val="auto"/>
                <w:spacing w:val="9"/>
                <w:highlight w:val="none"/>
              </w:rPr>
              <w:t>《单元式空气调节机能效限定值</w:t>
            </w:r>
            <w:r>
              <w:rPr>
                <w:rFonts w:hint="eastAsia" w:ascii="宋体" w:hAnsi="宋体" w:cs="宋体"/>
                <w:color w:val="auto"/>
                <w:spacing w:val="-13"/>
                <w:highlight w:val="none"/>
              </w:rPr>
              <w:t>及能源效率等级》</w:t>
            </w:r>
            <w:r>
              <w:rPr>
                <w:rFonts w:hint="eastAsia" w:ascii="宋体" w:hAnsi="宋体" w:cs="宋体"/>
                <w:color w:val="auto"/>
                <w:highlight w:val="none"/>
              </w:rPr>
              <w:t>（</w:t>
            </w:r>
            <w:r>
              <w:rPr>
                <w:rFonts w:hint="eastAsia" w:ascii="宋体" w:hAnsi="宋体" w:cs="宋体"/>
                <w:color w:val="auto"/>
                <w:spacing w:val="1"/>
                <w:highlight w:val="none"/>
              </w:rPr>
              <w:t>G</w:t>
            </w:r>
            <w:r>
              <w:rPr>
                <w:rFonts w:hint="eastAsia" w:ascii="宋体" w:hAnsi="宋体" w:cs="宋体"/>
                <w:color w:val="auto"/>
                <w:highlight w:val="none"/>
              </w:rPr>
              <w:t>B</w:t>
            </w:r>
            <w:r>
              <w:rPr>
                <w:rFonts w:hint="eastAsia" w:ascii="宋体" w:hAnsi="宋体" w:cs="宋体"/>
                <w:color w:val="auto"/>
                <w:spacing w:val="-49"/>
                <w:highlight w:val="none"/>
              </w:rPr>
              <w:t xml:space="preserve"> </w:t>
            </w:r>
            <w:r>
              <w:rPr>
                <w:rFonts w:hint="eastAsia" w:ascii="宋体" w:hAnsi="宋体" w:cs="宋体"/>
                <w:color w:val="auto"/>
                <w:spacing w:val="1"/>
                <w:highlight w:val="none"/>
              </w:rPr>
              <w:t>195</w:t>
            </w:r>
            <w:r>
              <w:rPr>
                <w:rFonts w:hint="eastAsia" w:ascii="宋体" w:hAnsi="宋体" w:cs="宋体"/>
                <w:color w:val="auto"/>
                <w:highlight w:val="none"/>
              </w:rPr>
              <w:t>7</w:t>
            </w:r>
            <w:r>
              <w:rPr>
                <w:rFonts w:hint="eastAsia" w:ascii="宋体" w:hAnsi="宋体" w:cs="宋体"/>
                <w:color w:val="auto"/>
                <w:spacing w:val="-3"/>
                <w:highlight w:val="none"/>
              </w:rPr>
              <w:t>6</w:t>
            </w:r>
            <w:r>
              <w:rPr>
                <w:rFonts w:hint="eastAsia" w:ascii="宋体" w:hAnsi="宋体" w:cs="宋体"/>
                <w:color w:val="auto"/>
                <w:spacing w:val="-104"/>
                <w:highlight w:val="none"/>
              </w:rPr>
              <w:t>）</w:t>
            </w:r>
            <w:r>
              <w:rPr>
                <w:rFonts w:hint="eastAsia" w:ascii="宋体" w:hAnsi="宋体" w:cs="宋体"/>
                <w:color w:val="auto"/>
                <w:spacing w:val="-6"/>
                <w:highlight w:val="none"/>
              </w:rPr>
              <w:t>《风</w:t>
            </w:r>
            <w:r>
              <w:rPr>
                <w:rFonts w:hint="eastAsia" w:ascii="宋体" w:hAnsi="宋体" w:cs="宋体"/>
                <w:color w:val="auto"/>
                <w:spacing w:val="9"/>
                <w:highlight w:val="none"/>
              </w:rPr>
              <w:t>管送风式空调机组能效限定值及</w:t>
            </w:r>
            <w:r>
              <w:rPr>
                <w:rFonts w:hint="eastAsia" w:ascii="宋体" w:hAnsi="宋体" w:cs="宋体"/>
                <w:color w:val="auto"/>
                <w:highlight w:val="none"/>
              </w:rPr>
              <w:t>能效等级》（GB</w:t>
            </w:r>
            <w:r>
              <w:rPr>
                <w:rFonts w:hint="eastAsia" w:ascii="宋体" w:hAnsi="宋体" w:cs="宋体"/>
                <w:color w:val="auto"/>
                <w:spacing w:val="-2"/>
                <w:highlight w:val="none"/>
              </w:rPr>
              <w:t xml:space="preserve"> </w:t>
            </w:r>
            <w:r>
              <w:rPr>
                <w:rFonts w:hint="eastAsia" w:ascii="宋体" w:hAnsi="宋体" w:cs="宋体"/>
                <w:color w:val="auto"/>
                <w:highlight w:val="none"/>
              </w:rPr>
              <w:t>37479）</w:t>
            </w:r>
          </w:p>
        </w:tc>
      </w:tr>
      <w:tr w14:paraId="4DFDD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642" w:hRule="atLeast"/>
          <w:jc w:val="center"/>
        </w:trPr>
        <w:tc>
          <w:tcPr>
            <w:tcW w:w="554" w:type="dxa"/>
            <w:vMerge w:val="continue"/>
            <w:vAlign w:val="center"/>
          </w:tcPr>
          <w:p w14:paraId="0D558700">
            <w:pPr>
              <w:autoSpaceDE w:val="0"/>
              <w:autoSpaceDN w:val="0"/>
              <w:jc w:val="center"/>
              <w:rPr>
                <w:rFonts w:hint="eastAsia" w:ascii="宋体" w:hAnsi="宋体" w:cs="宋体"/>
                <w:color w:val="auto"/>
                <w:highlight w:val="none"/>
              </w:rPr>
            </w:pPr>
          </w:p>
        </w:tc>
        <w:tc>
          <w:tcPr>
            <w:tcW w:w="1614" w:type="dxa"/>
            <w:vMerge w:val="continue"/>
            <w:vAlign w:val="center"/>
          </w:tcPr>
          <w:p w14:paraId="7E3DF906">
            <w:pPr>
              <w:autoSpaceDE w:val="0"/>
              <w:autoSpaceDN w:val="0"/>
              <w:jc w:val="center"/>
              <w:rPr>
                <w:rFonts w:hint="eastAsia" w:ascii="宋体" w:hAnsi="宋体" w:cs="宋体"/>
                <w:color w:val="auto"/>
                <w:highlight w:val="none"/>
              </w:rPr>
            </w:pPr>
          </w:p>
        </w:tc>
        <w:tc>
          <w:tcPr>
            <w:tcW w:w="1350" w:type="dxa"/>
            <w:vAlign w:val="center"/>
          </w:tcPr>
          <w:p w14:paraId="3C2908EE">
            <w:pPr>
              <w:jc w:val="center"/>
              <w:rPr>
                <w:rFonts w:hint="eastAsia" w:ascii="宋体" w:hAnsi="宋体" w:cs="宋体"/>
                <w:color w:val="auto"/>
                <w:highlight w:val="none"/>
              </w:rPr>
            </w:pPr>
            <w:r>
              <w:rPr>
                <w:rFonts w:hint="eastAsia" w:ascii="宋体" w:hAnsi="宋体" w:cs="宋体"/>
                <w:color w:val="auto"/>
                <w:highlight w:val="none"/>
              </w:rPr>
              <w:t>A0206180301 洗衣机</w:t>
            </w:r>
          </w:p>
        </w:tc>
        <w:tc>
          <w:tcPr>
            <w:tcW w:w="1868" w:type="dxa"/>
            <w:vAlign w:val="center"/>
          </w:tcPr>
          <w:p w14:paraId="0B7E8435">
            <w:pPr>
              <w:jc w:val="center"/>
              <w:rPr>
                <w:rFonts w:hint="eastAsia" w:ascii="宋体" w:hAnsi="宋体" w:cs="宋体"/>
                <w:color w:val="auto"/>
                <w:highlight w:val="none"/>
              </w:rPr>
            </w:pPr>
          </w:p>
        </w:tc>
        <w:tc>
          <w:tcPr>
            <w:tcW w:w="3632" w:type="dxa"/>
            <w:vAlign w:val="center"/>
          </w:tcPr>
          <w:p w14:paraId="0502819C">
            <w:pPr>
              <w:jc w:val="center"/>
              <w:rPr>
                <w:rFonts w:hint="eastAsia" w:ascii="宋体" w:hAnsi="宋体" w:cs="宋体"/>
                <w:color w:val="auto"/>
                <w:highlight w:val="none"/>
              </w:rPr>
            </w:pPr>
            <w:r>
              <w:rPr>
                <w:rFonts w:hint="eastAsia" w:ascii="宋体" w:hAnsi="宋体" w:cs="宋体"/>
                <w:color w:val="auto"/>
                <w:spacing w:val="9"/>
                <w:highlight w:val="none"/>
              </w:rPr>
              <w:t>《电动洗衣机能效水效限定值及</w:t>
            </w:r>
            <w:r>
              <w:rPr>
                <w:rFonts w:hint="eastAsia" w:ascii="宋体" w:hAnsi="宋体" w:cs="宋体"/>
                <w:color w:val="auto"/>
                <w:highlight w:val="none"/>
              </w:rPr>
              <w:t>等级》（GB 12021.4）</w:t>
            </w:r>
          </w:p>
        </w:tc>
      </w:tr>
      <w:tr w14:paraId="313B4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731" w:hRule="atLeast"/>
          <w:jc w:val="center"/>
        </w:trPr>
        <w:tc>
          <w:tcPr>
            <w:tcW w:w="554" w:type="dxa"/>
            <w:vMerge w:val="continue"/>
            <w:vAlign w:val="center"/>
          </w:tcPr>
          <w:p w14:paraId="77C44F1B">
            <w:pPr>
              <w:jc w:val="center"/>
              <w:rPr>
                <w:rFonts w:hint="eastAsia" w:ascii="宋体" w:hAnsi="宋体" w:cs="宋体"/>
                <w:color w:val="auto"/>
                <w:highlight w:val="none"/>
              </w:rPr>
            </w:pPr>
          </w:p>
        </w:tc>
        <w:tc>
          <w:tcPr>
            <w:tcW w:w="1614" w:type="dxa"/>
            <w:vMerge w:val="continue"/>
            <w:vAlign w:val="center"/>
          </w:tcPr>
          <w:p w14:paraId="4F13F745">
            <w:pPr>
              <w:jc w:val="center"/>
              <w:rPr>
                <w:rFonts w:hint="eastAsia" w:ascii="宋体" w:hAnsi="宋体" w:cs="宋体"/>
                <w:color w:val="auto"/>
                <w:highlight w:val="none"/>
              </w:rPr>
            </w:pPr>
          </w:p>
        </w:tc>
        <w:tc>
          <w:tcPr>
            <w:tcW w:w="1350" w:type="dxa"/>
            <w:vMerge w:val="restart"/>
            <w:vAlign w:val="center"/>
          </w:tcPr>
          <w:p w14:paraId="56E46E88">
            <w:pPr>
              <w:jc w:val="center"/>
              <w:rPr>
                <w:rFonts w:hint="eastAsia" w:ascii="宋体" w:hAnsi="宋体" w:cs="宋体"/>
                <w:color w:val="auto"/>
                <w:highlight w:val="none"/>
              </w:rPr>
            </w:pPr>
            <w:r>
              <w:rPr>
                <w:rFonts w:hint="eastAsia" w:ascii="宋体" w:hAnsi="宋体" w:cs="宋体"/>
                <w:color w:val="auto"/>
                <w:highlight w:val="none"/>
              </w:rPr>
              <w:t>A02061808</w:t>
            </w:r>
            <w:r>
              <w:rPr>
                <w:rFonts w:hint="eastAsia" w:ascii="宋体" w:hAnsi="宋体" w:cs="宋体"/>
                <w:color w:val="auto"/>
                <w:spacing w:val="-8"/>
                <w:highlight w:val="none"/>
              </w:rPr>
              <w:t xml:space="preserve"> 热水器</w:t>
            </w:r>
          </w:p>
        </w:tc>
        <w:tc>
          <w:tcPr>
            <w:tcW w:w="1868" w:type="dxa"/>
            <w:vAlign w:val="center"/>
          </w:tcPr>
          <w:p w14:paraId="2A0A7880">
            <w:pPr>
              <w:jc w:val="center"/>
              <w:rPr>
                <w:rFonts w:hint="eastAsia" w:ascii="宋体" w:hAnsi="宋体" w:cs="宋体"/>
                <w:color w:val="auto"/>
                <w:highlight w:val="none"/>
              </w:rPr>
            </w:pPr>
            <w:r>
              <w:rPr>
                <w:rFonts w:hint="eastAsia" w:ascii="宋体" w:hAnsi="宋体" w:cs="宋体"/>
                <w:color w:val="auto"/>
                <w:highlight w:val="none"/>
              </w:rPr>
              <w:t>★电热水器</w:t>
            </w:r>
          </w:p>
        </w:tc>
        <w:tc>
          <w:tcPr>
            <w:tcW w:w="3632" w:type="dxa"/>
            <w:vAlign w:val="center"/>
          </w:tcPr>
          <w:p w14:paraId="4CB94735">
            <w:pPr>
              <w:jc w:val="center"/>
              <w:rPr>
                <w:rFonts w:hint="eastAsia" w:ascii="宋体" w:hAnsi="宋体" w:cs="宋体"/>
                <w:color w:val="auto"/>
                <w:highlight w:val="none"/>
              </w:rPr>
            </w:pPr>
            <w:r>
              <w:rPr>
                <w:rFonts w:hint="eastAsia" w:ascii="宋体" w:hAnsi="宋体" w:cs="宋体"/>
                <w:color w:val="auto"/>
                <w:spacing w:val="9"/>
                <w:highlight w:val="none"/>
              </w:rPr>
              <w:t>《储水式电热水器能效限定值及</w:t>
            </w:r>
            <w:r>
              <w:rPr>
                <w:rFonts w:hint="eastAsia" w:ascii="宋体" w:hAnsi="宋体" w:cs="宋体"/>
                <w:color w:val="auto"/>
                <w:highlight w:val="none"/>
              </w:rPr>
              <w:t>能效等级》（GB</w:t>
            </w:r>
            <w:r>
              <w:rPr>
                <w:rFonts w:hint="eastAsia" w:ascii="宋体" w:hAnsi="宋体" w:cs="宋体"/>
                <w:color w:val="auto"/>
                <w:spacing w:val="2"/>
                <w:highlight w:val="none"/>
              </w:rPr>
              <w:t xml:space="preserve"> </w:t>
            </w:r>
            <w:r>
              <w:rPr>
                <w:rFonts w:hint="eastAsia" w:ascii="宋体" w:hAnsi="宋体" w:cs="宋体"/>
                <w:color w:val="auto"/>
                <w:highlight w:val="none"/>
              </w:rPr>
              <w:t>21519）</w:t>
            </w:r>
          </w:p>
        </w:tc>
      </w:tr>
      <w:tr w14:paraId="10374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947" w:hRule="atLeast"/>
          <w:jc w:val="center"/>
        </w:trPr>
        <w:tc>
          <w:tcPr>
            <w:tcW w:w="554" w:type="dxa"/>
            <w:vMerge w:val="continue"/>
            <w:vAlign w:val="center"/>
          </w:tcPr>
          <w:p w14:paraId="7B19A49F">
            <w:pPr>
              <w:autoSpaceDE w:val="0"/>
              <w:autoSpaceDN w:val="0"/>
              <w:jc w:val="center"/>
              <w:rPr>
                <w:rFonts w:hint="eastAsia" w:ascii="宋体" w:hAnsi="宋体" w:cs="宋体"/>
                <w:color w:val="auto"/>
                <w:highlight w:val="none"/>
              </w:rPr>
            </w:pPr>
          </w:p>
        </w:tc>
        <w:tc>
          <w:tcPr>
            <w:tcW w:w="1614" w:type="dxa"/>
            <w:vMerge w:val="continue"/>
            <w:vAlign w:val="center"/>
          </w:tcPr>
          <w:p w14:paraId="357404D6">
            <w:pPr>
              <w:autoSpaceDE w:val="0"/>
              <w:autoSpaceDN w:val="0"/>
              <w:jc w:val="center"/>
              <w:rPr>
                <w:rFonts w:hint="eastAsia" w:ascii="宋体" w:hAnsi="宋体" w:cs="宋体"/>
                <w:color w:val="auto"/>
                <w:highlight w:val="none"/>
              </w:rPr>
            </w:pPr>
          </w:p>
        </w:tc>
        <w:tc>
          <w:tcPr>
            <w:tcW w:w="1350" w:type="dxa"/>
            <w:vMerge w:val="continue"/>
            <w:vAlign w:val="center"/>
          </w:tcPr>
          <w:p w14:paraId="77FFB72C">
            <w:pPr>
              <w:autoSpaceDE w:val="0"/>
              <w:autoSpaceDN w:val="0"/>
              <w:jc w:val="center"/>
              <w:rPr>
                <w:rFonts w:hint="eastAsia" w:ascii="宋体" w:hAnsi="宋体" w:cs="宋体"/>
                <w:color w:val="auto"/>
                <w:highlight w:val="none"/>
              </w:rPr>
            </w:pPr>
          </w:p>
        </w:tc>
        <w:tc>
          <w:tcPr>
            <w:tcW w:w="1868" w:type="dxa"/>
            <w:vAlign w:val="center"/>
          </w:tcPr>
          <w:p w14:paraId="3A0D78EF">
            <w:pPr>
              <w:jc w:val="center"/>
              <w:rPr>
                <w:rFonts w:hint="eastAsia" w:ascii="宋体" w:hAnsi="宋体" w:cs="宋体"/>
                <w:color w:val="auto"/>
                <w:highlight w:val="none"/>
              </w:rPr>
            </w:pPr>
            <w:r>
              <w:rPr>
                <w:rFonts w:hint="eastAsia" w:ascii="宋体" w:hAnsi="宋体" w:cs="宋体"/>
                <w:color w:val="auto"/>
                <w:highlight w:val="none"/>
              </w:rPr>
              <w:t>燃气热水器</w:t>
            </w:r>
          </w:p>
        </w:tc>
        <w:tc>
          <w:tcPr>
            <w:tcW w:w="3632" w:type="dxa"/>
            <w:vAlign w:val="center"/>
          </w:tcPr>
          <w:p w14:paraId="2DE53AA6">
            <w:pPr>
              <w:jc w:val="center"/>
              <w:rPr>
                <w:rFonts w:hint="eastAsia" w:ascii="宋体" w:hAnsi="宋体" w:cs="宋体"/>
                <w:color w:val="auto"/>
                <w:highlight w:val="none"/>
              </w:rPr>
            </w:pPr>
            <w:r>
              <w:rPr>
                <w:rFonts w:hint="eastAsia" w:ascii="宋体" w:hAnsi="宋体" w:cs="宋体"/>
                <w:color w:val="auto"/>
                <w:spacing w:val="9"/>
                <w:highlight w:val="none"/>
              </w:rPr>
              <w:t>《家用燃气快速热水器和燃气采</w:t>
            </w:r>
            <w:r>
              <w:rPr>
                <w:rFonts w:hint="eastAsia" w:ascii="宋体" w:hAnsi="宋体" w:cs="宋体"/>
                <w:color w:val="auto"/>
                <w:spacing w:val="-1"/>
                <w:highlight w:val="none"/>
              </w:rPr>
              <w:t>暖热水炉能效限定值及能效等级》</w:t>
            </w:r>
            <w:r>
              <w:rPr>
                <w:rFonts w:hint="eastAsia" w:ascii="宋体" w:hAnsi="宋体" w:cs="宋体"/>
                <w:color w:val="auto"/>
                <w:highlight w:val="none"/>
              </w:rPr>
              <w:t>（GB</w:t>
            </w:r>
            <w:r>
              <w:rPr>
                <w:rFonts w:hint="eastAsia" w:ascii="宋体" w:hAnsi="宋体" w:cs="宋体"/>
                <w:color w:val="auto"/>
                <w:spacing w:val="1"/>
                <w:highlight w:val="none"/>
              </w:rPr>
              <w:t xml:space="preserve"> </w:t>
            </w:r>
            <w:r>
              <w:rPr>
                <w:rFonts w:hint="eastAsia" w:ascii="宋体" w:hAnsi="宋体" w:cs="宋体"/>
                <w:color w:val="auto"/>
                <w:highlight w:val="none"/>
              </w:rPr>
              <w:t>20665）</w:t>
            </w:r>
          </w:p>
        </w:tc>
      </w:tr>
      <w:tr w14:paraId="7C94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813" w:hRule="atLeast"/>
          <w:jc w:val="center"/>
        </w:trPr>
        <w:tc>
          <w:tcPr>
            <w:tcW w:w="554" w:type="dxa"/>
            <w:vMerge w:val="continue"/>
            <w:vAlign w:val="center"/>
          </w:tcPr>
          <w:p w14:paraId="62C052A7">
            <w:pPr>
              <w:autoSpaceDE w:val="0"/>
              <w:autoSpaceDN w:val="0"/>
              <w:jc w:val="center"/>
              <w:rPr>
                <w:rFonts w:hint="eastAsia" w:ascii="宋体" w:hAnsi="宋体" w:cs="宋体"/>
                <w:color w:val="auto"/>
                <w:highlight w:val="none"/>
              </w:rPr>
            </w:pPr>
          </w:p>
        </w:tc>
        <w:tc>
          <w:tcPr>
            <w:tcW w:w="1614" w:type="dxa"/>
            <w:vMerge w:val="continue"/>
            <w:vAlign w:val="center"/>
          </w:tcPr>
          <w:p w14:paraId="49E81C4E">
            <w:pPr>
              <w:autoSpaceDE w:val="0"/>
              <w:autoSpaceDN w:val="0"/>
              <w:jc w:val="center"/>
              <w:rPr>
                <w:rFonts w:hint="eastAsia" w:ascii="宋体" w:hAnsi="宋体" w:cs="宋体"/>
                <w:color w:val="auto"/>
                <w:highlight w:val="none"/>
              </w:rPr>
            </w:pPr>
          </w:p>
        </w:tc>
        <w:tc>
          <w:tcPr>
            <w:tcW w:w="1350" w:type="dxa"/>
            <w:vMerge w:val="continue"/>
            <w:vAlign w:val="center"/>
          </w:tcPr>
          <w:p w14:paraId="08651437">
            <w:pPr>
              <w:autoSpaceDE w:val="0"/>
              <w:autoSpaceDN w:val="0"/>
              <w:jc w:val="center"/>
              <w:rPr>
                <w:rFonts w:hint="eastAsia" w:ascii="宋体" w:hAnsi="宋体" w:cs="宋体"/>
                <w:color w:val="auto"/>
                <w:highlight w:val="none"/>
              </w:rPr>
            </w:pPr>
          </w:p>
        </w:tc>
        <w:tc>
          <w:tcPr>
            <w:tcW w:w="1868" w:type="dxa"/>
            <w:vAlign w:val="center"/>
          </w:tcPr>
          <w:p w14:paraId="06A021E9">
            <w:pPr>
              <w:jc w:val="center"/>
              <w:rPr>
                <w:rFonts w:hint="eastAsia" w:ascii="宋体" w:hAnsi="宋体" w:cs="宋体"/>
                <w:color w:val="auto"/>
                <w:highlight w:val="none"/>
              </w:rPr>
            </w:pPr>
            <w:r>
              <w:rPr>
                <w:rFonts w:hint="eastAsia" w:ascii="宋体" w:hAnsi="宋体" w:cs="宋体"/>
                <w:color w:val="auto"/>
                <w:highlight w:val="none"/>
              </w:rPr>
              <w:t>热泵热水器</w:t>
            </w:r>
          </w:p>
        </w:tc>
        <w:tc>
          <w:tcPr>
            <w:tcW w:w="3632" w:type="dxa"/>
            <w:vAlign w:val="center"/>
          </w:tcPr>
          <w:p w14:paraId="10E2002F">
            <w:pPr>
              <w:jc w:val="center"/>
              <w:rPr>
                <w:rFonts w:hint="eastAsia" w:ascii="宋体" w:hAnsi="宋体" w:cs="宋体"/>
                <w:color w:val="auto"/>
                <w:highlight w:val="none"/>
              </w:rPr>
            </w:pPr>
            <w:r>
              <w:rPr>
                <w:rFonts w:hint="eastAsia" w:ascii="宋体" w:hAnsi="宋体" w:cs="宋体"/>
                <w:color w:val="auto"/>
                <w:spacing w:val="-5"/>
                <w:highlight w:val="none"/>
              </w:rPr>
              <w:t>《热泵热水机</w:t>
            </w:r>
            <w:r>
              <w:rPr>
                <w:rFonts w:hint="eastAsia" w:ascii="宋体" w:hAnsi="宋体" w:cs="宋体"/>
                <w:color w:val="auto"/>
                <w:spacing w:val="-4"/>
                <w:highlight w:val="none"/>
              </w:rPr>
              <w:t>（器）能效限定值及</w:t>
            </w:r>
            <w:r>
              <w:rPr>
                <w:rFonts w:hint="eastAsia" w:ascii="宋体" w:hAnsi="宋体" w:cs="宋体"/>
                <w:color w:val="auto"/>
                <w:highlight w:val="none"/>
              </w:rPr>
              <w:t>能效等级》（GB</w:t>
            </w:r>
            <w:r>
              <w:rPr>
                <w:rFonts w:hint="eastAsia" w:ascii="宋体" w:hAnsi="宋体" w:cs="宋体"/>
                <w:color w:val="auto"/>
                <w:spacing w:val="1"/>
                <w:highlight w:val="none"/>
              </w:rPr>
              <w:t xml:space="preserve"> </w:t>
            </w:r>
            <w:r>
              <w:rPr>
                <w:rFonts w:hint="eastAsia" w:ascii="宋体" w:hAnsi="宋体" w:cs="宋体"/>
                <w:color w:val="auto"/>
                <w:highlight w:val="none"/>
              </w:rPr>
              <w:t>29541）</w:t>
            </w:r>
          </w:p>
        </w:tc>
      </w:tr>
      <w:tr w14:paraId="40FAF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731" w:hRule="atLeast"/>
          <w:jc w:val="center"/>
        </w:trPr>
        <w:tc>
          <w:tcPr>
            <w:tcW w:w="554" w:type="dxa"/>
            <w:vMerge w:val="continue"/>
            <w:vAlign w:val="center"/>
          </w:tcPr>
          <w:p w14:paraId="0868085C">
            <w:pPr>
              <w:autoSpaceDE w:val="0"/>
              <w:autoSpaceDN w:val="0"/>
              <w:jc w:val="center"/>
              <w:rPr>
                <w:rFonts w:hint="eastAsia" w:ascii="宋体" w:hAnsi="宋体" w:cs="宋体"/>
                <w:color w:val="auto"/>
                <w:highlight w:val="none"/>
              </w:rPr>
            </w:pPr>
          </w:p>
        </w:tc>
        <w:tc>
          <w:tcPr>
            <w:tcW w:w="1614" w:type="dxa"/>
            <w:vMerge w:val="continue"/>
            <w:vAlign w:val="center"/>
          </w:tcPr>
          <w:p w14:paraId="3FE58644">
            <w:pPr>
              <w:autoSpaceDE w:val="0"/>
              <w:autoSpaceDN w:val="0"/>
              <w:jc w:val="center"/>
              <w:rPr>
                <w:rFonts w:hint="eastAsia" w:ascii="宋体" w:hAnsi="宋体" w:cs="宋体"/>
                <w:color w:val="auto"/>
                <w:highlight w:val="none"/>
              </w:rPr>
            </w:pPr>
          </w:p>
        </w:tc>
        <w:tc>
          <w:tcPr>
            <w:tcW w:w="1350" w:type="dxa"/>
            <w:vMerge w:val="continue"/>
            <w:vAlign w:val="center"/>
          </w:tcPr>
          <w:p w14:paraId="5C06A0D9">
            <w:pPr>
              <w:autoSpaceDE w:val="0"/>
              <w:autoSpaceDN w:val="0"/>
              <w:jc w:val="center"/>
              <w:rPr>
                <w:rFonts w:hint="eastAsia" w:ascii="宋体" w:hAnsi="宋体" w:cs="宋体"/>
                <w:color w:val="auto"/>
                <w:highlight w:val="none"/>
              </w:rPr>
            </w:pPr>
          </w:p>
        </w:tc>
        <w:tc>
          <w:tcPr>
            <w:tcW w:w="1868" w:type="dxa"/>
            <w:vAlign w:val="center"/>
          </w:tcPr>
          <w:p w14:paraId="52676446">
            <w:pPr>
              <w:jc w:val="center"/>
              <w:rPr>
                <w:rFonts w:hint="eastAsia" w:ascii="宋体" w:hAnsi="宋体" w:cs="宋体"/>
                <w:color w:val="auto"/>
                <w:highlight w:val="none"/>
              </w:rPr>
            </w:pPr>
            <w:r>
              <w:rPr>
                <w:rFonts w:hint="eastAsia" w:ascii="宋体" w:hAnsi="宋体" w:cs="宋体"/>
                <w:color w:val="auto"/>
                <w:highlight w:val="none"/>
              </w:rPr>
              <w:t>太阳能热水系统</w:t>
            </w:r>
          </w:p>
        </w:tc>
        <w:tc>
          <w:tcPr>
            <w:tcW w:w="3632" w:type="dxa"/>
            <w:vAlign w:val="center"/>
          </w:tcPr>
          <w:p w14:paraId="063E8590">
            <w:pPr>
              <w:jc w:val="center"/>
              <w:rPr>
                <w:rFonts w:hint="eastAsia" w:ascii="宋体" w:hAnsi="宋体" w:cs="宋体"/>
                <w:color w:val="auto"/>
                <w:highlight w:val="none"/>
              </w:rPr>
            </w:pPr>
            <w:r>
              <w:rPr>
                <w:rFonts w:hint="eastAsia" w:ascii="宋体" w:hAnsi="宋体" w:cs="宋体"/>
                <w:color w:val="auto"/>
                <w:spacing w:val="9"/>
                <w:highlight w:val="none"/>
              </w:rPr>
              <w:t>《家用太阳能热水系统能效限定</w:t>
            </w:r>
            <w:r>
              <w:rPr>
                <w:rFonts w:hint="eastAsia" w:ascii="宋体" w:hAnsi="宋体" w:cs="宋体"/>
                <w:color w:val="auto"/>
                <w:highlight w:val="none"/>
              </w:rPr>
              <w:t>值及能效等级》（GB 26969）</w:t>
            </w:r>
          </w:p>
        </w:tc>
      </w:tr>
      <w:tr w14:paraId="5C25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892" w:hRule="atLeast"/>
          <w:jc w:val="center"/>
        </w:trPr>
        <w:tc>
          <w:tcPr>
            <w:tcW w:w="554" w:type="dxa"/>
            <w:vMerge w:val="restart"/>
            <w:vAlign w:val="center"/>
          </w:tcPr>
          <w:p w14:paraId="4371A35E">
            <w:pPr>
              <w:jc w:val="center"/>
              <w:rPr>
                <w:rFonts w:hint="eastAsia" w:ascii="宋体" w:hAnsi="宋体" w:cs="宋体"/>
                <w:color w:val="auto"/>
                <w:highlight w:val="none"/>
              </w:rPr>
            </w:pPr>
            <w:r>
              <w:rPr>
                <w:rFonts w:hint="eastAsia" w:ascii="宋体" w:hAnsi="宋体" w:cs="宋体"/>
                <w:color w:val="auto"/>
                <w:highlight w:val="none"/>
              </w:rPr>
              <w:t>11</w:t>
            </w:r>
          </w:p>
        </w:tc>
        <w:tc>
          <w:tcPr>
            <w:tcW w:w="1614" w:type="dxa"/>
            <w:vMerge w:val="restart"/>
            <w:vAlign w:val="center"/>
          </w:tcPr>
          <w:p w14:paraId="29786A5C">
            <w:pPr>
              <w:jc w:val="center"/>
              <w:rPr>
                <w:rFonts w:hint="eastAsia" w:ascii="宋体" w:hAnsi="宋体" w:cs="宋体"/>
                <w:color w:val="auto"/>
                <w:highlight w:val="none"/>
              </w:rPr>
            </w:pPr>
            <w:r>
              <w:rPr>
                <w:rFonts w:hint="eastAsia" w:ascii="宋体" w:hAnsi="宋体" w:cs="宋体"/>
                <w:color w:val="auto"/>
                <w:spacing w:val="-2"/>
                <w:highlight w:val="none"/>
              </w:rPr>
              <w:t>A020619</w:t>
            </w:r>
            <w:r>
              <w:rPr>
                <w:rFonts w:hint="eastAsia" w:ascii="宋体" w:hAnsi="宋体" w:cs="宋体"/>
                <w:color w:val="auto"/>
                <w:spacing w:val="-20"/>
                <w:highlight w:val="none"/>
              </w:rPr>
              <w:t xml:space="preserve"> 照明</w:t>
            </w:r>
            <w:r>
              <w:rPr>
                <w:rFonts w:hint="eastAsia" w:ascii="宋体" w:hAnsi="宋体" w:cs="宋体"/>
                <w:color w:val="auto"/>
                <w:highlight w:val="none"/>
              </w:rPr>
              <w:t>设备</w:t>
            </w:r>
          </w:p>
        </w:tc>
        <w:tc>
          <w:tcPr>
            <w:tcW w:w="1350" w:type="dxa"/>
            <w:vAlign w:val="center"/>
          </w:tcPr>
          <w:p w14:paraId="43E8F74E">
            <w:pPr>
              <w:jc w:val="center"/>
              <w:rPr>
                <w:rFonts w:hint="eastAsia" w:ascii="宋体" w:hAnsi="宋体" w:cs="宋体"/>
                <w:color w:val="auto"/>
                <w:highlight w:val="none"/>
              </w:rPr>
            </w:pPr>
            <w:r>
              <w:rPr>
                <w:rFonts w:hint="eastAsia" w:ascii="宋体" w:hAnsi="宋体" w:cs="宋体"/>
                <w:color w:val="auto"/>
                <w:spacing w:val="11"/>
                <w:highlight w:val="none"/>
              </w:rPr>
              <w:t>★ 普通照明用双端</w:t>
            </w:r>
            <w:r>
              <w:rPr>
                <w:rFonts w:hint="eastAsia" w:ascii="宋体" w:hAnsi="宋体" w:cs="宋体"/>
                <w:color w:val="auto"/>
                <w:highlight w:val="none"/>
              </w:rPr>
              <w:t>荧光灯</w:t>
            </w:r>
          </w:p>
        </w:tc>
        <w:tc>
          <w:tcPr>
            <w:tcW w:w="1868" w:type="dxa"/>
            <w:vAlign w:val="center"/>
          </w:tcPr>
          <w:p w14:paraId="1EE18E59">
            <w:pPr>
              <w:jc w:val="center"/>
              <w:rPr>
                <w:rFonts w:hint="eastAsia" w:ascii="宋体" w:hAnsi="宋体" w:cs="宋体"/>
                <w:color w:val="auto"/>
                <w:highlight w:val="none"/>
              </w:rPr>
            </w:pPr>
          </w:p>
        </w:tc>
        <w:tc>
          <w:tcPr>
            <w:tcW w:w="3632" w:type="dxa"/>
            <w:vAlign w:val="center"/>
          </w:tcPr>
          <w:p w14:paraId="6B21256C">
            <w:pPr>
              <w:jc w:val="center"/>
              <w:rPr>
                <w:rFonts w:hint="eastAsia" w:ascii="宋体" w:hAnsi="宋体" w:cs="宋体"/>
                <w:color w:val="auto"/>
                <w:highlight w:val="none"/>
              </w:rPr>
            </w:pPr>
            <w:r>
              <w:rPr>
                <w:rFonts w:hint="eastAsia" w:ascii="宋体" w:hAnsi="宋体" w:cs="宋体"/>
                <w:color w:val="auto"/>
                <w:spacing w:val="9"/>
                <w:highlight w:val="none"/>
              </w:rPr>
              <w:t>《普通照明用双端荧光灯能效限</w:t>
            </w:r>
            <w:r>
              <w:rPr>
                <w:rFonts w:hint="eastAsia" w:ascii="宋体" w:hAnsi="宋体" w:cs="宋体"/>
                <w:color w:val="auto"/>
                <w:highlight w:val="none"/>
              </w:rPr>
              <w:t>定值及能效等级》（GB 19043）</w:t>
            </w:r>
          </w:p>
        </w:tc>
      </w:tr>
      <w:tr w14:paraId="2C471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810" w:hRule="atLeast"/>
          <w:jc w:val="center"/>
        </w:trPr>
        <w:tc>
          <w:tcPr>
            <w:tcW w:w="554" w:type="dxa"/>
            <w:vMerge w:val="continue"/>
            <w:vAlign w:val="center"/>
          </w:tcPr>
          <w:p w14:paraId="12A864E9">
            <w:pPr>
              <w:autoSpaceDE w:val="0"/>
              <w:autoSpaceDN w:val="0"/>
              <w:jc w:val="center"/>
              <w:rPr>
                <w:rFonts w:hint="eastAsia" w:ascii="宋体" w:hAnsi="宋体" w:cs="宋体"/>
                <w:color w:val="auto"/>
                <w:highlight w:val="none"/>
              </w:rPr>
            </w:pPr>
          </w:p>
        </w:tc>
        <w:tc>
          <w:tcPr>
            <w:tcW w:w="1614" w:type="dxa"/>
            <w:vMerge w:val="continue"/>
            <w:vAlign w:val="center"/>
          </w:tcPr>
          <w:p w14:paraId="2D0EDB0C">
            <w:pPr>
              <w:autoSpaceDE w:val="0"/>
              <w:autoSpaceDN w:val="0"/>
              <w:jc w:val="center"/>
              <w:rPr>
                <w:rFonts w:hint="eastAsia" w:ascii="宋体" w:hAnsi="宋体" w:cs="宋体"/>
                <w:color w:val="auto"/>
                <w:highlight w:val="none"/>
              </w:rPr>
            </w:pPr>
          </w:p>
        </w:tc>
        <w:tc>
          <w:tcPr>
            <w:tcW w:w="1350" w:type="dxa"/>
            <w:vAlign w:val="center"/>
          </w:tcPr>
          <w:p w14:paraId="308910FF">
            <w:pPr>
              <w:jc w:val="center"/>
              <w:rPr>
                <w:rFonts w:hint="eastAsia" w:ascii="宋体" w:hAnsi="宋体" w:cs="宋体"/>
                <w:color w:val="auto"/>
                <w:highlight w:val="none"/>
              </w:rPr>
            </w:pPr>
            <w:r>
              <w:rPr>
                <w:rFonts w:hint="eastAsia" w:ascii="宋体" w:hAnsi="宋体" w:cs="宋体"/>
                <w:color w:val="auto"/>
                <w:highlight w:val="none"/>
              </w:rPr>
              <w:t>LED</w:t>
            </w:r>
            <w:r>
              <w:rPr>
                <w:rFonts w:hint="eastAsia" w:ascii="宋体" w:hAnsi="宋体" w:cs="宋体"/>
                <w:color w:val="auto"/>
                <w:spacing w:val="3"/>
                <w:highlight w:val="none"/>
              </w:rPr>
              <w:t xml:space="preserve"> 道路</w:t>
            </w:r>
            <w:r>
              <w:rPr>
                <w:rFonts w:hint="eastAsia" w:ascii="宋体" w:hAnsi="宋体" w:cs="宋体"/>
                <w:color w:val="auto"/>
                <w:spacing w:val="13"/>
                <w:highlight w:val="none"/>
              </w:rPr>
              <w:t>/</w:t>
            </w:r>
            <w:r>
              <w:rPr>
                <w:rFonts w:hint="eastAsia" w:ascii="宋体" w:hAnsi="宋体" w:cs="宋体"/>
                <w:color w:val="auto"/>
                <w:spacing w:val="9"/>
                <w:highlight w:val="none"/>
              </w:rPr>
              <w:t>隧道照明</w:t>
            </w:r>
            <w:r>
              <w:rPr>
                <w:rFonts w:hint="eastAsia" w:ascii="宋体" w:hAnsi="宋体" w:cs="宋体"/>
                <w:color w:val="auto"/>
                <w:highlight w:val="none"/>
              </w:rPr>
              <w:t>产品</w:t>
            </w:r>
          </w:p>
        </w:tc>
        <w:tc>
          <w:tcPr>
            <w:tcW w:w="1868" w:type="dxa"/>
            <w:vAlign w:val="center"/>
          </w:tcPr>
          <w:p w14:paraId="2BBCA8EF">
            <w:pPr>
              <w:jc w:val="center"/>
              <w:rPr>
                <w:rFonts w:hint="eastAsia" w:ascii="宋体" w:hAnsi="宋体" w:cs="宋体"/>
                <w:color w:val="auto"/>
                <w:highlight w:val="none"/>
              </w:rPr>
            </w:pPr>
          </w:p>
        </w:tc>
        <w:tc>
          <w:tcPr>
            <w:tcW w:w="3632" w:type="dxa"/>
            <w:vAlign w:val="center"/>
          </w:tcPr>
          <w:p w14:paraId="0DA0090B">
            <w:pPr>
              <w:jc w:val="center"/>
              <w:rPr>
                <w:rFonts w:hint="eastAsia" w:ascii="宋体" w:hAnsi="宋体" w:cs="宋体"/>
                <w:color w:val="auto"/>
                <w:highlight w:val="none"/>
              </w:rPr>
            </w:pPr>
            <w:r>
              <w:rPr>
                <w:rFonts w:hint="eastAsia" w:ascii="宋体" w:hAnsi="宋体" w:cs="宋体"/>
                <w:color w:val="auto"/>
                <w:spacing w:val="1"/>
                <w:highlight w:val="none"/>
              </w:rPr>
              <w:t xml:space="preserve">《道路和隧道照明用 </w:t>
            </w:r>
            <w:r>
              <w:rPr>
                <w:rFonts w:hint="eastAsia" w:ascii="宋体" w:hAnsi="宋体" w:cs="宋体"/>
                <w:color w:val="auto"/>
                <w:highlight w:val="none"/>
              </w:rPr>
              <w:t>LED</w:t>
            </w:r>
            <w:r>
              <w:rPr>
                <w:rFonts w:hint="eastAsia" w:ascii="宋体" w:hAnsi="宋体" w:cs="宋体"/>
                <w:color w:val="auto"/>
                <w:spacing w:val="3"/>
                <w:highlight w:val="none"/>
              </w:rPr>
              <w:t xml:space="preserve"> 灯具能</w:t>
            </w:r>
            <w:r>
              <w:rPr>
                <w:rFonts w:hint="eastAsia" w:ascii="宋体" w:hAnsi="宋体" w:cs="宋体"/>
                <w:color w:val="auto"/>
                <w:spacing w:val="-11"/>
                <w:highlight w:val="none"/>
              </w:rPr>
              <w:t>效限定值及能效等级》</w:t>
            </w:r>
            <w:r>
              <w:rPr>
                <w:rFonts w:hint="eastAsia" w:ascii="宋体" w:hAnsi="宋体" w:cs="宋体"/>
                <w:color w:val="auto"/>
                <w:highlight w:val="none"/>
              </w:rPr>
              <w:t>（GB</w:t>
            </w:r>
            <w:r>
              <w:rPr>
                <w:rFonts w:hint="eastAsia" w:ascii="宋体" w:hAnsi="宋体" w:cs="宋体"/>
                <w:color w:val="auto"/>
                <w:spacing w:val="55"/>
                <w:highlight w:val="none"/>
              </w:rPr>
              <w:t xml:space="preserve"> </w:t>
            </w:r>
            <w:r>
              <w:rPr>
                <w:rFonts w:hint="eastAsia" w:ascii="宋体" w:hAnsi="宋体" w:cs="宋体"/>
                <w:color w:val="auto"/>
                <w:highlight w:val="none"/>
              </w:rPr>
              <w:t>37478）</w:t>
            </w:r>
          </w:p>
        </w:tc>
      </w:tr>
      <w:tr w14:paraId="0C6AA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793" w:hRule="atLeast"/>
          <w:jc w:val="center"/>
        </w:trPr>
        <w:tc>
          <w:tcPr>
            <w:tcW w:w="554" w:type="dxa"/>
            <w:vMerge w:val="continue"/>
            <w:vAlign w:val="center"/>
          </w:tcPr>
          <w:p w14:paraId="501C60CF">
            <w:pPr>
              <w:autoSpaceDE w:val="0"/>
              <w:autoSpaceDN w:val="0"/>
              <w:jc w:val="center"/>
              <w:rPr>
                <w:rFonts w:hint="eastAsia" w:ascii="宋体" w:hAnsi="宋体" w:cs="宋体"/>
                <w:color w:val="auto"/>
                <w:highlight w:val="none"/>
              </w:rPr>
            </w:pPr>
          </w:p>
        </w:tc>
        <w:tc>
          <w:tcPr>
            <w:tcW w:w="1614" w:type="dxa"/>
            <w:vMerge w:val="continue"/>
            <w:vAlign w:val="center"/>
          </w:tcPr>
          <w:p w14:paraId="09B5A900">
            <w:pPr>
              <w:autoSpaceDE w:val="0"/>
              <w:autoSpaceDN w:val="0"/>
              <w:jc w:val="center"/>
              <w:rPr>
                <w:rFonts w:hint="eastAsia" w:ascii="宋体" w:hAnsi="宋体" w:cs="宋体"/>
                <w:color w:val="auto"/>
                <w:highlight w:val="none"/>
              </w:rPr>
            </w:pPr>
          </w:p>
        </w:tc>
        <w:tc>
          <w:tcPr>
            <w:tcW w:w="1350" w:type="dxa"/>
            <w:vAlign w:val="center"/>
          </w:tcPr>
          <w:p w14:paraId="4E44870D">
            <w:pPr>
              <w:jc w:val="center"/>
              <w:rPr>
                <w:rFonts w:hint="eastAsia" w:ascii="宋体" w:hAnsi="宋体" w:cs="宋体"/>
                <w:color w:val="auto"/>
                <w:highlight w:val="none"/>
              </w:rPr>
            </w:pPr>
            <w:r>
              <w:rPr>
                <w:rFonts w:hint="eastAsia" w:ascii="宋体" w:hAnsi="宋体" w:cs="宋体"/>
                <w:color w:val="auto"/>
                <w:highlight w:val="none"/>
              </w:rPr>
              <w:t>LED</w:t>
            </w:r>
            <w:r>
              <w:rPr>
                <w:rFonts w:hint="eastAsia" w:ascii="宋体" w:hAnsi="宋体" w:cs="宋体"/>
                <w:color w:val="auto"/>
                <w:spacing w:val="-13"/>
                <w:highlight w:val="none"/>
              </w:rPr>
              <w:t xml:space="preserve"> 筒灯</w:t>
            </w:r>
          </w:p>
        </w:tc>
        <w:tc>
          <w:tcPr>
            <w:tcW w:w="1868" w:type="dxa"/>
            <w:vAlign w:val="center"/>
          </w:tcPr>
          <w:p w14:paraId="00B51493">
            <w:pPr>
              <w:jc w:val="center"/>
              <w:rPr>
                <w:rFonts w:hint="eastAsia" w:ascii="宋体" w:hAnsi="宋体" w:cs="宋体"/>
                <w:color w:val="auto"/>
                <w:highlight w:val="none"/>
              </w:rPr>
            </w:pPr>
          </w:p>
        </w:tc>
        <w:tc>
          <w:tcPr>
            <w:tcW w:w="3632" w:type="dxa"/>
            <w:vAlign w:val="center"/>
          </w:tcPr>
          <w:p w14:paraId="1A2BFC78">
            <w:pPr>
              <w:jc w:val="center"/>
              <w:rPr>
                <w:rFonts w:hint="eastAsia" w:ascii="宋体" w:hAnsi="宋体" w:cs="宋体"/>
                <w:color w:val="auto"/>
                <w:highlight w:val="none"/>
              </w:rPr>
            </w:pPr>
            <w:r>
              <w:rPr>
                <w:rFonts w:hint="eastAsia" w:ascii="宋体" w:hAnsi="宋体" w:cs="宋体"/>
                <w:color w:val="auto"/>
                <w:spacing w:val="1"/>
                <w:highlight w:val="none"/>
              </w:rPr>
              <w:t xml:space="preserve">《室内照明用 </w:t>
            </w:r>
            <w:r>
              <w:rPr>
                <w:rFonts w:hint="eastAsia" w:ascii="宋体" w:hAnsi="宋体" w:cs="宋体"/>
                <w:color w:val="auto"/>
                <w:highlight w:val="none"/>
              </w:rPr>
              <w:t>LED 产品能效限定值及能效等级》（GB 30255）</w:t>
            </w:r>
          </w:p>
        </w:tc>
      </w:tr>
      <w:tr w14:paraId="291E1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1031" w:hRule="atLeast"/>
          <w:jc w:val="center"/>
        </w:trPr>
        <w:tc>
          <w:tcPr>
            <w:tcW w:w="554" w:type="dxa"/>
            <w:vMerge w:val="continue"/>
            <w:vAlign w:val="center"/>
          </w:tcPr>
          <w:p w14:paraId="4EFBAB94">
            <w:pPr>
              <w:autoSpaceDE w:val="0"/>
              <w:autoSpaceDN w:val="0"/>
              <w:jc w:val="center"/>
              <w:rPr>
                <w:rFonts w:hint="eastAsia" w:ascii="宋体" w:hAnsi="宋体" w:cs="宋体"/>
                <w:color w:val="auto"/>
                <w:highlight w:val="none"/>
              </w:rPr>
            </w:pPr>
          </w:p>
        </w:tc>
        <w:tc>
          <w:tcPr>
            <w:tcW w:w="1614" w:type="dxa"/>
            <w:vMerge w:val="continue"/>
            <w:vAlign w:val="center"/>
          </w:tcPr>
          <w:p w14:paraId="094A18DA">
            <w:pPr>
              <w:autoSpaceDE w:val="0"/>
              <w:autoSpaceDN w:val="0"/>
              <w:jc w:val="center"/>
              <w:rPr>
                <w:rFonts w:hint="eastAsia" w:ascii="宋体" w:hAnsi="宋体" w:cs="宋体"/>
                <w:color w:val="auto"/>
                <w:highlight w:val="none"/>
              </w:rPr>
            </w:pPr>
          </w:p>
        </w:tc>
        <w:tc>
          <w:tcPr>
            <w:tcW w:w="1350" w:type="dxa"/>
            <w:vAlign w:val="center"/>
          </w:tcPr>
          <w:p w14:paraId="2EFB8473">
            <w:pPr>
              <w:jc w:val="center"/>
              <w:rPr>
                <w:rFonts w:hint="eastAsia" w:ascii="宋体" w:hAnsi="宋体" w:cs="宋体"/>
                <w:color w:val="auto"/>
                <w:highlight w:val="none"/>
              </w:rPr>
            </w:pPr>
            <w:r>
              <w:rPr>
                <w:rFonts w:hint="eastAsia" w:ascii="宋体" w:hAnsi="宋体" w:cs="宋体"/>
                <w:color w:val="auto"/>
                <w:spacing w:val="21"/>
                <w:highlight w:val="none"/>
              </w:rPr>
              <w:t>普通照明用非定向</w:t>
            </w:r>
            <w:r>
              <w:rPr>
                <w:rFonts w:hint="eastAsia" w:ascii="宋体" w:hAnsi="宋体" w:cs="宋体"/>
                <w:color w:val="auto"/>
                <w:spacing w:val="-11"/>
                <w:highlight w:val="none"/>
              </w:rPr>
              <w:t xml:space="preserve">自镇流 </w:t>
            </w:r>
            <w:r>
              <w:rPr>
                <w:rFonts w:hint="eastAsia" w:ascii="宋体" w:hAnsi="宋体" w:cs="宋体"/>
                <w:color w:val="auto"/>
                <w:highlight w:val="none"/>
              </w:rPr>
              <w:t>LED</w:t>
            </w:r>
            <w:r>
              <w:rPr>
                <w:rFonts w:hint="eastAsia" w:ascii="宋体" w:hAnsi="宋体" w:cs="宋体"/>
                <w:color w:val="auto"/>
                <w:spacing w:val="-20"/>
                <w:highlight w:val="none"/>
              </w:rPr>
              <w:t xml:space="preserve"> 灯</w:t>
            </w:r>
          </w:p>
        </w:tc>
        <w:tc>
          <w:tcPr>
            <w:tcW w:w="1868" w:type="dxa"/>
            <w:vAlign w:val="center"/>
          </w:tcPr>
          <w:p w14:paraId="00ACEF2B">
            <w:pPr>
              <w:jc w:val="center"/>
              <w:rPr>
                <w:rFonts w:hint="eastAsia" w:ascii="宋体" w:hAnsi="宋体" w:cs="宋体"/>
                <w:color w:val="auto"/>
                <w:highlight w:val="none"/>
              </w:rPr>
            </w:pPr>
          </w:p>
        </w:tc>
        <w:tc>
          <w:tcPr>
            <w:tcW w:w="3632" w:type="dxa"/>
            <w:vAlign w:val="center"/>
          </w:tcPr>
          <w:p w14:paraId="128C0880">
            <w:pPr>
              <w:jc w:val="center"/>
              <w:rPr>
                <w:rFonts w:hint="eastAsia" w:ascii="宋体" w:hAnsi="宋体" w:cs="宋体"/>
                <w:color w:val="auto"/>
                <w:highlight w:val="none"/>
              </w:rPr>
            </w:pPr>
            <w:r>
              <w:rPr>
                <w:rFonts w:hint="eastAsia" w:ascii="宋体" w:hAnsi="宋体" w:cs="宋体"/>
                <w:color w:val="auto"/>
                <w:spacing w:val="1"/>
                <w:highlight w:val="none"/>
              </w:rPr>
              <w:t xml:space="preserve">《室内照明用 </w:t>
            </w:r>
            <w:r>
              <w:rPr>
                <w:rFonts w:hint="eastAsia" w:ascii="宋体" w:hAnsi="宋体" w:cs="宋体"/>
                <w:color w:val="auto"/>
                <w:highlight w:val="none"/>
              </w:rPr>
              <w:t>LED 产品能效限定值及能效等级》（GB 30255）</w:t>
            </w:r>
          </w:p>
        </w:tc>
      </w:tr>
      <w:tr w14:paraId="299E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791" w:hRule="atLeast"/>
          <w:jc w:val="center"/>
        </w:trPr>
        <w:tc>
          <w:tcPr>
            <w:tcW w:w="554" w:type="dxa"/>
            <w:vAlign w:val="center"/>
          </w:tcPr>
          <w:p w14:paraId="567B06A2">
            <w:pPr>
              <w:jc w:val="center"/>
              <w:rPr>
                <w:rFonts w:hint="eastAsia" w:ascii="宋体" w:hAnsi="宋体" w:cs="宋体"/>
                <w:color w:val="auto"/>
                <w:highlight w:val="none"/>
              </w:rPr>
            </w:pPr>
            <w:r>
              <w:rPr>
                <w:rFonts w:hint="eastAsia" w:ascii="宋体" w:hAnsi="宋体" w:cs="宋体"/>
                <w:color w:val="auto"/>
                <w:highlight w:val="none"/>
              </w:rPr>
              <w:t>12</w:t>
            </w:r>
          </w:p>
        </w:tc>
        <w:tc>
          <w:tcPr>
            <w:tcW w:w="1614" w:type="dxa"/>
            <w:vAlign w:val="center"/>
          </w:tcPr>
          <w:p w14:paraId="4488E2D3">
            <w:pPr>
              <w:jc w:val="center"/>
              <w:rPr>
                <w:rFonts w:hint="eastAsia" w:ascii="宋体" w:hAnsi="宋体" w:cs="宋体"/>
                <w:color w:val="auto"/>
                <w:highlight w:val="none"/>
              </w:rPr>
            </w:pPr>
            <w:r>
              <w:rPr>
                <w:rFonts w:hint="eastAsia" w:ascii="宋体" w:hAnsi="宋体" w:cs="宋体"/>
                <w:color w:val="auto"/>
                <w:spacing w:val="-2"/>
                <w:highlight w:val="none"/>
              </w:rPr>
              <w:t>★A020910</w:t>
            </w:r>
            <w:r>
              <w:rPr>
                <w:rFonts w:hint="eastAsia" w:ascii="宋体" w:hAnsi="宋体" w:cs="宋体"/>
                <w:color w:val="auto"/>
                <w:spacing w:val="-29"/>
                <w:highlight w:val="none"/>
              </w:rPr>
              <w:t xml:space="preserve"> 电 </w:t>
            </w:r>
            <w:r>
              <w:rPr>
                <w:rFonts w:hint="eastAsia" w:ascii="宋体" w:hAnsi="宋体" w:cs="宋体"/>
                <w:color w:val="auto"/>
                <w:highlight w:val="none"/>
              </w:rPr>
              <w:t>视设备</w:t>
            </w:r>
          </w:p>
        </w:tc>
        <w:tc>
          <w:tcPr>
            <w:tcW w:w="1350" w:type="dxa"/>
            <w:vAlign w:val="center"/>
          </w:tcPr>
          <w:p w14:paraId="6CBCA052">
            <w:pPr>
              <w:jc w:val="center"/>
              <w:rPr>
                <w:rFonts w:hint="eastAsia" w:ascii="宋体" w:hAnsi="宋体" w:cs="宋体"/>
                <w:color w:val="auto"/>
                <w:highlight w:val="none"/>
              </w:rPr>
            </w:pPr>
            <w:r>
              <w:rPr>
                <w:rFonts w:hint="eastAsia" w:ascii="宋体" w:hAnsi="宋体" w:cs="宋体"/>
                <w:color w:val="auto"/>
                <w:spacing w:val="-2"/>
                <w:highlight w:val="none"/>
              </w:rPr>
              <w:t>A02091001</w:t>
            </w:r>
            <w:r>
              <w:rPr>
                <w:rFonts w:hint="eastAsia" w:ascii="宋体" w:hAnsi="宋体" w:cs="宋体"/>
                <w:color w:val="auto"/>
                <w:spacing w:val="-6"/>
                <w:highlight w:val="none"/>
              </w:rPr>
              <w:t xml:space="preserve"> 普通电视</w:t>
            </w:r>
            <w:r>
              <w:rPr>
                <w:rFonts w:hint="eastAsia" w:ascii="宋体" w:hAnsi="宋体" w:cs="宋体"/>
                <w:color w:val="auto"/>
                <w:highlight w:val="none"/>
              </w:rPr>
              <w:t>设备（电视机）</w:t>
            </w:r>
          </w:p>
        </w:tc>
        <w:tc>
          <w:tcPr>
            <w:tcW w:w="1868" w:type="dxa"/>
            <w:vAlign w:val="center"/>
          </w:tcPr>
          <w:p w14:paraId="3E59D6B4">
            <w:pPr>
              <w:jc w:val="center"/>
              <w:rPr>
                <w:rFonts w:hint="eastAsia" w:ascii="宋体" w:hAnsi="宋体" w:cs="宋体"/>
                <w:color w:val="auto"/>
                <w:highlight w:val="none"/>
              </w:rPr>
            </w:pPr>
          </w:p>
        </w:tc>
        <w:tc>
          <w:tcPr>
            <w:tcW w:w="3632" w:type="dxa"/>
            <w:vAlign w:val="center"/>
          </w:tcPr>
          <w:p w14:paraId="4609E0D1">
            <w:pPr>
              <w:jc w:val="center"/>
              <w:rPr>
                <w:rFonts w:hint="eastAsia" w:ascii="宋体" w:hAnsi="宋体" w:cs="宋体"/>
                <w:color w:val="auto"/>
                <w:highlight w:val="none"/>
              </w:rPr>
            </w:pPr>
            <w:r>
              <w:rPr>
                <w:rFonts w:hint="eastAsia" w:ascii="宋体" w:hAnsi="宋体" w:cs="宋体"/>
                <w:color w:val="auto"/>
                <w:spacing w:val="9"/>
                <w:highlight w:val="none"/>
              </w:rPr>
              <w:t>《平板电视能效限定值及能效等</w:t>
            </w:r>
            <w:r>
              <w:rPr>
                <w:rFonts w:hint="eastAsia" w:ascii="宋体" w:hAnsi="宋体" w:cs="宋体"/>
                <w:color w:val="auto"/>
                <w:highlight w:val="none"/>
              </w:rPr>
              <w:t>级》（GB</w:t>
            </w:r>
            <w:r>
              <w:rPr>
                <w:rFonts w:hint="eastAsia" w:ascii="宋体" w:hAnsi="宋体" w:cs="宋体"/>
                <w:color w:val="auto"/>
                <w:spacing w:val="1"/>
                <w:highlight w:val="none"/>
              </w:rPr>
              <w:t xml:space="preserve"> </w:t>
            </w:r>
            <w:r>
              <w:rPr>
                <w:rFonts w:hint="eastAsia" w:ascii="宋体" w:hAnsi="宋体" w:cs="宋体"/>
                <w:color w:val="auto"/>
                <w:highlight w:val="none"/>
              </w:rPr>
              <w:t>24850）</w:t>
            </w:r>
          </w:p>
        </w:tc>
      </w:tr>
      <w:tr w14:paraId="614EB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1931" w:hRule="atLeast"/>
          <w:jc w:val="center"/>
        </w:trPr>
        <w:tc>
          <w:tcPr>
            <w:tcW w:w="554" w:type="dxa"/>
            <w:vAlign w:val="center"/>
          </w:tcPr>
          <w:p w14:paraId="5EB07E5F">
            <w:pPr>
              <w:jc w:val="center"/>
              <w:rPr>
                <w:rFonts w:hint="eastAsia" w:ascii="宋体" w:hAnsi="宋体" w:cs="宋体"/>
                <w:color w:val="auto"/>
                <w:highlight w:val="none"/>
              </w:rPr>
            </w:pPr>
            <w:r>
              <w:rPr>
                <w:rFonts w:hint="eastAsia" w:ascii="宋体" w:hAnsi="宋体" w:cs="宋体"/>
                <w:color w:val="auto"/>
                <w:highlight w:val="none"/>
              </w:rPr>
              <w:t>13</w:t>
            </w:r>
          </w:p>
        </w:tc>
        <w:tc>
          <w:tcPr>
            <w:tcW w:w="1614" w:type="dxa"/>
            <w:vAlign w:val="center"/>
          </w:tcPr>
          <w:p w14:paraId="234CE98F">
            <w:pPr>
              <w:jc w:val="center"/>
              <w:rPr>
                <w:rFonts w:hint="eastAsia" w:ascii="宋体" w:hAnsi="宋体" w:cs="宋体"/>
                <w:color w:val="auto"/>
                <w:highlight w:val="none"/>
              </w:rPr>
            </w:pPr>
            <w:r>
              <w:rPr>
                <w:rFonts w:hint="eastAsia" w:ascii="宋体" w:hAnsi="宋体" w:cs="宋体"/>
                <w:color w:val="auto"/>
                <w:spacing w:val="-2"/>
                <w:highlight w:val="none"/>
              </w:rPr>
              <w:t>★A020911</w:t>
            </w:r>
            <w:r>
              <w:rPr>
                <w:rFonts w:hint="eastAsia" w:ascii="宋体" w:hAnsi="宋体" w:cs="宋体"/>
                <w:color w:val="auto"/>
                <w:spacing w:val="-29"/>
                <w:highlight w:val="none"/>
              </w:rPr>
              <w:t xml:space="preserve"> 视 </w:t>
            </w:r>
            <w:r>
              <w:rPr>
                <w:rFonts w:hint="eastAsia" w:ascii="宋体" w:hAnsi="宋体" w:cs="宋体"/>
                <w:color w:val="auto"/>
                <w:highlight w:val="none"/>
              </w:rPr>
              <w:t>频设备</w:t>
            </w:r>
          </w:p>
        </w:tc>
        <w:tc>
          <w:tcPr>
            <w:tcW w:w="1350" w:type="dxa"/>
            <w:vAlign w:val="center"/>
          </w:tcPr>
          <w:p w14:paraId="45DAC35F">
            <w:pPr>
              <w:jc w:val="center"/>
              <w:rPr>
                <w:rFonts w:hint="eastAsia" w:ascii="宋体" w:hAnsi="宋体" w:cs="宋体"/>
                <w:color w:val="auto"/>
                <w:spacing w:val="-6"/>
                <w:highlight w:val="none"/>
              </w:rPr>
            </w:pPr>
            <w:r>
              <w:rPr>
                <w:rFonts w:hint="eastAsia" w:ascii="宋体" w:hAnsi="宋体" w:cs="宋体"/>
                <w:color w:val="auto"/>
                <w:spacing w:val="-2"/>
                <w:highlight w:val="none"/>
              </w:rPr>
              <w:t>A02091107</w:t>
            </w:r>
          </w:p>
          <w:p w14:paraId="052E0953">
            <w:pPr>
              <w:jc w:val="center"/>
              <w:rPr>
                <w:rFonts w:hint="eastAsia" w:ascii="宋体" w:hAnsi="宋体" w:cs="宋体"/>
                <w:color w:val="auto"/>
                <w:highlight w:val="none"/>
              </w:rPr>
            </w:pPr>
            <w:r>
              <w:rPr>
                <w:rFonts w:hint="eastAsia" w:ascii="宋体" w:hAnsi="宋体" w:cs="宋体"/>
                <w:color w:val="auto"/>
                <w:spacing w:val="-6"/>
                <w:highlight w:val="none"/>
              </w:rPr>
              <w:t>视频监控</w:t>
            </w:r>
            <w:r>
              <w:rPr>
                <w:rFonts w:hint="eastAsia" w:ascii="宋体" w:hAnsi="宋体" w:cs="宋体"/>
                <w:color w:val="auto"/>
                <w:highlight w:val="none"/>
              </w:rPr>
              <w:t>设备</w:t>
            </w:r>
          </w:p>
        </w:tc>
        <w:tc>
          <w:tcPr>
            <w:tcW w:w="1868" w:type="dxa"/>
            <w:vAlign w:val="center"/>
          </w:tcPr>
          <w:p w14:paraId="3D6C1FA3">
            <w:pPr>
              <w:jc w:val="center"/>
              <w:rPr>
                <w:rFonts w:hint="eastAsia" w:ascii="宋体" w:hAnsi="宋体" w:cs="宋体"/>
                <w:color w:val="auto"/>
                <w:highlight w:val="none"/>
              </w:rPr>
            </w:pPr>
            <w:r>
              <w:rPr>
                <w:rFonts w:hint="eastAsia" w:ascii="宋体" w:hAnsi="宋体" w:cs="宋体"/>
                <w:color w:val="auto"/>
                <w:highlight w:val="none"/>
              </w:rPr>
              <w:t>监视器</w:t>
            </w:r>
          </w:p>
        </w:tc>
        <w:tc>
          <w:tcPr>
            <w:tcW w:w="3632" w:type="dxa"/>
            <w:vAlign w:val="center"/>
          </w:tcPr>
          <w:p w14:paraId="38C944C6">
            <w:pPr>
              <w:jc w:val="center"/>
              <w:rPr>
                <w:rFonts w:hint="eastAsia" w:ascii="宋体" w:hAnsi="宋体" w:cs="宋体"/>
                <w:color w:val="auto"/>
                <w:highlight w:val="none"/>
              </w:rPr>
            </w:pPr>
            <w:r>
              <w:rPr>
                <w:rFonts w:hint="eastAsia" w:ascii="宋体" w:hAnsi="宋体" w:cs="宋体"/>
                <w:color w:val="auto"/>
                <w:spacing w:val="9"/>
                <w:highlight w:val="none"/>
              </w:rPr>
              <w:t>以射频信号为主要信号输入的监</w:t>
            </w:r>
            <w:r>
              <w:rPr>
                <w:rFonts w:hint="eastAsia" w:ascii="宋体" w:hAnsi="宋体" w:cs="宋体"/>
                <w:color w:val="auto"/>
                <w:spacing w:val="-8"/>
                <w:highlight w:val="none"/>
              </w:rPr>
              <w:t>视器应符合《平板电视能效限定值</w:t>
            </w:r>
            <w:r>
              <w:rPr>
                <w:rFonts w:hint="eastAsia" w:ascii="宋体" w:hAnsi="宋体" w:cs="宋体"/>
                <w:color w:val="auto"/>
                <w:highlight w:val="none"/>
              </w:rPr>
              <w:t>及能效等级》（GB 24850），</w:t>
            </w:r>
            <w:r>
              <w:rPr>
                <w:rFonts w:hint="eastAsia" w:ascii="宋体" w:hAnsi="宋体" w:cs="宋体"/>
                <w:color w:val="auto"/>
                <w:spacing w:val="9"/>
                <w:highlight w:val="none"/>
              </w:rPr>
              <w:t>以数字信号为主要信号输入的监</w:t>
            </w:r>
          </w:p>
          <w:p w14:paraId="3C808CEF">
            <w:pPr>
              <w:jc w:val="center"/>
              <w:rPr>
                <w:rFonts w:hint="eastAsia" w:ascii="宋体" w:hAnsi="宋体" w:cs="宋体"/>
                <w:color w:val="auto"/>
                <w:highlight w:val="none"/>
              </w:rPr>
            </w:pPr>
            <w:r>
              <w:rPr>
                <w:rFonts w:hint="eastAsia" w:ascii="宋体" w:hAnsi="宋体" w:cs="宋体"/>
                <w:color w:val="auto"/>
                <w:spacing w:val="-8"/>
                <w:highlight w:val="none"/>
              </w:rPr>
              <w:t>视器应符合《计算机显示器能效限</w:t>
            </w:r>
            <w:r>
              <w:rPr>
                <w:rFonts w:hint="eastAsia" w:ascii="宋体" w:hAnsi="宋体" w:cs="宋体"/>
                <w:color w:val="auto"/>
                <w:highlight w:val="none"/>
              </w:rPr>
              <w:t>定值及能效等级》（GB 21520）</w:t>
            </w:r>
          </w:p>
        </w:tc>
      </w:tr>
      <w:tr w14:paraId="0530E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777" w:hRule="atLeast"/>
          <w:jc w:val="center"/>
        </w:trPr>
        <w:tc>
          <w:tcPr>
            <w:tcW w:w="554" w:type="dxa"/>
            <w:vAlign w:val="center"/>
          </w:tcPr>
          <w:p w14:paraId="2954952C">
            <w:pPr>
              <w:jc w:val="center"/>
              <w:rPr>
                <w:rFonts w:hint="eastAsia" w:ascii="宋体" w:hAnsi="宋体" w:cs="宋体"/>
                <w:color w:val="auto"/>
                <w:highlight w:val="none"/>
              </w:rPr>
            </w:pPr>
            <w:r>
              <w:rPr>
                <w:rFonts w:hint="eastAsia" w:ascii="宋体" w:hAnsi="宋体" w:cs="宋体"/>
                <w:color w:val="auto"/>
                <w:highlight w:val="none"/>
              </w:rPr>
              <w:t>14</w:t>
            </w:r>
          </w:p>
        </w:tc>
        <w:tc>
          <w:tcPr>
            <w:tcW w:w="1614" w:type="dxa"/>
            <w:vAlign w:val="center"/>
          </w:tcPr>
          <w:p w14:paraId="0E2E5515">
            <w:pPr>
              <w:jc w:val="center"/>
              <w:rPr>
                <w:rFonts w:hint="eastAsia" w:ascii="宋体" w:hAnsi="宋体" w:cs="宋体"/>
                <w:color w:val="auto"/>
                <w:highlight w:val="none"/>
              </w:rPr>
            </w:pPr>
            <w:r>
              <w:rPr>
                <w:rFonts w:hint="eastAsia" w:ascii="宋体" w:hAnsi="宋体" w:cs="宋体"/>
                <w:color w:val="auto"/>
                <w:spacing w:val="-2"/>
                <w:highlight w:val="none"/>
              </w:rPr>
              <w:t>A031210</w:t>
            </w:r>
            <w:r>
              <w:rPr>
                <w:rFonts w:hint="eastAsia" w:ascii="宋体" w:hAnsi="宋体" w:cs="宋体"/>
                <w:color w:val="auto"/>
                <w:spacing w:val="-20"/>
                <w:highlight w:val="none"/>
              </w:rPr>
              <w:t xml:space="preserve"> 饮 食 </w:t>
            </w:r>
            <w:r>
              <w:rPr>
                <w:rFonts w:hint="eastAsia" w:ascii="宋体" w:hAnsi="宋体" w:cs="宋体"/>
                <w:color w:val="auto"/>
                <w:highlight w:val="none"/>
              </w:rPr>
              <w:t>炊事机械</w:t>
            </w:r>
          </w:p>
        </w:tc>
        <w:tc>
          <w:tcPr>
            <w:tcW w:w="1350" w:type="dxa"/>
            <w:vAlign w:val="center"/>
          </w:tcPr>
          <w:p w14:paraId="40A7780E">
            <w:pPr>
              <w:jc w:val="center"/>
              <w:rPr>
                <w:rFonts w:hint="eastAsia" w:ascii="宋体" w:hAnsi="宋体" w:cs="宋体"/>
                <w:color w:val="auto"/>
                <w:highlight w:val="none"/>
              </w:rPr>
            </w:pPr>
            <w:r>
              <w:rPr>
                <w:rFonts w:hint="eastAsia" w:ascii="宋体" w:hAnsi="宋体" w:cs="宋体"/>
                <w:color w:val="auto"/>
                <w:highlight w:val="none"/>
              </w:rPr>
              <w:t>商用燃气灶具</w:t>
            </w:r>
          </w:p>
        </w:tc>
        <w:tc>
          <w:tcPr>
            <w:tcW w:w="1868" w:type="dxa"/>
            <w:vAlign w:val="center"/>
          </w:tcPr>
          <w:p w14:paraId="47A0DEDB">
            <w:pPr>
              <w:jc w:val="center"/>
              <w:rPr>
                <w:rFonts w:hint="eastAsia" w:ascii="宋体" w:hAnsi="宋体" w:cs="宋体"/>
                <w:color w:val="auto"/>
                <w:highlight w:val="none"/>
              </w:rPr>
            </w:pPr>
          </w:p>
        </w:tc>
        <w:tc>
          <w:tcPr>
            <w:tcW w:w="3632" w:type="dxa"/>
            <w:vAlign w:val="center"/>
          </w:tcPr>
          <w:p w14:paraId="24B94605">
            <w:pPr>
              <w:jc w:val="center"/>
              <w:rPr>
                <w:rFonts w:hint="eastAsia" w:ascii="宋体" w:hAnsi="宋体" w:cs="宋体"/>
                <w:color w:val="auto"/>
                <w:highlight w:val="none"/>
              </w:rPr>
            </w:pPr>
            <w:r>
              <w:rPr>
                <w:rFonts w:hint="eastAsia" w:ascii="宋体" w:hAnsi="宋体" w:cs="宋体"/>
                <w:color w:val="auto"/>
                <w:spacing w:val="9"/>
                <w:highlight w:val="none"/>
              </w:rPr>
              <w:t>《商用燃气灶具能效限定值及能</w:t>
            </w:r>
            <w:r>
              <w:rPr>
                <w:rFonts w:hint="eastAsia" w:ascii="宋体" w:hAnsi="宋体" w:cs="宋体"/>
                <w:color w:val="auto"/>
                <w:highlight w:val="none"/>
              </w:rPr>
              <w:t>效等级》（GB</w:t>
            </w:r>
            <w:r>
              <w:rPr>
                <w:rFonts w:hint="eastAsia" w:ascii="宋体" w:hAnsi="宋体" w:cs="宋体"/>
                <w:color w:val="auto"/>
                <w:spacing w:val="1"/>
                <w:highlight w:val="none"/>
              </w:rPr>
              <w:t xml:space="preserve"> </w:t>
            </w:r>
            <w:r>
              <w:rPr>
                <w:rFonts w:hint="eastAsia" w:ascii="宋体" w:hAnsi="宋体" w:cs="宋体"/>
                <w:color w:val="auto"/>
                <w:highlight w:val="none"/>
              </w:rPr>
              <w:t>30531）</w:t>
            </w:r>
          </w:p>
        </w:tc>
      </w:tr>
      <w:tr w14:paraId="7510F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875" w:hRule="atLeast"/>
          <w:jc w:val="center"/>
        </w:trPr>
        <w:tc>
          <w:tcPr>
            <w:tcW w:w="554" w:type="dxa"/>
            <w:vMerge w:val="restart"/>
            <w:vAlign w:val="center"/>
          </w:tcPr>
          <w:p w14:paraId="587A8854">
            <w:pPr>
              <w:jc w:val="center"/>
              <w:rPr>
                <w:rFonts w:hint="eastAsia" w:ascii="宋体" w:hAnsi="宋体" w:cs="宋体"/>
                <w:color w:val="auto"/>
                <w:highlight w:val="none"/>
              </w:rPr>
            </w:pPr>
            <w:r>
              <w:rPr>
                <w:rFonts w:hint="eastAsia" w:ascii="宋体" w:hAnsi="宋体" w:cs="宋体"/>
                <w:color w:val="auto"/>
                <w:highlight w:val="none"/>
              </w:rPr>
              <w:t>15</w:t>
            </w:r>
          </w:p>
        </w:tc>
        <w:tc>
          <w:tcPr>
            <w:tcW w:w="1614" w:type="dxa"/>
            <w:vMerge w:val="restart"/>
            <w:vAlign w:val="center"/>
          </w:tcPr>
          <w:p w14:paraId="6B3A4721">
            <w:pPr>
              <w:jc w:val="center"/>
              <w:rPr>
                <w:rFonts w:hint="eastAsia" w:ascii="宋体" w:hAnsi="宋体" w:cs="宋体"/>
                <w:color w:val="auto"/>
                <w:highlight w:val="none"/>
              </w:rPr>
            </w:pPr>
            <w:r>
              <w:rPr>
                <w:rFonts w:hint="eastAsia" w:ascii="宋体" w:hAnsi="宋体" w:cs="宋体"/>
                <w:color w:val="auto"/>
                <w:spacing w:val="-2"/>
                <w:highlight w:val="none"/>
              </w:rPr>
              <w:t>★A060805</w:t>
            </w:r>
            <w:r>
              <w:rPr>
                <w:rFonts w:hint="eastAsia" w:ascii="宋体" w:hAnsi="宋体" w:cs="宋体"/>
                <w:color w:val="auto"/>
                <w:spacing w:val="-29"/>
                <w:highlight w:val="none"/>
              </w:rPr>
              <w:t xml:space="preserve"> 便 </w:t>
            </w:r>
            <w:r>
              <w:rPr>
                <w:rFonts w:hint="eastAsia" w:ascii="宋体" w:hAnsi="宋体" w:cs="宋体"/>
                <w:color w:val="auto"/>
                <w:highlight w:val="none"/>
              </w:rPr>
              <w:t>器</w:t>
            </w:r>
          </w:p>
        </w:tc>
        <w:tc>
          <w:tcPr>
            <w:tcW w:w="1350" w:type="dxa"/>
            <w:vAlign w:val="center"/>
          </w:tcPr>
          <w:p w14:paraId="3EA09EB5">
            <w:pPr>
              <w:jc w:val="center"/>
              <w:rPr>
                <w:rFonts w:hint="eastAsia" w:ascii="宋体" w:hAnsi="宋体" w:cs="宋体"/>
                <w:color w:val="auto"/>
                <w:highlight w:val="none"/>
              </w:rPr>
            </w:pPr>
            <w:r>
              <w:rPr>
                <w:rFonts w:hint="eastAsia" w:ascii="宋体" w:hAnsi="宋体" w:cs="宋体"/>
                <w:color w:val="auto"/>
                <w:highlight w:val="none"/>
              </w:rPr>
              <w:t>坐便器</w:t>
            </w:r>
          </w:p>
        </w:tc>
        <w:tc>
          <w:tcPr>
            <w:tcW w:w="1868" w:type="dxa"/>
            <w:vAlign w:val="center"/>
          </w:tcPr>
          <w:p w14:paraId="3E96A51F">
            <w:pPr>
              <w:jc w:val="center"/>
              <w:rPr>
                <w:rFonts w:hint="eastAsia" w:ascii="宋体" w:hAnsi="宋体" w:cs="宋体"/>
                <w:color w:val="auto"/>
                <w:highlight w:val="none"/>
              </w:rPr>
            </w:pPr>
          </w:p>
        </w:tc>
        <w:tc>
          <w:tcPr>
            <w:tcW w:w="3632" w:type="dxa"/>
            <w:vAlign w:val="center"/>
          </w:tcPr>
          <w:p w14:paraId="724B699A">
            <w:pPr>
              <w:jc w:val="center"/>
              <w:rPr>
                <w:rFonts w:hint="eastAsia" w:ascii="宋体" w:hAnsi="宋体" w:cs="宋体"/>
                <w:color w:val="auto"/>
                <w:highlight w:val="none"/>
              </w:rPr>
            </w:pPr>
            <w:r>
              <w:rPr>
                <w:rFonts w:hint="eastAsia" w:ascii="宋体" w:hAnsi="宋体" w:cs="宋体"/>
                <w:color w:val="auto"/>
                <w:highlight w:val="none"/>
              </w:rPr>
              <w:t>《坐便器水效限定值及水效等级》（GB</w:t>
            </w:r>
            <w:r>
              <w:rPr>
                <w:rFonts w:hint="eastAsia" w:ascii="宋体" w:hAnsi="宋体" w:cs="宋体"/>
                <w:color w:val="auto"/>
                <w:spacing w:val="1"/>
                <w:highlight w:val="none"/>
              </w:rPr>
              <w:t xml:space="preserve"> </w:t>
            </w:r>
            <w:r>
              <w:rPr>
                <w:rFonts w:hint="eastAsia" w:ascii="宋体" w:hAnsi="宋体" w:cs="宋体"/>
                <w:color w:val="auto"/>
                <w:highlight w:val="none"/>
              </w:rPr>
              <w:t>25502）</w:t>
            </w:r>
          </w:p>
        </w:tc>
      </w:tr>
      <w:tr w14:paraId="1DE9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875" w:hRule="atLeast"/>
          <w:jc w:val="center"/>
        </w:trPr>
        <w:tc>
          <w:tcPr>
            <w:tcW w:w="554" w:type="dxa"/>
            <w:vMerge w:val="continue"/>
            <w:vAlign w:val="center"/>
          </w:tcPr>
          <w:p w14:paraId="7BA4DD97">
            <w:pPr>
              <w:autoSpaceDE w:val="0"/>
              <w:autoSpaceDN w:val="0"/>
              <w:jc w:val="center"/>
              <w:rPr>
                <w:rFonts w:hint="eastAsia" w:ascii="宋体" w:hAnsi="宋体" w:cs="宋体"/>
                <w:color w:val="auto"/>
                <w:highlight w:val="none"/>
              </w:rPr>
            </w:pPr>
          </w:p>
        </w:tc>
        <w:tc>
          <w:tcPr>
            <w:tcW w:w="1614" w:type="dxa"/>
            <w:vMerge w:val="continue"/>
            <w:vAlign w:val="center"/>
          </w:tcPr>
          <w:p w14:paraId="01CAA634">
            <w:pPr>
              <w:autoSpaceDE w:val="0"/>
              <w:autoSpaceDN w:val="0"/>
              <w:jc w:val="center"/>
              <w:rPr>
                <w:rFonts w:hint="eastAsia" w:ascii="宋体" w:hAnsi="宋体" w:cs="宋体"/>
                <w:color w:val="auto"/>
                <w:highlight w:val="none"/>
              </w:rPr>
            </w:pPr>
          </w:p>
        </w:tc>
        <w:tc>
          <w:tcPr>
            <w:tcW w:w="1350" w:type="dxa"/>
            <w:vAlign w:val="center"/>
          </w:tcPr>
          <w:p w14:paraId="3AEF13EB">
            <w:pPr>
              <w:jc w:val="center"/>
              <w:rPr>
                <w:rFonts w:hint="eastAsia" w:ascii="宋体" w:hAnsi="宋体" w:cs="宋体"/>
                <w:color w:val="auto"/>
                <w:highlight w:val="none"/>
              </w:rPr>
            </w:pPr>
            <w:r>
              <w:rPr>
                <w:rFonts w:hint="eastAsia" w:ascii="宋体" w:hAnsi="宋体" w:cs="宋体"/>
                <w:color w:val="auto"/>
                <w:highlight w:val="none"/>
              </w:rPr>
              <w:t>蹲便器</w:t>
            </w:r>
          </w:p>
        </w:tc>
        <w:tc>
          <w:tcPr>
            <w:tcW w:w="1868" w:type="dxa"/>
            <w:vAlign w:val="center"/>
          </w:tcPr>
          <w:p w14:paraId="165ACC00">
            <w:pPr>
              <w:jc w:val="center"/>
              <w:rPr>
                <w:rFonts w:hint="eastAsia" w:ascii="宋体" w:hAnsi="宋体" w:cs="宋体"/>
                <w:color w:val="auto"/>
                <w:highlight w:val="none"/>
              </w:rPr>
            </w:pPr>
          </w:p>
        </w:tc>
        <w:tc>
          <w:tcPr>
            <w:tcW w:w="3632" w:type="dxa"/>
            <w:vAlign w:val="center"/>
          </w:tcPr>
          <w:p w14:paraId="38D01E9F">
            <w:pPr>
              <w:jc w:val="center"/>
              <w:rPr>
                <w:rFonts w:hint="eastAsia" w:ascii="宋体" w:hAnsi="宋体" w:cs="宋体"/>
                <w:color w:val="auto"/>
                <w:highlight w:val="none"/>
              </w:rPr>
            </w:pPr>
            <w:r>
              <w:rPr>
                <w:rFonts w:hint="eastAsia" w:ascii="宋体" w:hAnsi="宋体" w:cs="宋体"/>
                <w:color w:val="auto"/>
                <w:spacing w:val="9"/>
                <w:highlight w:val="none"/>
              </w:rPr>
              <w:t>《蹲便器用水效率限定值及用水</w:t>
            </w:r>
            <w:r>
              <w:rPr>
                <w:rFonts w:hint="eastAsia" w:ascii="宋体" w:hAnsi="宋体" w:cs="宋体"/>
                <w:color w:val="auto"/>
                <w:highlight w:val="none"/>
              </w:rPr>
              <w:t>效率等级》（GB</w:t>
            </w:r>
            <w:r>
              <w:rPr>
                <w:rFonts w:hint="eastAsia" w:ascii="宋体" w:hAnsi="宋体" w:cs="宋体"/>
                <w:color w:val="auto"/>
                <w:spacing w:val="1"/>
                <w:highlight w:val="none"/>
              </w:rPr>
              <w:t xml:space="preserve"> </w:t>
            </w:r>
            <w:r>
              <w:rPr>
                <w:rFonts w:hint="eastAsia" w:ascii="宋体" w:hAnsi="宋体" w:cs="宋体"/>
                <w:color w:val="auto"/>
                <w:highlight w:val="none"/>
              </w:rPr>
              <w:t>30717）</w:t>
            </w:r>
          </w:p>
        </w:tc>
      </w:tr>
      <w:tr w14:paraId="7851B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878" w:hRule="atLeast"/>
          <w:jc w:val="center"/>
        </w:trPr>
        <w:tc>
          <w:tcPr>
            <w:tcW w:w="554" w:type="dxa"/>
            <w:vMerge w:val="continue"/>
            <w:vAlign w:val="center"/>
          </w:tcPr>
          <w:p w14:paraId="7DBFEA55">
            <w:pPr>
              <w:autoSpaceDE w:val="0"/>
              <w:autoSpaceDN w:val="0"/>
              <w:jc w:val="center"/>
              <w:rPr>
                <w:rFonts w:hint="eastAsia" w:ascii="宋体" w:hAnsi="宋体" w:cs="宋体"/>
                <w:color w:val="auto"/>
                <w:highlight w:val="none"/>
              </w:rPr>
            </w:pPr>
          </w:p>
        </w:tc>
        <w:tc>
          <w:tcPr>
            <w:tcW w:w="1614" w:type="dxa"/>
            <w:vMerge w:val="continue"/>
            <w:vAlign w:val="center"/>
          </w:tcPr>
          <w:p w14:paraId="3000D661">
            <w:pPr>
              <w:autoSpaceDE w:val="0"/>
              <w:autoSpaceDN w:val="0"/>
              <w:jc w:val="center"/>
              <w:rPr>
                <w:rFonts w:hint="eastAsia" w:ascii="宋体" w:hAnsi="宋体" w:cs="宋体"/>
                <w:color w:val="auto"/>
                <w:highlight w:val="none"/>
              </w:rPr>
            </w:pPr>
          </w:p>
        </w:tc>
        <w:tc>
          <w:tcPr>
            <w:tcW w:w="1350" w:type="dxa"/>
            <w:vAlign w:val="center"/>
          </w:tcPr>
          <w:p w14:paraId="387E08A5">
            <w:pPr>
              <w:jc w:val="center"/>
              <w:rPr>
                <w:rFonts w:hint="eastAsia" w:ascii="宋体" w:hAnsi="宋体" w:cs="宋体"/>
                <w:color w:val="auto"/>
                <w:highlight w:val="none"/>
              </w:rPr>
            </w:pPr>
            <w:r>
              <w:rPr>
                <w:rFonts w:hint="eastAsia" w:ascii="宋体" w:hAnsi="宋体" w:cs="宋体"/>
                <w:color w:val="auto"/>
                <w:highlight w:val="none"/>
              </w:rPr>
              <w:t>小便器</w:t>
            </w:r>
          </w:p>
        </w:tc>
        <w:tc>
          <w:tcPr>
            <w:tcW w:w="1868" w:type="dxa"/>
            <w:vAlign w:val="center"/>
          </w:tcPr>
          <w:p w14:paraId="19277CEA">
            <w:pPr>
              <w:jc w:val="center"/>
              <w:rPr>
                <w:rFonts w:hint="eastAsia" w:ascii="宋体" w:hAnsi="宋体" w:cs="宋体"/>
                <w:color w:val="auto"/>
                <w:highlight w:val="none"/>
              </w:rPr>
            </w:pPr>
          </w:p>
        </w:tc>
        <w:tc>
          <w:tcPr>
            <w:tcW w:w="3632" w:type="dxa"/>
            <w:vAlign w:val="center"/>
          </w:tcPr>
          <w:p w14:paraId="2E7B8D65">
            <w:pPr>
              <w:jc w:val="center"/>
              <w:rPr>
                <w:rFonts w:hint="eastAsia" w:ascii="宋体" w:hAnsi="宋体" w:cs="宋体"/>
                <w:color w:val="auto"/>
                <w:highlight w:val="none"/>
              </w:rPr>
            </w:pPr>
            <w:r>
              <w:rPr>
                <w:rFonts w:hint="eastAsia" w:ascii="宋体" w:hAnsi="宋体" w:cs="宋体"/>
                <w:color w:val="auto"/>
                <w:spacing w:val="9"/>
                <w:highlight w:val="none"/>
              </w:rPr>
              <w:t>《小便器用水效率限定值及用水</w:t>
            </w:r>
            <w:r>
              <w:rPr>
                <w:rFonts w:hint="eastAsia" w:ascii="宋体" w:hAnsi="宋体" w:cs="宋体"/>
                <w:color w:val="auto"/>
                <w:highlight w:val="none"/>
              </w:rPr>
              <w:t>效率等级》（GB</w:t>
            </w:r>
            <w:r>
              <w:rPr>
                <w:rFonts w:hint="eastAsia" w:ascii="宋体" w:hAnsi="宋体" w:cs="宋体"/>
                <w:color w:val="auto"/>
                <w:spacing w:val="1"/>
                <w:highlight w:val="none"/>
              </w:rPr>
              <w:t xml:space="preserve"> </w:t>
            </w:r>
            <w:r>
              <w:rPr>
                <w:rFonts w:hint="eastAsia" w:ascii="宋体" w:hAnsi="宋体" w:cs="宋体"/>
                <w:color w:val="auto"/>
                <w:highlight w:val="none"/>
              </w:rPr>
              <w:t>28377）</w:t>
            </w:r>
          </w:p>
        </w:tc>
      </w:tr>
      <w:tr w14:paraId="15FE8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933" w:hRule="atLeast"/>
          <w:jc w:val="center"/>
        </w:trPr>
        <w:tc>
          <w:tcPr>
            <w:tcW w:w="554" w:type="dxa"/>
            <w:vAlign w:val="center"/>
          </w:tcPr>
          <w:p w14:paraId="31F61973">
            <w:pPr>
              <w:jc w:val="center"/>
              <w:rPr>
                <w:rFonts w:hint="eastAsia" w:ascii="宋体" w:hAnsi="宋体" w:cs="宋体"/>
                <w:color w:val="auto"/>
                <w:highlight w:val="none"/>
              </w:rPr>
            </w:pPr>
            <w:r>
              <w:rPr>
                <w:rFonts w:hint="eastAsia" w:ascii="宋体" w:hAnsi="宋体" w:cs="宋体"/>
                <w:color w:val="auto"/>
                <w:highlight w:val="none"/>
              </w:rPr>
              <w:t>16</w:t>
            </w:r>
          </w:p>
        </w:tc>
        <w:tc>
          <w:tcPr>
            <w:tcW w:w="1614" w:type="dxa"/>
            <w:vAlign w:val="center"/>
          </w:tcPr>
          <w:p w14:paraId="6AAAA43A">
            <w:pPr>
              <w:jc w:val="center"/>
              <w:rPr>
                <w:rFonts w:hint="eastAsia" w:ascii="宋体" w:hAnsi="宋体" w:cs="宋体"/>
                <w:color w:val="auto"/>
                <w:highlight w:val="none"/>
              </w:rPr>
            </w:pPr>
            <w:r>
              <w:rPr>
                <w:rFonts w:hint="eastAsia" w:ascii="宋体" w:hAnsi="宋体" w:cs="宋体"/>
                <w:color w:val="auto"/>
                <w:spacing w:val="-2"/>
                <w:highlight w:val="none"/>
              </w:rPr>
              <w:t>★A060806</w:t>
            </w:r>
            <w:r>
              <w:rPr>
                <w:rFonts w:hint="eastAsia" w:ascii="宋体" w:hAnsi="宋体" w:cs="宋体"/>
                <w:color w:val="auto"/>
                <w:spacing w:val="-29"/>
                <w:highlight w:val="none"/>
              </w:rPr>
              <w:t xml:space="preserve"> 水 </w:t>
            </w:r>
            <w:r>
              <w:rPr>
                <w:rFonts w:hint="eastAsia" w:ascii="宋体" w:hAnsi="宋体" w:cs="宋体"/>
                <w:color w:val="auto"/>
                <w:highlight w:val="none"/>
              </w:rPr>
              <w:t>嘴</w:t>
            </w:r>
          </w:p>
        </w:tc>
        <w:tc>
          <w:tcPr>
            <w:tcW w:w="1350" w:type="dxa"/>
            <w:vAlign w:val="center"/>
          </w:tcPr>
          <w:p w14:paraId="654C2F38">
            <w:pPr>
              <w:jc w:val="center"/>
              <w:rPr>
                <w:rFonts w:hint="eastAsia" w:ascii="宋体" w:hAnsi="宋体" w:cs="宋体"/>
                <w:color w:val="auto"/>
                <w:highlight w:val="none"/>
              </w:rPr>
            </w:pPr>
          </w:p>
        </w:tc>
        <w:tc>
          <w:tcPr>
            <w:tcW w:w="1868" w:type="dxa"/>
            <w:vAlign w:val="center"/>
          </w:tcPr>
          <w:p w14:paraId="724A15B1">
            <w:pPr>
              <w:jc w:val="center"/>
              <w:rPr>
                <w:rFonts w:hint="eastAsia" w:ascii="宋体" w:hAnsi="宋体" w:cs="宋体"/>
                <w:color w:val="auto"/>
                <w:highlight w:val="none"/>
              </w:rPr>
            </w:pPr>
          </w:p>
        </w:tc>
        <w:tc>
          <w:tcPr>
            <w:tcW w:w="3632" w:type="dxa"/>
            <w:vAlign w:val="center"/>
          </w:tcPr>
          <w:p w14:paraId="5BE34EA8">
            <w:pPr>
              <w:jc w:val="center"/>
              <w:rPr>
                <w:rFonts w:hint="eastAsia" w:ascii="宋体" w:hAnsi="宋体" w:cs="宋体"/>
                <w:color w:val="auto"/>
                <w:highlight w:val="none"/>
              </w:rPr>
            </w:pPr>
            <w:r>
              <w:rPr>
                <w:rFonts w:hint="eastAsia" w:ascii="宋体" w:hAnsi="宋体" w:cs="宋体"/>
                <w:color w:val="auto"/>
                <w:spacing w:val="9"/>
                <w:highlight w:val="none"/>
              </w:rPr>
              <w:t>《水嘴用水效率限定值及用水效</w:t>
            </w:r>
            <w:r>
              <w:rPr>
                <w:rFonts w:hint="eastAsia" w:ascii="宋体" w:hAnsi="宋体" w:cs="宋体"/>
                <w:color w:val="auto"/>
                <w:highlight w:val="none"/>
              </w:rPr>
              <w:t>率等级》（GB</w:t>
            </w:r>
            <w:r>
              <w:rPr>
                <w:rFonts w:hint="eastAsia" w:ascii="宋体" w:hAnsi="宋体" w:cs="宋体"/>
                <w:color w:val="auto"/>
                <w:spacing w:val="1"/>
                <w:highlight w:val="none"/>
              </w:rPr>
              <w:t xml:space="preserve"> </w:t>
            </w:r>
            <w:r>
              <w:rPr>
                <w:rFonts w:hint="eastAsia" w:ascii="宋体" w:hAnsi="宋体" w:cs="宋体"/>
                <w:color w:val="auto"/>
                <w:highlight w:val="none"/>
              </w:rPr>
              <w:t>25501）</w:t>
            </w:r>
          </w:p>
        </w:tc>
      </w:tr>
      <w:tr w14:paraId="0680C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851" w:hRule="atLeast"/>
          <w:jc w:val="center"/>
        </w:trPr>
        <w:tc>
          <w:tcPr>
            <w:tcW w:w="554" w:type="dxa"/>
            <w:vAlign w:val="center"/>
          </w:tcPr>
          <w:p w14:paraId="145641B0">
            <w:pPr>
              <w:jc w:val="center"/>
              <w:rPr>
                <w:rFonts w:hint="eastAsia" w:ascii="宋体" w:hAnsi="宋体" w:cs="宋体"/>
                <w:color w:val="auto"/>
                <w:highlight w:val="none"/>
              </w:rPr>
            </w:pPr>
            <w:r>
              <w:rPr>
                <w:rFonts w:hint="eastAsia" w:ascii="宋体" w:hAnsi="宋体" w:cs="宋体"/>
                <w:color w:val="auto"/>
                <w:highlight w:val="none"/>
              </w:rPr>
              <w:t>17</w:t>
            </w:r>
          </w:p>
        </w:tc>
        <w:tc>
          <w:tcPr>
            <w:tcW w:w="1614" w:type="dxa"/>
            <w:vAlign w:val="center"/>
          </w:tcPr>
          <w:p w14:paraId="5AF5C3AF">
            <w:pPr>
              <w:jc w:val="center"/>
              <w:rPr>
                <w:rFonts w:hint="eastAsia" w:ascii="宋体" w:hAnsi="宋体" w:cs="宋体"/>
                <w:color w:val="auto"/>
                <w:spacing w:val="-20"/>
                <w:highlight w:val="none"/>
              </w:rPr>
            </w:pPr>
            <w:r>
              <w:rPr>
                <w:rFonts w:hint="eastAsia" w:ascii="宋体" w:hAnsi="宋体" w:cs="宋体"/>
                <w:color w:val="auto"/>
                <w:spacing w:val="-2"/>
                <w:highlight w:val="none"/>
              </w:rPr>
              <w:t>A060807</w:t>
            </w:r>
            <w:r>
              <w:rPr>
                <w:rFonts w:hint="eastAsia" w:ascii="宋体" w:hAnsi="宋体" w:cs="宋体"/>
                <w:color w:val="auto"/>
                <w:spacing w:val="-20"/>
                <w:highlight w:val="none"/>
              </w:rPr>
              <w:t xml:space="preserve"> 便</w:t>
            </w:r>
          </w:p>
          <w:p w14:paraId="527F207B">
            <w:pPr>
              <w:jc w:val="center"/>
              <w:rPr>
                <w:rFonts w:hint="eastAsia" w:ascii="宋体" w:hAnsi="宋体" w:cs="宋体"/>
                <w:color w:val="auto"/>
                <w:highlight w:val="none"/>
              </w:rPr>
            </w:pPr>
            <w:r>
              <w:rPr>
                <w:rFonts w:hint="eastAsia" w:ascii="宋体" w:hAnsi="宋体" w:cs="宋体"/>
                <w:color w:val="auto"/>
                <w:spacing w:val="-20"/>
                <w:highlight w:val="none"/>
              </w:rPr>
              <w:t>器</w:t>
            </w:r>
            <w:r>
              <w:rPr>
                <w:rFonts w:hint="eastAsia" w:ascii="宋体" w:hAnsi="宋体" w:cs="宋体"/>
                <w:color w:val="auto"/>
                <w:highlight w:val="none"/>
              </w:rPr>
              <w:t>冲洗阀</w:t>
            </w:r>
          </w:p>
        </w:tc>
        <w:tc>
          <w:tcPr>
            <w:tcW w:w="1350" w:type="dxa"/>
            <w:vAlign w:val="center"/>
          </w:tcPr>
          <w:p w14:paraId="2737AB8B">
            <w:pPr>
              <w:jc w:val="center"/>
              <w:rPr>
                <w:rFonts w:hint="eastAsia" w:ascii="宋体" w:hAnsi="宋体" w:cs="宋体"/>
                <w:color w:val="auto"/>
                <w:highlight w:val="none"/>
              </w:rPr>
            </w:pPr>
          </w:p>
        </w:tc>
        <w:tc>
          <w:tcPr>
            <w:tcW w:w="1868" w:type="dxa"/>
            <w:vAlign w:val="center"/>
          </w:tcPr>
          <w:p w14:paraId="078074F3">
            <w:pPr>
              <w:jc w:val="center"/>
              <w:rPr>
                <w:rFonts w:hint="eastAsia" w:ascii="宋体" w:hAnsi="宋体" w:cs="宋体"/>
                <w:color w:val="auto"/>
                <w:highlight w:val="none"/>
              </w:rPr>
            </w:pPr>
          </w:p>
        </w:tc>
        <w:tc>
          <w:tcPr>
            <w:tcW w:w="3632" w:type="dxa"/>
            <w:vAlign w:val="center"/>
          </w:tcPr>
          <w:p w14:paraId="29CA4AB4">
            <w:pPr>
              <w:jc w:val="center"/>
              <w:rPr>
                <w:rFonts w:hint="eastAsia" w:ascii="宋体" w:hAnsi="宋体" w:cs="宋体"/>
                <w:color w:val="auto"/>
                <w:highlight w:val="none"/>
              </w:rPr>
            </w:pPr>
            <w:r>
              <w:rPr>
                <w:rFonts w:hint="eastAsia" w:ascii="宋体" w:hAnsi="宋体" w:cs="宋体"/>
                <w:color w:val="auto"/>
                <w:spacing w:val="9"/>
                <w:highlight w:val="none"/>
              </w:rPr>
              <w:t>《便器冲洗阀用水效率限定值及</w:t>
            </w:r>
            <w:r>
              <w:rPr>
                <w:rFonts w:hint="eastAsia" w:ascii="宋体" w:hAnsi="宋体" w:cs="宋体"/>
                <w:color w:val="auto"/>
                <w:highlight w:val="none"/>
              </w:rPr>
              <w:t>用水效率等级》（GB 28379）</w:t>
            </w:r>
          </w:p>
        </w:tc>
      </w:tr>
      <w:tr w14:paraId="113F8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892" w:hRule="atLeast"/>
          <w:jc w:val="center"/>
        </w:trPr>
        <w:tc>
          <w:tcPr>
            <w:tcW w:w="554" w:type="dxa"/>
            <w:vAlign w:val="center"/>
          </w:tcPr>
          <w:p w14:paraId="6F16BBA6">
            <w:pPr>
              <w:jc w:val="center"/>
              <w:rPr>
                <w:rFonts w:hint="eastAsia" w:ascii="宋体" w:hAnsi="宋体" w:cs="宋体"/>
                <w:color w:val="auto"/>
                <w:highlight w:val="none"/>
              </w:rPr>
            </w:pPr>
            <w:r>
              <w:rPr>
                <w:rFonts w:hint="eastAsia" w:ascii="宋体" w:hAnsi="宋体" w:cs="宋体"/>
                <w:color w:val="auto"/>
                <w:highlight w:val="none"/>
              </w:rPr>
              <w:t>18</w:t>
            </w:r>
          </w:p>
        </w:tc>
        <w:tc>
          <w:tcPr>
            <w:tcW w:w="1614" w:type="dxa"/>
            <w:vAlign w:val="center"/>
          </w:tcPr>
          <w:p w14:paraId="21E4CEE3">
            <w:pPr>
              <w:jc w:val="center"/>
              <w:rPr>
                <w:rFonts w:hint="eastAsia" w:ascii="宋体" w:hAnsi="宋体" w:cs="宋体"/>
                <w:color w:val="auto"/>
                <w:highlight w:val="none"/>
              </w:rPr>
            </w:pPr>
            <w:r>
              <w:rPr>
                <w:rFonts w:hint="eastAsia" w:ascii="宋体" w:hAnsi="宋体" w:cs="宋体"/>
                <w:color w:val="auto"/>
                <w:highlight w:val="none"/>
              </w:rPr>
              <w:t>A060810</w:t>
            </w:r>
            <w:r>
              <w:rPr>
                <w:rFonts w:hint="eastAsia" w:ascii="宋体" w:hAnsi="宋体" w:cs="宋体"/>
                <w:color w:val="auto"/>
                <w:spacing w:val="-9"/>
                <w:highlight w:val="none"/>
              </w:rPr>
              <w:t xml:space="preserve"> 淋浴</w:t>
            </w:r>
            <w:r>
              <w:rPr>
                <w:rFonts w:hint="eastAsia" w:ascii="宋体" w:hAnsi="宋体" w:cs="宋体"/>
                <w:color w:val="auto"/>
                <w:highlight w:val="none"/>
              </w:rPr>
              <w:t>器</w:t>
            </w:r>
          </w:p>
        </w:tc>
        <w:tc>
          <w:tcPr>
            <w:tcW w:w="1350" w:type="dxa"/>
            <w:vAlign w:val="center"/>
          </w:tcPr>
          <w:p w14:paraId="05BE0232">
            <w:pPr>
              <w:jc w:val="center"/>
              <w:rPr>
                <w:rFonts w:hint="eastAsia" w:ascii="宋体" w:hAnsi="宋体" w:cs="宋体"/>
                <w:color w:val="auto"/>
                <w:highlight w:val="none"/>
              </w:rPr>
            </w:pPr>
          </w:p>
        </w:tc>
        <w:tc>
          <w:tcPr>
            <w:tcW w:w="1868" w:type="dxa"/>
            <w:vAlign w:val="center"/>
          </w:tcPr>
          <w:p w14:paraId="3D4F162C">
            <w:pPr>
              <w:jc w:val="center"/>
              <w:rPr>
                <w:rFonts w:hint="eastAsia" w:ascii="宋体" w:hAnsi="宋体" w:cs="宋体"/>
                <w:color w:val="auto"/>
                <w:highlight w:val="none"/>
              </w:rPr>
            </w:pPr>
          </w:p>
        </w:tc>
        <w:tc>
          <w:tcPr>
            <w:tcW w:w="3632" w:type="dxa"/>
            <w:vAlign w:val="center"/>
          </w:tcPr>
          <w:p w14:paraId="2A01D8AF">
            <w:pPr>
              <w:jc w:val="center"/>
              <w:rPr>
                <w:rFonts w:hint="eastAsia" w:ascii="宋体" w:hAnsi="宋体" w:cs="宋体"/>
                <w:color w:val="auto"/>
                <w:highlight w:val="none"/>
              </w:rPr>
            </w:pPr>
            <w:r>
              <w:rPr>
                <w:rFonts w:hint="eastAsia" w:ascii="宋体" w:hAnsi="宋体" w:cs="宋体"/>
                <w:color w:val="auto"/>
                <w:spacing w:val="9"/>
                <w:highlight w:val="none"/>
              </w:rPr>
              <w:t>《淋浴器用水效率限定值及用水</w:t>
            </w:r>
            <w:r>
              <w:rPr>
                <w:rFonts w:hint="eastAsia" w:ascii="宋体" w:hAnsi="宋体" w:cs="宋体"/>
                <w:color w:val="auto"/>
                <w:highlight w:val="none"/>
              </w:rPr>
              <w:t>效率等级》（GB</w:t>
            </w:r>
            <w:r>
              <w:rPr>
                <w:rFonts w:hint="eastAsia" w:ascii="宋体" w:hAnsi="宋体" w:cs="宋体"/>
                <w:color w:val="auto"/>
                <w:spacing w:val="1"/>
                <w:highlight w:val="none"/>
              </w:rPr>
              <w:t xml:space="preserve"> </w:t>
            </w:r>
            <w:r>
              <w:rPr>
                <w:rFonts w:hint="eastAsia" w:ascii="宋体" w:hAnsi="宋体" w:cs="宋体"/>
                <w:color w:val="auto"/>
                <w:highlight w:val="none"/>
              </w:rPr>
              <w:t>28378）</w:t>
            </w:r>
          </w:p>
        </w:tc>
      </w:tr>
      <w:bookmarkEnd w:id="43"/>
    </w:tbl>
    <w:p w14:paraId="2F66E7FF">
      <w:pPr>
        <w:widowControl/>
        <w:spacing w:line="360" w:lineRule="auto"/>
        <w:rPr>
          <w:rFonts w:hint="eastAsia" w:ascii="宋体" w:hAnsi="宋体" w:cs="宋体"/>
          <w:color w:val="auto"/>
          <w:highlight w:val="none"/>
        </w:rPr>
      </w:pPr>
      <w:r>
        <w:rPr>
          <w:rFonts w:hint="eastAsia" w:ascii="宋体" w:hAnsi="宋体" w:cs="宋体"/>
          <w:color w:val="auto"/>
          <w:highlight w:val="none"/>
        </w:rPr>
        <w:t>注：1.节能产品认证应依据相关国家标准的最新版本，依据国家标准中二级能效（水效）指标。</w:t>
      </w:r>
    </w:p>
    <w:p w14:paraId="0EB68359">
      <w:pPr>
        <w:ind w:firstLine="420" w:firstLineChars="200"/>
        <w:rPr>
          <w:rFonts w:hint="eastAsia" w:ascii="宋体" w:hAnsi="宋体" w:cs="宋体"/>
          <w:color w:val="auto"/>
          <w:highlight w:val="none"/>
        </w:rPr>
      </w:pPr>
      <w:r>
        <w:rPr>
          <w:rFonts w:hint="eastAsia" w:ascii="宋体" w:hAnsi="宋体" w:cs="宋体"/>
          <w:color w:val="auto"/>
          <w:highlight w:val="none"/>
        </w:rPr>
        <w:t>2.以“★”标注的为政府强制采购产品。</w:t>
      </w:r>
    </w:p>
    <w:p w14:paraId="1449442A">
      <w:pPr>
        <w:rPr>
          <w:rFonts w:hint="eastAsia" w:ascii="宋体" w:hAnsi="宋体" w:cs="宋体"/>
          <w:color w:val="auto"/>
          <w:highlight w:val="none"/>
        </w:rPr>
      </w:pPr>
    </w:p>
    <w:p w14:paraId="698B7D60">
      <w:pPr>
        <w:rPr>
          <w:rFonts w:hint="eastAsia" w:ascii="宋体" w:hAnsi="宋体" w:cs="宋体"/>
          <w:color w:val="auto"/>
          <w:highlight w:val="none"/>
        </w:rPr>
      </w:pPr>
    </w:p>
    <w:p w14:paraId="0CD1348F">
      <w:pPr>
        <w:rPr>
          <w:rFonts w:hint="eastAsia" w:ascii="宋体" w:hAnsi="宋体" w:cs="宋体"/>
          <w:color w:val="auto"/>
          <w:highlight w:val="none"/>
        </w:rPr>
      </w:pPr>
    </w:p>
    <w:p w14:paraId="4AED7C65">
      <w:pPr>
        <w:widowControl/>
        <w:jc w:val="left"/>
        <w:rPr>
          <w:rFonts w:hint="eastAsia" w:ascii="宋体" w:hAnsi="宋体" w:cs="宋体"/>
          <w:b/>
          <w:bCs/>
          <w:color w:val="auto"/>
          <w:kern w:val="0"/>
          <w:sz w:val="32"/>
          <w:szCs w:val="32"/>
          <w:highlight w:val="none"/>
        </w:rPr>
      </w:pPr>
    </w:p>
    <w:p w14:paraId="0AAFF76F">
      <w:pPr>
        <w:jc w:val="left"/>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附件2：</w:t>
      </w:r>
    </w:p>
    <w:p w14:paraId="29697F4D">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中小微企业划型标准</w:t>
      </w:r>
    </w:p>
    <w:tbl>
      <w:tblPr>
        <w:tblStyle w:val="62"/>
        <w:tblW w:w="9107" w:type="dxa"/>
        <w:tblInd w:w="-210" w:type="dxa"/>
        <w:tblLayout w:type="fixed"/>
        <w:tblCellMar>
          <w:top w:w="0" w:type="dxa"/>
          <w:left w:w="108" w:type="dxa"/>
          <w:bottom w:w="0" w:type="dxa"/>
          <w:right w:w="108" w:type="dxa"/>
        </w:tblCellMar>
      </w:tblPr>
      <w:tblGrid>
        <w:gridCol w:w="2161"/>
        <w:gridCol w:w="1418"/>
        <w:gridCol w:w="1275"/>
        <w:gridCol w:w="1701"/>
        <w:gridCol w:w="1560"/>
        <w:gridCol w:w="992"/>
      </w:tblGrid>
      <w:tr w14:paraId="7BFF82DF">
        <w:tblPrEx>
          <w:tblCellMar>
            <w:top w:w="0" w:type="dxa"/>
            <w:left w:w="108" w:type="dxa"/>
            <w:bottom w:w="0" w:type="dxa"/>
            <w:right w:w="108" w:type="dxa"/>
          </w:tblCellMar>
        </w:tblPrEx>
        <w:trPr>
          <w:trHeight w:val="285" w:hRule="atLeast"/>
        </w:trPr>
        <w:tc>
          <w:tcPr>
            <w:tcW w:w="2161" w:type="dxa"/>
            <w:tcBorders>
              <w:top w:val="single" w:color="auto" w:sz="4" w:space="0"/>
              <w:left w:val="single" w:color="auto" w:sz="4" w:space="0"/>
              <w:bottom w:val="single" w:color="auto" w:sz="4" w:space="0"/>
              <w:right w:val="single" w:color="auto" w:sz="4" w:space="0"/>
            </w:tcBorders>
            <w:vAlign w:val="center"/>
          </w:tcPr>
          <w:p w14:paraId="7EFDEDE3">
            <w:pPr>
              <w:widowControl/>
              <w:spacing w:line="336"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418" w:type="dxa"/>
            <w:tcBorders>
              <w:top w:val="single" w:color="auto" w:sz="4" w:space="0"/>
              <w:left w:val="nil"/>
              <w:bottom w:val="single" w:color="auto" w:sz="4" w:space="0"/>
              <w:right w:val="single" w:color="auto" w:sz="4" w:space="0"/>
            </w:tcBorders>
            <w:vAlign w:val="center"/>
          </w:tcPr>
          <w:p w14:paraId="6FC3871B">
            <w:pPr>
              <w:widowControl/>
              <w:spacing w:line="336"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275" w:type="dxa"/>
            <w:tcBorders>
              <w:top w:val="single" w:color="auto" w:sz="4" w:space="0"/>
              <w:left w:val="nil"/>
              <w:bottom w:val="single" w:color="auto" w:sz="4" w:space="0"/>
              <w:right w:val="single" w:color="auto" w:sz="4" w:space="0"/>
            </w:tcBorders>
            <w:vAlign w:val="center"/>
          </w:tcPr>
          <w:p w14:paraId="0293792F">
            <w:pPr>
              <w:widowControl/>
              <w:spacing w:line="336"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01" w:type="dxa"/>
            <w:tcBorders>
              <w:top w:val="single" w:color="auto" w:sz="4" w:space="0"/>
              <w:left w:val="nil"/>
              <w:bottom w:val="single" w:color="auto" w:sz="4" w:space="0"/>
              <w:right w:val="single" w:color="auto" w:sz="4" w:space="0"/>
            </w:tcBorders>
            <w:vAlign w:val="center"/>
          </w:tcPr>
          <w:p w14:paraId="4F65B7E5">
            <w:pPr>
              <w:widowControl/>
              <w:spacing w:line="336"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60" w:type="dxa"/>
            <w:tcBorders>
              <w:top w:val="single" w:color="auto" w:sz="4" w:space="0"/>
              <w:left w:val="nil"/>
              <w:bottom w:val="single" w:color="auto" w:sz="4" w:space="0"/>
              <w:right w:val="single" w:color="auto" w:sz="4" w:space="0"/>
            </w:tcBorders>
            <w:vAlign w:val="center"/>
          </w:tcPr>
          <w:p w14:paraId="157974E0">
            <w:pPr>
              <w:widowControl/>
              <w:spacing w:line="336"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92" w:type="dxa"/>
            <w:tcBorders>
              <w:top w:val="single" w:color="auto" w:sz="4" w:space="0"/>
              <w:left w:val="nil"/>
              <w:bottom w:val="single" w:color="auto" w:sz="4" w:space="0"/>
              <w:right w:val="single" w:color="auto" w:sz="4" w:space="0"/>
            </w:tcBorders>
            <w:vAlign w:val="center"/>
          </w:tcPr>
          <w:p w14:paraId="6437AA88">
            <w:pPr>
              <w:widowControl/>
              <w:spacing w:line="336" w:lineRule="auto"/>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48014E7F">
        <w:tblPrEx>
          <w:tblCellMar>
            <w:top w:w="0" w:type="dxa"/>
            <w:left w:w="108" w:type="dxa"/>
            <w:bottom w:w="0" w:type="dxa"/>
            <w:right w:w="108" w:type="dxa"/>
          </w:tblCellMar>
        </w:tblPrEx>
        <w:trPr>
          <w:trHeight w:val="225" w:hRule="atLeast"/>
        </w:trPr>
        <w:tc>
          <w:tcPr>
            <w:tcW w:w="2161" w:type="dxa"/>
            <w:tcBorders>
              <w:top w:val="nil"/>
              <w:left w:val="single" w:color="auto" w:sz="4" w:space="0"/>
              <w:bottom w:val="single" w:color="auto" w:sz="4" w:space="0"/>
              <w:right w:val="single" w:color="auto" w:sz="4" w:space="0"/>
            </w:tcBorders>
            <w:vAlign w:val="center"/>
          </w:tcPr>
          <w:p w14:paraId="1169DB07">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418" w:type="dxa"/>
            <w:tcBorders>
              <w:top w:val="nil"/>
              <w:left w:val="nil"/>
              <w:bottom w:val="single" w:color="auto" w:sz="4" w:space="0"/>
              <w:right w:val="single" w:color="auto" w:sz="4" w:space="0"/>
            </w:tcBorders>
            <w:vAlign w:val="center"/>
          </w:tcPr>
          <w:p w14:paraId="643E2DC0">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322DA0AE">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13DF13CD">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60" w:type="dxa"/>
            <w:tcBorders>
              <w:top w:val="nil"/>
              <w:left w:val="nil"/>
              <w:bottom w:val="single" w:color="auto" w:sz="4" w:space="0"/>
              <w:right w:val="single" w:color="auto" w:sz="4" w:space="0"/>
            </w:tcBorders>
            <w:vAlign w:val="center"/>
          </w:tcPr>
          <w:p w14:paraId="1F0D397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tcBorders>
              <w:top w:val="nil"/>
              <w:left w:val="nil"/>
              <w:bottom w:val="single" w:color="auto" w:sz="4" w:space="0"/>
              <w:right w:val="single" w:color="auto" w:sz="4" w:space="0"/>
            </w:tcBorders>
            <w:vAlign w:val="center"/>
          </w:tcPr>
          <w:p w14:paraId="7CBEB418">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042830B">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2AD174C0">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418" w:type="dxa"/>
            <w:tcBorders>
              <w:top w:val="nil"/>
              <w:left w:val="nil"/>
              <w:bottom w:val="single" w:color="auto" w:sz="4" w:space="0"/>
              <w:right w:val="single" w:color="auto" w:sz="4" w:space="0"/>
            </w:tcBorders>
            <w:vAlign w:val="center"/>
          </w:tcPr>
          <w:p w14:paraId="54BF3BCC">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6375B459">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71F3333E">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0" w:type="dxa"/>
            <w:tcBorders>
              <w:top w:val="nil"/>
              <w:left w:val="nil"/>
              <w:bottom w:val="single" w:color="auto" w:sz="4" w:space="0"/>
              <w:right w:val="single" w:color="auto" w:sz="4" w:space="0"/>
            </w:tcBorders>
            <w:vAlign w:val="center"/>
          </w:tcPr>
          <w:p w14:paraId="2545983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tcBorders>
              <w:top w:val="nil"/>
              <w:left w:val="nil"/>
              <w:bottom w:val="single" w:color="auto" w:sz="4" w:space="0"/>
              <w:right w:val="single" w:color="auto" w:sz="4" w:space="0"/>
            </w:tcBorders>
            <w:vAlign w:val="center"/>
          </w:tcPr>
          <w:p w14:paraId="0814D02F">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5BD445E">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6717BBC9">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00DF4A64">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24A37493">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0CBC278B">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60" w:type="dxa"/>
            <w:tcBorders>
              <w:top w:val="nil"/>
              <w:left w:val="nil"/>
              <w:bottom w:val="single" w:color="auto" w:sz="4" w:space="0"/>
              <w:right w:val="single" w:color="auto" w:sz="4" w:space="0"/>
            </w:tcBorders>
            <w:vAlign w:val="center"/>
          </w:tcPr>
          <w:p w14:paraId="0476B098">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tcBorders>
              <w:top w:val="nil"/>
              <w:left w:val="nil"/>
              <w:bottom w:val="single" w:color="auto" w:sz="4" w:space="0"/>
              <w:right w:val="single" w:color="auto" w:sz="4" w:space="0"/>
            </w:tcBorders>
            <w:vAlign w:val="center"/>
          </w:tcPr>
          <w:p w14:paraId="331991D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748B7C2">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6DC71F2C">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418" w:type="dxa"/>
            <w:tcBorders>
              <w:top w:val="nil"/>
              <w:left w:val="nil"/>
              <w:bottom w:val="single" w:color="auto" w:sz="4" w:space="0"/>
              <w:right w:val="single" w:color="auto" w:sz="4" w:space="0"/>
            </w:tcBorders>
            <w:vAlign w:val="center"/>
          </w:tcPr>
          <w:p w14:paraId="28872B1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2EED73DD">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28F182D9">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60" w:type="dxa"/>
            <w:tcBorders>
              <w:top w:val="nil"/>
              <w:left w:val="nil"/>
              <w:bottom w:val="single" w:color="auto" w:sz="4" w:space="0"/>
              <w:right w:val="single" w:color="auto" w:sz="4" w:space="0"/>
            </w:tcBorders>
            <w:vAlign w:val="center"/>
          </w:tcPr>
          <w:p w14:paraId="49F4FBF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tcBorders>
              <w:top w:val="nil"/>
              <w:left w:val="nil"/>
              <w:bottom w:val="single" w:color="auto" w:sz="4" w:space="0"/>
              <w:right w:val="single" w:color="auto" w:sz="4" w:space="0"/>
            </w:tcBorders>
            <w:vAlign w:val="center"/>
          </w:tcPr>
          <w:p w14:paraId="1730251F">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D998EB0">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36EBFE36">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161E0F30">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75" w:type="dxa"/>
            <w:tcBorders>
              <w:top w:val="nil"/>
              <w:left w:val="nil"/>
              <w:bottom w:val="single" w:color="auto" w:sz="4" w:space="0"/>
              <w:right w:val="single" w:color="auto" w:sz="4" w:space="0"/>
            </w:tcBorders>
            <w:vAlign w:val="center"/>
          </w:tcPr>
          <w:p w14:paraId="43F2BFEB">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7E40E37A">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60" w:type="dxa"/>
            <w:tcBorders>
              <w:top w:val="nil"/>
              <w:left w:val="nil"/>
              <w:bottom w:val="single" w:color="auto" w:sz="4" w:space="0"/>
              <w:right w:val="single" w:color="auto" w:sz="4" w:space="0"/>
            </w:tcBorders>
            <w:vAlign w:val="center"/>
          </w:tcPr>
          <w:p w14:paraId="4C72795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tcBorders>
              <w:top w:val="nil"/>
              <w:left w:val="nil"/>
              <w:bottom w:val="single" w:color="auto" w:sz="4" w:space="0"/>
              <w:right w:val="single" w:color="auto" w:sz="4" w:space="0"/>
            </w:tcBorders>
            <w:vAlign w:val="center"/>
          </w:tcPr>
          <w:p w14:paraId="23508F8A">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34F2463">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6EDA0F55">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418" w:type="dxa"/>
            <w:tcBorders>
              <w:top w:val="nil"/>
              <w:left w:val="nil"/>
              <w:bottom w:val="single" w:color="auto" w:sz="4" w:space="0"/>
              <w:right w:val="single" w:color="auto" w:sz="4" w:space="0"/>
            </w:tcBorders>
            <w:vAlign w:val="center"/>
          </w:tcPr>
          <w:p w14:paraId="20E7D0BC">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36296DF0">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1FF6C716">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60" w:type="dxa"/>
            <w:tcBorders>
              <w:top w:val="nil"/>
              <w:left w:val="nil"/>
              <w:bottom w:val="single" w:color="auto" w:sz="4" w:space="0"/>
              <w:right w:val="single" w:color="auto" w:sz="4" w:space="0"/>
            </w:tcBorders>
            <w:vAlign w:val="center"/>
          </w:tcPr>
          <w:p w14:paraId="0A4CE8BB">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tcBorders>
              <w:top w:val="nil"/>
              <w:left w:val="nil"/>
              <w:bottom w:val="single" w:color="auto" w:sz="4" w:space="0"/>
              <w:right w:val="single" w:color="auto" w:sz="4" w:space="0"/>
            </w:tcBorders>
            <w:vAlign w:val="center"/>
          </w:tcPr>
          <w:p w14:paraId="5E1ECBB9">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BDF9353">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3C64B92B">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1FC07998">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30A3F95B">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7ACDFE1C">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60" w:type="dxa"/>
            <w:tcBorders>
              <w:top w:val="nil"/>
              <w:left w:val="nil"/>
              <w:bottom w:val="single" w:color="auto" w:sz="4" w:space="0"/>
              <w:right w:val="single" w:color="auto" w:sz="4" w:space="0"/>
            </w:tcBorders>
            <w:vAlign w:val="center"/>
          </w:tcPr>
          <w:p w14:paraId="39051DB3">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tcBorders>
              <w:top w:val="nil"/>
              <w:left w:val="nil"/>
              <w:bottom w:val="single" w:color="auto" w:sz="4" w:space="0"/>
              <w:right w:val="single" w:color="auto" w:sz="4" w:space="0"/>
            </w:tcBorders>
            <w:vAlign w:val="center"/>
          </w:tcPr>
          <w:p w14:paraId="60D3E988">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5753487">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33D87FC4">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418" w:type="dxa"/>
            <w:tcBorders>
              <w:top w:val="nil"/>
              <w:left w:val="nil"/>
              <w:bottom w:val="single" w:color="auto" w:sz="4" w:space="0"/>
              <w:right w:val="single" w:color="auto" w:sz="4" w:space="0"/>
            </w:tcBorders>
            <w:vAlign w:val="center"/>
          </w:tcPr>
          <w:p w14:paraId="1A451ED6">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19E90F90">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60D13A1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60" w:type="dxa"/>
            <w:tcBorders>
              <w:top w:val="nil"/>
              <w:left w:val="nil"/>
              <w:bottom w:val="single" w:color="auto" w:sz="4" w:space="0"/>
              <w:right w:val="single" w:color="auto" w:sz="4" w:space="0"/>
            </w:tcBorders>
            <w:vAlign w:val="center"/>
          </w:tcPr>
          <w:p w14:paraId="5218431F">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92" w:type="dxa"/>
            <w:tcBorders>
              <w:top w:val="nil"/>
              <w:left w:val="nil"/>
              <w:bottom w:val="single" w:color="auto" w:sz="4" w:space="0"/>
              <w:right w:val="single" w:color="auto" w:sz="4" w:space="0"/>
            </w:tcBorders>
            <w:vAlign w:val="center"/>
          </w:tcPr>
          <w:p w14:paraId="4C6A4F4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2C83C7E">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1E052FDD">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65B37AE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5273761C">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1D0E49A2">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60" w:type="dxa"/>
            <w:tcBorders>
              <w:top w:val="nil"/>
              <w:left w:val="nil"/>
              <w:bottom w:val="single" w:color="auto" w:sz="4" w:space="0"/>
              <w:right w:val="single" w:color="auto" w:sz="4" w:space="0"/>
            </w:tcBorders>
            <w:vAlign w:val="center"/>
          </w:tcPr>
          <w:p w14:paraId="45EC3764">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tcBorders>
              <w:top w:val="nil"/>
              <w:left w:val="nil"/>
              <w:bottom w:val="single" w:color="auto" w:sz="4" w:space="0"/>
              <w:right w:val="single" w:color="auto" w:sz="4" w:space="0"/>
            </w:tcBorders>
            <w:vAlign w:val="center"/>
          </w:tcPr>
          <w:p w14:paraId="0870FF39">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EF7132">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3C3E8CFC">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418" w:type="dxa"/>
            <w:tcBorders>
              <w:top w:val="nil"/>
              <w:left w:val="nil"/>
              <w:bottom w:val="single" w:color="auto" w:sz="4" w:space="0"/>
              <w:right w:val="single" w:color="auto" w:sz="4" w:space="0"/>
            </w:tcBorders>
            <w:vAlign w:val="center"/>
          </w:tcPr>
          <w:p w14:paraId="11E1015A">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714068E6">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062E9CC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0" w:type="dxa"/>
            <w:tcBorders>
              <w:top w:val="nil"/>
              <w:left w:val="nil"/>
              <w:bottom w:val="single" w:color="auto" w:sz="4" w:space="0"/>
              <w:right w:val="single" w:color="auto" w:sz="4" w:space="0"/>
            </w:tcBorders>
            <w:vAlign w:val="center"/>
          </w:tcPr>
          <w:p w14:paraId="3DDEADF4">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tcBorders>
              <w:top w:val="nil"/>
              <w:left w:val="nil"/>
              <w:bottom w:val="single" w:color="auto" w:sz="4" w:space="0"/>
              <w:right w:val="single" w:color="auto" w:sz="4" w:space="0"/>
            </w:tcBorders>
            <w:vAlign w:val="center"/>
          </w:tcPr>
          <w:p w14:paraId="15E136DE">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2129FC2">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29CFD7C7">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36538F6B">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440099C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62087B4C">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60" w:type="dxa"/>
            <w:tcBorders>
              <w:top w:val="nil"/>
              <w:left w:val="nil"/>
              <w:bottom w:val="single" w:color="auto" w:sz="4" w:space="0"/>
              <w:right w:val="single" w:color="auto" w:sz="4" w:space="0"/>
            </w:tcBorders>
            <w:vAlign w:val="center"/>
          </w:tcPr>
          <w:p w14:paraId="7F71DD04">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tcBorders>
              <w:top w:val="nil"/>
              <w:left w:val="nil"/>
              <w:bottom w:val="single" w:color="auto" w:sz="4" w:space="0"/>
              <w:right w:val="single" w:color="auto" w:sz="4" w:space="0"/>
            </w:tcBorders>
            <w:vAlign w:val="center"/>
          </w:tcPr>
          <w:p w14:paraId="240E64BD">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F27DBF0">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79E7FFCC">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418" w:type="dxa"/>
            <w:tcBorders>
              <w:top w:val="nil"/>
              <w:left w:val="nil"/>
              <w:bottom w:val="single" w:color="auto" w:sz="4" w:space="0"/>
              <w:right w:val="single" w:color="auto" w:sz="4" w:space="0"/>
            </w:tcBorders>
            <w:vAlign w:val="center"/>
          </w:tcPr>
          <w:p w14:paraId="150A0A84">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289EE033">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541BB4D0">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60" w:type="dxa"/>
            <w:tcBorders>
              <w:top w:val="nil"/>
              <w:left w:val="nil"/>
              <w:bottom w:val="single" w:color="auto" w:sz="4" w:space="0"/>
              <w:right w:val="single" w:color="auto" w:sz="4" w:space="0"/>
            </w:tcBorders>
            <w:vAlign w:val="center"/>
          </w:tcPr>
          <w:p w14:paraId="1E9E478D">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tcBorders>
              <w:top w:val="nil"/>
              <w:left w:val="nil"/>
              <w:bottom w:val="single" w:color="auto" w:sz="4" w:space="0"/>
              <w:right w:val="single" w:color="auto" w:sz="4" w:space="0"/>
            </w:tcBorders>
            <w:vAlign w:val="center"/>
          </w:tcPr>
          <w:p w14:paraId="197EECB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783605F">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1D6ED430">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6A941486">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5562BC59">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0C88E31E">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60" w:type="dxa"/>
            <w:tcBorders>
              <w:top w:val="nil"/>
              <w:left w:val="nil"/>
              <w:bottom w:val="single" w:color="auto" w:sz="4" w:space="0"/>
              <w:right w:val="single" w:color="auto" w:sz="4" w:space="0"/>
            </w:tcBorders>
            <w:vAlign w:val="center"/>
          </w:tcPr>
          <w:p w14:paraId="79A35C88">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tcBorders>
              <w:top w:val="nil"/>
              <w:left w:val="nil"/>
              <w:bottom w:val="single" w:color="auto" w:sz="4" w:space="0"/>
              <w:right w:val="single" w:color="auto" w:sz="4" w:space="0"/>
            </w:tcBorders>
            <w:vAlign w:val="center"/>
          </w:tcPr>
          <w:p w14:paraId="095F5D0F">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6AD970F">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639AC28A">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418" w:type="dxa"/>
            <w:tcBorders>
              <w:top w:val="nil"/>
              <w:left w:val="nil"/>
              <w:bottom w:val="single" w:color="auto" w:sz="4" w:space="0"/>
              <w:right w:val="single" w:color="auto" w:sz="4" w:space="0"/>
            </w:tcBorders>
            <w:vAlign w:val="center"/>
          </w:tcPr>
          <w:p w14:paraId="3F035E3B">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4F730CC4">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0DA154C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0" w:type="dxa"/>
            <w:tcBorders>
              <w:top w:val="nil"/>
              <w:left w:val="nil"/>
              <w:bottom w:val="single" w:color="auto" w:sz="4" w:space="0"/>
              <w:right w:val="single" w:color="auto" w:sz="4" w:space="0"/>
            </w:tcBorders>
            <w:vAlign w:val="center"/>
          </w:tcPr>
          <w:p w14:paraId="77D2464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tcBorders>
              <w:top w:val="nil"/>
              <w:left w:val="nil"/>
              <w:bottom w:val="single" w:color="auto" w:sz="4" w:space="0"/>
              <w:right w:val="single" w:color="auto" w:sz="4" w:space="0"/>
            </w:tcBorders>
            <w:vAlign w:val="center"/>
          </w:tcPr>
          <w:p w14:paraId="3AEBF7A6">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8139169">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7B116ECF">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5F37A7F0">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10294B1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7D6BA76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60" w:type="dxa"/>
            <w:tcBorders>
              <w:top w:val="nil"/>
              <w:left w:val="nil"/>
              <w:bottom w:val="single" w:color="auto" w:sz="4" w:space="0"/>
              <w:right w:val="single" w:color="auto" w:sz="4" w:space="0"/>
            </w:tcBorders>
            <w:vAlign w:val="center"/>
          </w:tcPr>
          <w:p w14:paraId="712955C8">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tcBorders>
              <w:top w:val="nil"/>
              <w:left w:val="nil"/>
              <w:bottom w:val="single" w:color="auto" w:sz="4" w:space="0"/>
              <w:right w:val="single" w:color="auto" w:sz="4" w:space="0"/>
            </w:tcBorders>
            <w:vAlign w:val="center"/>
          </w:tcPr>
          <w:p w14:paraId="49B173D4">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8D52BA1">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620F2516">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418" w:type="dxa"/>
            <w:tcBorders>
              <w:top w:val="nil"/>
              <w:left w:val="nil"/>
              <w:bottom w:val="single" w:color="auto" w:sz="4" w:space="0"/>
              <w:right w:val="single" w:color="auto" w:sz="4" w:space="0"/>
            </w:tcBorders>
            <w:vAlign w:val="center"/>
          </w:tcPr>
          <w:p w14:paraId="28E34CDD">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09D44C03">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1994D569">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0" w:type="dxa"/>
            <w:tcBorders>
              <w:top w:val="nil"/>
              <w:left w:val="nil"/>
              <w:bottom w:val="single" w:color="auto" w:sz="4" w:space="0"/>
              <w:right w:val="single" w:color="auto" w:sz="4" w:space="0"/>
            </w:tcBorders>
            <w:vAlign w:val="center"/>
          </w:tcPr>
          <w:p w14:paraId="29011F5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tcBorders>
              <w:top w:val="nil"/>
              <w:left w:val="nil"/>
              <w:bottom w:val="single" w:color="auto" w:sz="4" w:space="0"/>
              <w:right w:val="single" w:color="auto" w:sz="4" w:space="0"/>
            </w:tcBorders>
            <w:vAlign w:val="center"/>
          </w:tcPr>
          <w:p w14:paraId="2DEE88C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CCFDFF6">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4A3091BD">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45A7314B">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692783AA">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11D4FB79">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60" w:type="dxa"/>
            <w:tcBorders>
              <w:top w:val="nil"/>
              <w:left w:val="nil"/>
              <w:bottom w:val="single" w:color="auto" w:sz="4" w:space="0"/>
              <w:right w:val="single" w:color="auto" w:sz="4" w:space="0"/>
            </w:tcBorders>
            <w:vAlign w:val="center"/>
          </w:tcPr>
          <w:p w14:paraId="3A5DFA0D">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tcBorders>
              <w:top w:val="nil"/>
              <w:left w:val="nil"/>
              <w:bottom w:val="single" w:color="auto" w:sz="4" w:space="0"/>
              <w:right w:val="single" w:color="auto" w:sz="4" w:space="0"/>
            </w:tcBorders>
            <w:vAlign w:val="center"/>
          </w:tcPr>
          <w:p w14:paraId="21D52A2B">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74C1CA9">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60464435">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418" w:type="dxa"/>
            <w:tcBorders>
              <w:top w:val="nil"/>
              <w:left w:val="nil"/>
              <w:bottom w:val="single" w:color="auto" w:sz="4" w:space="0"/>
              <w:right w:val="single" w:color="auto" w:sz="4" w:space="0"/>
            </w:tcBorders>
            <w:vAlign w:val="center"/>
          </w:tcPr>
          <w:p w14:paraId="0DE00FEB">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7AFBF06A">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3BE5EAF4">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0" w:type="dxa"/>
            <w:tcBorders>
              <w:top w:val="nil"/>
              <w:left w:val="nil"/>
              <w:bottom w:val="single" w:color="auto" w:sz="4" w:space="0"/>
              <w:right w:val="single" w:color="auto" w:sz="4" w:space="0"/>
            </w:tcBorders>
            <w:vAlign w:val="center"/>
          </w:tcPr>
          <w:p w14:paraId="65EFA19B">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tcBorders>
              <w:top w:val="nil"/>
              <w:left w:val="nil"/>
              <w:bottom w:val="single" w:color="auto" w:sz="4" w:space="0"/>
              <w:right w:val="single" w:color="auto" w:sz="4" w:space="0"/>
            </w:tcBorders>
            <w:vAlign w:val="center"/>
          </w:tcPr>
          <w:p w14:paraId="21806485">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C9D93C">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5356A0FF">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22DC7C9D">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3CA7204F">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1B578EF2">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60" w:type="dxa"/>
            <w:tcBorders>
              <w:top w:val="nil"/>
              <w:left w:val="nil"/>
              <w:bottom w:val="single" w:color="auto" w:sz="4" w:space="0"/>
              <w:right w:val="single" w:color="auto" w:sz="4" w:space="0"/>
            </w:tcBorders>
            <w:vAlign w:val="center"/>
          </w:tcPr>
          <w:p w14:paraId="01C2FA94">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tcBorders>
              <w:top w:val="nil"/>
              <w:left w:val="nil"/>
              <w:bottom w:val="single" w:color="auto" w:sz="4" w:space="0"/>
              <w:right w:val="single" w:color="auto" w:sz="4" w:space="0"/>
            </w:tcBorders>
            <w:vAlign w:val="center"/>
          </w:tcPr>
          <w:p w14:paraId="42C96B68">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3DF9CE1">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11C79D8F">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418" w:type="dxa"/>
            <w:tcBorders>
              <w:top w:val="nil"/>
              <w:left w:val="nil"/>
              <w:bottom w:val="single" w:color="auto" w:sz="4" w:space="0"/>
              <w:right w:val="single" w:color="auto" w:sz="4" w:space="0"/>
            </w:tcBorders>
            <w:vAlign w:val="center"/>
          </w:tcPr>
          <w:p w14:paraId="33B9D6B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41BD110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77FC4E1E">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60" w:type="dxa"/>
            <w:tcBorders>
              <w:top w:val="nil"/>
              <w:left w:val="nil"/>
              <w:bottom w:val="single" w:color="auto" w:sz="4" w:space="0"/>
              <w:right w:val="single" w:color="auto" w:sz="4" w:space="0"/>
            </w:tcBorders>
            <w:vAlign w:val="center"/>
          </w:tcPr>
          <w:p w14:paraId="692D6C33">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tcBorders>
              <w:top w:val="nil"/>
              <w:left w:val="nil"/>
              <w:bottom w:val="single" w:color="auto" w:sz="4" w:space="0"/>
              <w:right w:val="single" w:color="auto" w:sz="4" w:space="0"/>
            </w:tcBorders>
            <w:vAlign w:val="center"/>
          </w:tcPr>
          <w:p w14:paraId="4F62D9BA">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6948B49">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1C11C291">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5A4CAED5">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2D4F594C">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5EE1EEC9">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60" w:type="dxa"/>
            <w:tcBorders>
              <w:top w:val="nil"/>
              <w:left w:val="nil"/>
              <w:bottom w:val="single" w:color="auto" w:sz="4" w:space="0"/>
              <w:right w:val="single" w:color="auto" w:sz="4" w:space="0"/>
            </w:tcBorders>
            <w:vAlign w:val="center"/>
          </w:tcPr>
          <w:p w14:paraId="1567E47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tcBorders>
              <w:top w:val="nil"/>
              <w:left w:val="nil"/>
              <w:bottom w:val="single" w:color="auto" w:sz="4" w:space="0"/>
              <w:right w:val="single" w:color="auto" w:sz="4" w:space="0"/>
            </w:tcBorders>
            <w:vAlign w:val="center"/>
          </w:tcPr>
          <w:p w14:paraId="3C0AFB50">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E13D7B0">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1D4CCEEA">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418" w:type="dxa"/>
            <w:tcBorders>
              <w:top w:val="nil"/>
              <w:left w:val="nil"/>
              <w:bottom w:val="single" w:color="auto" w:sz="4" w:space="0"/>
              <w:right w:val="single" w:color="auto" w:sz="4" w:space="0"/>
            </w:tcBorders>
            <w:vAlign w:val="center"/>
          </w:tcPr>
          <w:p w14:paraId="08B0C17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72C7E71E">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2085FD0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0" w:type="dxa"/>
            <w:tcBorders>
              <w:top w:val="nil"/>
              <w:left w:val="nil"/>
              <w:bottom w:val="single" w:color="auto" w:sz="4" w:space="0"/>
              <w:right w:val="single" w:color="auto" w:sz="4" w:space="0"/>
            </w:tcBorders>
            <w:vAlign w:val="center"/>
          </w:tcPr>
          <w:p w14:paraId="0A54579F">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tcBorders>
              <w:top w:val="nil"/>
              <w:left w:val="nil"/>
              <w:bottom w:val="single" w:color="auto" w:sz="4" w:space="0"/>
              <w:right w:val="single" w:color="auto" w:sz="4" w:space="0"/>
            </w:tcBorders>
            <w:vAlign w:val="center"/>
          </w:tcPr>
          <w:p w14:paraId="5E5DB36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0632FFF">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5E86089D">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12BB3325">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7D354472">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23603BA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60" w:type="dxa"/>
            <w:tcBorders>
              <w:top w:val="nil"/>
              <w:left w:val="nil"/>
              <w:bottom w:val="single" w:color="auto" w:sz="4" w:space="0"/>
              <w:right w:val="single" w:color="auto" w:sz="4" w:space="0"/>
            </w:tcBorders>
            <w:vAlign w:val="center"/>
          </w:tcPr>
          <w:p w14:paraId="3580AA8C">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tcBorders>
              <w:top w:val="nil"/>
              <w:left w:val="nil"/>
              <w:bottom w:val="single" w:color="auto" w:sz="4" w:space="0"/>
              <w:right w:val="single" w:color="auto" w:sz="4" w:space="0"/>
            </w:tcBorders>
            <w:vAlign w:val="center"/>
          </w:tcPr>
          <w:p w14:paraId="74B5EE02">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2FFEAC0">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3D1A7E35">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418" w:type="dxa"/>
            <w:tcBorders>
              <w:top w:val="nil"/>
              <w:left w:val="nil"/>
              <w:bottom w:val="single" w:color="auto" w:sz="4" w:space="0"/>
              <w:right w:val="single" w:color="auto" w:sz="4" w:space="0"/>
            </w:tcBorders>
            <w:vAlign w:val="center"/>
          </w:tcPr>
          <w:p w14:paraId="7033F53D">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17D085D9">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7822FAE5">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60" w:type="dxa"/>
            <w:tcBorders>
              <w:top w:val="nil"/>
              <w:left w:val="nil"/>
              <w:bottom w:val="single" w:color="auto" w:sz="4" w:space="0"/>
              <w:right w:val="single" w:color="auto" w:sz="4" w:space="0"/>
            </w:tcBorders>
            <w:vAlign w:val="center"/>
          </w:tcPr>
          <w:p w14:paraId="2417F975">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92" w:type="dxa"/>
            <w:tcBorders>
              <w:top w:val="nil"/>
              <w:left w:val="nil"/>
              <w:bottom w:val="single" w:color="auto" w:sz="4" w:space="0"/>
              <w:right w:val="single" w:color="auto" w:sz="4" w:space="0"/>
            </w:tcBorders>
            <w:vAlign w:val="center"/>
          </w:tcPr>
          <w:p w14:paraId="70A40A8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FB50E23">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5E7A0D22">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48CC65CC">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75" w:type="dxa"/>
            <w:tcBorders>
              <w:top w:val="nil"/>
              <w:left w:val="nil"/>
              <w:bottom w:val="single" w:color="auto" w:sz="4" w:space="0"/>
              <w:right w:val="single" w:color="auto" w:sz="4" w:space="0"/>
            </w:tcBorders>
            <w:vAlign w:val="center"/>
          </w:tcPr>
          <w:p w14:paraId="29EFF8A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0644F115">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60" w:type="dxa"/>
            <w:tcBorders>
              <w:top w:val="nil"/>
              <w:left w:val="nil"/>
              <w:bottom w:val="single" w:color="auto" w:sz="4" w:space="0"/>
              <w:right w:val="single" w:color="auto" w:sz="4" w:space="0"/>
            </w:tcBorders>
            <w:vAlign w:val="center"/>
          </w:tcPr>
          <w:p w14:paraId="5F2DFEEC">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92" w:type="dxa"/>
            <w:tcBorders>
              <w:top w:val="nil"/>
              <w:left w:val="nil"/>
              <w:bottom w:val="single" w:color="auto" w:sz="4" w:space="0"/>
              <w:right w:val="single" w:color="auto" w:sz="4" w:space="0"/>
            </w:tcBorders>
            <w:vAlign w:val="center"/>
          </w:tcPr>
          <w:p w14:paraId="704991D6">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096AD899">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444F771A">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418" w:type="dxa"/>
            <w:tcBorders>
              <w:top w:val="nil"/>
              <w:left w:val="nil"/>
              <w:bottom w:val="single" w:color="auto" w:sz="4" w:space="0"/>
              <w:right w:val="single" w:color="auto" w:sz="4" w:space="0"/>
            </w:tcBorders>
            <w:vAlign w:val="center"/>
          </w:tcPr>
          <w:p w14:paraId="3479F846">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163800F6">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028ACB45">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0" w:type="dxa"/>
            <w:tcBorders>
              <w:top w:val="nil"/>
              <w:left w:val="nil"/>
              <w:bottom w:val="single" w:color="auto" w:sz="4" w:space="0"/>
              <w:right w:val="single" w:color="auto" w:sz="4" w:space="0"/>
            </w:tcBorders>
            <w:vAlign w:val="center"/>
          </w:tcPr>
          <w:p w14:paraId="24D77024">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tcBorders>
              <w:top w:val="nil"/>
              <w:left w:val="nil"/>
              <w:bottom w:val="single" w:color="auto" w:sz="4" w:space="0"/>
              <w:right w:val="single" w:color="auto" w:sz="4" w:space="0"/>
            </w:tcBorders>
            <w:vAlign w:val="center"/>
          </w:tcPr>
          <w:p w14:paraId="659ADF7E">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DB68BF2">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6AD784DE">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7A38E1E4">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75" w:type="dxa"/>
            <w:tcBorders>
              <w:top w:val="nil"/>
              <w:left w:val="nil"/>
              <w:bottom w:val="single" w:color="auto" w:sz="4" w:space="0"/>
              <w:right w:val="single" w:color="auto" w:sz="4" w:space="0"/>
            </w:tcBorders>
            <w:vAlign w:val="center"/>
          </w:tcPr>
          <w:p w14:paraId="718A5DCB">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7A3DAA86">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60" w:type="dxa"/>
            <w:tcBorders>
              <w:top w:val="nil"/>
              <w:left w:val="nil"/>
              <w:bottom w:val="single" w:color="auto" w:sz="4" w:space="0"/>
              <w:right w:val="single" w:color="auto" w:sz="4" w:space="0"/>
            </w:tcBorders>
            <w:vAlign w:val="center"/>
          </w:tcPr>
          <w:p w14:paraId="27B02450">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tcBorders>
              <w:top w:val="nil"/>
              <w:left w:val="nil"/>
              <w:bottom w:val="single" w:color="auto" w:sz="4" w:space="0"/>
              <w:right w:val="single" w:color="auto" w:sz="4" w:space="0"/>
            </w:tcBorders>
            <w:vAlign w:val="center"/>
          </w:tcPr>
          <w:p w14:paraId="5EADD788">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FAF06EA">
        <w:tblPrEx>
          <w:tblCellMar>
            <w:top w:w="0" w:type="dxa"/>
            <w:left w:w="108" w:type="dxa"/>
            <w:bottom w:w="0" w:type="dxa"/>
            <w:right w:w="108" w:type="dxa"/>
          </w:tblCellMar>
        </w:tblPrEx>
        <w:trPr>
          <w:trHeight w:val="225" w:hRule="atLeast"/>
        </w:trPr>
        <w:tc>
          <w:tcPr>
            <w:tcW w:w="2161" w:type="dxa"/>
            <w:vMerge w:val="restart"/>
            <w:tcBorders>
              <w:top w:val="nil"/>
              <w:left w:val="single" w:color="auto" w:sz="4" w:space="0"/>
              <w:bottom w:val="single" w:color="auto" w:sz="4" w:space="0"/>
              <w:right w:val="single" w:color="auto" w:sz="4" w:space="0"/>
            </w:tcBorders>
            <w:vAlign w:val="center"/>
          </w:tcPr>
          <w:p w14:paraId="1CEFB547">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418" w:type="dxa"/>
            <w:tcBorders>
              <w:top w:val="nil"/>
              <w:left w:val="nil"/>
              <w:bottom w:val="single" w:color="auto" w:sz="4" w:space="0"/>
              <w:right w:val="single" w:color="auto" w:sz="4" w:space="0"/>
            </w:tcBorders>
            <w:vAlign w:val="center"/>
          </w:tcPr>
          <w:p w14:paraId="0184F550">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61F2F5EC">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7CB3D24E">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0" w:type="dxa"/>
            <w:tcBorders>
              <w:top w:val="nil"/>
              <w:left w:val="nil"/>
              <w:bottom w:val="single" w:color="auto" w:sz="4" w:space="0"/>
              <w:right w:val="single" w:color="auto" w:sz="4" w:space="0"/>
            </w:tcBorders>
            <w:vAlign w:val="center"/>
          </w:tcPr>
          <w:p w14:paraId="0440D893">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tcBorders>
              <w:top w:val="nil"/>
              <w:left w:val="nil"/>
              <w:bottom w:val="single" w:color="auto" w:sz="4" w:space="0"/>
              <w:right w:val="single" w:color="auto" w:sz="4" w:space="0"/>
            </w:tcBorders>
            <w:vAlign w:val="center"/>
          </w:tcPr>
          <w:p w14:paraId="379145D8">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F2B662">
        <w:tblPrEx>
          <w:tblCellMar>
            <w:top w:w="0" w:type="dxa"/>
            <w:left w:w="108" w:type="dxa"/>
            <w:bottom w:w="0" w:type="dxa"/>
            <w:right w:w="108" w:type="dxa"/>
          </w:tblCellMar>
        </w:tblPrEx>
        <w:trPr>
          <w:trHeight w:val="225" w:hRule="atLeast"/>
        </w:trPr>
        <w:tc>
          <w:tcPr>
            <w:tcW w:w="2161" w:type="dxa"/>
            <w:vMerge w:val="continue"/>
            <w:tcBorders>
              <w:top w:val="nil"/>
              <w:left w:val="single" w:color="auto" w:sz="4" w:space="0"/>
              <w:bottom w:val="single" w:color="auto" w:sz="4" w:space="0"/>
              <w:right w:val="single" w:color="auto" w:sz="4" w:space="0"/>
            </w:tcBorders>
            <w:vAlign w:val="center"/>
          </w:tcPr>
          <w:p w14:paraId="55D986EE">
            <w:pPr>
              <w:widowControl/>
              <w:spacing w:line="336" w:lineRule="auto"/>
              <w:jc w:val="center"/>
              <w:rPr>
                <w:rFonts w:hint="eastAsia" w:ascii="宋体" w:hAns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66E9A99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75" w:type="dxa"/>
            <w:tcBorders>
              <w:top w:val="nil"/>
              <w:left w:val="nil"/>
              <w:bottom w:val="single" w:color="auto" w:sz="4" w:space="0"/>
              <w:right w:val="single" w:color="auto" w:sz="4" w:space="0"/>
            </w:tcBorders>
            <w:vAlign w:val="center"/>
          </w:tcPr>
          <w:p w14:paraId="706F46A7">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01" w:type="dxa"/>
            <w:tcBorders>
              <w:top w:val="nil"/>
              <w:left w:val="nil"/>
              <w:bottom w:val="single" w:color="auto" w:sz="4" w:space="0"/>
              <w:right w:val="single" w:color="auto" w:sz="4" w:space="0"/>
            </w:tcBorders>
            <w:vAlign w:val="center"/>
          </w:tcPr>
          <w:p w14:paraId="7659CC78">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60" w:type="dxa"/>
            <w:tcBorders>
              <w:top w:val="nil"/>
              <w:left w:val="nil"/>
              <w:bottom w:val="single" w:color="auto" w:sz="4" w:space="0"/>
              <w:right w:val="single" w:color="auto" w:sz="4" w:space="0"/>
            </w:tcBorders>
            <w:vAlign w:val="center"/>
          </w:tcPr>
          <w:p w14:paraId="48BCF96D">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tcBorders>
              <w:top w:val="nil"/>
              <w:left w:val="nil"/>
              <w:bottom w:val="single" w:color="auto" w:sz="4" w:space="0"/>
              <w:right w:val="single" w:color="auto" w:sz="4" w:space="0"/>
            </w:tcBorders>
            <w:vAlign w:val="center"/>
          </w:tcPr>
          <w:p w14:paraId="70E233D1">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5B189E">
        <w:tblPrEx>
          <w:tblCellMar>
            <w:top w:w="0" w:type="dxa"/>
            <w:left w:w="108" w:type="dxa"/>
            <w:bottom w:w="0" w:type="dxa"/>
            <w:right w:w="108" w:type="dxa"/>
          </w:tblCellMar>
        </w:tblPrEx>
        <w:trPr>
          <w:trHeight w:val="399" w:hRule="atLeast"/>
        </w:trPr>
        <w:tc>
          <w:tcPr>
            <w:tcW w:w="2161" w:type="dxa"/>
            <w:tcBorders>
              <w:top w:val="nil"/>
              <w:left w:val="single" w:color="auto" w:sz="4" w:space="0"/>
              <w:bottom w:val="single" w:color="auto" w:sz="4" w:space="0"/>
              <w:right w:val="single" w:color="auto" w:sz="4" w:space="0"/>
            </w:tcBorders>
            <w:vAlign w:val="center"/>
          </w:tcPr>
          <w:p w14:paraId="0EC343E2">
            <w:pPr>
              <w:widowControl/>
              <w:spacing w:line="336" w:lineRule="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418" w:type="dxa"/>
            <w:tcBorders>
              <w:top w:val="nil"/>
              <w:left w:val="nil"/>
              <w:bottom w:val="single" w:color="auto" w:sz="4" w:space="0"/>
              <w:right w:val="single" w:color="auto" w:sz="4" w:space="0"/>
            </w:tcBorders>
            <w:vAlign w:val="center"/>
          </w:tcPr>
          <w:p w14:paraId="391BF888">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75" w:type="dxa"/>
            <w:tcBorders>
              <w:top w:val="nil"/>
              <w:left w:val="nil"/>
              <w:bottom w:val="single" w:color="auto" w:sz="4" w:space="0"/>
              <w:right w:val="single" w:color="auto" w:sz="4" w:space="0"/>
            </w:tcBorders>
            <w:vAlign w:val="center"/>
          </w:tcPr>
          <w:p w14:paraId="3D0833F8">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01" w:type="dxa"/>
            <w:tcBorders>
              <w:top w:val="nil"/>
              <w:left w:val="nil"/>
              <w:bottom w:val="single" w:color="auto" w:sz="4" w:space="0"/>
              <w:right w:val="single" w:color="auto" w:sz="4" w:space="0"/>
            </w:tcBorders>
            <w:vAlign w:val="center"/>
          </w:tcPr>
          <w:p w14:paraId="18BD3DCC">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0" w:type="dxa"/>
            <w:tcBorders>
              <w:top w:val="nil"/>
              <w:left w:val="nil"/>
              <w:bottom w:val="single" w:color="auto" w:sz="4" w:space="0"/>
              <w:right w:val="single" w:color="auto" w:sz="4" w:space="0"/>
            </w:tcBorders>
            <w:vAlign w:val="center"/>
          </w:tcPr>
          <w:p w14:paraId="058D202B">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tcBorders>
              <w:top w:val="nil"/>
              <w:left w:val="nil"/>
              <w:bottom w:val="single" w:color="auto" w:sz="4" w:space="0"/>
              <w:right w:val="single" w:color="auto" w:sz="4" w:space="0"/>
            </w:tcBorders>
            <w:vAlign w:val="center"/>
          </w:tcPr>
          <w:p w14:paraId="79F72D4D">
            <w:pPr>
              <w:widowControl/>
              <w:spacing w:line="336" w:lineRule="auto"/>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D58AB60">
      <w:pPr>
        <w:pStyle w:val="161"/>
        <w:jc w:val="left"/>
        <w:rPr>
          <w:rFonts w:hint="eastAsia" w:ascii="宋体" w:hAnsi="宋体" w:cs="宋体"/>
          <w:color w:val="auto"/>
          <w:highlight w:val="none"/>
        </w:rPr>
      </w:pPr>
      <w:r>
        <w:rPr>
          <w:rFonts w:hint="eastAsia" w:ascii="宋体" w:hAnsi="宋体" w:cs="宋体"/>
          <w:bCs w:val="0"/>
          <w:color w:val="auto"/>
          <w:spacing w:val="0"/>
          <w:kern w:val="2"/>
          <w:sz w:val="21"/>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5C8CD9DD">
      <w:pPr>
        <w:pStyle w:val="161"/>
        <w:rPr>
          <w:rFonts w:hint="eastAsia" w:ascii="宋体" w:hAnsi="宋体" w:cs="宋体"/>
          <w:color w:val="auto"/>
          <w:highlight w:val="none"/>
        </w:rPr>
      </w:pPr>
    </w:p>
    <w:p w14:paraId="6E89C618">
      <w:pPr>
        <w:widowControl/>
        <w:jc w:val="left"/>
        <w:rPr>
          <w:rFonts w:hint="eastAsia" w:ascii="宋体" w:hAnsi="宋体" w:cs="宋体"/>
          <w:bCs/>
          <w:color w:val="auto"/>
          <w:spacing w:val="10"/>
          <w:kern w:val="0"/>
          <w:sz w:val="24"/>
          <w:szCs w:val="20"/>
          <w:highlight w:val="none"/>
        </w:rPr>
      </w:pPr>
      <w:r>
        <w:rPr>
          <w:rFonts w:hint="eastAsia" w:ascii="宋体" w:hAnsi="宋体" w:cs="宋体"/>
          <w:color w:val="auto"/>
          <w:highlight w:val="none"/>
        </w:rPr>
        <w:br w:type="page"/>
      </w:r>
    </w:p>
    <w:p w14:paraId="7438C500">
      <w:pPr>
        <w:jc w:val="left"/>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附件3：</w:t>
      </w:r>
    </w:p>
    <w:p w14:paraId="678F93BC">
      <w:pPr>
        <w:widowControl/>
        <w:spacing w:line="480" w:lineRule="atLeast"/>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rPr>
        <w:t>采购项目合同验收书（格式）</w:t>
      </w:r>
    </w:p>
    <w:p w14:paraId="6F5F4699">
      <w:pPr>
        <w:rPr>
          <w:rFonts w:hint="eastAsia" w:ascii="宋体" w:hAnsi="宋体" w:cs="宋体"/>
          <w:color w:val="auto"/>
          <w:highlight w:val="none"/>
        </w:rPr>
      </w:pPr>
    </w:p>
    <w:p w14:paraId="6FAFC164">
      <w:pPr>
        <w:widowControl/>
        <w:snapToGrid w:val="0"/>
        <w:spacing w:line="32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62"/>
        <w:tblW w:w="9319" w:type="dxa"/>
        <w:jc w:val="center"/>
        <w:tblLayout w:type="fixed"/>
        <w:tblCellMar>
          <w:top w:w="0" w:type="dxa"/>
          <w:left w:w="0" w:type="dxa"/>
          <w:bottom w:w="0" w:type="dxa"/>
          <w:right w:w="0" w:type="dxa"/>
        </w:tblCellMar>
      </w:tblPr>
      <w:tblGrid>
        <w:gridCol w:w="887"/>
        <w:gridCol w:w="910"/>
        <w:gridCol w:w="1791"/>
        <w:gridCol w:w="880"/>
        <w:gridCol w:w="114"/>
        <w:gridCol w:w="2208"/>
        <w:gridCol w:w="196"/>
        <w:gridCol w:w="756"/>
        <w:gridCol w:w="1577"/>
      </w:tblGrid>
      <w:tr w14:paraId="5E93649A">
        <w:tblPrEx>
          <w:tblCellMar>
            <w:top w:w="0" w:type="dxa"/>
            <w:left w:w="0" w:type="dxa"/>
            <w:bottom w:w="0" w:type="dxa"/>
            <w:right w:w="0" w:type="dxa"/>
          </w:tblCellMar>
        </w:tblPrEx>
        <w:trPr>
          <w:trHeight w:val="506" w:hRule="atLeast"/>
          <w:jc w:val="center"/>
        </w:trPr>
        <w:tc>
          <w:tcPr>
            <w:tcW w:w="3588" w:type="dxa"/>
            <w:gridSpan w:val="3"/>
            <w:tcBorders>
              <w:top w:val="single" w:color="auto" w:sz="8" w:space="0"/>
              <w:left w:val="single" w:color="auto" w:sz="8" w:space="0"/>
              <w:bottom w:val="single" w:color="auto" w:sz="8" w:space="0"/>
              <w:right w:val="single" w:color="auto" w:sz="8" w:space="0"/>
            </w:tcBorders>
            <w:vAlign w:val="center"/>
          </w:tcPr>
          <w:p w14:paraId="4B158B91">
            <w:pPr>
              <w:widowControl/>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731" w:type="dxa"/>
            <w:gridSpan w:val="6"/>
            <w:tcBorders>
              <w:top w:val="single" w:color="auto" w:sz="8" w:space="0"/>
              <w:left w:val="nil"/>
              <w:bottom w:val="single" w:color="auto" w:sz="8" w:space="0"/>
              <w:right w:val="single" w:color="auto" w:sz="8" w:space="0"/>
            </w:tcBorders>
            <w:vAlign w:val="center"/>
          </w:tcPr>
          <w:p w14:paraId="0A2DD0C4">
            <w:pPr>
              <w:widowControl/>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 xml:space="preserve">自行验收 </w:t>
            </w: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委托验收</w:t>
            </w:r>
          </w:p>
        </w:tc>
      </w:tr>
      <w:tr w14:paraId="58E67A04">
        <w:tblPrEx>
          <w:tblCellMar>
            <w:top w:w="0" w:type="dxa"/>
            <w:left w:w="0" w:type="dxa"/>
            <w:bottom w:w="0" w:type="dxa"/>
            <w:right w:w="0" w:type="dxa"/>
          </w:tblCellMar>
        </w:tblPrEx>
        <w:trPr>
          <w:trHeight w:val="645" w:hRule="atLeast"/>
          <w:jc w:val="center"/>
        </w:trPr>
        <w:tc>
          <w:tcPr>
            <w:tcW w:w="887" w:type="dxa"/>
            <w:tcBorders>
              <w:top w:val="nil"/>
              <w:left w:val="single" w:color="auto" w:sz="8" w:space="0"/>
              <w:bottom w:val="single" w:color="auto" w:sz="8" w:space="0"/>
              <w:right w:val="single" w:color="auto" w:sz="8" w:space="0"/>
            </w:tcBorders>
            <w:vAlign w:val="center"/>
          </w:tcPr>
          <w:p w14:paraId="03220002">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701" w:type="dxa"/>
            <w:gridSpan w:val="2"/>
            <w:tcBorders>
              <w:top w:val="nil"/>
              <w:left w:val="nil"/>
              <w:bottom w:val="single" w:color="auto" w:sz="8" w:space="0"/>
              <w:right w:val="single" w:color="auto" w:sz="8" w:space="0"/>
            </w:tcBorders>
            <w:vAlign w:val="center"/>
          </w:tcPr>
          <w:p w14:paraId="2B03243F">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3202" w:type="dxa"/>
            <w:gridSpan w:val="3"/>
            <w:tcBorders>
              <w:top w:val="nil"/>
              <w:left w:val="nil"/>
              <w:bottom w:val="single" w:color="auto" w:sz="8" w:space="0"/>
              <w:right w:val="single" w:color="auto" w:sz="8" w:space="0"/>
            </w:tcBorders>
            <w:vAlign w:val="center"/>
          </w:tcPr>
          <w:p w14:paraId="7D63270D">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952" w:type="dxa"/>
            <w:gridSpan w:val="2"/>
            <w:tcBorders>
              <w:top w:val="nil"/>
              <w:left w:val="nil"/>
              <w:bottom w:val="single" w:color="auto" w:sz="8" w:space="0"/>
              <w:right w:val="single" w:color="auto" w:sz="8" w:space="0"/>
            </w:tcBorders>
            <w:vAlign w:val="center"/>
          </w:tcPr>
          <w:p w14:paraId="153DB990">
            <w:pPr>
              <w:widowControl/>
              <w:snapToGrid w:val="0"/>
              <w:spacing w:before="100" w:beforeAutospacing="1" w:after="100" w:afterAutospacing="1" w:line="32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577" w:type="dxa"/>
            <w:tcBorders>
              <w:top w:val="nil"/>
              <w:left w:val="nil"/>
              <w:bottom w:val="single" w:color="auto" w:sz="8" w:space="0"/>
              <w:right w:val="single" w:color="auto" w:sz="8" w:space="0"/>
            </w:tcBorders>
            <w:vAlign w:val="center"/>
          </w:tcPr>
          <w:p w14:paraId="0D3EAA9E">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5AF4D525">
        <w:tblPrEx>
          <w:tblCellMar>
            <w:top w:w="0" w:type="dxa"/>
            <w:left w:w="0" w:type="dxa"/>
            <w:bottom w:w="0" w:type="dxa"/>
            <w:right w:w="0" w:type="dxa"/>
          </w:tblCellMar>
        </w:tblPrEx>
        <w:trPr>
          <w:trHeight w:val="496" w:hRule="atLeast"/>
          <w:jc w:val="center"/>
        </w:trPr>
        <w:tc>
          <w:tcPr>
            <w:tcW w:w="887" w:type="dxa"/>
            <w:tcBorders>
              <w:top w:val="nil"/>
              <w:left w:val="single" w:color="auto" w:sz="8" w:space="0"/>
              <w:bottom w:val="single" w:color="auto" w:sz="8" w:space="0"/>
              <w:right w:val="single" w:color="auto" w:sz="8" w:space="0"/>
            </w:tcBorders>
            <w:vAlign w:val="center"/>
          </w:tcPr>
          <w:p w14:paraId="33D86618">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701" w:type="dxa"/>
            <w:gridSpan w:val="2"/>
            <w:tcBorders>
              <w:top w:val="nil"/>
              <w:left w:val="nil"/>
              <w:bottom w:val="single" w:color="auto" w:sz="8" w:space="0"/>
              <w:right w:val="single" w:color="auto" w:sz="8" w:space="0"/>
            </w:tcBorders>
            <w:vAlign w:val="center"/>
          </w:tcPr>
          <w:p w14:paraId="04B2B171">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3202" w:type="dxa"/>
            <w:gridSpan w:val="3"/>
            <w:tcBorders>
              <w:top w:val="nil"/>
              <w:left w:val="nil"/>
              <w:bottom w:val="single" w:color="auto" w:sz="8" w:space="0"/>
              <w:right w:val="single" w:color="auto" w:sz="8" w:space="0"/>
            </w:tcBorders>
            <w:vAlign w:val="center"/>
          </w:tcPr>
          <w:p w14:paraId="44C6DA59">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952" w:type="dxa"/>
            <w:gridSpan w:val="2"/>
            <w:tcBorders>
              <w:top w:val="nil"/>
              <w:left w:val="nil"/>
              <w:bottom w:val="single" w:color="auto" w:sz="8" w:space="0"/>
              <w:right w:val="single" w:color="auto" w:sz="8" w:space="0"/>
            </w:tcBorders>
            <w:vAlign w:val="center"/>
          </w:tcPr>
          <w:p w14:paraId="7D9F3A6B">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577" w:type="dxa"/>
            <w:tcBorders>
              <w:top w:val="nil"/>
              <w:left w:val="nil"/>
              <w:bottom w:val="single" w:color="auto" w:sz="8" w:space="0"/>
              <w:right w:val="single" w:color="auto" w:sz="8" w:space="0"/>
            </w:tcBorders>
            <w:vAlign w:val="center"/>
          </w:tcPr>
          <w:p w14:paraId="6DF466A3">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4B0AAA3A">
        <w:tblPrEx>
          <w:tblCellMar>
            <w:top w:w="0" w:type="dxa"/>
            <w:left w:w="0" w:type="dxa"/>
            <w:bottom w:w="0" w:type="dxa"/>
            <w:right w:w="0" w:type="dxa"/>
          </w:tblCellMar>
        </w:tblPrEx>
        <w:trPr>
          <w:trHeight w:val="496" w:hRule="atLeast"/>
          <w:jc w:val="center"/>
        </w:trPr>
        <w:tc>
          <w:tcPr>
            <w:tcW w:w="887" w:type="dxa"/>
            <w:tcBorders>
              <w:top w:val="nil"/>
              <w:left w:val="single" w:color="auto" w:sz="8" w:space="0"/>
              <w:bottom w:val="single" w:color="auto" w:sz="8" w:space="0"/>
              <w:right w:val="single" w:color="auto" w:sz="8" w:space="0"/>
            </w:tcBorders>
            <w:vAlign w:val="center"/>
          </w:tcPr>
          <w:p w14:paraId="6C0D3954">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701" w:type="dxa"/>
            <w:gridSpan w:val="2"/>
            <w:tcBorders>
              <w:top w:val="nil"/>
              <w:left w:val="nil"/>
              <w:bottom w:val="single" w:color="auto" w:sz="8" w:space="0"/>
              <w:right w:val="single" w:color="auto" w:sz="8" w:space="0"/>
            </w:tcBorders>
            <w:vAlign w:val="center"/>
          </w:tcPr>
          <w:p w14:paraId="746695E6">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3202" w:type="dxa"/>
            <w:gridSpan w:val="3"/>
            <w:tcBorders>
              <w:top w:val="nil"/>
              <w:left w:val="nil"/>
              <w:bottom w:val="single" w:color="auto" w:sz="8" w:space="0"/>
              <w:right w:val="single" w:color="auto" w:sz="8" w:space="0"/>
            </w:tcBorders>
            <w:vAlign w:val="center"/>
          </w:tcPr>
          <w:p w14:paraId="2296B9B5">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952" w:type="dxa"/>
            <w:gridSpan w:val="2"/>
            <w:tcBorders>
              <w:top w:val="nil"/>
              <w:left w:val="nil"/>
              <w:bottom w:val="single" w:color="auto" w:sz="8" w:space="0"/>
              <w:right w:val="single" w:color="auto" w:sz="8" w:space="0"/>
            </w:tcBorders>
            <w:vAlign w:val="center"/>
          </w:tcPr>
          <w:p w14:paraId="7AE03C77">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577" w:type="dxa"/>
            <w:tcBorders>
              <w:top w:val="nil"/>
              <w:left w:val="nil"/>
              <w:bottom w:val="single" w:color="auto" w:sz="8" w:space="0"/>
              <w:right w:val="single" w:color="auto" w:sz="8" w:space="0"/>
            </w:tcBorders>
            <w:vAlign w:val="center"/>
          </w:tcPr>
          <w:p w14:paraId="241C75CF">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5F1F695D">
        <w:tblPrEx>
          <w:tblCellMar>
            <w:top w:w="0" w:type="dxa"/>
            <w:left w:w="0" w:type="dxa"/>
            <w:bottom w:w="0" w:type="dxa"/>
            <w:right w:w="0" w:type="dxa"/>
          </w:tblCellMar>
        </w:tblPrEx>
        <w:trPr>
          <w:trHeight w:val="496" w:hRule="atLeast"/>
          <w:jc w:val="center"/>
        </w:trPr>
        <w:tc>
          <w:tcPr>
            <w:tcW w:w="887" w:type="dxa"/>
            <w:tcBorders>
              <w:top w:val="nil"/>
              <w:left w:val="single" w:color="auto" w:sz="8" w:space="0"/>
              <w:bottom w:val="single" w:color="auto" w:sz="8" w:space="0"/>
              <w:right w:val="single" w:color="auto" w:sz="8" w:space="0"/>
            </w:tcBorders>
            <w:vAlign w:val="center"/>
          </w:tcPr>
          <w:p w14:paraId="0ABA1FE2">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701" w:type="dxa"/>
            <w:gridSpan w:val="2"/>
            <w:tcBorders>
              <w:top w:val="nil"/>
              <w:left w:val="nil"/>
              <w:bottom w:val="single" w:color="auto" w:sz="8" w:space="0"/>
              <w:right w:val="single" w:color="auto" w:sz="8" w:space="0"/>
            </w:tcBorders>
            <w:vAlign w:val="center"/>
          </w:tcPr>
          <w:p w14:paraId="0DA71440">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3202" w:type="dxa"/>
            <w:gridSpan w:val="3"/>
            <w:tcBorders>
              <w:top w:val="nil"/>
              <w:left w:val="nil"/>
              <w:bottom w:val="single" w:color="auto" w:sz="8" w:space="0"/>
              <w:right w:val="single" w:color="auto" w:sz="8" w:space="0"/>
            </w:tcBorders>
            <w:vAlign w:val="center"/>
          </w:tcPr>
          <w:p w14:paraId="3E310F88">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952" w:type="dxa"/>
            <w:gridSpan w:val="2"/>
            <w:tcBorders>
              <w:top w:val="nil"/>
              <w:left w:val="nil"/>
              <w:bottom w:val="single" w:color="auto" w:sz="8" w:space="0"/>
              <w:right w:val="single" w:color="auto" w:sz="8" w:space="0"/>
            </w:tcBorders>
            <w:vAlign w:val="center"/>
          </w:tcPr>
          <w:p w14:paraId="3274AD26">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577" w:type="dxa"/>
            <w:tcBorders>
              <w:top w:val="nil"/>
              <w:left w:val="nil"/>
              <w:bottom w:val="single" w:color="auto" w:sz="8" w:space="0"/>
              <w:right w:val="single" w:color="auto" w:sz="8" w:space="0"/>
            </w:tcBorders>
            <w:vAlign w:val="center"/>
          </w:tcPr>
          <w:p w14:paraId="2498F590">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5B3A6FE2">
        <w:tblPrEx>
          <w:tblCellMar>
            <w:top w:w="0" w:type="dxa"/>
            <w:left w:w="0" w:type="dxa"/>
            <w:bottom w:w="0" w:type="dxa"/>
            <w:right w:w="0" w:type="dxa"/>
          </w:tblCellMar>
        </w:tblPrEx>
        <w:trPr>
          <w:trHeight w:val="496" w:hRule="atLeast"/>
          <w:jc w:val="center"/>
        </w:trPr>
        <w:tc>
          <w:tcPr>
            <w:tcW w:w="6790" w:type="dxa"/>
            <w:gridSpan w:val="6"/>
            <w:tcBorders>
              <w:top w:val="nil"/>
              <w:left w:val="single" w:color="auto" w:sz="8" w:space="0"/>
              <w:bottom w:val="single" w:color="auto" w:sz="8" w:space="0"/>
              <w:right w:val="single" w:color="auto" w:sz="8" w:space="0"/>
            </w:tcBorders>
            <w:vAlign w:val="center"/>
          </w:tcPr>
          <w:p w14:paraId="7EF8A5C8">
            <w:pPr>
              <w:widowControl/>
              <w:snapToGrid w:val="0"/>
              <w:spacing w:before="100" w:beforeAutospacing="1" w:after="100" w:afterAutospacing="1" w:line="320" w:lineRule="atLeas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952" w:type="dxa"/>
            <w:gridSpan w:val="2"/>
            <w:tcBorders>
              <w:top w:val="nil"/>
              <w:left w:val="nil"/>
              <w:bottom w:val="single" w:color="auto" w:sz="8" w:space="0"/>
              <w:right w:val="single" w:color="auto" w:sz="8" w:space="0"/>
            </w:tcBorders>
            <w:vAlign w:val="center"/>
          </w:tcPr>
          <w:p w14:paraId="65E1BF10">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1577" w:type="dxa"/>
            <w:tcBorders>
              <w:top w:val="nil"/>
              <w:left w:val="nil"/>
              <w:bottom w:val="single" w:color="auto" w:sz="8" w:space="0"/>
              <w:right w:val="single" w:color="auto" w:sz="8" w:space="0"/>
            </w:tcBorders>
            <w:vAlign w:val="center"/>
          </w:tcPr>
          <w:p w14:paraId="4776749B">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0E525187">
        <w:tblPrEx>
          <w:tblCellMar>
            <w:top w:w="0" w:type="dxa"/>
            <w:left w:w="0" w:type="dxa"/>
            <w:bottom w:w="0" w:type="dxa"/>
            <w:right w:w="0" w:type="dxa"/>
          </w:tblCellMar>
        </w:tblPrEx>
        <w:trPr>
          <w:trHeight w:val="646" w:hRule="atLeast"/>
          <w:jc w:val="center"/>
        </w:trPr>
        <w:tc>
          <w:tcPr>
            <w:tcW w:w="9319" w:type="dxa"/>
            <w:gridSpan w:val="9"/>
            <w:tcBorders>
              <w:top w:val="nil"/>
              <w:left w:val="single" w:color="auto" w:sz="8" w:space="0"/>
              <w:bottom w:val="single" w:color="auto" w:sz="8" w:space="0"/>
              <w:right w:val="single" w:color="auto" w:sz="8" w:space="0"/>
            </w:tcBorders>
            <w:vAlign w:val="center"/>
          </w:tcPr>
          <w:p w14:paraId="01760EF2">
            <w:pPr>
              <w:widowControl/>
              <w:snapToGrid w:val="0"/>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530A4EB1">
        <w:tblPrEx>
          <w:tblCellMar>
            <w:top w:w="0" w:type="dxa"/>
            <w:left w:w="0" w:type="dxa"/>
            <w:bottom w:w="0" w:type="dxa"/>
            <w:right w:w="0" w:type="dxa"/>
          </w:tblCellMar>
        </w:tblPrEx>
        <w:trPr>
          <w:trHeight w:val="646" w:hRule="atLeast"/>
          <w:jc w:val="center"/>
        </w:trPr>
        <w:tc>
          <w:tcPr>
            <w:tcW w:w="1797" w:type="dxa"/>
            <w:gridSpan w:val="2"/>
            <w:tcBorders>
              <w:top w:val="nil"/>
              <w:left w:val="single" w:color="auto" w:sz="8" w:space="0"/>
              <w:bottom w:val="single" w:color="auto" w:sz="8" w:space="0"/>
              <w:right w:val="single" w:color="auto" w:sz="8" w:space="0"/>
            </w:tcBorders>
            <w:vAlign w:val="center"/>
          </w:tcPr>
          <w:p w14:paraId="693D6EE4">
            <w:pPr>
              <w:widowControl/>
              <w:snapToGrid w:val="0"/>
              <w:spacing w:before="100" w:beforeAutospacing="1" w:after="100" w:afterAutospacing="1" w:line="320" w:lineRule="atLeas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671" w:type="dxa"/>
            <w:gridSpan w:val="2"/>
            <w:tcBorders>
              <w:top w:val="nil"/>
              <w:left w:val="nil"/>
              <w:bottom w:val="single" w:color="auto" w:sz="8" w:space="0"/>
              <w:right w:val="single" w:color="auto" w:sz="8" w:space="0"/>
            </w:tcBorders>
            <w:vAlign w:val="center"/>
          </w:tcPr>
          <w:p w14:paraId="6A3A1836">
            <w:pPr>
              <w:widowControl/>
              <w:spacing w:before="100" w:beforeAutospacing="1" w:after="100" w:afterAutospacing="1" w:line="240" w:lineRule="atLeast"/>
              <w:jc w:val="center"/>
              <w:rPr>
                <w:rFonts w:hint="eastAsia" w:ascii="宋体" w:hAnsi="宋体" w:cs="宋体"/>
                <w:color w:val="auto"/>
                <w:kern w:val="0"/>
                <w:szCs w:val="21"/>
                <w:highlight w:val="none"/>
              </w:rPr>
            </w:pPr>
          </w:p>
        </w:tc>
        <w:tc>
          <w:tcPr>
            <w:tcW w:w="2518" w:type="dxa"/>
            <w:gridSpan w:val="3"/>
            <w:tcBorders>
              <w:top w:val="nil"/>
              <w:left w:val="nil"/>
              <w:bottom w:val="single" w:color="auto" w:sz="8" w:space="0"/>
              <w:right w:val="single" w:color="auto" w:sz="8" w:space="0"/>
            </w:tcBorders>
            <w:vAlign w:val="center"/>
          </w:tcPr>
          <w:p w14:paraId="044F6B82">
            <w:pPr>
              <w:widowControl/>
              <w:snapToGrid w:val="0"/>
              <w:spacing w:before="100" w:beforeAutospacing="1" w:after="100" w:afterAutospacing="1" w:line="320" w:lineRule="atLeas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333" w:type="dxa"/>
            <w:gridSpan w:val="2"/>
            <w:tcBorders>
              <w:top w:val="nil"/>
              <w:left w:val="nil"/>
              <w:bottom w:val="single" w:color="auto" w:sz="8" w:space="0"/>
              <w:right w:val="single" w:color="auto" w:sz="8" w:space="0"/>
            </w:tcBorders>
            <w:vAlign w:val="center"/>
          </w:tcPr>
          <w:p w14:paraId="21C32156">
            <w:pPr>
              <w:widowControl/>
              <w:spacing w:before="100" w:beforeAutospacing="1" w:after="100" w:afterAutospacing="1" w:line="240" w:lineRule="atLeast"/>
              <w:jc w:val="center"/>
              <w:rPr>
                <w:rFonts w:hint="eastAsia" w:ascii="宋体" w:hAnsi="宋体" w:cs="宋体"/>
                <w:color w:val="auto"/>
                <w:kern w:val="0"/>
                <w:szCs w:val="21"/>
                <w:highlight w:val="none"/>
              </w:rPr>
            </w:pPr>
          </w:p>
        </w:tc>
      </w:tr>
      <w:tr w14:paraId="7FFCF493">
        <w:tblPrEx>
          <w:tblCellMar>
            <w:top w:w="0" w:type="dxa"/>
            <w:left w:w="0" w:type="dxa"/>
            <w:bottom w:w="0" w:type="dxa"/>
            <w:right w:w="0" w:type="dxa"/>
          </w:tblCellMar>
        </w:tblPrEx>
        <w:trPr>
          <w:trHeight w:val="1271" w:hRule="atLeast"/>
          <w:jc w:val="center"/>
        </w:trPr>
        <w:tc>
          <w:tcPr>
            <w:tcW w:w="179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1CEC35">
            <w:pPr>
              <w:widowControl/>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75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7FC6E94">
            <w:pPr>
              <w:widowControl/>
              <w:snapToGrid w:val="0"/>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成交供应商在安装调试等方面是否违反合同约定或者服务规范要求、提供的质量保证证明材料是否齐全、应有的配件及附件是否达到合同约定等。可附件)</w:t>
            </w:r>
          </w:p>
        </w:tc>
      </w:tr>
      <w:tr w14:paraId="773B1ACC">
        <w:tblPrEx>
          <w:tblCellMar>
            <w:top w:w="0" w:type="dxa"/>
            <w:left w:w="0" w:type="dxa"/>
            <w:bottom w:w="0" w:type="dxa"/>
            <w:right w:w="0" w:type="dxa"/>
          </w:tblCellMar>
        </w:tblPrEx>
        <w:trPr>
          <w:trHeight w:val="1272" w:hRule="atLeast"/>
          <w:jc w:val="center"/>
        </w:trPr>
        <w:tc>
          <w:tcPr>
            <w:tcW w:w="1797"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E08FD2">
            <w:pPr>
              <w:widowControl/>
              <w:spacing w:before="100" w:beforeAutospacing="1" w:after="100" w:afterAutospacing="1" w:line="32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7522" w:type="dxa"/>
            <w:gridSpan w:val="7"/>
            <w:tcBorders>
              <w:top w:val="nil"/>
              <w:left w:val="nil"/>
              <w:bottom w:val="single" w:color="auto" w:sz="8" w:space="0"/>
              <w:right w:val="single" w:color="auto" w:sz="8" w:space="0"/>
            </w:tcBorders>
            <w:vAlign w:val="center"/>
          </w:tcPr>
          <w:p w14:paraId="7B808105">
            <w:pPr>
              <w:widowControl/>
              <w:spacing w:before="100" w:beforeAutospacing="1" w:after="100" w:afterAutospacing="1" w:line="320" w:lineRule="atLeast"/>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4DF3CEE">
        <w:tblPrEx>
          <w:tblCellMar>
            <w:top w:w="0" w:type="dxa"/>
            <w:left w:w="0" w:type="dxa"/>
            <w:bottom w:w="0" w:type="dxa"/>
            <w:right w:w="0" w:type="dxa"/>
          </w:tblCellMar>
        </w:tblPrEx>
        <w:trPr>
          <w:trHeight w:val="919" w:hRule="atLeast"/>
          <w:jc w:val="center"/>
        </w:trPr>
        <w:tc>
          <w:tcPr>
            <w:tcW w:w="1797" w:type="dxa"/>
            <w:gridSpan w:val="2"/>
            <w:vMerge w:val="continue"/>
            <w:tcBorders>
              <w:top w:val="nil"/>
              <w:left w:val="single" w:color="auto" w:sz="8" w:space="0"/>
              <w:bottom w:val="single" w:color="auto" w:sz="8" w:space="0"/>
              <w:right w:val="single" w:color="auto" w:sz="8" w:space="0"/>
            </w:tcBorders>
            <w:vAlign w:val="center"/>
          </w:tcPr>
          <w:p w14:paraId="3CBF5CE6">
            <w:pPr>
              <w:widowControl/>
              <w:jc w:val="left"/>
              <w:rPr>
                <w:rFonts w:hint="eastAsia" w:ascii="宋体" w:hAnsi="宋体" w:cs="宋体"/>
                <w:color w:val="auto"/>
                <w:kern w:val="0"/>
                <w:szCs w:val="21"/>
                <w:highlight w:val="none"/>
              </w:rPr>
            </w:pPr>
          </w:p>
        </w:tc>
        <w:tc>
          <w:tcPr>
            <w:tcW w:w="7522" w:type="dxa"/>
            <w:gridSpan w:val="7"/>
            <w:tcBorders>
              <w:top w:val="nil"/>
              <w:left w:val="nil"/>
              <w:bottom w:val="single" w:color="auto" w:sz="8" w:space="0"/>
              <w:right w:val="single" w:color="auto" w:sz="8" w:space="0"/>
            </w:tcBorders>
            <w:vAlign w:val="center"/>
          </w:tcPr>
          <w:p w14:paraId="2510BFC9">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38A4E4AC">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3EF1510E">
        <w:tblPrEx>
          <w:tblCellMar>
            <w:top w:w="0" w:type="dxa"/>
            <w:left w:w="0" w:type="dxa"/>
            <w:bottom w:w="0" w:type="dxa"/>
            <w:right w:w="0" w:type="dxa"/>
          </w:tblCellMar>
        </w:tblPrEx>
        <w:trPr>
          <w:trHeight w:val="515" w:hRule="atLeast"/>
          <w:jc w:val="center"/>
        </w:trPr>
        <w:tc>
          <w:tcPr>
            <w:tcW w:w="931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426ED2">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6C098313">
        <w:tblPrEx>
          <w:tblCellMar>
            <w:top w:w="0" w:type="dxa"/>
            <w:left w:w="0" w:type="dxa"/>
            <w:bottom w:w="0" w:type="dxa"/>
            <w:right w:w="0" w:type="dxa"/>
          </w:tblCellMar>
        </w:tblPrEx>
        <w:trPr>
          <w:trHeight w:val="919" w:hRule="atLeast"/>
          <w:jc w:val="center"/>
        </w:trPr>
        <w:tc>
          <w:tcPr>
            <w:tcW w:w="931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2B99B9">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6C12B210">
            <w:pPr>
              <w:widowControl/>
              <w:spacing w:before="100" w:beforeAutospacing="1" w:after="100" w:afterAutospacing="1" w:line="320" w:lineRule="atLeas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69BA30FB">
        <w:tblPrEx>
          <w:tblCellMar>
            <w:top w:w="0" w:type="dxa"/>
            <w:left w:w="0" w:type="dxa"/>
            <w:bottom w:w="0" w:type="dxa"/>
            <w:right w:w="0" w:type="dxa"/>
          </w:tblCellMar>
        </w:tblPrEx>
        <w:trPr>
          <w:trHeight w:val="1525" w:hRule="atLeast"/>
          <w:jc w:val="center"/>
        </w:trPr>
        <w:tc>
          <w:tcPr>
            <w:tcW w:w="458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778E0F81">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成交供应商负责人签字或者盖章：</w:t>
            </w:r>
          </w:p>
          <w:p w14:paraId="04DE6274">
            <w:pPr>
              <w:widowControl/>
              <w:spacing w:before="100" w:beforeAutospacing="1" w:after="100" w:afterAutospacing="1" w:line="320" w:lineRule="atLeast"/>
              <w:jc w:val="left"/>
              <w:rPr>
                <w:rFonts w:hint="eastAsia" w:ascii="宋体" w:hAnsi="宋体" w:cs="宋体"/>
                <w:color w:val="auto"/>
                <w:kern w:val="0"/>
                <w:szCs w:val="21"/>
                <w:highlight w:val="none"/>
              </w:rPr>
            </w:pPr>
          </w:p>
          <w:p w14:paraId="7ACCF170">
            <w:pPr>
              <w:widowControl/>
              <w:spacing w:before="100" w:beforeAutospacing="1" w:after="100" w:afterAutospacing="1" w:line="32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737" w:type="dxa"/>
            <w:gridSpan w:val="4"/>
            <w:tcBorders>
              <w:top w:val="nil"/>
              <w:left w:val="nil"/>
              <w:bottom w:val="single" w:color="auto" w:sz="8" w:space="0"/>
              <w:right w:val="single" w:color="auto" w:sz="8" w:space="0"/>
            </w:tcBorders>
            <w:vAlign w:val="center"/>
          </w:tcPr>
          <w:p w14:paraId="1C6289BE">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7465764B">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p>
          <w:p w14:paraId="7AB02B5A">
            <w:pPr>
              <w:widowControl/>
              <w:spacing w:before="100" w:beforeAutospacing="1" w:after="100" w:afterAutospacing="1" w:line="320" w:lineRule="atLeas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20A1799A">
      <w:pPr>
        <w:jc w:val="left"/>
        <w:rPr>
          <w:rFonts w:hint="eastAsia" w:ascii="宋体" w:hAnsi="宋体" w:cs="宋体"/>
          <w:b/>
          <w:bCs/>
          <w:color w:val="auto"/>
          <w:kern w:val="0"/>
          <w:sz w:val="32"/>
          <w:szCs w:val="32"/>
          <w:highlight w:val="none"/>
        </w:rPr>
      </w:pPr>
      <w:r>
        <w:rPr>
          <w:rFonts w:hint="eastAsia" w:ascii="宋体" w:hAnsi="宋体" w:cs="宋体"/>
          <w:color w:val="auto"/>
          <w:highlight w:val="none"/>
        </w:rPr>
        <w:br w:type="page"/>
      </w:r>
      <w:r>
        <w:rPr>
          <w:rFonts w:hint="eastAsia" w:ascii="宋体" w:hAnsi="宋体" w:cs="宋体"/>
          <w:b/>
          <w:bCs/>
          <w:color w:val="auto"/>
          <w:kern w:val="0"/>
          <w:sz w:val="32"/>
          <w:szCs w:val="32"/>
          <w:highlight w:val="none"/>
        </w:rPr>
        <w:t>附件4：</w:t>
      </w:r>
    </w:p>
    <w:p w14:paraId="7796010B">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采购项目履约保证金退付意见书</w:t>
      </w:r>
    </w:p>
    <w:p w14:paraId="2B9B560A">
      <w:pPr>
        <w:jc w:val="center"/>
        <w:rPr>
          <w:rFonts w:hint="eastAsia" w:ascii="宋体" w:hAnsi="宋体" w:cs="宋体"/>
          <w:color w:val="auto"/>
          <w:sz w:val="36"/>
          <w:szCs w:val="36"/>
          <w:highlight w:val="none"/>
        </w:rPr>
      </w:pPr>
    </w:p>
    <w:tbl>
      <w:tblPr>
        <w:tblStyle w:val="62"/>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7CC8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5B7D7317">
            <w:pPr>
              <w:jc w:val="center"/>
              <w:rPr>
                <w:rFonts w:hint="eastAsia" w:ascii="宋体" w:hAnsi="宋体" w:cs="宋体"/>
                <w:color w:val="auto"/>
                <w:sz w:val="24"/>
                <w:highlight w:val="none"/>
              </w:rPr>
            </w:pPr>
            <w:r>
              <w:rPr>
                <w:rFonts w:hint="eastAsia" w:ascii="宋体" w:hAnsi="宋体" w:cs="宋体"/>
                <w:color w:val="auto"/>
                <w:sz w:val="24"/>
                <w:highlight w:val="none"/>
              </w:rPr>
              <w:t>供</w:t>
            </w:r>
          </w:p>
          <w:p w14:paraId="1E58CA1C">
            <w:pPr>
              <w:jc w:val="center"/>
              <w:rPr>
                <w:rFonts w:hint="eastAsia" w:ascii="宋体" w:hAnsi="宋体" w:cs="宋体"/>
                <w:color w:val="auto"/>
                <w:sz w:val="24"/>
                <w:highlight w:val="none"/>
              </w:rPr>
            </w:pPr>
            <w:r>
              <w:rPr>
                <w:rFonts w:hint="eastAsia" w:ascii="宋体" w:hAnsi="宋体" w:cs="宋体"/>
                <w:color w:val="auto"/>
                <w:sz w:val="24"/>
                <w:highlight w:val="none"/>
              </w:rPr>
              <w:t>应</w:t>
            </w:r>
          </w:p>
          <w:p w14:paraId="062907FC">
            <w:pPr>
              <w:jc w:val="center"/>
              <w:rPr>
                <w:rFonts w:hint="eastAsia" w:ascii="宋体" w:hAnsi="宋体" w:cs="宋体"/>
                <w:color w:val="auto"/>
                <w:sz w:val="24"/>
                <w:highlight w:val="none"/>
              </w:rPr>
            </w:pPr>
            <w:r>
              <w:rPr>
                <w:rFonts w:hint="eastAsia" w:ascii="宋体" w:hAnsi="宋体" w:cs="宋体"/>
                <w:color w:val="auto"/>
                <w:sz w:val="24"/>
                <w:highlight w:val="none"/>
              </w:rPr>
              <w:t>商</w:t>
            </w:r>
          </w:p>
          <w:p w14:paraId="5EB03901">
            <w:pPr>
              <w:jc w:val="center"/>
              <w:rPr>
                <w:rFonts w:hint="eastAsia" w:ascii="宋体" w:hAnsi="宋体" w:cs="宋体"/>
                <w:color w:val="auto"/>
                <w:sz w:val="24"/>
                <w:highlight w:val="none"/>
              </w:rPr>
            </w:pPr>
            <w:r>
              <w:rPr>
                <w:rFonts w:hint="eastAsia" w:ascii="宋体" w:hAnsi="宋体" w:cs="宋体"/>
                <w:color w:val="auto"/>
                <w:sz w:val="24"/>
                <w:highlight w:val="none"/>
              </w:rPr>
              <w:t>申</w:t>
            </w:r>
          </w:p>
          <w:p w14:paraId="2AE48717">
            <w:pPr>
              <w:jc w:val="center"/>
              <w:rPr>
                <w:rFonts w:hint="eastAsia" w:ascii="宋体" w:hAnsi="宋体" w:cs="宋体"/>
                <w:color w:val="auto"/>
                <w:sz w:val="24"/>
                <w:highlight w:val="none"/>
              </w:rPr>
            </w:pPr>
            <w:r>
              <w:rPr>
                <w:rFonts w:hint="eastAsia" w:ascii="宋体" w:hAnsi="宋体" w:cs="宋体"/>
                <w:color w:val="auto"/>
                <w:sz w:val="24"/>
                <w:highlight w:val="none"/>
              </w:rPr>
              <w:t>请</w:t>
            </w:r>
          </w:p>
        </w:tc>
        <w:tc>
          <w:tcPr>
            <w:tcW w:w="8009" w:type="dxa"/>
            <w:tcBorders>
              <w:top w:val="single" w:color="auto" w:sz="4" w:space="0"/>
              <w:left w:val="single" w:color="auto" w:sz="4" w:space="0"/>
              <w:bottom w:val="single" w:color="auto" w:sz="4" w:space="0"/>
              <w:right w:val="single" w:color="auto" w:sz="4" w:space="0"/>
            </w:tcBorders>
            <w:vAlign w:val="center"/>
          </w:tcPr>
          <w:p w14:paraId="44922918">
            <w:pPr>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7DD2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B53C817">
            <w:pPr>
              <w:widowControl/>
              <w:jc w:val="left"/>
              <w:rPr>
                <w:rFonts w:hint="eastAsia" w:ascii="宋体" w:hAnsi="宋体" w:cs="宋体"/>
                <w:color w:val="auto"/>
                <w:sz w:val="24"/>
                <w:highlight w:val="none"/>
              </w:rPr>
            </w:pPr>
          </w:p>
        </w:tc>
        <w:tc>
          <w:tcPr>
            <w:tcW w:w="8009" w:type="dxa"/>
            <w:tcBorders>
              <w:top w:val="single" w:color="auto" w:sz="4" w:space="0"/>
              <w:left w:val="single" w:color="auto" w:sz="4" w:space="0"/>
              <w:bottom w:val="single" w:color="auto" w:sz="4" w:space="0"/>
              <w:right w:val="single" w:color="auto" w:sz="4" w:space="0"/>
            </w:tcBorders>
            <w:vAlign w:val="center"/>
          </w:tcPr>
          <w:p w14:paraId="07BC40F8">
            <w:pPr>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3F49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5077E900">
            <w:pPr>
              <w:widowControl/>
              <w:jc w:val="left"/>
              <w:rPr>
                <w:rFonts w:hint="eastAsia" w:ascii="宋体" w:hAnsi="宋体" w:cs="宋体"/>
                <w:color w:val="auto"/>
                <w:sz w:val="24"/>
                <w:highlight w:val="none"/>
              </w:rPr>
            </w:pPr>
          </w:p>
        </w:tc>
        <w:tc>
          <w:tcPr>
            <w:tcW w:w="8009" w:type="dxa"/>
            <w:tcBorders>
              <w:top w:val="single" w:color="auto" w:sz="4" w:space="0"/>
              <w:left w:val="single" w:color="auto" w:sz="4" w:space="0"/>
              <w:bottom w:val="single" w:color="auto" w:sz="4" w:space="0"/>
              <w:right w:val="single" w:color="auto" w:sz="4" w:space="0"/>
            </w:tcBorders>
          </w:tcPr>
          <w:p w14:paraId="15CB162F">
            <w:pPr>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9A8C31E">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22089624">
            <w:pPr>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1C3BB0E3">
            <w:pPr>
              <w:rPr>
                <w:rFonts w:hint="eastAsia" w:ascii="宋体" w:hAnsi="宋体" w:cs="宋体"/>
                <w:color w:val="auto"/>
                <w:sz w:val="24"/>
                <w:highlight w:val="none"/>
              </w:rPr>
            </w:pPr>
            <w:r>
              <w:rPr>
                <w:rFonts w:hint="eastAsia" w:ascii="宋体" w:hAnsi="宋体" w:cs="宋体"/>
                <w:color w:val="auto"/>
                <w:sz w:val="24"/>
                <w:highlight w:val="none"/>
              </w:rPr>
              <w:t>单位名称：</w:t>
            </w:r>
          </w:p>
          <w:p w14:paraId="2E6FFBDE">
            <w:pPr>
              <w:rPr>
                <w:rFonts w:hint="eastAsia" w:ascii="宋体" w:hAnsi="宋体" w:cs="宋体"/>
                <w:color w:val="auto"/>
                <w:sz w:val="24"/>
                <w:highlight w:val="none"/>
              </w:rPr>
            </w:pPr>
            <w:r>
              <w:rPr>
                <w:rFonts w:hint="eastAsia" w:ascii="宋体" w:hAnsi="宋体" w:cs="宋体"/>
                <w:color w:val="auto"/>
                <w:sz w:val="24"/>
                <w:highlight w:val="none"/>
              </w:rPr>
              <w:t>开户银行：</w:t>
            </w:r>
          </w:p>
          <w:p w14:paraId="3D440376">
            <w:pPr>
              <w:rPr>
                <w:rFonts w:hint="eastAsia" w:ascii="宋体" w:hAnsi="宋体" w:cs="宋体"/>
                <w:color w:val="auto"/>
                <w:sz w:val="24"/>
                <w:highlight w:val="none"/>
              </w:rPr>
            </w:pPr>
            <w:r>
              <w:rPr>
                <w:rFonts w:hint="eastAsia" w:ascii="宋体" w:hAnsi="宋体" w:cs="宋体"/>
                <w:color w:val="auto"/>
                <w:sz w:val="24"/>
                <w:highlight w:val="none"/>
              </w:rPr>
              <w:t>帐    号：</w:t>
            </w:r>
          </w:p>
          <w:p w14:paraId="1A57074E">
            <w:pPr>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731281F0">
            <w:pPr>
              <w:rPr>
                <w:rFonts w:hint="eastAsia" w:ascii="宋体" w:hAnsi="宋体" w:cs="宋体"/>
                <w:color w:val="auto"/>
                <w:sz w:val="24"/>
                <w:highlight w:val="none"/>
              </w:rPr>
            </w:pPr>
          </w:p>
          <w:p w14:paraId="02BDCD81">
            <w:pPr>
              <w:jc w:val="center"/>
              <w:rPr>
                <w:rFonts w:hint="eastAsia" w:ascii="宋体" w:hAnsi="宋体" w:cs="宋体"/>
                <w:color w:val="auto"/>
                <w:sz w:val="24"/>
                <w:highlight w:val="none"/>
              </w:rPr>
            </w:pPr>
            <w:r>
              <w:rPr>
                <w:rFonts w:hint="eastAsia" w:ascii="宋体" w:hAnsi="宋体" w:cs="宋体"/>
                <w:color w:val="auto"/>
                <w:sz w:val="24"/>
                <w:highlight w:val="none"/>
              </w:rPr>
              <w:t xml:space="preserve">                           供应商签章：</w:t>
            </w:r>
          </w:p>
          <w:p w14:paraId="7B77BDEC">
            <w:pPr>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49D9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EB6ABCA">
            <w:pPr>
              <w:jc w:val="center"/>
              <w:rPr>
                <w:rFonts w:hint="eastAsia" w:ascii="宋体" w:hAnsi="宋体" w:cs="宋体"/>
                <w:color w:val="auto"/>
                <w:sz w:val="24"/>
                <w:highlight w:val="none"/>
              </w:rPr>
            </w:pPr>
            <w:r>
              <w:rPr>
                <w:rFonts w:hint="eastAsia" w:ascii="宋体" w:hAnsi="宋体" w:cs="宋体"/>
                <w:color w:val="auto"/>
                <w:sz w:val="24"/>
                <w:highlight w:val="none"/>
              </w:rPr>
              <w:t>采</w:t>
            </w:r>
          </w:p>
          <w:p w14:paraId="3A058537">
            <w:pPr>
              <w:jc w:val="center"/>
              <w:rPr>
                <w:rFonts w:hint="eastAsia" w:ascii="宋体" w:hAnsi="宋体" w:cs="宋体"/>
                <w:color w:val="auto"/>
                <w:sz w:val="24"/>
                <w:highlight w:val="none"/>
              </w:rPr>
            </w:pPr>
            <w:r>
              <w:rPr>
                <w:rFonts w:hint="eastAsia" w:ascii="宋体" w:hAnsi="宋体" w:cs="宋体"/>
                <w:color w:val="auto"/>
                <w:sz w:val="24"/>
                <w:highlight w:val="none"/>
              </w:rPr>
              <w:t>购</w:t>
            </w:r>
          </w:p>
          <w:p w14:paraId="16ADB380">
            <w:pPr>
              <w:jc w:val="center"/>
              <w:rPr>
                <w:rFonts w:hint="eastAsia" w:ascii="宋体" w:hAnsi="宋体" w:cs="宋体"/>
                <w:color w:val="auto"/>
                <w:sz w:val="24"/>
                <w:highlight w:val="none"/>
              </w:rPr>
            </w:pPr>
            <w:r>
              <w:rPr>
                <w:rFonts w:hint="eastAsia" w:ascii="宋体" w:hAnsi="宋体" w:cs="宋体"/>
                <w:color w:val="auto"/>
                <w:sz w:val="24"/>
                <w:highlight w:val="none"/>
              </w:rPr>
              <w:t>单</w:t>
            </w:r>
          </w:p>
          <w:p w14:paraId="000E9737">
            <w:pPr>
              <w:jc w:val="center"/>
              <w:rPr>
                <w:rFonts w:hint="eastAsia" w:ascii="宋体" w:hAnsi="宋体" w:cs="宋体"/>
                <w:color w:val="auto"/>
                <w:sz w:val="24"/>
                <w:highlight w:val="none"/>
              </w:rPr>
            </w:pPr>
            <w:r>
              <w:rPr>
                <w:rFonts w:hint="eastAsia" w:ascii="宋体" w:hAnsi="宋体" w:cs="宋体"/>
                <w:color w:val="auto"/>
                <w:sz w:val="24"/>
                <w:highlight w:val="none"/>
              </w:rPr>
              <w:t>位</w:t>
            </w:r>
          </w:p>
          <w:p w14:paraId="01FB26EA">
            <w:pPr>
              <w:jc w:val="center"/>
              <w:rPr>
                <w:rFonts w:hint="eastAsia" w:ascii="宋体" w:hAnsi="宋体" w:cs="宋体"/>
                <w:color w:val="auto"/>
                <w:sz w:val="24"/>
                <w:highlight w:val="none"/>
              </w:rPr>
            </w:pPr>
            <w:r>
              <w:rPr>
                <w:rFonts w:hint="eastAsia" w:ascii="宋体" w:hAnsi="宋体" w:cs="宋体"/>
                <w:color w:val="auto"/>
                <w:sz w:val="24"/>
                <w:highlight w:val="none"/>
              </w:rPr>
              <w:t>意</w:t>
            </w:r>
          </w:p>
          <w:p w14:paraId="17A67FD3">
            <w:pPr>
              <w:jc w:val="center"/>
              <w:rPr>
                <w:rFonts w:hint="eastAsia" w:ascii="宋体" w:hAnsi="宋体" w:cs="宋体"/>
                <w:color w:val="auto"/>
                <w:sz w:val="24"/>
                <w:highlight w:val="none"/>
              </w:rPr>
            </w:pPr>
            <w:r>
              <w:rPr>
                <w:rFonts w:hint="eastAsia" w:ascii="宋体" w:hAnsi="宋体" w:cs="宋体"/>
                <w:color w:val="auto"/>
                <w:sz w:val="24"/>
                <w:highlight w:val="none"/>
              </w:rPr>
              <w:t>见</w:t>
            </w:r>
          </w:p>
        </w:tc>
        <w:tc>
          <w:tcPr>
            <w:tcW w:w="8009" w:type="dxa"/>
            <w:tcBorders>
              <w:top w:val="single" w:color="auto" w:sz="4" w:space="0"/>
              <w:left w:val="single" w:color="auto" w:sz="4" w:space="0"/>
              <w:bottom w:val="single" w:color="auto" w:sz="4" w:space="0"/>
              <w:right w:val="single" w:color="auto" w:sz="4" w:space="0"/>
            </w:tcBorders>
          </w:tcPr>
          <w:p w14:paraId="2461F5A8">
            <w:pPr>
              <w:rPr>
                <w:rFonts w:hint="eastAsia" w:ascii="宋体" w:hAnsi="宋体" w:cs="宋体"/>
                <w:color w:val="auto"/>
                <w:sz w:val="24"/>
                <w:highlight w:val="none"/>
              </w:rPr>
            </w:pPr>
          </w:p>
          <w:p w14:paraId="3C13AED4">
            <w:pPr>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5DC9D6B0">
            <w:pPr>
              <w:rPr>
                <w:rFonts w:hint="eastAsia" w:ascii="宋体" w:hAnsi="宋体" w:cs="宋体"/>
                <w:color w:val="auto"/>
                <w:sz w:val="24"/>
                <w:highlight w:val="none"/>
              </w:rPr>
            </w:pPr>
          </w:p>
          <w:p w14:paraId="5BFBC902">
            <w:pPr>
              <w:rPr>
                <w:rFonts w:hint="eastAsia" w:ascii="宋体" w:hAnsi="宋体" w:cs="宋体"/>
                <w:color w:val="auto"/>
                <w:sz w:val="24"/>
                <w:highlight w:val="none"/>
              </w:rPr>
            </w:pPr>
          </w:p>
          <w:p w14:paraId="16F33ABC">
            <w:pPr>
              <w:rPr>
                <w:rFonts w:hint="eastAsia" w:ascii="宋体" w:hAnsi="宋体" w:cs="宋体"/>
                <w:color w:val="auto"/>
                <w:sz w:val="24"/>
                <w:highlight w:val="none"/>
              </w:rPr>
            </w:pPr>
            <w:r>
              <w:rPr>
                <w:rFonts w:hint="eastAsia" w:ascii="宋体" w:hAnsi="宋体" w:cs="宋体"/>
                <w:color w:val="auto"/>
                <w:sz w:val="24"/>
                <w:highlight w:val="none"/>
              </w:rPr>
              <w:t xml:space="preserve">联系人及电话：                                </w:t>
            </w:r>
          </w:p>
          <w:p w14:paraId="4DBE0F5A">
            <w:pPr>
              <w:rPr>
                <w:rFonts w:hint="eastAsia" w:ascii="宋体" w:hAnsi="宋体" w:cs="宋体"/>
                <w:color w:val="auto"/>
                <w:sz w:val="24"/>
                <w:highlight w:val="none"/>
              </w:rPr>
            </w:pPr>
          </w:p>
          <w:p w14:paraId="31A22248">
            <w:pPr>
              <w:ind w:firstLine="4560" w:firstLineChars="1900"/>
              <w:rPr>
                <w:rFonts w:hint="eastAsia" w:ascii="宋体" w:hAnsi="宋体" w:cs="宋体"/>
                <w:color w:val="auto"/>
                <w:sz w:val="24"/>
                <w:highlight w:val="none"/>
              </w:rPr>
            </w:pPr>
            <w:r>
              <w:rPr>
                <w:rFonts w:hint="eastAsia" w:ascii="宋体" w:hAnsi="宋体" w:cs="宋体"/>
                <w:color w:val="auto"/>
                <w:sz w:val="24"/>
                <w:highlight w:val="none"/>
              </w:rPr>
              <w:t xml:space="preserve"> 采购人签章：</w:t>
            </w:r>
          </w:p>
          <w:p w14:paraId="2BA6F971">
            <w:pPr>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06A0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471D16B">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8009" w:type="dxa"/>
            <w:tcBorders>
              <w:top w:val="single" w:color="auto" w:sz="4" w:space="0"/>
              <w:left w:val="single" w:color="auto" w:sz="4" w:space="0"/>
              <w:bottom w:val="single" w:color="auto" w:sz="4" w:space="0"/>
              <w:right w:val="single" w:color="auto" w:sz="4" w:space="0"/>
            </w:tcBorders>
          </w:tcPr>
          <w:p w14:paraId="29B37DDF">
            <w:pPr>
              <w:rPr>
                <w:rFonts w:hint="eastAsia" w:ascii="宋体" w:hAnsi="宋体" w:cs="宋体"/>
                <w:color w:val="auto"/>
                <w:sz w:val="24"/>
                <w:highlight w:val="none"/>
              </w:rPr>
            </w:pPr>
          </w:p>
        </w:tc>
      </w:tr>
    </w:tbl>
    <w:p w14:paraId="7352DE2F">
      <w:pPr>
        <w:spacing w:line="380" w:lineRule="exact"/>
        <w:ind w:left="1" w:firstLine="2" w:firstLineChars="1"/>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注：供应商凭经采购人审批的退付意见书到履约保证金收取单位财务部门办理履约保证金退付事宜。</w:t>
      </w:r>
    </w:p>
    <w:p w14:paraId="0E9B1E7F">
      <w:pPr>
        <w:pStyle w:val="161"/>
        <w:rPr>
          <w:rFonts w:hint="eastAsia" w:ascii="宋体" w:hAnsi="宋体" w:cs="宋体"/>
          <w:color w:val="auto"/>
          <w:highlight w:val="none"/>
        </w:rPr>
      </w:pPr>
    </w:p>
    <w:p w14:paraId="5827C49B">
      <w:pPr>
        <w:pStyle w:val="161"/>
        <w:rPr>
          <w:rFonts w:hint="eastAsia" w:ascii="宋体" w:hAnsi="宋体" w:cs="宋体"/>
          <w:color w:val="auto"/>
          <w:highlight w:val="none"/>
        </w:rPr>
        <w:sectPr>
          <w:headerReference r:id="rId6" w:type="first"/>
          <w:footerReference r:id="rId8" w:type="first"/>
          <w:footerReference r:id="rId7" w:type="default"/>
          <w:pgSz w:w="11910" w:h="16840"/>
          <w:pgMar w:top="1134" w:right="1134" w:bottom="1134" w:left="1134" w:header="720" w:footer="720" w:gutter="0"/>
          <w:pgNumType w:start="0"/>
          <w:cols w:space="0" w:num="1"/>
          <w:titlePg/>
          <w:docGrid w:linePitch="286" w:charSpace="0"/>
        </w:sectPr>
      </w:pPr>
    </w:p>
    <w:p w14:paraId="70F601C5">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bookmarkStart w:id="44" w:name="_Toc2582"/>
      <w:bookmarkStart w:id="45" w:name="_Toc18664"/>
      <w:r>
        <w:rPr>
          <w:rFonts w:hint="eastAsia" w:ascii="宋体" w:hAnsi="宋体" w:cs="宋体"/>
          <w:color w:val="auto"/>
          <w:highlight w:val="none"/>
        </w:rPr>
        <w:t>第三章  投标人须知</w:t>
      </w:r>
      <w:bookmarkEnd w:id="44"/>
      <w:bookmarkEnd w:id="45"/>
    </w:p>
    <w:p w14:paraId="3244A36C">
      <w:pPr>
        <w:jc w:val="center"/>
        <w:rPr>
          <w:rFonts w:hint="eastAsia" w:ascii="宋体" w:hAnsi="宋体" w:cs="宋体"/>
          <w:color w:val="auto"/>
          <w:sz w:val="36"/>
          <w:szCs w:val="36"/>
          <w:highlight w:val="none"/>
        </w:rPr>
      </w:pPr>
      <w:bookmarkStart w:id="46" w:name="_Toc254970667"/>
      <w:bookmarkStart w:id="47" w:name="_Toc254970526"/>
      <w:r>
        <w:rPr>
          <w:rFonts w:hint="eastAsia" w:ascii="宋体" w:hAnsi="宋体" w:cs="宋体"/>
          <w:color w:val="auto"/>
          <w:sz w:val="36"/>
          <w:szCs w:val="36"/>
          <w:highlight w:val="none"/>
        </w:rPr>
        <w:t>投标人须知前附表</w:t>
      </w:r>
      <w:bookmarkEnd w:id="46"/>
      <w:bookmarkEnd w:id="47"/>
    </w:p>
    <w:tbl>
      <w:tblPr>
        <w:tblStyle w:val="62"/>
        <w:tblW w:w="91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6F012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5B13D054">
            <w:pPr>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0F0D18BB">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编列内容</w:t>
            </w:r>
          </w:p>
        </w:tc>
      </w:tr>
      <w:tr w14:paraId="42861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354B934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66FA72B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6608FB9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39DF0AD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49E66C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DA43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21E3E591">
            <w:pPr>
              <w:spacing w:line="360" w:lineRule="auto"/>
              <w:jc w:val="center"/>
              <w:rPr>
                <w:rFonts w:hint="eastAsia" w:ascii="宋体" w:hAnsi="宋体" w:cs="宋体"/>
                <w:color w:val="auto"/>
                <w:szCs w:val="21"/>
                <w:highlight w:val="none"/>
              </w:rPr>
            </w:pPr>
            <w:bookmarkStart w:id="48" w:name="_9.2"/>
            <w:bookmarkEnd w:id="48"/>
            <w:bookmarkStart w:id="49" w:name="_5"/>
            <w:bookmarkEnd w:id="49"/>
            <w:bookmarkStart w:id="50" w:name="_8.1"/>
            <w:bookmarkEnd w:id="50"/>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46E4DD69">
            <w:pPr>
              <w:pStyle w:val="19"/>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本项目是否接受联合体投标：详见招标公告。</w:t>
            </w:r>
          </w:p>
        </w:tc>
      </w:tr>
      <w:tr w14:paraId="72E93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08F50D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vAlign w:val="center"/>
          </w:tcPr>
          <w:p w14:paraId="73AEB7F3">
            <w:pPr>
              <w:pStyle w:val="19"/>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3B4BDD54">
            <w:pPr>
              <w:pStyle w:val="19"/>
              <w:spacing w:line="360" w:lineRule="auto"/>
              <w:rPr>
                <w:rFonts w:hint="eastAsia" w:ascii="宋体" w:hAnsi="宋体" w:cs="宋体"/>
                <w:color w:val="auto"/>
                <w:szCs w:val="21"/>
                <w:highlight w:val="none"/>
              </w:rPr>
            </w:pPr>
            <w:r>
              <w:rPr>
                <w:rFonts w:hint="eastAsia" w:ascii="宋体" w:hAnsi="宋体" w:cs="宋体"/>
                <w:color w:val="auto"/>
                <w:szCs w:val="21"/>
                <w:highlight w:val="none"/>
              </w:rPr>
              <w:t>□允许分包</w:t>
            </w:r>
          </w:p>
          <w:p w14:paraId="188C68D7">
            <w:pPr>
              <w:pStyle w:val="19"/>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1D891A7F">
            <w:pPr>
              <w:pStyle w:val="19"/>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BCF1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restart"/>
            <w:tcBorders>
              <w:top w:val="single" w:color="auto" w:sz="4" w:space="0"/>
              <w:left w:val="single" w:color="auto" w:sz="4" w:space="0"/>
              <w:right w:val="single" w:color="auto" w:sz="4" w:space="0"/>
            </w:tcBorders>
            <w:vAlign w:val="center"/>
          </w:tcPr>
          <w:p w14:paraId="3141105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175" w:type="dxa"/>
            <w:tcBorders>
              <w:top w:val="single" w:color="auto" w:sz="4" w:space="0"/>
              <w:left w:val="single" w:color="auto" w:sz="4" w:space="0"/>
              <w:bottom w:val="single" w:color="auto" w:sz="4" w:space="0"/>
              <w:right w:val="single" w:color="auto" w:sz="4" w:space="0"/>
            </w:tcBorders>
            <w:vAlign w:val="center"/>
          </w:tcPr>
          <w:p w14:paraId="2C8DE0E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√不组织现场考察</w:t>
            </w:r>
          </w:p>
          <w:p w14:paraId="69CBC7D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□组织现场考察：</w:t>
            </w:r>
          </w:p>
          <w:p w14:paraId="4D5BCE1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highlight w:val="none"/>
              </w:rPr>
              <w:t>第二章采购需求</w:t>
            </w:r>
            <w:r>
              <w:rPr>
                <w:rFonts w:hint="eastAsia" w:ascii="宋体" w:hAnsi="宋体" w:cs="宋体"/>
                <w:color w:val="auto"/>
                <w:szCs w:val="21"/>
                <w:highlight w:val="none"/>
              </w:rPr>
              <w:t>》</w:t>
            </w:r>
          </w:p>
        </w:tc>
      </w:tr>
      <w:tr w14:paraId="28B6D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left w:val="single" w:color="auto" w:sz="4" w:space="0"/>
              <w:bottom w:val="single" w:color="auto" w:sz="4" w:space="0"/>
              <w:right w:val="single" w:color="auto" w:sz="4" w:space="0"/>
            </w:tcBorders>
            <w:vAlign w:val="center"/>
          </w:tcPr>
          <w:p w14:paraId="0B9EBB2F">
            <w:pPr>
              <w:spacing w:line="360" w:lineRule="auto"/>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vAlign w:val="center"/>
          </w:tcPr>
          <w:p w14:paraId="2613400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p w14:paraId="0A3000A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□组织召开开标前答疑会</w:t>
            </w:r>
          </w:p>
          <w:p w14:paraId="6D42F4D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会议开始时间：/年/月/日/时/分，逾期后果自负。会议地点：/</w:t>
            </w:r>
          </w:p>
        </w:tc>
      </w:tr>
      <w:tr w14:paraId="3BEBF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restart"/>
            <w:tcBorders>
              <w:top w:val="single" w:color="auto" w:sz="4" w:space="0"/>
              <w:left w:val="single" w:color="auto" w:sz="4" w:space="0"/>
              <w:right w:val="single" w:color="auto" w:sz="4" w:space="0"/>
            </w:tcBorders>
            <w:vAlign w:val="center"/>
          </w:tcPr>
          <w:p w14:paraId="169ED707">
            <w:pPr>
              <w:spacing w:line="360" w:lineRule="auto"/>
              <w:jc w:val="center"/>
              <w:rPr>
                <w:rFonts w:hint="eastAsia" w:ascii="宋体" w:hAnsi="宋体" w:cs="宋体"/>
                <w:color w:val="auto"/>
                <w:szCs w:val="21"/>
                <w:highlight w:val="none"/>
              </w:rPr>
            </w:pPr>
            <w:bookmarkStart w:id="51" w:name="_13.1"/>
            <w:bookmarkEnd w:id="51"/>
            <w:r>
              <w:rPr>
                <w:rFonts w:hint="eastAsia" w:ascii="宋体" w:hAnsi="宋体" w:cs="宋体"/>
                <w:color w:val="auto"/>
                <w:szCs w:val="21"/>
                <w:highlight w:val="none"/>
              </w:rPr>
              <w:t>5</w:t>
            </w:r>
          </w:p>
        </w:tc>
        <w:tc>
          <w:tcPr>
            <w:tcW w:w="8175" w:type="dxa"/>
            <w:tcBorders>
              <w:top w:val="single" w:color="auto" w:sz="4" w:space="0"/>
              <w:left w:val="single" w:color="auto" w:sz="4" w:space="0"/>
              <w:bottom w:val="single" w:color="auto" w:sz="4" w:space="0"/>
              <w:right w:val="single" w:color="auto" w:sz="4" w:space="0"/>
            </w:tcBorders>
            <w:vAlign w:val="center"/>
          </w:tcPr>
          <w:p w14:paraId="3F2EC25C">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5BA3F342">
            <w:pPr>
              <w:tabs>
                <w:tab w:val="left" w:pos="459"/>
              </w:tabs>
              <w:snapToGrid w:val="0"/>
              <w:spacing w:line="360" w:lineRule="auto"/>
              <w:ind w:left="420"/>
              <w:jc w:val="left"/>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47B2105C">
            <w:pPr>
              <w:tabs>
                <w:tab w:val="left" w:pos="459"/>
              </w:tabs>
              <w:snapToGrid w:val="0"/>
              <w:spacing w:line="360" w:lineRule="auto"/>
              <w:ind w:left="420"/>
              <w:jc w:val="left"/>
              <w:rPr>
                <w:rFonts w:hint="eastAsia" w:ascii="宋体" w:hAnsi="宋体" w:cs="宋体"/>
                <w:b/>
                <w:color w:val="auto"/>
                <w:szCs w:val="21"/>
                <w:highlight w:val="none"/>
              </w:rPr>
            </w:pPr>
            <w:r>
              <w:rPr>
                <w:rFonts w:hint="eastAsia" w:ascii="宋体" w:hAnsi="宋体" w:cs="宋体"/>
                <w:color w:val="auto"/>
                <w:szCs w:val="21"/>
                <w:highlight w:val="none"/>
              </w:rPr>
              <w:t xml:space="preserve">2.开标一览表（格式后附）； </w:t>
            </w:r>
            <w:r>
              <w:rPr>
                <w:rFonts w:hint="eastAsia" w:ascii="宋体" w:hAnsi="宋体" w:cs="宋体"/>
                <w:b/>
                <w:color w:val="auto"/>
                <w:szCs w:val="21"/>
                <w:highlight w:val="none"/>
              </w:rPr>
              <w:t>（必须提供，否则按无效投标处理）</w:t>
            </w:r>
          </w:p>
          <w:p w14:paraId="23488E24">
            <w:pPr>
              <w:tabs>
                <w:tab w:val="left" w:pos="459"/>
              </w:tabs>
              <w:snapToGrid w:val="0"/>
              <w:spacing w:line="360" w:lineRule="auto"/>
              <w:ind w:left="420"/>
              <w:jc w:val="left"/>
              <w:rPr>
                <w:rFonts w:hint="eastAsia"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r>
              <w:rPr>
                <w:rFonts w:hint="eastAsia" w:ascii="宋体" w:hAnsi="宋体" w:cs="宋体"/>
                <w:b/>
                <w:color w:val="auto"/>
                <w:szCs w:val="21"/>
                <w:highlight w:val="none"/>
              </w:rPr>
              <w:t>如《中小企业声明函》</w:t>
            </w:r>
          </w:p>
          <w:p w14:paraId="444EAD93">
            <w:pPr>
              <w:snapToGrid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注：以上标明“必须提供”的材料属于复印件的，必须加盖投标人电子签章，否则按无效投标</w:t>
            </w:r>
            <w:r>
              <w:rPr>
                <w:rFonts w:hint="eastAsia" w:ascii="宋体" w:hAnsi="宋体" w:cs="宋体"/>
                <w:b/>
                <w:color w:val="auto"/>
                <w:szCs w:val="21"/>
                <w:highlight w:val="none"/>
              </w:rPr>
              <w:t>处理。</w:t>
            </w:r>
          </w:p>
        </w:tc>
      </w:tr>
      <w:tr w14:paraId="1B4A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left w:val="single" w:color="auto" w:sz="4" w:space="0"/>
              <w:right w:val="single" w:color="auto" w:sz="4" w:space="0"/>
            </w:tcBorders>
            <w:vAlign w:val="center"/>
          </w:tcPr>
          <w:p w14:paraId="016237E6">
            <w:pPr>
              <w:spacing w:line="360" w:lineRule="auto"/>
              <w:rPr>
                <w:rFonts w:hint="eastAsia" w:ascii="宋体" w:hAnsi="宋体" w:cs="宋体"/>
                <w:color w:val="auto"/>
                <w:szCs w:val="21"/>
                <w:highlight w:val="none"/>
              </w:rPr>
            </w:pPr>
            <w:bookmarkStart w:id="52" w:name="_13.2"/>
            <w:bookmarkEnd w:id="52"/>
          </w:p>
        </w:tc>
        <w:tc>
          <w:tcPr>
            <w:tcW w:w="8175" w:type="dxa"/>
            <w:tcBorders>
              <w:top w:val="single" w:color="auto" w:sz="4" w:space="0"/>
              <w:left w:val="single" w:color="auto" w:sz="4" w:space="0"/>
              <w:bottom w:val="single" w:color="auto" w:sz="4" w:space="0"/>
              <w:right w:val="single" w:color="auto" w:sz="4" w:space="0"/>
            </w:tcBorders>
            <w:vAlign w:val="center"/>
          </w:tcPr>
          <w:p w14:paraId="474A7ED5">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7047B933">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347"/>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CC9E71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2.投标人依法缴纳税收的相关材料（2025年1月至2025年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内任意3个月的依法缴纳税收的凭据复印件；依法免税的供应商，必须提供符合免税条件的证明材料。从成立之日起到投标文件提交截止时间止不足要求月数的，只需提供从成立之日起的依法缴纳税收相应证明文件）；</w:t>
            </w:r>
            <w:r>
              <w:rPr>
                <w:rFonts w:hint="eastAsia" w:ascii="宋体" w:hAnsi="宋体" w:cs="宋体"/>
                <w:b/>
                <w:bCs/>
                <w:color w:val="auto"/>
                <w:szCs w:val="21"/>
                <w:highlight w:val="none"/>
              </w:rPr>
              <w:t>（必须提供，否则按无效投标处理）</w:t>
            </w:r>
          </w:p>
          <w:p w14:paraId="575DDE36">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3.投标人依法缴纳社会保障资金的相关材料[2025年1月至2025年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月内任意3个月的依法缴纳社会保障资金的缴费证明材料（</w:t>
            </w:r>
            <w:r>
              <w:rPr>
                <w:rFonts w:hint="eastAsia" w:ascii="宋体" w:hAnsi="宋体" w:cs="宋体"/>
                <w:color w:val="auto"/>
                <w:highlight w:val="none"/>
              </w:rPr>
              <w:t>如：</w:t>
            </w:r>
            <w:r>
              <w:rPr>
                <w:rFonts w:hint="eastAsia" w:ascii="宋体" w:hAnsi="宋体" w:cs="宋体"/>
                <w:color w:val="auto"/>
                <w:szCs w:val="21"/>
                <w:highlight w:val="none"/>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5A0553A">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2023</w:t>
            </w:r>
            <w:r>
              <w:rPr>
                <w:rFonts w:hint="eastAsia" w:ascii="宋体" w:hAnsi="宋体" w:cs="宋体"/>
                <w:color w:val="auto"/>
                <w:szCs w:val="21"/>
                <w:highlight w:val="none"/>
              </w:rPr>
              <w:t>年度或</w:t>
            </w:r>
            <w:r>
              <w:rPr>
                <w:rFonts w:hint="eastAsia" w:ascii="宋体" w:hAnsi="宋体" w:cs="宋体"/>
                <w:color w:val="auto"/>
                <w:szCs w:val="21"/>
                <w:highlight w:val="none"/>
                <w:u w:val="single"/>
              </w:rPr>
              <w:t>2024</w:t>
            </w:r>
            <w:r>
              <w:rPr>
                <w:rFonts w:hint="eastAsia" w:ascii="宋体" w:hAnsi="宋体" w:cs="宋体"/>
                <w:color w:val="auto"/>
                <w:szCs w:val="21"/>
                <w:highlight w:val="none"/>
              </w:rPr>
              <w:t>年度财务报表复印件，或者银行出具的资信证明，或者中国人民银行征信中心出具的信用报告（企业投标的提供企业信用报告</w:t>
            </w:r>
            <w:r>
              <w:rPr>
                <w:rFonts w:hint="eastAsia" w:ascii="宋体" w:hAnsi="宋体" w:cs="宋体"/>
                <w:color w:val="auto"/>
                <w:highlight w:val="none"/>
              </w:rPr>
              <w:t>，投标人属于成立时间在规定年度之后的法人或其他组织，需提供成立之日起至投标截止时间前的月报表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164DDB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5.投标人直接控股信息表（格式后附）；（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4F1BB4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6.投标人直接管理关系信息表（格式后附）；（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33D00F8">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7.投标声明（格式后附）；（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55C693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8.除招标文件规定必须提供以外，投标人认为需要提供的其他证明材料。</w:t>
            </w:r>
          </w:p>
          <w:p w14:paraId="510E67AB">
            <w:pPr>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注：以上标明“必须提供”的材料的，必须加盖投标人电子签章，否则按无效投标</w:t>
            </w:r>
            <w:r>
              <w:rPr>
                <w:rFonts w:hint="eastAsia" w:ascii="宋体" w:hAnsi="宋体" w:cs="宋体"/>
                <w:b/>
                <w:color w:val="auto"/>
                <w:szCs w:val="21"/>
                <w:highlight w:val="none"/>
              </w:rPr>
              <w:t>处理。</w:t>
            </w:r>
          </w:p>
        </w:tc>
      </w:tr>
      <w:tr w14:paraId="30D80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left w:val="single" w:color="auto" w:sz="4" w:space="0"/>
              <w:right w:val="single" w:color="auto" w:sz="4" w:space="0"/>
            </w:tcBorders>
            <w:vAlign w:val="center"/>
          </w:tcPr>
          <w:p w14:paraId="60D67D77">
            <w:pPr>
              <w:spacing w:line="360" w:lineRule="auto"/>
              <w:rPr>
                <w:rFonts w:hint="eastAsia" w:ascii="宋体" w:hAnsi="宋体" w:cs="宋体"/>
                <w:color w:val="auto"/>
                <w:szCs w:val="21"/>
                <w:highlight w:val="none"/>
              </w:rPr>
            </w:pPr>
            <w:bookmarkStart w:id="53" w:name="_13.3"/>
            <w:bookmarkEnd w:id="53"/>
          </w:p>
        </w:tc>
        <w:tc>
          <w:tcPr>
            <w:tcW w:w="8175" w:type="dxa"/>
            <w:tcBorders>
              <w:top w:val="single" w:color="auto" w:sz="4" w:space="0"/>
              <w:left w:val="single" w:color="auto" w:sz="4" w:space="0"/>
              <w:bottom w:val="single" w:color="auto" w:sz="4" w:space="0"/>
              <w:right w:val="single" w:color="auto" w:sz="4" w:space="0"/>
            </w:tcBorders>
            <w:vAlign w:val="center"/>
          </w:tcPr>
          <w:p w14:paraId="31B54C47">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商务及技术文件：</w:t>
            </w:r>
          </w:p>
          <w:p w14:paraId="0DE84E5A">
            <w:pPr>
              <w:snapToGrid w:val="0"/>
              <w:spacing w:line="360" w:lineRule="auto"/>
              <w:ind w:left="413"/>
              <w:jc w:val="left"/>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EDBA731">
            <w:pPr>
              <w:snapToGrid w:val="0"/>
              <w:spacing w:line="360" w:lineRule="auto"/>
              <w:ind w:left="413"/>
              <w:jc w:val="left"/>
              <w:rPr>
                <w:rFonts w:hint="eastAsia" w:ascii="宋体" w:hAnsi="宋体" w:cs="宋体"/>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08E4097">
            <w:pPr>
              <w:snapToGrid w:val="0"/>
              <w:spacing w:line="360" w:lineRule="auto"/>
              <w:ind w:left="413"/>
              <w:jc w:val="left"/>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FF3712B">
            <w:pPr>
              <w:snapToGrid w:val="0"/>
              <w:spacing w:line="360" w:lineRule="auto"/>
              <w:ind w:left="413"/>
              <w:jc w:val="left"/>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50CA4E13">
            <w:pPr>
              <w:snapToGrid w:val="0"/>
              <w:spacing w:line="360" w:lineRule="auto"/>
              <w:ind w:left="413"/>
              <w:jc w:val="left"/>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C18B789">
            <w:pPr>
              <w:snapToGrid w:val="0"/>
              <w:spacing w:line="360" w:lineRule="auto"/>
              <w:ind w:left="420"/>
              <w:jc w:val="left"/>
              <w:rPr>
                <w:rFonts w:hint="eastAsia" w:ascii="宋体" w:hAnsi="宋体" w:cs="宋体"/>
                <w:color w:val="auto"/>
                <w:szCs w:val="21"/>
                <w:highlight w:val="none"/>
              </w:rPr>
            </w:pPr>
            <w:r>
              <w:rPr>
                <w:rFonts w:hint="eastAsia" w:ascii="宋体" w:hAnsi="宋体" w:cs="宋体"/>
                <w:color w:val="auto"/>
                <w:szCs w:val="21"/>
                <w:highlight w:val="none"/>
              </w:rPr>
              <w:t>6.技术要求偏离表（格式后附）；（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CA6AA5E">
            <w:pPr>
              <w:snapToGrid w:val="0"/>
              <w:spacing w:line="360" w:lineRule="auto"/>
              <w:ind w:left="420"/>
              <w:jc w:val="left"/>
              <w:rPr>
                <w:rFonts w:hint="eastAsia" w:ascii="宋体" w:hAnsi="宋体" w:cs="宋体"/>
                <w:color w:val="auto"/>
                <w:szCs w:val="21"/>
                <w:highlight w:val="none"/>
              </w:rPr>
            </w:pPr>
            <w:r>
              <w:rPr>
                <w:rFonts w:hint="eastAsia" w:ascii="宋体" w:hAnsi="宋体" w:cs="宋体"/>
                <w:color w:val="auto"/>
                <w:szCs w:val="21"/>
                <w:highlight w:val="none"/>
              </w:rPr>
              <w:t>7.服务方案（格式自拟）【包括但不限于：项目前期准备、项目实施计划（人员构成、技术服务、技术培训）】；（</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6BB7879">
            <w:pPr>
              <w:snapToGrid w:val="0"/>
              <w:spacing w:line="360" w:lineRule="auto"/>
              <w:ind w:left="420"/>
              <w:jc w:val="left"/>
              <w:rPr>
                <w:rFonts w:hint="eastAsia" w:ascii="宋体" w:hAnsi="宋体" w:cs="宋体"/>
                <w:color w:val="auto"/>
                <w:szCs w:val="21"/>
                <w:highlight w:val="none"/>
              </w:rPr>
            </w:pPr>
            <w:r>
              <w:rPr>
                <w:rFonts w:hint="eastAsia" w:ascii="宋体" w:hAnsi="宋体" w:cs="宋体"/>
                <w:color w:val="auto"/>
                <w:szCs w:val="21"/>
                <w:highlight w:val="none"/>
              </w:rPr>
              <w:t>8.项目实施人员一览表（格式后附）；（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B590DAA">
            <w:pPr>
              <w:snapToGrid w:val="0"/>
              <w:spacing w:line="360" w:lineRule="auto"/>
              <w:ind w:left="413"/>
              <w:jc w:val="left"/>
              <w:rPr>
                <w:rFonts w:hint="eastAsia" w:ascii="宋体" w:hAnsi="宋体" w:cs="宋体"/>
                <w:color w:val="auto"/>
                <w:szCs w:val="21"/>
                <w:highlight w:val="none"/>
              </w:rPr>
            </w:pPr>
            <w:r>
              <w:rPr>
                <w:rFonts w:hint="eastAsia" w:ascii="宋体" w:hAnsi="宋体" w:cs="宋体"/>
                <w:color w:val="auto"/>
                <w:szCs w:val="21"/>
                <w:highlight w:val="none"/>
              </w:rPr>
              <w:t>9.投标人情况介绍（格式自拟）；</w:t>
            </w:r>
          </w:p>
          <w:p w14:paraId="05F58147">
            <w:pPr>
              <w:snapToGrid w:val="0"/>
              <w:spacing w:line="360" w:lineRule="auto"/>
              <w:ind w:left="420"/>
              <w:jc w:val="left"/>
              <w:rPr>
                <w:rFonts w:hint="eastAsia" w:ascii="宋体" w:hAnsi="宋体" w:cs="宋体"/>
                <w:color w:val="auto"/>
                <w:szCs w:val="21"/>
                <w:highlight w:val="none"/>
              </w:rPr>
            </w:pPr>
            <w:r>
              <w:rPr>
                <w:rFonts w:hint="eastAsia" w:ascii="宋体" w:hAnsi="宋体" w:cs="宋体"/>
                <w:color w:val="auto"/>
                <w:szCs w:val="21"/>
                <w:highlight w:val="none"/>
              </w:rPr>
              <w:t>10.项目实施方案（</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8A31AE1">
            <w:pPr>
              <w:snapToGrid w:val="0"/>
              <w:spacing w:line="360" w:lineRule="auto"/>
              <w:ind w:left="413"/>
              <w:jc w:val="left"/>
              <w:rPr>
                <w:rFonts w:hint="eastAsia" w:ascii="宋体" w:hAnsi="宋体" w:cs="宋体"/>
                <w:color w:val="auto"/>
                <w:szCs w:val="21"/>
                <w:highlight w:val="none"/>
              </w:rPr>
            </w:pPr>
            <w:r>
              <w:rPr>
                <w:rFonts w:hint="eastAsia" w:ascii="宋体" w:hAnsi="宋体" w:cs="宋体"/>
                <w:color w:val="auto"/>
                <w:szCs w:val="21"/>
                <w:highlight w:val="none"/>
              </w:rPr>
              <w:t>11.除招标文件规定必须提供以外，投标人认为需要提供的其他证明材料（格式自拟）。（投标人根据“第二章 采购需求”及“第四章 评标方法及评标标准”提供有关证明材料）。</w:t>
            </w:r>
          </w:p>
          <w:p w14:paraId="24EE4993">
            <w:pPr>
              <w:snapToGrid w:val="0"/>
              <w:spacing w:line="360" w:lineRule="auto"/>
              <w:jc w:val="left"/>
              <w:rPr>
                <w:rFonts w:hint="eastAsia" w:ascii="宋体" w:hAnsi="宋体" w:cs="宋体"/>
                <w:b/>
                <w:color w:val="auto"/>
                <w:szCs w:val="21"/>
                <w:highlight w:val="none"/>
              </w:rPr>
            </w:pPr>
            <w:r>
              <w:rPr>
                <w:rFonts w:hint="eastAsia" w:ascii="宋体" w:hAnsi="宋体" w:cs="宋体"/>
                <w:b/>
                <w:bCs/>
                <w:color w:val="auto"/>
                <w:szCs w:val="21"/>
                <w:highlight w:val="none"/>
              </w:rPr>
              <w:t>注：以上标明“必须提供”的材料的，必须加盖投标人电子签章，否则按无效投标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085FE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373EE15F">
            <w:pPr>
              <w:spacing w:line="360" w:lineRule="auto"/>
              <w:jc w:val="center"/>
              <w:rPr>
                <w:rFonts w:hint="eastAsia" w:ascii="宋体" w:hAnsi="宋体" w:cs="宋体"/>
                <w:color w:val="auto"/>
                <w:szCs w:val="21"/>
                <w:highlight w:val="none"/>
              </w:rPr>
            </w:pPr>
            <w:bookmarkStart w:id="54" w:name="_13.4"/>
            <w:bookmarkEnd w:id="54"/>
            <w:bookmarkStart w:id="55" w:name="_13.5"/>
            <w:bookmarkEnd w:id="55"/>
            <w:bookmarkStart w:id="56" w:name="_16.2"/>
            <w:bookmarkEnd w:id="56"/>
            <w:r>
              <w:rPr>
                <w:rFonts w:hint="eastAsia" w:ascii="宋体" w:hAnsi="宋体" w:cs="宋体"/>
                <w:color w:val="auto"/>
                <w:szCs w:val="21"/>
                <w:highlight w:val="none"/>
              </w:rPr>
              <w:t>6</w:t>
            </w:r>
          </w:p>
        </w:tc>
        <w:tc>
          <w:tcPr>
            <w:tcW w:w="8175" w:type="dxa"/>
            <w:tcBorders>
              <w:top w:val="single" w:color="auto" w:sz="4" w:space="0"/>
              <w:left w:val="single" w:color="auto" w:sz="4" w:space="0"/>
              <w:bottom w:val="single" w:color="auto" w:sz="4" w:space="0"/>
              <w:right w:val="single" w:color="auto" w:sz="4" w:space="0"/>
            </w:tcBorders>
            <w:vAlign w:val="center"/>
          </w:tcPr>
          <w:p w14:paraId="768B8C7C">
            <w:pPr>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06D59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73ABA198">
            <w:pPr>
              <w:spacing w:line="360" w:lineRule="auto"/>
              <w:jc w:val="center"/>
              <w:rPr>
                <w:rFonts w:hint="eastAsia" w:ascii="宋体" w:hAnsi="宋体" w:cs="宋体"/>
                <w:color w:val="auto"/>
                <w:szCs w:val="21"/>
                <w:highlight w:val="none"/>
              </w:rPr>
            </w:pPr>
            <w:bookmarkStart w:id="57" w:name="_17.1"/>
            <w:bookmarkEnd w:id="57"/>
            <w:r>
              <w:rPr>
                <w:rFonts w:hint="eastAsia" w:ascii="宋体" w:hAnsi="宋体" w:cs="宋体"/>
                <w:color w:val="auto"/>
                <w:szCs w:val="21"/>
                <w:highlight w:val="none"/>
              </w:rPr>
              <w:t>7</w:t>
            </w:r>
          </w:p>
        </w:tc>
        <w:tc>
          <w:tcPr>
            <w:tcW w:w="8175" w:type="dxa"/>
            <w:tcBorders>
              <w:top w:val="single" w:color="auto" w:sz="4" w:space="0"/>
              <w:left w:val="single" w:color="auto" w:sz="4" w:space="0"/>
              <w:bottom w:val="single" w:color="auto" w:sz="4" w:space="0"/>
              <w:right w:val="single" w:color="auto" w:sz="4" w:space="0"/>
            </w:tcBorders>
            <w:vAlign w:val="center"/>
          </w:tcPr>
          <w:p w14:paraId="343429FC">
            <w:pPr>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投标有效期：自投标截止之日起</w:t>
            </w:r>
            <w:r>
              <w:rPr>
                <w:rFonts w:hint="eastAsia" w:ascii="宋体" w:hAnsi="宋体" w:cs="宋体"/>
                <w:color w:val="auto"/>
                <w:highlight w:val="none"/>
                <w:u w:val="single"/>
              </w:rPr>
              <w:t>60</w:t>
            </w:r>
            <w:r>
              <w:rPr>
                <w:rFonts w:hint="eastAsia" w:ascii="宋体" w:hAnsi="宋体" w:cs="宋体"/>
                <w:color w:val="auto"/>
                <w:highlight w:val="none"/>
              </w:rPr>
              <w:t>日。</w:t>
            </w:r>
          </w:p>
        </w:tc>
      </w:tr>
      <w:tr w14:paraId="2FFF1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6B42F798">
            <w:pPr>
              <w:jc w:val="center"/>
              <w:rPr>
                <w:rFonts w:hint="eastAsia" w:ascii="宋体" w:hAnsi="宋体" w:cs="宋体"/>
                <w:color w:val="auto"/>
                <w:szCs w:val="21"/>
                <w:highlight w:val="none"/>
              </w:rPr>
            </w:pPr>
            <w:bookmarkStart w:id="58" w:name="_18"/>
            <w:bookmarkEnd w:id="58"/>
            <w:r>
              <w:rPr>
                <w:rFonts w:hint="eastAsia" w:ascii="宋体" w:hAnsi="宋体" w:cs="宋体"/>
                <w:color w:val="auto"/>
                <w:highlight w:val="none"/>
              </w:rPr>
              <w:br w:type="page"/>
            </w:r>
            <w:r>
              <w:rPr>
                <w:rFonts w:hint="eastAsia" w:ascii="宋体" w:hAnsi="宋体" w:cs="宋体"/>
                <w:color w:val="auto"/>
                <w:szCs w:val="21"/>
                <w:highlight w:val="none"/>
              </w:rPr>
              <w:t>8</w:t>
            </w:r>
          </w:p>
        </w:tc>
        <w:tc>
          <w:tcPr>
            <w:tcW w:w="8175" w:type="dxa"/>
            <w:tcBorders>
              <w:top w:val="single" w:color="auto" w:sz="4" w:space="0"/>
              <w:left w:val="single" w:color="auto" w:sz="4" w:space="0"/>
              <w:bottom w:val="single" w:color="auto" w:sz="4" w:space="0"/>
              <w:right w:val="single" w:color="auto" w:sz="4" w:space="0"/>
            </w:tcBorders>
            <w:vAlign w:val="center"/>
          </w:tcPr>
          <w:p w14:paraId="3086AFB8">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p w14:paraId="6576AB50">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√本项目收取投标保证金，具体规定如下：</w:t>
            </w:r>
          </w:p>
          <w:p w14:paraId="519A2528">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A分标投标保证金人民币10000.00元</w:t>
            </w:r>
          </w:p>
          <w:p w14:paraId="38655FF2">
            <w:pPr>
              <w:snapToGrid w:val="0"/>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B分标投标保证金人民币10000.00元</w:t>
            </w:r>
          </w:p>
          <w:p w14:paraId="001D5B65">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C分标投标保证金人民币10000.00元</w:t>
            </w:r>
          </w:p>
          <w:p w14:paraId="611234F4">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D分标投标保证金人民币10000.00元</w:t>
            </w:r>
          </w:p>
          <w:p w14:paraId="43C54744">
            <w:pPr>
              <w:snapToGrid w:val="0"/>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投标保证金的交纳方式：银行转账、支票、汇票、本票或者银行、保险机构出具的保函（含电子保函），禁止采用现钞方式。采用银行转账方式的，在投标截止时间前从投标人账户交至指定账户并且到账（</w:t>
            </w:r>
            <w:r>
              <w:rPr>
                <w:rFonts w:hint="eastAsia" w:ascii="宋体" w:hAnsi="宋体" w:cs="宋体"/>
                <w:b/>
                <w:bCs/>
                <w:color w:val="auto"/>
                <w:kern w:val="0"/>
                <w:szCs w:val="21"/>
                <w:highlight w:val="none"/>
              </w:rPr>
              <w:t>开户名称：广西中启招标咨询有限公司</w:t>
            </w:r>
            <w:r>
              <w:rPr>
                <w:rFonts w:hint="eastAsia" w:ascii="宋体" w:hAnsi="宋体" w:cs="宋体"/>
                <w:b/>
                <w:bCs/>
                <w:color w:val="auto"/>
                <w:szCs w:val="21"/>
                <w:highlight w:val="none"/>
              </w:rPr>
              <w:t>，开户银行：广西北部湾银行股份有限公司南宁市秀灵支行，银行账号：</w:t>
            </w:r>
            <w:r>
              <w:rPr>
                <w:rFonts w:hint="eastAsia" w:ascii="宋体" w:hAnsi="宋体" w:cs="宋体"/>
                <w:color w:val="auto"/>
                <w:szCs w:val="21"/>
                <w:highlight w:val="none"/>
              </w:rPr>
              <w:t>8050 1770 2500 001</w:t>
            </w:r>
            <w:r>
              <w:rPr>
                <w:rFonts w:hint="eastAsia" w:ascii="宋体" w:hAnsi="宋体" w:cs="宋体"/>
                <w:color w:val="auto"/>
                <w:kern w:val="0"/>
                <w:szCs w:val="21"/>
                <w:highlight w:val="none"/>
              </w:rPr>
              <w:t>；采用支票、汇票、本票或者保函（含电子保函）等方式的，</w:t>
            </w:r>
            <w:r>
              <w:rPr>
                <w:rFonts w:hint="eastAsia" w:ascii="宋体" w:hAnsi="宋体" w:cs="宋体"/>
                <w:b/>
                <w:bCs/>
                <w:color w:val="auto"/>
                <w:kern w:val="0"/>
                <w:szCs w:val="21"/>
                <w:highlight w:val="none"/>
              </w:rPr>
              <w:t>在2025年</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月</w:t>
            </w:r>
            <w:r>
              <w:rPr>
                <w:rFonts w:hint="eastAsia" w:ascii="宋体" w:hAnsi="宋体" w:cs="宋体"/>
                <w:b/>
                <w:bCs/>
                <w:color w:val="auto"/>
                <w:kern w:val="0"/>
                <w:szCs w:val="21"/>
                <w:highlight w:val="none"/>
                <w:lang w:val="en-US" w:eastAsia="zh-CN"/>
              </w:rPr>
              <w:t>30</w:t>
            </w:r>
            <w:r>
              <w:rPr>
                <w:rFonts w:hint="eastAsia" w:ascii="宋体" w:hAnsi="宋体" w:cs="宋体"/>
                <w:b/>
                <w:bCs/>
                <w:color w:val="auto"/>
                <w:kern w:val="0"/>
                <w:szCs w:val="21"/>
                <w:highlight w:val="none"/>
              </w:rPr>
              <w:t>日18:00前</w:t>
            </w:r>
            <w:r>
              <w:rPr>
                <w:rFonts w:hint="eastAsia" w:ascii="宋体" w:hAnsi="宋体" w:cs="宋体"/>
                <w:color w:val="auto"/>
                <w:kern w:val="0"/>
                <w:szCs w:val="21"/>
                <w:highlight w:val="none"/>
              </w:rPr>
              <w:t>，投标人必须递交单独密封的支票、汇票、本票或者保函（含电子保函）原件。否则视为无效投标保证金。</w:t>
            </w:r>
          </w:p>
          <w:p w14:paraId="6F61528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1F442BB9">
            <w:pPr>
              <w:pStyle w:val="19"/>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1.投标保证金采用银行转账交纳方式的，在投标截止时间前交至指定账户并且到账，投标人应将银行转账底单的复印件作为投标保证金提交凭证，放置于商务文件中，</w:t>
            </w:r>
            <w:r>
              <w:rPr>
                <w:rFonts w:hint="eastAsia" w:ascii="宋体" w:hAnsi="宋体" w:cs="宋体"/>
                <w:b/>
                <w:color w:val="auto"/>
                <w:szCs w:val="21"/>
                <w:highlight w:val="none"/>
              </w:rPr>
              <w:t>否则投标无效</w:t>
            </w:r>
            <w:r>
              <w:rPr>
                <w:rFonts w:hint="eastAsia" w:ascii="宋体" w:hAnsi="宋体" w:cs="宋体"/>
                <w:color w:val="auto"/>
                <w:szCs w:val="21"/>
                <w:highlight w:val="none"/>
              </w:rPr>
              <w:t>。</w:t>
            </w:r>
          </w:p>
          <w:p w14:paraId="5B63170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2.投标保证金采用支票、汇票、本票或者银行、保险机构出具的保函</w:t>
            </w:r>
            <w:r>
              <w:rPr>
                <w:rFonts w:hint="eastAsia" w:ascii="宋体" w:hAnsi="宋体" w:cs="宋体"/>
                <w:color w:val="auto"/>
                <w:kern w:val="0"/>
                <w:szCs w:val="21"/>
                <w:highlight w:val="none"/>
              </w:rPr>
              <w:t>（含电子保函）</w:t>
            </w:r>
            <w:r>
              <w:rPr>
                <w:rFonts w:hint="eastAsia" w:ascii="宋体" w:hAnsi="宋体" w:cs="宋体"/>
                <w:color w:val="auto"/>
                <w:szCs w:val="21"/>
                <w:highlight w:val="none"/>
              </w:rPr>
              <w:t>交纳方式的，投标人应将支票、汇票、本票或者银行、保险机构出具的保函</w:t>
            </w:r>
            <w:r>
              <w:rPr>
                <w:rFonts w:hint="eastAsia" w:ascii="宋体" w:hAnsi="宋体" w:cs="宋体"/>
                <w:color w:val="auto"/>
                <w:kern w:val="0"/>
                <w:szCs w:val="21"/>
                <w:highlight w:val="none"/>
              </w:rPr>
              <w:t>（含电子保函）</w:t>
            </w:r>
            <w:r>
              <w:rPr>
                <w:rFonts w:hint="eastAsia" w:ascii="宋体" w:hAnsi="宋体" w:cs="宋体"/>
                <w:color w:val="auto"/>
                <w:szCs w:val="21"/>
                <w:highlight w:val="none"/>
              </w:rPr>
              <w:t>的复印件作为投标保证金提交凭证，放置于商务文件中，</w:t>
            </w:r>
            <w:r>
              <w:rPr>
                <w:rFonts w:hint="eastAsia" w:ascii="宋体" w:hAnsi="宋体" w:cs="宋体"/>
                <w:b/>
                <w:color w:val="auto"/>
                <w:szCs w:val="21"/>
                <w:highlight w:val="none"/>
              </w:rPr>
              <w:t>否则投标无效</w:t>
            </w:r>
            <w:r>
              <w:rPr>
                <w:rFonts w:hint="eastAsia" w:ascii="宋体" w:hAnsi="宋体" w:cs="宋体"/>
                <w:color w:val="auto"/>
                <w:szCs w:val="21"/>
                <w:highlight w:val="none"/>
              </w:rPr>
              <w:t>。投标人必须</w:t>
            </w:r>
            <w:r>
              <w:rPr>
                <w:rFonts w:hint="eastAsia" w:ascii="宋体" w:hAnsi="宋体" w:cs="宋体"/>
                <w:color w:val="auto"/>
                <w:highlight w:val="none"/>
              </w:rPr>
              <w:t>在投标截止时间前采用现场或邮寄方式</w:t>
            </w:r>
            <w:r>
              <w:rPr>
                <w:rFonts w:hint="eastAsia" w:ascii="宋体" w:hAnsi="宋体" w:cs="宋体"/>
                <w:color w:val="auto"/>
                <w:szCs w:val="21"/>
                <w:highlight w:val="none"/>
              </w:rPr>
              <w:t>（现场提交地址：广西南宁市那洪大道7号研祥智谷A1栋7楼，收件人： 雷工，联系方式：</w:t>
            </w:r>
            <w:r>
              <w:rPr>
                <w:rFonts w:hint="eastAsia" w:ascii="宋体" w:hAnsi="宋体" w:cs="宋体"/>
                <w:color w:val="auto"/>
                <w:highlight w:val="none"/>
              </w:rPr>
              <w:t>0771-3154419</w:t>
            </w:r>
            <w:r>
              <w:rPr>
                <w:rFonts w:hint="eastAsia" w:ascii="宋体" w:hAnsi="宋体" w:cs="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s="宋体"/>
                <w:color w:val="auto"/>
                <w:szCs w:val="21"/>
                <w:highlight w:val="none"/>
              </w:rPr>
              <w:t>支票、汇票、本票或者银行、保险机构出具的保函</w:t>
            </w:r>
            <w:r>
              <w:rPr>
                <w:rFonts w:hint="eastAsia" w:ascii="宋体" w:hAnsi="宋体" w:cs="宋体"/>
                <w:color w:val="auto"/>
                <w:kern w:val="0"/>
                <w:szCs w:val="21"/>
                <w:highlight w:val="none"/>
              </w:rPr>
              <w:t>（含电子保函）</w:t>
            </w:r>
            <w:r>
              <w:rPr>
                <w:rFonts w:hint="eastAsia" w:ascii="宋体" w:hAnsi="宋体" w:cs="宋体"/>
                <w:color w:val="auto"/>
                <w:szCs w:val="21"/>
                <w:highlight w:val="none"/>
              </w:rPr>
              <w:t>原件提交给采购人或者采购代理机构，未按时提交的</w:t>
            </w:r>
            <w:r>
              <w:rPr>
                <w:rFonts w:hint="eastAsia" w:ascii="宋体" w:hAnsi="宋体" w:cs="宋体"/>
                <w:b/>
                <w:color w:val="auto"/>
                <w:szCs w:val="21"/>
                <w:highlight w:val="none"/>
              </w:rPr>
              <w:t>，投标无效，</w:t>
            </w:r>
            <w:r>
              <w:rPr>
                <w:rFonts w:hint="eastAsia" w:ascii="宋体" w:hAnsi="宋体" w:cs="宋体"/>
                <w:color w:val="auto"/>
                <w:szCs w:val="21"/>
                <w:highlight w:val="none"/>
              </w:rPr>
              <w:t>由采购人或者采购代理机构向投标人出具回执（邮寄方式的除外），并妥善保管。</w:t>
            </w:r>
          </w:p>
          <w:p w14:paraId="3D2AD1B1">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28EAF8D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 投标保证金在投标截止时间后提交的，或者不按规定交纳方式交纳的，或者未足额交纳的（包含保函额度不足的），视为无效投标保证金。</w:t>
            </w:r>
          </w:p>
          <w:p w14:paraId="05FD1E8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2.投标人采用现钞方式或者从个人账户（自然人投标除外）转出的投标保证金，视为无效投标保证金。</w:t>
            </w:r>
          </w:p>
          <w:p w14:paraId="53260733">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3.支票、汇票或者本票出现无效或者背书情形的，视为无效投标保证金。</w:t>
            </w:r>
          </w:p>
          <w:p w14:paraId="1D2B0985">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4.保函有效期低于投标有效期的，视为无效投标保证金。</w:t>
            </w:r>
          </w:p>
          <w:p w14:paraId="1151E99E">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5.采用银行、保险机构出具保函（含电子保函）的，必须为无条件保函，否则视为无效投标保证金。</w:t>
            </w:r>
          </w:p>
        </w:tc>
      </w:tr>
      <w:tr w14:paraId="2E2B1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8" w:type="dxa"/>
            <w:tcBorders>
              <w:top w:val="single" w:color="auto" w:sz="4" w:space="0"/>
              <w:left w:val="single" w:color="auto" w:sz="4" w:space="0"/>
              <w:bottom w:val="single" w:color="auto" w:sz="4" w:space="0"/>
              <w:right w:val="single" w:color="auto" w:sz="4" w:space="0"/>
            </w:tcBorders>
            <w:vAlign w:val="center"/>
          </w:tcPr>
          <w:p w14:paraId="065E885E">
            <w:pPr>
              <w:spacing w:line="360" w:lineRule="auto"/>
              <w:jc w:val="center"/>
              <w:rPr>
                <w:rFonts w:hint="eastAsia" w:ascii="宋体" w:hAnsi="宋体" w:cs="宋体"/>
                <w:color w:val="auto"/>
                <w:szCs w:val="21"/>
                <w:highlight w:val="none"/>
              </w:rPr>
            </w:pPr>
            <w:bookmarkStart w:id="59" w:name="_19.2"/>
            <w:bookmarkEnd w:id="59"/>
            <w:bookmarkStart w:id="60" w:name="_21.1"/>
            <w:bookmarkEnd w:id="60"/>
            <w:r>
              <w:rPr>
                <w:rFonts w:hint="eastAsia" w:ascii="宋体" w:hAnsi="宋体" w:cs="宋体"/>
                <w:color w:val="auto"/>
                <w:szCs w:val="21"/>
                <w:highlight w:val="none"/>
              </w:rPr>
              <w:t>9</w:t>
            </w:r>
          </w:p>
        </w:tc>
        <w:tc>
          <w:tcPr>
            <w:tcW w:w="8175" w:type="dxa"/>
            <w:tcBorders>
              <w:top w:val="single" w:color="auto" w:sz="4" w:space="0"/>
              <w:left w:val="single" w:color="auto" w:sz="4" w:space="0"/>
              <w:bottom w:val="single" w:color="auto" w:sz="4" w:space="0"/>
              <w:right w:val="single" w:color="auto" w:sz="4" w:space="0"/>
            </w:tcBorders>
            <w:vAlign w:val="center"/>
          </w:tcPr>
          <w:p w14:paraId="6860A06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本项目不接受</w:t>
            </w:r>
            <w:r>
              <w:rPr>
                <w:rFonts w:hint="eastAsia" w:ascii="宋体" w:hAnsi="宋体" w:cs="宋体"/>
                <w:color w:val="auto"/>
                <w:highlight w:val="none"/>
              </w:rPr>
              <w:t>电子</w:t>
            </w:r>
            <w:r>
              <w:rPr>
                <w:rFonts w:hint="eastAsia" w:ascii="宋体" w:hAnsi="宋体" w:cs="宋体"/>
                <w:color w:val="auto"/>
                <w:szCs w:val="21"/>
                <w:highlight w:val="none"/>
              </w:rPr>
              <w:t>备份投标文件</w:t>
            </w:r>
          </w:p>
        </w:tc>
      </w:tr>
      <w:tr w14:paraId="3B1A1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78" w:type="dxa"/>
            <w:tcBorders>
              <w:top w:val="single" w:color="auto" w:sz="4" w:space="0"/>
              <w:left w:val="single" w:color="auto" w:sz="4" w:space="0"/>
              <w:bottom w:val="single" w:color="auto" w:sz="4" w:space="0"/>
              <w:right w:val="single" w:color="auto" w:sz="4" w:space="0"/>
            </w:tcBorders>
            <w:vAlign w:val="center"/>
          </w:tcPr>
          <w:p w14:paraId="295B822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8175" w:type="dxa"/>
            <w:tcBorders>
              <w:top w:val="single" w:color="auto" w:sz="4" w:space="0"/>
              <w:left w:val="single" w:color="auto" w:sz="4" w:space="0"/>
              <w:bottom w:val="single" w:color="auto" w:sz="4" w:space="0"/>
              <w:right w:val="single" w:color="auto" w:sz="4" w:space="0"/>
            </w:tcBorders>
            <w:vAlign w:val="center"/>
          </w:tcPr>
          <w:p w14:paraId="6BC97BBF">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1. 提交投标文件截止时间：详见招标公告</w:t>
            </w:r>
          </w:p>
          <w:p w14:paraId="12EDA71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29D71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3800B904">
            <w:pPr>
              <w:spacing w:line="360" w:lineRule="auto"/>
              <w:jc w:val="center"/>
              <w:rPr>
                <w:rFonts w:hint="eastAsia" w:ascii="宋体" w:hAnsi="宋体" w:cs="宋体"/>
                <w:color w:val="auto"/>
                <w:szCs w:val="21"/>
                <w:highlight w:val="none"/>
              </w:rPr>
            </w:pPr>
            <w:bookmarkStart w:id="61" w:name="_23"/>
            <w:bookmarkEnd w:id="61"/>
            <w:r>
              <w:rPr>
                <w:rFonts w:hint="eastAsia" w:ascii="宋体" w:hAnsi="宋体" w:cs="宋体"/>
                <w:color w:val="auto"/>
                <w:szCs w:val="21"/>
                <w:highlight w:val="none"/>
              </w:rPr>
              <w:t>11</w:t>
            </w:r>
          </w:p>
        </w:tc>
        <w:tc>
          <w:tcPr>
            <w:tcW w:w="8175" w:type="dxa"/>
            <w:tcBorders>
              <w:top w:val="single" w:color="auto" w:sz="4" w:space="0"/>
              <w:left w:val="single" w:color="auto" w:sz="4" w:space="0"/>
              <w:bottom w:val="single" w:color="auto" w:sz="4" w:space="0"/>
              <w:right w:val="single" w:color="auto" w:sz="4" w:space="0"/>
            </w:tcBorders>
            <w:vAlign w:val="center"/>
          </w:tcPr>
          <w:p w14:paraId="7B3BC8B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6A904E1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09AD5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74CEF65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vAlign w:val="center"/>
          </w:tcPr>
          <w:p w14:paraId="3BBCD782">
            <w:pPr>
              <w:snapToGrid w:val="0"/>
              <w:spacing w:line="360" w:lineRule="auto"/>
              <w:rPr>
                <w:rFonts w:hint="eastAsia" w:ascii="宋体" w:hAnsi="宋体" w:cs="宋体"/>
                <w:color w:val="auto"/>
                <w:szCs w:val="21"/>
                <w:highlight w:val="none"/>
              </w:rPr>
            </w:pPr>
            <w:r>
              <w:rPr>
                <w:rFonts w:hint="eastAsia" w:ascii="宋体" w:hAnsi="宋体" w:cs="宋体"/>
                <w:color w:val="auto"/>
                <w:highlight w:val="none"/>
              </w:rPr>
              <w:t>电子投标文件解密时间：</w:t>
            </w:r>
            <w:r>
              <w:rPr>
                <w:rFonts w:hint="eastAsia" w:ascii="宋体" w:hAnsi="宋体" w:cs="宋体"/>
                <w:color w:val="auto"/>
                <w:highlight w:val="none"/>
                <w:u w:val="single"/>
              </w:rPr>
              <w:t>30</w:t>
            </w:r>
            <w:r>
              <w:rPr>
                <w:rFonts w:hint="eastAsia" w:ascii="宋体" w:hAnsi="宋体" w:cs="宋体"/>
                <w:color w:val="auto"/>
                <w:highlight w:val="none"/>
              </w:rPr>
              <w:t>分钟</w:t>
            </w:r>
          </w:p>
        </w:tc>
      </w:tr>
      <w:tr w14:paraId="3A6AF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772B9BBA">
            <w:pPr>
              <w:spacing w:line="360" w:lineRule="auto"/>
              <w:jc w:val="center"/>
              <w:rPr>
                <w:rFonts w:hint="eastAsia" w:ascii="宋体" w:hAnsi="宋体" w:cs="宋体"/>
                <w:color w:val="auto"/>
                <w:szCs w:val="21"/>
                <w:highlight w:val="none"/>
              </w:rPr>
            </w:pPr>
            <w:bookmarkStart w:id="62" w:name="_25.3"/>
            <w:bookmarkEnd w:id="62"/>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vAlign w:val="center"/>
          </w:tcPr>
          <w:p w14:paraId="566A9F1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4F79346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7E69237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31E3BF6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查询记录和证据留存方式：在查询网站中直接截图查询记录，截图作为在“广西政府采购云平台”作为附件上传保存。</w:t>
            </w:r>
          </w:p>
          <w:p w14:paraId="1DC112EC">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w:t>
            </w:r>
          </w:p>
        </w:tc>
      </w:tr>
      <w:tr w14:paraId="3F4DD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08D8578E">
            <w:pPr>
              <w:spacing w:line="360" w:lineRule="auto"/>
              <w:jc w:val="center"/>
              <w:rPr>
                <w:rFonts w:hint="eastAsia" w:ascii="宋体" w:hAnsi="宋体" w:cs="宋体"/>
                <w:color w:val="auto"/>
                <w:szCs w:val="21"/>
                <w:highlight w:val="none"/>
              </w:rPr>
            </w:pPr>
            <w:bookmarkStart w:id="63" w:name="_26"/>
            <w:bookmarkEnd w:id="63"/>
            <w:r>
              <w:rPr>
                <w:rFonts w:hint="eastAsia" w:ascii="宋体" w:hAnsi="宋体" w:cs="宋体"/>
                <w:color w:val="auto"/>
                <w:szCs w:val="21"/>
                <w:highlight w:val="none"/>
              </w:rPr>
              <w:t>14</w:t>
            </w:r>
          </w:p>
        </w:tc>
        <w:tc>
          <w:tcPr>
            <w:tcW w:w="8175" w:type="dxa"/>
            <w:tcBorders>
              <w:top w:val="single" w:color="auto" w:sz="4" w:space="0"/>
              <w:left w:val="single" w:color="auto" w:sz="4" w:space="0"/>
              <w:bottom w:val="single" w:color="auto" w:sz="4" w:space="0"/>
              <w:right w:val="single" w:color="auto" w:sz="4" w:space="0"/>
            </w:tcBorders>
            <w:vAlign w:val="center"/>
          </w:tcPr>
          <w:p w14:paraId="7E2872B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人或以上单数。</w:t>
            </w:r>
          </w:p>
        </w:tc>
      </w:tr>
      <w:tr w14:paraId="509A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6C7DFC29">
            <w:pPr>
              <w:spacing w:line="360" w:lineRule="auto"/>
              <w:jc w:val="center"/>
              <w:rPr>
                <w:rFonts w:hint="eastAsia" w:ascii="宋体" w:hAnsi="宋体" w:cs="宋体"/>
                <w:color w:val="auto"/>
                <w:szCs w:val="21"/>
                <w:highlight w:val="none"/>
              </w:rPr>
            </w:pPr>
            <w:bookmarkStart w:id="64" w:name="_28.3"/>
            <w:bookmarkEnd w:id="64"/>
            <w:r>
              <w:rPr>
                <w:rFonts w:hint="eastAsia" w:ascii="宋体" w:hAnsi="宋体" w:cs="宋体"/>
                <w:color w:val="auto"/>
                <w:szCs w:val="21"/>
                <w:highlight w:val="none"/>
              </w:rPr>
              <w:t>15</w:t>
            </w:r>
          </w:p>
        </w:tc>
        <w:tc>
          <w:tcPr>
            <w:tcW w:w="8175" w:type="dxa"/>
            <w:tcBorders>
              <w:top w:val="single" w:color="auto" w:sz="4" w:space="0"/>
              <w:left w:val="single" w:color="auto" w:sz="4" w:space="0"/>
              <w:bottom w:val="single" w:color="auto" w:sz="4" w:space="0"/>
              <w:right w:val="single" w:color="auto" w:sz="4" w:space="0"/>
            </w:tcBorders>
            <w:vAlign w:val="center"/>
          </w:tcPr>
          <w:p w14:paraId="3F103DFE">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w:t>
            </w:r>
          </w:p>
          <w:p w14:paraId="49D40E56">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√综合评分法</w:t>
            </w:r>
          </w:p>
          <w:p w14:paraId="47090537">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□最低评标价法</w:t>
            </w:r>
          </w:p>
        </w:tc>
      </w:tr>
      <w:tr w14:paraId="447EE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8" w:type="dxa"/>
            <w:tcBorders>
              <w:top w:val="single" w:color="auto" w:sz="4" w:space="0"/>
              <w:left w:val="single" w:color="auto" w:sz="4" w:space="0"/>
              <w:bottom w:val="single" w:color="auto" w:sz="4" w:space="0"/>
              <w:right w:val="single" w:color="auto" w:sz="4" w:space="0"/>
            </w:tcBorders>
            <w:vAlign w:val="center"/>
          </w:tcPr>
          <w:p w14:paraId="67CF51B3">
            <w:pPr>
              <w:spacing w:line="360" w:lineRule="auto"/>
              <w:jc w:val="center"/>
              <w:rPr>
                <w:rFonts w:hint="eastAsia" w:ascii="宋体" w:hAnsi="宋体" w:cs="宋体"/>
                <w:color w:val="auto"/>
                <w:szCs w:val="21"/>
                <w:highlight w:val="none"/>
              </w:rPr>
            </w:pPr>
            <w:bookmarkStart w:id="65" w:name="_29.2.2（2）"/>
            <w:bookmarkEnd w:id="65"/>
            <w:r>
              <w:rPr>
                <w:rFonts w:hint="eastAsia" w:ascii="宋体" w:hAnsi="宋体" w:cs="宋体"/>
                <w:color w:val="auto"/>
                <w:szCs w:val="21"/>
                <w:highlight w:val="none"/>
              </w:rPr>
              <w:t>16</w:t>
            </w:r>
          </w:p>
        </w:tc>
        <w:tc>
          <w:tcPr>
            <w:tcW w:w="8175" w:type="dxa"/>
            <w:tcBorders>
              <w:top w:val="single" w:color="auto" w:sz="4" w:space="0"/>
              <w:left w:val="single" w:color="auto" w:sz="4" w:space="0"/>
              <w:right w:val="single" w:color="auto" w:sz="4" w:space="0"/>
            </w:tcBorders>
            <w:vAlign w:val="center"/>
          </w:tcPr>
          <w:p w14:paraId="0DF9105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3525AA71">
            <w:pPr>
              <w:snapToGrid w:val="0"/>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采购需求及技术要求评审中允许负偏离的条款数为</w:t>
            </w:r>
            <w:r>
              <w:rPr>
                <w:rFonts w:hint="eastAsia" w:ascii="宋体" w:hAnsi="宋体" w:cs="宋体"/>
                <w:color w:val="auto"/>
                <w:szCs w:val="21"/>
                <w:highlight w:val="none"/>
                <w:u w:val="single"/>
              </w:rPr>
              <w:t>5</w:t>
            </w:r>
            <w:r>
              <w:rPr>
                <w:rFonts w:hint="eastAsia" w:ascii="宋体" w:hAnsi="宋体" w:cs="宋体"/>
                <w:color w:val="auto"/>
                <w:szCs w:val="21"/>
                <w:highlight w:val="none"/>
              </w:rPr>
              <w:t>项。</w:t>
            </w:r>
          </w:p>
        </w:tc>
      </w:tr>
      <w:tr w14:paraId="3C2CC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8" w:type="dxa"/>
            <w:tcBorders>
              <w:top w:val="single" w:color="auto" w:sz="4" w:space="0"/>
              <w:left w:val="single" w:color="auto" w:sz="4" w:space="0"/>
              <w:right w:val="single" w:color="auto" w:sz="4" w:space="0"/>
            </w:tcBorders>
            <w:vAlign w:val="center"/>
          </w:tcPr>
          <w:p w14:paraId="6DB765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8175" w:type="dxa"/>
            <w:tcBorders>
              <w:top w:val="single" w:color="auto" w:sz="4" w:space="0"/>
              <w:left w:val="single" w:color="auto" w:sz="4" w:space="0"/>
              <w:right w:val="single" w:color="auto" w:sz="4" w:space="0"/>
            </w:tcBorders>
            <w:vAlign w:val="center"/>
          </w:tcPr>
          <w:p w14:paraId="04453CAA">
            <w:pPr>
              <w:snapToGrid w:val="0"/>
              <w:spacing w:line="360" w:lineRule="auto"/>
              <w:rPr>
                <w:rFonts w:hint="eastAsia" w:ascii="宋体" w:hAnsi="宋体" w:cs="宋体"/>
                <w:color w:val="auto"/>
                <w:highlight w:val="none"/>
              </w:rPr>
            </w:pPr>
            <w:r>
              <w:rPr>
                <w:rFonts w:hint="eastAsia" w:ascii="宋体" w:hAnsi="宋体" w:cs="宋体"/>
                <w:color w:val="auto"/>
                <w:highlight w:val="none"/>
              </w:rPr>
              <w:t>中标候选人推荐数量：</w:t>
            </w:r>
          </w:p>
          <w:p w14:paraId="45A7F912">
            <w:pPr>
              <w:pStyle w:val="220"/>
              <w:numPr>
                <w:ilvl w:val="0"/>
                <w:numId w:val="22"/>
              </w:numPr>
              <w:snapToGrid w:val="0"/>
              <w:spacing w:line="360" w:lineRule="auto"/>
              <w:ind w:firstLineChars="0"/>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名</w:t>
            </w:r>
          </w:p>
          <w:p w14:paraId="61FE05B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highlight w:val="none"/>
              </w:rPr>
              <w:t>根据[总得分由高到低]排列次序并全部推荐为中标候选人</w:t>
            </w:r>
          </w:p>
        </w:tc>
      </w:tr>
      <w:tr w14:paraId="153FA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2D3B4E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8175" w:type="dxa"/>
            <w:tcBorders>
              <w:top w:val="single" w:color="auto" w:sz="4" w:space="0"/>
              <w:left w:val="single" w:color="auto" w:sz="4" w:space="0"/>
              <w:bottom w:val="single" w:color="auto" w:sz="4" w:space="0"/>
              <w:right w:val="single" w:color="auto" w:sz="4" w:space="0"/>
            </w:tcBorders>
            <w:vAlign w:val="center"/>
          </w:tcPr>
          <w:p w14:paraId="5A373DD1">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采用综合评分法的采购项目，采购人确定中标人时，出现中标候选人并列的情形，采购人按以下的方式确定中标人：</w:t>
            </w:r>
          </w:p>
          <w:p w14:paraId="6B08219C">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√依次按投标报价低的优先、政策分得分高的优先、技术评分高的优先、商务评分高的优先、故障响应时间短优先的顺序确定；</w:t>
            </w:r>
          </w:p>
          <w:p w14:paraId="2ED44A9D">
            <w:pPr>
              <w:autoSpaceDE w:val="0"/>
              <w:autoSpaceDN w:val="0"/>
              <w:snapToGrid w:val="0"/>
              <w:spacing w:line="360" w:lineRule="auto"/>
              <w:textAlignment w:val="bottom"/>
              <w:rPr>
                <w:rFonts w:hint="eastAsia" w:ascii="宋体" w:hAnsi="宋体" w:cs="宋体"/>
                <w:b/>
                <w:color w:val="auto"/>
                <w:szCs w:val="21"/>
                <w:highlight w:val="none"/>
              </w:rPr>
            </w:pPr>
            <w:r>
              <w:rPr>
                <w:rFonts w:hint="eastAsia" w:ascii="宋体" w:hAnsi="宋体" w:cs="宋体"/>
                <w:color w:val="auto"/>
                <w:szCs w:val="21"/>
                <w:highlight w:val="none"/>
              </w:rPr>
              <w:t>□随机抽取；</w:t>
            </w:r>
          </w:p>
        </w:tc>
      </w:tr>
      <w:tr w14:paraId="4B034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78" w:type="dxa"/>
            <w:tcBorders>
              <w:top w:val="single" w:color="auto" w:sz="4" w:space="0"/>
              <w:left w:val="single" w:color="auto" w:sz="4" w:space="0"/>
              <w:bottom w:val="single" w:color="auto" w:sz="4" w:space="0"/>
              <w:right w:val="single" w:color="auto" w:sz="4" w:space="0"/>
            </w:tcBorders>
            <w:vAlign w:val="center"/>
          </w:tcPr>
          <w:p w14:paraId="30B82149">
            <w:pPr>
              <w:spacing w:line="360" w:lineRule="auto"/>
              <w:jc w:val="center"/>
              <w:rPr>
                <w:rFonts w:hint="eastAsia" w:ascii="宋体" w:hAnsi="宋体" w:cs="宋体"/>
                <w:color w:val="auto"/>
                <w:szCs w:val="21"/>
                <w:highlight w:val="none"/>
              </w:rPr>
            </w:pPr>
            <w:bookmarkStart w:id="66" w:name="_39.1"/>
            <w:bookmarkEnd w:id="66"/>
            <w:r>
              <w:rPr>
                <w:rFonts w:hint="eastAsia" w:ascii="宋体" w:hAnsi="宋体" w:cs="宋体"/>
                <w:color w:val="auto"/>
                <w:szCs w:val="21"/>
                <w:highlight w:val="none"/>
              </w:rPr>
              <w:t>19</w:t>
            </w:r>
          </w:p>
        </w:tc>
        <w:tc>
          <w:tcPr>
            <w:tcW w:w="8175" w:type="dxa"/>
            <w:tcBorders>
              <w:top w:val="single" w:color="auto" w:sz="4" w:space="0"/>
              <w:left w:val="single" w:color="auto" w:sz="4" w:space="0"/>
              <w:bottom w:val="single" w:color="auto" w:sz="4" w:space="0"/>
              <w:right w:val="single" w:color="auto" w:sz="4" w:space="0"/>
            </w:tcBorders>
            <w:vAlign w:val="center"/>
          </w:tcPr>
          <w:p w14:paraId="3BA14774">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p w14:paraId="2CC4694E">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本项目收取履约保证金，具体规定如下：</w:t>
            </w:r>
          </w:p>
          <w:p w14:paraId="7F5E1FE7">
            <w:pPr>
              <w:pStyle w:val="19"/>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履约保证金金额：每分标按中标金额的</w:t>
            </w:r>
            <w:r>
              <w:rPr>
                <w:rFonts w:hint="eastAsia" w:ascii="宋体" w:hAnsi="宋体" w:cs="宋体"/>
                <w:b/>
                <w:bCs/>
                <w:color w:val="auto"/>
                <w:szCs w:val="21"/>
                <w:highlight w:val="none"/>
              </w:rPr>
              <w:t>2%</w:t>
            </w:r>
            <w:r>
              <w:rPr>
                <w:rFonts w:hint="eastAsia" w:ascii="宋体" w:hAnsi="宋体" w:cs="宋体"/>
                <w:color w:val="auto"/>
                <w:szCs w:val="21"/>
                <w:highlight w:val="none"/>
              </w:rPr>
              <w:t>。</w:t>
            </w:r>
          </w:p>
          <w:p w14:paraId="6D01AF63">
            <w:pPr>
              <w:pStyle w:val="19"/>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签订合同前交至指定账户，否则不予签订合同</w:t>
            </w:r>
          </w:p>
          <w:p w14:paraId="609D7F48">
            <w:pPr>
              <w:snapToGrid w:val="0"/>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履约保证金递交方式：银行转账、电汇或网上支付、支票、汇票、本票或者银行、保险机构出具的保函（含电子保函）等非现金方式</w:t>
            </w:r>
          </w:p>
          <w:p w14:paraId="1AECBCA2">
            <w:pPr>
              <w:snapToGrid w:val="0"/>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履约保证金退付方式、时间及条件：项目验收完成后无息退付。履约保证金退付方式同投标保证金退付方式。</w:t>
            </w:r>
          </w:p>
          <w:p w14:paraId="3065A77F">
            <w:pPr>
              <w:snapToGrid w:val="0"/>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由中标人向履约保证金收取单位提供《政府采购项目合同验收书》、《政府采购项目履约保证金退付意见书》、《广西壮族自治区政府采购项目验收考核评分表》，保证金收取单位在收到合格材料后10个工作日内办理退还手续（不计利息）。</w:t>
            </w:r>
          </w:p>
          <w:p w14:paraId="56836090">
            <w:pPr>
              <w:snapToGrid w:val="0"/>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履约保证金收取单位指定账户：</w:t>
            </w:r>
          </w:p>
          <w:p w14:paraId="0414F011">
            <w:pPr>
              <w:snapToGrid w:val="0"/>
              <w:spacing w:line="360" w:lineRule="auto"/>
              <w:ind w:left="420" w:leftChars="200"/>
              <w:rPr>
                <w:rFonts w:hint="eastAsia" w:ascii="宋体" w:hAnsi="宋体" w:cs="宋体"/>
                <w:b/>
                <w:bCs/>
                <w:color w:val="auto"/>
                <w:szCs w:val="21"/>
                <w:highlight w:val="none"/>
              </w:rPr>
            </w:pPr>
            <w:r>
              <w:rPr>
                <w:rFonts w:hint="eastAsia" w:ascii="宋体" w:hAnsi="宋体" w:cs="宋体"/>
                <w:b/>
                <w:bCs/>
                <w:color w:val="auto"/>
                <w:szCs w:val="21"/>
                <w:highlight w:val="none"/>
              </w:rPr>
              <w:t>开户名称：广西壮族自治区农业农村厅</w:t>
            </w:r>
          </w:p>
          <w:p w14:paraId="0E6EEC17">
            <w:pPr>
              <w:snapToGrid w:val="0"/>
              <w:spacing w:line="360" w:lineRule="auto"/>
              <w:ind w:left="420" w:leftChars="200"/>
              <w:rPr>
                <w:rFonts w:hint="eastAsia" w:ascii="宋体" w:hAnsi="宋体" w:cs="宋体"/>
                <w:b/>
                <w:bCs/>
                <w:color w:val="auto"/>
                <w:szCs w:val="21"/>
                <w:highlight w:val="none"/>
              </w:rPr>
            </w:pPr>
            <w:r>
              <w:rPr>
                <w:rFonts w:hint="eastAsia" w:ascii="宋体" w:hAnsi="宋体" w:cs="宋体"/>
                <w:b/>
                <w:bCs/>
                <w:color w:val="auto"/>
                <w:szCs w:val="21"/>
                <w:highlight w:val="none"/>
              </w:rPr>
              <w:t>开户银行：20022101040001679</w:t>
            </w:r>
          </w:p>
          <w:p w14:paraId="67121164">
            <w:pPr>
              <w:snapToGrid w:val="0"/>
              <w:spacing w:line="360" w:lineRule="auto"/>
              <w:ind w:left="420" w:leftChars="200"/>
              <w:rPr>
                <w:rFonts w:hint="eastAsia" w:ascii="宋体" w:hAnsi="宋体" w:cs="宋体"/>
                <w:color w:val="auto"/>
                <w:szCs w:val="21"/>
                <w:highlight w:val="none"/>
              </w:rPr>
            </w:pPr>
            <w:r>
              <w:rPr>
                <w:rFonts w:hint="eastAsia" w:ascii="宋体" w:hAnsi="宋体" w:cs="宋体"/>
                <w:b/>
                <w:bCs/>
                <w:color w:val="auto"/>
                <w:szCs w:val="21"/>
                <w:highlight w:val="none"/>
              </w:rPr>
              <w:t>银行账号：农行南宁天桃支行</w:t>
            </w:r>
            <w:r>
              <w:rPr>
                <w:rFonts w:hint="eastAsia" w:ascii="宋体" w:hAnsi="宋体" w:cs="宋体"/>
                <w:color w:val="auto"/>
                <w:szCs w:val="21"/>
                <w:highlight w:val="none"/>
              </w:rPr>
              <w:t>。</w:t>
            </w:r>
          </w:p>
          <w:p w14:paraId="58724DC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备注：</w:t>
            </w:r>
          </w:p>
          <w:p w14:paraId="4ED4D13C">
            <w:pPr>
              <w:spacing w:line="360" w:lineRule="auto"/>
              <w:jc w:val="left"/>
              <w:rPr>
                <w:rFonts w:hint="eastAsia" w:ascii="宋体" w:hAnsi="宋体" w:cs="宋体"/>
                <w:color w:val="auto"/>
                <w:kern w:val="0"/>
                <w:szCs w:val="21"/>
                <w:highlight w:val="none"/>
              </w:rPr>
            </w:pPr>
            <w:r>
              <w:rPr>
                <w:rFonts w:hint="eastAsia" w:ascii="宋体" w:hAnsi="宋体" w:cs="宋体"/>
                <w:b/>
                <w:color w:val="auto"/>
                <w:szCs w:val="21"/>
                <w:highlight w:val="none"/>
              </w:rPr>
              <w:t>1.</w:t>
            </w:r>
            <w:bookmarkStart w:id="67" w:name="_Hlk54170335"/>
            <w:r>
              <w:rPr>
                <w:rFonts w:hint="eastAsia" w:ascii="宋体" w:hAnsi="宋体" w:cs="宋体"/>
                <w:b/>
                <w:color w:val="auto"/>
                <w:szCs w:val="21"/>
                <w:highlight w:val="none"/>
              </w:rPr>
              <w:t>根据《桂财规〔2022〕8号广西壮族自治区财政厅关于规范政府采购货物和服务项目保证金管理的通知》规定，采购文件要求中标或者中标人提交履约保证金的，履约保证金数额不得超过政府采购合同金额的5%，对中小企业收取的履约保证金数额不得超过政府采购合同金额的2%。</w:t>
            </w:r>
            <w:bookmarkEnd w:id="67"/>
            <w:r>
              <w:rPr>
                <w:rFonts w:hint="eastAsia" w:ascii="宋体" w:hAnsi="宋体" w:cs="宋体"/>
                <w:color w:val="auto"/>
                <w:szCs w:val="21"/>
                <w:highlight w:val="none"/>
              </w:rPr>
              <w:br w:type="textWrapping"/>
            </w:r>
            <w:r>
              <w:rPr>
                <w:rFonts w:hint="eastAsia" w:ascii="宋体" w:hAnsi="宋体" w:cs="宋体"/>
                <w:b/>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s="宋体"/>
                <w:b/>
                <w:color w:val="auto"/>
                <w:szCs w:val="21"/>
                <w:highlight w:val="none"/>
              </w:rPr>
              <w:br w:type="textWrapping"/>
            </w:r>
            <w:r>
              <w:rPr>
                <w:rFonts w:hint="eastAsia" w:ascii="宋体" w:hAnsi="宋体" w:cs="宋体"/>
                <w:b/>
                <w:color w:val="auto"/>
                <w:szCs w:val="21"/>
                <w:highlight w:val="none"/>
              </w:rPr>
              <w:t>3.采用银行、保险机构出具的保函（含电子保函）的，必须为无条件保函，否则不予签订合同。</w:t>
            </w:r>
          </w:p>
        </w:tc>
      </w:tr>
      <w:tr w14:paraId="18136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458D592E">
            <w:pPr>
              <w:spacing w:line="360" w:lineRule="auto"/>
              <w:jc w:val="center"/>
              <w:rPr>
                <w:rFonts w:hint="eastAsia" w:ascii="宋体" w:hAnsi="宋体" w:cs="宋体"/>
                <w:color w:val="auto"/>
                <w:szCs w:val="21"/>
                <w:highlight w:val="none"/>
              </w:rPr>
            </w:pPr>
            <w:bookmarkStart w:id="68" w:name="_40.1"/>
            <w:bookmarkEnd w:id="68"/>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vAlign w:val="center"/>
          </w:tcPr>
          <w:p w14:paraId="7150E60A">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158F9D68">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4BF52FC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5894A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4B48F9F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8175" w:type="dxa"/>
            <w:tcBorders>
              <w:top w:val="single" w:color="auto" w:sz="4" w:space="0"/>
              <w:left w:val="single" w:color="auto" w:sz="4" w:space="0"/>
              <w:bottom w:val="single" w:color="auto" w:sz="4" w:space="0"/>
              <w:right w:val="single" w:color="auto" w:sz="4" w:space="0"/>
            </w:tcBorders>
            <w:vAlign w:val="center"/>
          </w:tcPr>
          <w:p w14:paraId="2B3FC6C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1F571A2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质疑联系部门及联系方式：广西中启招标咨询有限公司</w:t>
            </w:r>
          </w:p>
          <w:p w14:paraId="22C4AC0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联系电话：0771-3154419</w:t>
            </w:r>
          </w:p>
          <w:p w14:paraId="6246E65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广西南宁市那洪大道7号研祥智谷A1栋7楼</w:t>
            </w:r>
          </w:p>
          <w:p w14:paraId="4D27C9F3">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现场提交质疑办理业务时间：工作日每天9时00分00秒到12时00分00秒，15时00分00秒到18时00分00秒，双休日和法定节假日不办理业务。</w:t>
            </w:r>
          </w:p>
        </w:tc>
      </w:tr>
      <w:tr w14:paraId="5785B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8" w:type="dxa"/>
            <w:tcBorders>
              <w:top w:val="single" w:color="auto" w:sz="4" w:space="0"/>
              <w:left w:val="single" w:color="auto" w:sz="4" w:space="0"/>
              <w:bottom w:val="single" w:color="auto" w:sz="4" w:space="0"/>
              <w:right w:val="single" w:color="auto" w:sz="4" w:space="0"/>
            </w:tcBorders>
            <w:vAlign w:val="center"/>
          </w:tcPr>
          <w:p w14:paraId="3685E089">
            <w:pPr>
              <w:spacing w:line="360" w:lineRule="auto"/>
              <w:jc w:val="center"/>
              <w:rPr>
                <w:rFonts w:hint="eastAsia" w:ascii="宋体" w:hAnsi="宋体" w:cs="宋体"/>
                <w:color w:val="auto"/>
                <w:szCs w:val="21"/>
                <w:highlight w:val="none"/>
              </w:rPr>
            </w:pPr>
            <w:bookmarkStart w:id="69" w:name="_41"/>
            <w:bookmarkEnd w:id="69"/>
            <w:bookmarkStart w:id="70" w:name="_42"/>
            <w:bookmarkEnd w:id="70"/>
            <w:r>
              <w:rPr>
                <w:rFonts w:hint="eastAsia" w:ascii="宋体" w:hAnsi="宋体" w:cs="宋体"/>
                <w:color w:val="auto"/>
                <w:szCs w:val="21"/>
                <w:highlight w:val="none"/>
              </w:rPr>
              <w:t>22</w:t>
            </w:r>
          </w:p>
        </w:tc>
        <w:tc>
          <w:tcPr>
            <w:tcW w:w="8175" w:type="dxa"/>
            <w:tcBorders>
              <w:top w:val="single" w:color="auto" w:sz="4" w:space="0"/>
              <w:left w:val="single" w:color="auto" w:sz="4" w:space="0"/>
              <w:bottom w:val="single" w:color="auto" w:sz="4" w:space="0"/>
              <w:right w:val="single" w:color="auto" w:sz="4" w:space="0"/>
            </w:tcBorders>
            <w:vAlign w:val="center"/>
          </w:tcPr>
          <w:p w14:paraId="67CD8D7B">
            <w:pPr>
              <w:pStyle w:val="32"/>
              <w:spacing w:before="0" w:after="0" w:line="360" w:lineRule="auto"/>
              <w:rPr>
                <w:rFonts w:hint="eastAsia" w:hAnsi="宋体" w:cs="宋体"/>
                <w:color w:val="auto"/>
                <w:w w:val="100"/>
                <w:highlight w:val="none"/>
              </w:rPr>
            </w:pPr>
            <w:r>
              <w:rPr>
                <w:rFonts w:hint="eastAsia" w:hAnsi="宋体" w:cs="宋体"/>
                <w:color w:val="auto"/>
                <w:w w:val="100"/>
                <w:highlight w:val="none"/>
              </w:rPr>
              <w:t>1.采购代理费支付方式：</w:t>
            </w:r>
          </w:p>
          <w:p w14:paraId="1FDECD4E">
            <w:pPr>
              <w:pStyle w:val="32"/>
              <w:spacing w:before="0" w:after="0" w:line="360" w:lineRule="auto"/>
              <w:rPr>
                <w:rFonts w:hint="eastAsia" w:hAnsi="宋体" w:cs="宋体"/>
                <w:color w:val="auto"/>
                <w:w w:val="100"/>
                <w:highlight w:val="none"/>
              </w:rPr>
            </w:pPr>
            <w:r>
              <w:rPr>
                <w:rFonts w:hint="eastAsia" w:hAnsi="宋体" w:cs="宋体"/>
                <w:color w:val="auto"/>
                <w:w w:val="100"/>
                <w:highlight w:val="none"/>
              </w:rPr>
              <w:t>√本项目代理服务费由中标人在领取中标通知书前，一次性向采购代理机构支付。</w:t>
            </w:r>
          </w:p>
          <w:p w14:paraId="42A3C2B3">
            <w:pPr>
              <w:pStyle w:val="32"/>
              <w:spacing w:before="0" w:after="0" w:line="360" w:lineRule="auto"/>
              <w:rPr>
                <w:rFonts w:hint="eastAsia" w:hAnsi="宋体" w:cs="宋体"/>
                <w:color w:val="auto"/>
                <w:w w:val="100"/>
                <w:highlight w:val="none"/>
              </w:rPr>
            </w:pPr>
            <w:r>
              <w:rPr>
                <w:rFonts w:hint="eastAsia" w:hAnsi="宋体" w:cs="宋体"/>
                <w:color w:val="auto"/>
                <w:w w:val="100"/>
                <w:highlight w:val="none"/>
              </w:rPr>
              <w:t>□采购人支付。</w:t>
            </w:r>
          </w:p>
          <w:p w14:paraId="00148539">
            <w:pPr>
              <w:pStyle w:val="32"/>
              <w:spacing w:before="0" w:after="0" w:line="360" w:lineRule="auto"/>
              <w:rPr>
                <w:rFonts w:hint="eastAsia" w:hAnsi="宋体" w:cs="宋体"/>
                <w:color w:val="auto"/>
                <w:w w:val="100"/>
                <w:highlight w:val="none"/>
              </w:rPr>
            </w:pPr>
            <w:r>
              <w:rPr>
                <w:rFonts w:hint="eastAsia" w:hAnsi="宋体" w:cs="宋体"/>
                <w:color w:val="auto"/>
                <w:w w:val="100"/>
                <w:highlight w:val="none"/>
              </w:rPr>
              <w:t>2.采购代理费收取标准：</w:t>
            </w:r>
          </w:p>
          <w:p w14:paraId="43717F8C">
            <w:pPr>
              <w:pStyle w:val="32"/>
              <w:spacing w:before="0" w:after="0" w:line="360" w:lineRule="auto"/>
              <w:rPr>
                <w:rFonts w:hint="eastAsia" w:hAnsi="宋体" w:cs="宋体"/>
                <w:color w:val="auto"/>
                <w:w w:val="100"/>
                <w:highlight w:val="none"/>
              </w:rPr>
            </w:pPr>
            <w:bookmarkStart w:id="71" w:name="OLE_LINK17"/>
            <w:r>
              <w:rPr>
                <w:rFonts w:hint="eastAsia" w:hAnsi="宋体" w:cs="宋体"/>
                <w:color w:val="auto"/>
                <w:w w:val="100"/>
                <w:highlight w:val="none"/>
              </w:rPr>
              <w:t>√</w:t>
            </w:r>
            <w:bookmarkEnd w:id="71"/>
            <w:r>
              <w:rPr>
                <w:rFonts w:hint="eastAsia" w:hAnsi="宋体" w:cs="宋体"/>
                <w:color w:val="auto"/>
                <w:w w:val="100"/>
                <w:highlight w:val="none"/>
              </w:rPr>
              <w:t>以分标（□中标金额/√采购预算/□暂定中标金额/□其他）为计费额，按本须知正文第39.2条规定的收费计算标准（□货物招标/√服务招标/□工程招标）采用差额定率累进法计算出收费基准价格，采购代理收费以（√收费基准价格/□收费基准价格下浮%/□收费基准价格上浮%）收取。</w:t>
            </w:r>
          </w:p>
          <w:p w14:paraId="31530691">
            <w:pPr>
              <w:pStyle w:val="32"/>
              <w:spacing w:before="0" w:after="0" w:line="360" w:lineRule="auto"/>
              <w:rPr>
                <w:rFonts w:hint="eastAsia" w:hAnsi="宋体" w:cs="宋体"/>
                <w:color w:val="auto"/>
                <w:w w:val="100"/>
                <w:highlight w:val="none"/>
              </w:rPr>
            </w:pPr>
            <w:r>
              <w:rPr>
                <w:rFonts w:hint="eastAsia" w:hAnsi="宋体" w:cs="宋体"/>
                <w:color w:val="auto"/>
                <w:w w:val="100"/>
                <w:highlight w:val="none"/>
              </w:rPr>
              <w:t>□固定采购代理收费：</w:t>
            </w:r>
          </w:p>
          <w:p w14:paraId="57F90D4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3.账户信息： </w:t>
            </w:r>
          </w:p>
          <w:p w14:paraId="5F187E97">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账户名称：</w:t>
            </w:r>
            <w:r>
              <w:rPr>
                <w:rFonts w:hint="eastAsia" w:ascii="宋体" w:hAnsi="宋体" w:cs="宋体"/>
                <w:color w:val="auto"/>
                <w:szCs w:val="21"/>
                <w:highlight w:val="none"/>
              </w:rPr>
              <w:t>广西中启招标咨询有限公司</w:t>
            </w:r>
          </w:p>
          <w:p w14:paraId="1452302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szCs w:val="21"/>
                <w:highlight w:val="none"/>
              </w:rPr>
              <w:t>广西北部湾银行股份有限公司南宁市秀灵支行</w:t>
            </w:r>
          </w:p>
          <w:p w14:paraId="7F485A52">
            <w:pPr>
              <w:snapToGrid w:val="0"/>
              <w:spacing w:line="360" w:lineRule="auto"/>
              <w:rPr>
                <w:rFonts w:hint="eastAsia" w:ascii="宋体" w:hAnsi="宋体" w:cs="宋体"/>
                <w:color w:val="auto"/>
                <w:highlight w:val="none"/>
              </w:rPr>
            </w:pPr>
            <w:r>
              <w:rPr>
                <w:rFonts w:hint="eastAsia" w:ascii="宋体" w:hAnsi="宋体" w:cs="宋体"/>
                <w:color w:val="auto"/>
                <w:kern w:val="0"/>
                <w:szCs w:val="21"/>
                <w:highlight w:val="none"/>
              </w:rPr>
              <w:t>银行账号：8050 1770 2500 001</w:t>
            </w:r>
          </w:p>
        </w:tc>
      </w:tr>
      <w:tr w14:paraId="6F6A7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772E988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vAlign w:val="center"/>
          </w:tcPr>
          <w:p w14:paraId="6C454D2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7BA26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vAlign w:val="center"/>
          </w:tcPr>
          <w:p w14:paraId="70972FB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8175" w:type="dxa"/>
            <w:tcBorders>
              <w:top w:val="single" w:color="auto" w:sz="4" w:space="0"/>
              <w:left w:val="single" w:color="auto" w:sz="4" w:space="0"/>
              <w:bottom w:val="single" w:color="auto" w:sz="4" w:space="0"/>
              <w:right w:val="single" w:color="auto" w:sz="4" w:space="0"/>
            </w:tcBorders>
            <w:vAlign w:val="center"/>
          </w:tcPr>
          <w:p w14:paraId="217936E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47699E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62DF6DE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bookmarkStart w:id="72" w:name="OLE_LINK2"/>
            <w:r>
              <w:rPr>
                <w:rFonts w:hint="eastAsia" w:ascii="宋体" w:hAnsi="宋体" w:cs="宋体"/>
                <w:color w:val="auto"/>
                <w:szCs w:val="21"/>
                <w:highlight w:val="none"/>
              </w:rPr>
              <w:t>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bookmarkEnd w:id="72"/>
            <w:r>
              <w:rPr>
                <w:rFonts w:hint="eastAsia" w:ascii="宋体" w:hAnsi="宋体" w:cs="宋体"/>
                <w:color w:val="auto"/>
                <w:szCs w:val="21"/>
                <w:highlight w:val="none"/>
              </w:rPr>
              <w:t>。</w:t>
            </w:r>
          </w:p>
          <w:p w14:paraId="1C966F4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4.本招标文件中描述投标人的“签字”是指投标人的法定代表人或者委托代理人亲自在文件规定签字处亲笔写上个人的名字的行为，私章、签字章、印鉴、影印等其他形式均不能代替亲笔签字。</w:t>
            </w:r>
          </w:p>
        </w:tc>
      </w:tr>
    </w:tbl>
    <w:p w14:paraId="3D8CCC71">
      <w:pPr>
        <w:snapToGrid w:val="0"/>
        <w:rPr>
          <w:rFonts w:hint="eastAsia" w:ascii="宋体" w:hAnsi="宋体" w:cs="宋体"/>
          <w:color w:val="auto"/>
          <w:sz w:val="24"/>
          <w:szCs w:val="20"/>
          <w:highlight w:val="none"/>
        </w:rPr>
      </w:pPr>
    </w:p>
    <w:p w14:paraId="74286E3E">
      <w:pPr>
        <w:pStyle w:val="39"/>
        <w:rPr>
          <w:rFonts w:hint="eastAsia" w:ascii="宋体" w:hAnsi="宋体" w:cs="宋体"/>
          <w:color w:val="auto"/>
          <w:sz w:val="24"/>
          <w:szCs w:val="20"/>
          <w:highlight w:val="none"/>
        </w:rPr>
      </w:pPr>
    </w:p>
    <w:p w14:paraId="5C1D6833">
      <w:pPr>
        <w:pStyle w:val="39"/>
        <w:rPr>
          <w:rFonts w:hint="eastAsia" w:ascii="宋体" w:hAnsi="宋体" w:cs="宋体"/>
          <w:color w:val="auto"/>
          <w:sz w:val="24"/>
          <w:szCs w:val="20"/>
          <w:highlight w:val="none"/>
        </w:rPr>
      </w:pPr>
    </w:p>
    <w:p w14:paraId="22342BE8">
      <w:pPr>
        <w:pStyle w:val="39"/>
        <w:rPr>
          <w:rFonts w:hint="eastAsia" w:ascii="宋体" w:hAnsi="宋体" w:cs="宋体"/>
          <w:color w:val="auto"/>
          <w:sz w:val="24"/>
          <w:szCs w:val="20"/>
          <w:highlight w:val="none"/>
        </w:rPr>
      </w:pPr>
    </w:p>
    <w:p w14:paraId="3EF5BEE6">
      <w:pPr>
        <w:pStyle w:val="39"/>
        <w:rPr>
          <w:rFonts w:hint="eastAsia" w:ascii="宋体" w:hAnsi="宋体" w:cs="宋体"/>
          <w:color w:val="auto"/>
          <w:sz w:val="24"/>
          <w:szCs w:val="20"/>
          <w:highlight w:val="none"/>
        </w:rPr>
      </w:pPr>
    </w:p>
    <w:p w14:paraId="7B32084B">
      <w:pPr>
        <w:pStyle w:val="39"/>
        <w:rPr>
          <w:rFonts w:hint="eastAsia" w:ascii="宋体" w:hAnsi="宋体" w:cs="宋体"/>
          <w:color w:val="auto"/>
          <w:sz w:val="24"/>
          <w:szCs w:val="20"/>
          <w:highlight w:val="none"/>
        </w:rPr>
      </w:pPr>
    </w:p>
    <w:p w14:paraId="0855A0AB">
      <w:pPr>
        <w:pStyle w:val="39"/>
        <w:rPr>
          <w:rFonts w:hint="eastAsia" w:ascii="宋体" w:hAnsi="宋体" w:cs="宋体"/>
          <w:color w:val="auto"/>
          <w:sz w:val="24"/>
          <w:szCs w:val="20"/>
          <w:highlight w:val="none"/>
        </w:rPr>
      </w:pPr>
    </w:p>
    <w:p w14:paraId="656CD85D">
      <w:pPr>
        <w:pStyle w:val="39"/>
        <w:rPr>
          <w:rFonts w:hint="eastAsia" w:ascii="宋体" w:hAnsi="宋体" w:cs="宋体"/>
          <w:color w:val="auto"/>
          <w:sz w:val="24"/>
          <w:szCs w:val="20"/>
          <w:highlight w:val="none"/>
        </w:rPr>
      </w:pPr>
    </w:p>
    <w:p w14:paraId="1908526D">
      <w:pPr>
        <w:pStyle w:val="39"/>
        <w:rPr>
          <w:rFonts w:hint="eastAsia" w:ascii="宋体" w:hAnsi="宋体" w:cs="宋体"/>
          <w:color w:val="auto"/>
          <w:sz w:val="24"/>
          <w:szCs w:val="20"/>
          <w:highlight w:val="none"/>
        </w:rPr>
      </w:pPr>
    </w:p>
    <w:p w14:paraId="3ACC786B">
      <w:pPr>
        <w:pStyle w:val="39"/>
        <w:rPr>
          <w:rFonts w:hint="eastAsia" w:ascii="宋体" w:hAnsi="宋体" w:cs="宋体"/>
          <w:color w:val="auto"/>
          <w:sz w:val="24"/>
          <w:szCs w:val="20"/>
          <w:highlight w:val="none"/>
        </w:rPr>
      </w:pPr>
    </w:p>
    <w:p w14:paraId="10D15391">
      <w:pPr>
        <w:pStyle w:val="39"/>
        <w:rPr>
          <w:rFonts w:hint="eastAsia" w:ascii="宋体" w:hAnsi="宋体" w:cs="宋体"/>
          <w:color w:val="auto"/>
          <w:sz w:val="24"/>
          <w:szCs w:val="20"/>
          <w:highlight w:val="none"/>
        </w:rPr>
      </w:pPr>
    </w:p>
    <w:p w14:paraId="2525EE79">
      <w:pPr>
        <w:pStyle w:val="39"/>
        <w:rPr>
          <w:rFonts w:hint="eastAsia" w:ascii="宋体" w:hAnsi="宋体" w:cs="宋体"/>
          <w:color w:val="auto"/>
          <w:sz w:val="24"/>
          <w:szCs w:val="20"/>
          <w:highlight w:val="none"/>
        </w:rPr>
      </w:pPr>
    </w:p>
    <w:p w14:paraId="538D4A41">
      <w:pPr>
        <w:pStyle w:val="39"/>
        <w:rPr>
          <w:rFonts w:hint="eastAsia" w:ascii="宋体" w:hAnsi="宋体" w:cs="宋体"/>
          <w:color w:val="auto"/>
          <w:sz w:val="24"/>
          <w:szCs w:val="20"/>
          <w:highlight w:val="none"/>
        </w:rPr>
      </w:pPr>
    </w:p>
    <w:p w14:paraId="4203C55A">
      <w:pPr>
        <w:rPr>
          <w:rFonts w:hint="eastAsia" w:ascii="宋体" w:hAnsi="宋体" w:cs="宋体"/>
          <w:color w:val="auto"/>
          <w:highlight w:val="none"/>
        </w:rPr>
      </w:pPr>
      <w:r>
        <w:rPr>
          <w:rFonts w:hint="eastAsia" w:ascii="宋体" w:hAnsi="宋体" w:cs="宋体"/>
          <w:color w:val="auto"/>
          <w:highlight w:val="none"/>
        </w:rPr>
        <w:br w:type="page"/>
      </w:r>
    </w:p>
    <w:p w14:paraId="2C40BCFD">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投标人须知正文</w:t>
      </w:r>
    </w:p>
    <w:p w14:paraId="1CD7A4C9">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一、总则</w:t>
      </w:r>
    </w:p>
    <w:p w14:paraId="655CE377">
      <w:pPr>
        <w:pStyle w:val="6"/>
        <w:keepNext w:val="0"/>
        <w:keepLines w:val="0"/>
        <w:spacing w:before="0" w:after="0" w:line="360" w:lineRule="auto"/>
        <w:ind w:left="420" w:leftChars="200"/>
        <w:rPr>
          <w:rFonts w:hint="eastAsia" w:ascii="宋体" w:hAnsi="宋体" w:cs="宋体"/>
          <w:color w:val="auto"/>
          <w:sz w:val="24"/>
          <w:highlight w:val="none"/>
        </w:rPr>
      </w:pPr>
      <w:bookmarkStart w:id="73" w:name="_Toc254970668"/>
      <w:bookmarkStart w:id="74" w:name="_Toc254970527"/>
      <w:r>
        <w:rPr>
          <w:rFonts w:hint="eastAsia" w:ascii="宋体" w:hAnsi="宋体" w:cs="宋体"/>
          <w:color w:val="auto"/>
          <w:sz w:val="24"/>
          <w:highlight w:val="none"/>
        </w:rPr>
        <w:t>1.适用范围</w:t>
      </w:r>
      <w:bookmarkEnd w:id="73"/>
      <w:bookmarkEnd w:id="74"/>
    </w:p>
    <w:p w14:paraId="7083E1B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55067F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780F79F">
      <w:pPr>
        <w:pStyle w:val="6"/>
        <w:keepNext w:val="0"/>
        <w:keepLines w:val="0"/>
        <w:spacing w:before="0" w:after="0" w:line="360" w:lineRule="auto"/>
        <w:ind w:left="420" w:leftChars="200"/>
        <w:rPr>
          <w:rFonts w:hint="eastAsia" w:ascii="宋体" w:hAnsi="宋体" w:cs="宋体"/>
          <w:color w:val="auto"/>
          <w:sz w:val="24"/>
          <w:highlight w:val="none"/>
        </w:rPr>
      </w:pPr>
      <w:bookmarkStart w:id="75" w:name="_Toc254970528"/>
      <w:bookmarkStart w:id="76" w:name="_Toc254970669"/>
      <w:r>
        <w:rPr>
          <w:rFonts w:hint="eastAsia" w:ascii="宋体" w:hAnsi="宋体" w:cs="宋体"/>
          <w:color w:val="auto"/>
          <w:sz w:val="24"/>
          <w:highlight w:val="none"/>
        </w:rPr>
        <w:t>2.定义</w:t>
      </w:r>
      <w:bookmarkEnd w:id="75"/>
      <w:bookmarkEnd w:id="76"/>
    </w:p>
    <w:p w14:paraId="1513039D">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5D6E8C62">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22CB00EB">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2.3“供应商”是指向采购人提供货物、工程或者服务的法人、其他组织或者自然人。</w:t>
      </w:r>
    </w:p>
    <w:p w14:paraId="28AF11FA">
      <w:pPr>
        <w:pStyle w:val="8"/>
        <w:spacing w:line="360" w:lineRule="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37C1FF80">
      <w:pPr>
        <w:pStyle w:val="6"/>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2.5“服务”是指除货物和工程以外的其他政府采购对象。</w:t>
      </w:r>
    </w:p>
    <w:p w14:paraId="74B82798">
      <w:pPr>
        <w:pStyle w:val="6"/>
        <w:keepNext w:val="0"/>
        <w:keepLines w:val="0"/>
        <w:spacing w:before="0" w:after="0" w:line="360"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2.6“书面形式”是指合同书、信件和数据电文（包括电报、电传、传真、电子数据交换和电子邮件）等可以有形地表现所载内容的形式。</w:t>
      </w:r>
    </w:p>
    <w:p w14:paraId="37E755C3">
      <w:pPr>
        <w:pStyle w:val="6"/>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2.7“实质性要求”是指招标文件中已经指明不满足则投标无效的条款，或者不能负偏离的条款，或者采购需求中带“▲”的条款。</w:t>
      </w:r>
    </w:p>
    <w:p w14:paraId="27F8736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27ADEE1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292A25F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77" w:name="_Toc254970670"/>
      <w:bookmarkStart w:id="78" w:name="_Toc254970529"/>
    </w:p>
    <w:p w14:paraId="24DDFAC6">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w:t>
      </w:r>
      <w:bookmarkEnd w:id="77"/>
      <w:bookmarkEnd w:id="78"/>
      <w:r>
        <w:rPr>
          <w:rFonts w:hint="eastAsia" w:ascii="宋体" w:hAnsi="宋体" w:cs="宋体"/>
          <w:color w:val="auto"/>
          <w:sz w:val="24"/>
          <w:highlight w:val="none"/>
        </w:rPr>
        <w:t>投标人的资格要求</w:t>
      </w:r>
    </w:p>
    <w:p w14:paraId="49753B1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5FE6FEE2">
      <w:pPr>
        <w:pStyle w:val="6"/>
        <w:keepNext w:val="0"/>
        <w:keepLines w:val="0"/>
        <w:spacing w:before="0" w:after="0" w:line="360" w:lineRule="auto"/>
        <w:ind w:left="420" w:leftChars="200"/>
        <w:rPr>
          <w:rFonts w:hint="eastAsia" w:ascii="宋体" w:hAnsi="宋体" w:cs="宋体"/>
          <w:color w:val="auto"/>
          <w:sz w:val="24"/>
          <w:highlight w:val="none"/>
        </w:rPr>
      </w:pPr>
      <w:bookmarkStart w:id="79" w:name="_Toc254970671"/>
      <w:bookmarkStart w:id="80" w:name="_Toc254970530"/>
      <w:r>
        <w:rPr>
          <w:rFonts w:hint="eastAsia" w:ascii="宋体" w:hAnsi="宋体" w:cs="宋体"/>
          <w:color w:val="auto"/>
          <w:sz w:val="24"/>
          <w:highlight w:val="none"/>
        </w:rPr>
        <w:t>4.投标委托</w:t>
      </w:r>
      <w:bookmarkEnd w:id="79"/>
      <w:bookmarkEnd w:id="80"/>
    </w:p>
    <w:p w14:paraId="40CFDBD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1A16B882">
      <w:pPr>
        <w:pStyle w:val="6"/>
        <w:keepNext w:val="0"/>
        <w:keepLines w:val="0"/>
        <w:spacing w:before="0" w:after="0" w:line="360" w:lineRule="auto"/>
        <w:ind w:left="420" w:leftChars="200"/>
        <w:rPr>
          <w:rFonts w:hint="eastAsia" w:ascii="宋体" w:hAnsi="宋体" w:cs="宋体"/>
          <w:color w:val="auto"/>
          <w:sz w:val="24"/>
          <w:highlight w:val="none"/>
        </w:rPr>
      </w:pPr>
      <w:bookmarkStart w:id="81" w:name="_5.投标费用"/>
      <w:bookmarkEnd w:id="81"/>
      <w:bookmarkStart w:id="82" w:name="_Toc254970672"/>
      <w:bookmarkStart w:id="83" w:name="_Toc254970531"/>
      <w:r>
        <w:rPr>
          <w:rFonts w:hint="eastAsia" w:ascii="宋体" w:hAnsi="宋体" w:cs="宋体"/>
          <w:color w:val="auto"/>
          <w:sz w:val="24"/>
          <w:highlight w:val="none"/>
        </w:rPr>
        <w:t>5.投标费用</w:t>
      </w:r>
      <w:bookmarkEnd w:id="82"/>
      <w:bookmarkEnd w:id="83"/>
    </w:p>
    <w:p w14:paraId="71C65E2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8C40DCA">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6.联合体投标</w:t>
      </w:r>
    </w:p>
    <w:p w14:paraId="53AD085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7EAF2F94">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652E286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6.3根据《政府采购促进中小企业发展管理办法》（财库〔2020〕46号）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7A1B577">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 xml:space="preserve">7.转包与分包             </w:t>
      </w:r>
    </w:p>
    <w:p w14:paraId="65EDE384">
      <w:pPr>
        <w:snapToGrid w:val="0"/>
        <w:spacing w:line="360" w:lineRule="auto"/>
        <w:ind w:firstLine="420" w:firstLineChars="200"/>
        <w:jc w:val="left"/>
        <w:rPr>
          <w:rFonts w:hint="eastAsia" w:ascii="宋体" w:hAnsi="宋体" w:cs="宋体"/>
          <w:bCs/>
          <w:color w:val="auto"/>
          <w:szCs w:val="21"/>
          <w:highlight w:val="none"/>
        </w:rPr>
      </w:pPr>
      <w:bookmarkStart w:id="84" w:name="_Toc254970532"/>
      <w:bookmarkStart w:id="85" w:name="_Toc254970673"/>
      <w:r>
        <w:rPr>
          <w:rFonts w:hint="eastAsia" w:ascii="宋体" w:hAnsi="宋体" w:cs="宋体"/>
          <w:bCs/>
          <w:color w:val="auto"/>
          <w:szCs w:val="21"/>
          <w:highlight w:val="none"/>
        </w:rPr>
        <w:t>7.1本项目不允许转包。</w:t>
      </w:r>
    </w:p>
    <w:p w14:paraId="48DA7CE4">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1CD65BDF">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0642D410">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8.特别说明</w:t>
      </w:r>
      <w:bookmarkEnd w:id="84"/>
      <w:bookmarkEnd w:id="85"/>
    </w:p>
    <w:p w14:paraId="4EA31878">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1AE96C29">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8.2投标人应仔细阅读招标文件的所有内容，按照招标文件的要求提交投标文件，并对所提供的全部资料的真实性承担法律责任。</w:t>
      </w:r>
    </w:p>
    <w:p w14:paraId="04EE8CF9">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028603B1">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9.回避与串通投标</w:t>
      </w:r>
    </w:p>
    <w:p w14:paraId="55DD0F2A">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9.1在政府采购活动中，采购人员及相关人员与供应商有下列利害关系之一的，应当回避：</w:t>
      </w:r>
    </w:p>
    <w:p w14:paraId="199CA9F1">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（1）参加采购活动前3年内与供应商存在劳动关系；</w:t>
      </w:r>
    </w:p>
    <w:p w14:paraId="370848E3">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（2）参加采购活动前3年内担任供应商的董事、监事；</w:t>
      </w:r>
    </w:p>
    <w:p w14:paraId="4B7E63C5">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（3）参加采购活动前3年内是供应商的控股股东或者实际控制人；</w:t>
      </w:r>
    </w:p>
    <w:p w14:paraId="01504D17">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（4）与供应商的法定代表人或者负责人有夫妻、直系血亲、三代以内旁系血亲或者近姻亲关系；</w:t>
      </w:r>
    </w:p>
    <w:p w14:paraId="3A49FAED">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（5）与供应商有其他可能影响政府采购活动公平、公正进行的关系。</w:t>
      </w:r>
    </w:p>
    <w:p w14:paraId="00CBC64E">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A968528">
      <w:pPr>
        <w:pStyle w:val="6"/>
        <w:keepNext w:val="0"/>
        <w:keepLines w:val="0"/>
        <w:spacing w:before="0" w:after="0" w:line="360" w:lineRule="auto"/>
        <w:ind w:left="420" w:left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9.2有下列情形之一的视为投标人相互串通投标，投标文件将被视为无效：</w:t>
      </w:r>
    </w:p>
    <w:p w14:paraId="5D1184E7">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（1）不同投标人的投标文件由同一单位或者个人编制； </w:t>
      </w:r>
    </w:p>
    <w:p w14:paraId="0137FFCE">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（2）不同投标人委托同一单位或者个人办理投标事宜；</w:t>
      </w:r>
    </w:p>
    <w:p w14:paraId="7A32925F">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（3）不同的投标人的投标文件载明的项目管理员为同一个人；</w:t>
      </w:r>
    </w:p>
    <w:p w14:paraId="3F6B9AC0">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（4）不同投标人的投标文件异常一致或者投标报价呈规律性差异；</w:t>
      </w:r>
    </w:p>
    <w:p w14:paraId="53A4685D">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（5）不同投标人的投标文件相互混装；</w:t>
      </w:r>
    </w:p>
    <w:p w14:paraId="6347C6AE">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（6）不同投标人的投标保证金从同一单位或者个人账户转出。</w:t>
      </w:r>
    </w:p>
    <w:p w14:paraId="620FEB7E">
      <w:pPr>
        <w:pStyle w:val="6"/>
        <w:keepNext w:val="0"/>
        <w:keepLines w:val="0"/>
        <w:spacing w:before="0" w:after="0" w:line="360" w:lineRule="auto"/>
        <w:ind w:left="420" w:left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9.3供应商有下列情形之一的，属于恶意串通行为，将报同级监督管理部门：</w:t>
      </w:r>
    </w:p>
    <w:p w14:paraId="07B9F37B">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（1）供应商直接或者间接从采购人或者采购代理机构处获得其他供应商的相关信息并修改其投标文件或者响应文件；</w:t>
      </w:r>
    </w:p>
    <w:p w14:paraId="583B466E">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（2）供应商按照采购人或者采购代理机构的授意撤换、修改投标文件或者响应文件；</w:t>
      </w:r>
    </w:p>
    <w:p w14:paraId="6DE25C69">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（3）供应商之间协商报价、技术方案等投标文件或者响应文件的实质性内容；</w:t>
      </w:r>
    </w:p>
    <w:p w14:paraId="3D247866">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（4）属于同一集团、协会、商会等组织成员的供应商按照该组织要求协同参加政府采购活动；</w:t>
      </w:r>
    </w:p>
    <w:p w14:paraId="5BF75B9F">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4D059692">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（6）供应商之间商定部分供应商放弃参加政府采购活动或者放弃中标；</w:t>
      </w:r>
    </w:p>
    <w:p w14:paraId="4F54F37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bCs/>
          <w:color w:val="auto"/>
          <w:szCs w:val="21"/>
          <w:highlight w:val="none"/>
        </w:rPr>
        <w:t>（7）供应商与采购人或者采购代理机构之间、供应商相互之间，为谋求特定供应商中标或者排斥其他供应商的其他串通行为。</w:t>
      </w:r>
    </w:p>
    <w:p w14:paraId="213D5EF1">
      <w:pPr>
        <w:pStyle w:val="4"/>
        <w:keepNext w:val="0"/>
        <w:keepLines w:val="0"/>
        <w:spacing w:before="0" w:after="0"/>
        <w:jc w:val="center"/>
        <w:rPr>
          <w:rFonts w:hint="eastAsia" w:ascii="宋体" w:hAnsi="宋体" w:cs="宋体"/>
          <w:color w:val="auto"/>
          <w:highlight w:val="none"/>
        </w:rPr>
      </w:pPr>
      <w:bookmarkStart w:id="86" w:name="_Toc254970675"/>
      <w:bookmarkStart w:id="87" w:name="_Toc254970534"/>
      <w:r>
        <w:rPr>
          <w:rFonts w:hint="eastAsia" w:ascii="宋体" w:hAnsi="宋体" w:cs="宋体"/>
          <w:color w:val="auto"/>
          <w:highlight w:val="none"/>
        </w:rPr>
        <w:t>二、招标文件</w:t>
      </w:r>
      <w:bookmarkEnd w:id="86"/>
      <w:bookmarkEnd w:id="87"/>
    </w:p>
    <w:p w14:paraId="1B9B919D">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10.招标文件的组成</w:t>
      </w:r>
    </w:p>
    <w:p w14:paraId="46D40AE4">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（1）招标公告；</w:t>
      </w:r>
    </w:p>
    <w:p w14:paraId="2CD52ECC">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08DCF175">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633FEABF">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42A99044">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7DB1E87B">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4520B40B">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40277938">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5A3C8C7">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12041A3">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11.2</w:t>
      </w:r>
      <w:bookmarkStart w:id="88" w:name="_Hlk53134511"/>
      <w:r>
        <w:rPr>
          <w:rFonts w:hint="eastAsia" w:ascii="宋体" w:hAnsi="宋体" w:cs="宋体"/>
          <w:bCs/>
          <w:color w:val="auto"/>
          <w:szCs w:val="21"/>
          <w:highlight w:val="none"/>
        </w:rPr>
        <w:t>采购人或者采购代理机构可以在招标文件提供期限截止后，组织已获取招标文件的潜在投标人现场考察或者召开开标前答疑会，具体详见“投标人须知前附表”。</w:t>
      </w:r>
    </w:p>
    <w:bookmarkEnd w:id="88"/>
    <w:p w14:paraId="27B1C164">
      <w:pPr>
        <w:pStyle w:val="4"/>
        <w:keepNext w:val="0"/>
        <w:keepLines w:val="0"/>
        <w:spacing w:before="0" w:after="0"/>
        <w:jc w:val="center"/>
        <w:rPr>
          <w:rFonts w:hint="eastAsia" w:ascii="宋体" w:hAnsi="宋体" w:cs="宋体"/>
          <w:color w:val="auto"/>
          <w:highlight w:val="none"/>
        </w:rPr>
      </w:pPr>
      <w:bookmarkStart w:id="89" w:name="_Toc254970676"/>
      <w:bookmarkStart w:id="90" w:name="_Toc254970535"/>
      <w:r>
        <w:rPr>
          <w:rFonts w:hint="eastAsia" w:ascii="宋体" w:hAnsi="宋体" w:cs="宋体"/>
          <w:color w:val="auto"/>
          <w:highlight w:val="none"/>
        </w:rPr>
        <w:t>三、投标文件的编制</w:t>
      </w:r>
      <w:bookmarkEnd w:id="89"/>
      <w:bookmarkEnd w:id="90"/>
    </w:p>
    <w:p w14:paraId="31AF2D44">
      <w:pPr>
        <w:pStyle w:val="6"/>
        <w:keepNext w:val="0"/>
        <w:keepLines w:val="0"/>
        <w:spacing w:before="0" w:after="0" w:line="360" w:lineRule="auto"/>
        <w:ind w:left="420" w:leftChars="200"/>
        <w:rPr>
          <w:rFonts w:hint="eastAsia" w:ascii="宋体" w:hAnsi="宋体" w:cs="宋体"/>
          <w:color w:val="auto"/>
          <w:sz w:val="24"/>
          <w:highlight w:val="none"/>
        </w:rPr>
      </w:pPr>
      <w:bookmarkStart w:id="91" w:name="_Toc254970536"/>
      <w:bookmarkStart w:id="92" w:name="_Toc254970677"/>
      <w:r>
        <w:rPr>
          <w:rFonts w:hint="eastAsia" w:ascii="宋体" w:hAnsi="宋体" w:cs="宋体"/>
          <w:color w:val="auto"/>
          <w:sz w:val="24"/>
          <w:highlight w:val="none"/>
        </w:rPr>
        <w:t>12.投标文件的编制原则</w:t>
      </w:r>
    </w:p>
    <w:p w14:paraId="2A027A84">
      <w:pPr>
        <w:snapToGrid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6E16F7A9">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13.投标文件的组成</w:t>
      </w:r>
      <w:bookmarkEnd w:id="91"/>
      <w:bookmarkEnd w:id="92"/>
    </w:p>
    <w:p w14:paraId="25CB7E2E">
      <w:pPr>
        <w:snapToGrid w:val="0"/>
        <w:spacing w:line="360" w:lineRule="auto"/>
        <w:ind w:firstLine="420" w:firstLineChars="200"/>
        <w:jc w:val="left"/>
        <w:rPr>
          <w:rFonts w:hint="eastAsia" w:ascii="宋体" w:hAnsi="宋体" w:cs="宋体"/>
          <w:color w:val="auto"/>
          <w:szCs w:val="21"/>
          <w:highlight w:val="none"/>
        </w:rPr>
      </w:pPr>
      <w:bookmarkStart w:id="93" w:name="_13.5投标文件电子版：具体材料见“投标人须知前附表”。"/>
      <w:bookmarkEnd w:id="93"/>
      <w:bookmarkStart w:id="94" w:name="_Toc254970678"/>
      <w:bookmarkStart w:id="95" w:name="_Toc254970537"/>
      <w:r>
        <w:rPr>
          <w:rFonts w:hint="eastAsia" w:ascii="宋体" w:hAnsi="宋体" w:cs="宋体"/>
          <w:color w:val="auto"/>
          <w:szCs w:val="21"/>
          <w:highlight w:val="none"/>
        </w:rPr>
        <w:t>投标文件由报价文件、资格证明文件、商务及技术文件三部分组成。</w:t>
      </w:r>
    </w:p>
    <w:p w14:paraId="64A84357">
      <w:pPr>
        <w:pStyle w:val="6"/>
        <w:keepNext w:val="0"/>
        <w:keepLines w:val="0"/>
        <w:numPr>
          <w:ilvl w:val="4"/>
          <w:numId w:val="23"/>
        </w:numPr>
        <w:spacing w:before="0" w:after="0" w:line="360" w:lineRule="auto"/>
        <w:ind w:left="420" w:leftChars="200"/>
        <w:rPr>
          <w:rFonts w:hint="eastAsia" w:ascii="宋体" w:hAnsi="宋体" w:cs="宋体"/>
          <w:b w:val="0"/>
          <w:color w:val="auto"/>
          <w:sz w:val="21"/>
          <w:szCs w:val="21"/>
          <w:highlight w:val="none"/>
        </w:rPr>
      </w:pPr>
      <w:bookmarkStart w:id="96" w:name="_13.1报价文件:_具体材料见“投标人须知前附表”。"/>
      <w:bookmarkEnd w:id="96"/>
      <w:r>
        <w:rPr>
          <w:rFonts w:hint="eastAsia" w:ascii="宋体" w:hAnsi="宋体" w:cs="宋体"/>
          <w:b w:val="0"/>
          <w:color w:val="auto"/>
          <w:sz w:val="21"/>
          <w:szCs w:val="21"/>
          <w:highlight w:val="none"/>
        </w:rPr>
        <w:t>（1）报价文件： 具体材料见“投标人须知前附表”。</w:t>
      </w:r>
    </w:p>
    <w:p w14:paraId="61932407">
      <w:pPr>
        <w:pStyle w:val="6"/>
        <w:keepNext w:val="0"/>
        <w:keepLines w:val="0"/>
        <w:numPr>
          <w:ilvl w:val="4"/>
          <w:numId w:val="23"/>
        </w:numPr>
        <w:spacing w:before="0" w:after="0" w:line="360" w:lineRule="auto"/>
        <w:ind w:left="420" w:leftChars="200"/>
        <w:rPr>
          <w:rFonts w:hint="eastAsia" w:ascii="宋体" w:hAnsi="宋体" w:cs="宋体"/>
          <w:b w:val="0"/>
          <w:color w:val="auto"/>
          <w:sz w:val="21"/>
          <w:szCs w:val="21"/>
          <w:highlight w:val="none"/>
        </w:rPr>
      </w:pPr>
      <w:bookmarkStart w:id="97" w:name="_13.2资格证明文件：具体材料见“投标人须知前附表”。"/>
      <w:bookmarkEnd w:id="97"/>
      <w:r>
        <w:rPr>
          <w:rFonts w:hint="eastAsia" w:ascii="宋体" w:hAnsi="宋体" w:cs="宋体"/>
          <w:b w:val="0"/>
          <w:color w:val="auto"/>
          <w:sz w:val="21"/>
          <w:szCs w:val="21"/>
          <w:highlight w:val="none"/>
        </w:rPr>
        <w:t>（2）资格证明文件：具体材料见“投标人须知前附表”。</w:t>
      </w:r>
    </w:p>
    <w:p w14:paraId="71969CFD">
      <w:pPr>
        <w:pStyle w:val="6"/>
        <w:keepNext w:val="0"/>
        <w:keepLines w:val="0"/>
        <w:numPr>
          <w:ilvl w:val="4"/>
          <w:numId w:val="23"/>
        </w:numPr>
        <w:spacing w:before="0" w:after="0" w:line="360" w:lineRule="auto"/>
        <w:ind w:left="420" w:leftChars="200"/>
        <w:rPr>
          <w:rFonts w:hint="eastAsia" w:ascii="宋体" w:hAnsi="宋体" w:cs="宋体"/>
          <w:b w:val="0"/>
          <w:color w:val="auto"/>
          <w:sz w:val="21"/>
          <w:szCs w:val="21"/>
          <w:highlight w:val="none"/>
        </w:rPr>
      </w:pPr>
      <w:bookmarkStart w:id="98" w:name="_13.3商务文件:_具体材料见“投标人须知前附表”。"/>
      <w:bookmarkEnd w:id="98"/>
      <w:r>
        <w:rPr>
          <w:rFonts w:hint="eastAsia" w:ascii="宋体" w:hAnsi="宋体" w:cs="宋体"/>
          <w:b w:val="0"/>
          <w:color w:val="auto"/>
          <w:sz w:val="21"/>
          <w:szCs w:val="21"/>
          <w:highlight w:val="none"/>
        </w:rPr>
        <w:t>（3）商务及技术文件：具体材料见“投标人须知前附表”。</w:t>
      </w:r>
    </w:p>
    <w:p w14:paraId="7A165AB1">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14.投标文件的语言及计量</w:t>
      </w:r>
      <w:bookmarkEnd w:id="94"/>
      <w:bookmarkEnd w:id="95"/>
    </w:p>
    <w:p w14:paraId="4CA8F179">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49C44459">
      <w:pPr>
        <w:pStyle w:val="6"/>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22A7B20">
      <w:pPr>
        <w:pStyle w:val="6"/>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37FA0A02">
      <w:pPr>
        <w:pStyle w:val="6"/>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Cs/>
          <w:color w:val="auto"/>
          <w:sz w:val="21"/>
          <w:szCs w:val="21"/>
          <w:highlight w:val="none"/>
        </w:rPr>
        <w:t>，否则视同未响应。</w:t>
      </w:r>
    </w:p>
    <w:p w14:paraId="660A3E4C">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15.投标的风险</w:t>
      </w:r>
    </w:p>
    <w:p w14:paraId="6E453D9C">
      <w:pPr>
        <w:pStyle w:val="32"/>
        <w:ind w:firstLine="398" w:firstLineChars="200"/>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352D1F43">
      <w:pPr>
        <w:pStyle w:val="6"/>
        <w:keepNext w:val="0"/>
        <w:keepLines w:val="0"/>
        <w:spacing w:before="0" w:after="0" w:line="360" w:lineRule="auto"/>
        <w:ind w:left="420" w:leftChars="200"/>
        <w:rPr>
          <w:rFonts w:hint="eastAsia" w:ascii="宋体" w:hAnsi="宋体" w:cs="宋体"/>
          <w:color w:val="auto"/>
          <w:sz w:val="24"/>
          <w:highlight w:val="none"/>
        </w:rPr>
      </w:pPr>
      <w:bookmarkStart w:id="99" w:name="_Toc254970679"/>
      <w:bookmarkStart w:id="100" w:name="_Toc254970538"/>
      <w:r>
        <w:rPr>
          <w:rFonts w:hint="eastAsia" w:ascii="宋体" w:hAnsi="宋体" w:cs="宋体"/>
          <w:color w:val="auto"/>
          <w:sz w:val="24"/>
          <w:highlight w:val="none"/>
        </w:rPr>
        <w:t>16.投标报价</w:t>
      </w:r>
      <w:bookmarkEnd w:id="99"/>
      <w:bookmarkEnd w:id="100"/>
    </w:p>
    <w:p w14:paraId="2F204D26">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5AC1265B">
      <w:pPr>
        <w:pStyle w:val="6"/>
        <w:keepNext w:val="0"/>
        <w:keepLines w:val="0"/>
        <w:spacing w:before="0" w:after="0" w:line="360" w:lineRule="auto"/>
        <w:ind w:left="420" w:leftChars="200"/>
        <w:rPr>
          <w:rFonts w:hint="eastAsia" w:ascii="宋体" w:hAnsi="宋体" w:cs="宋体"/>
          <w:b w:val="0"/>
          <w:color w:val="auto"/>
          <w:sz w:val="21"/>
          <w:szCs w:val="21"/>
          <w:highlight w:val="none"/>
        </w:rPr>
      </w:pPr>
      <w:bookmarkStart w:id="101" w:name="_16.2投标报价具体定义见投标人须知前附表。"/>
      <w:bookmarkEnd w:id="101"/>
      <w:r>
        <w:rPr>
          <w:rFonts w:hint="eastAsia" w:ascii="宋体" w:hAnsi="宋体" w:cs="宋体"/>
          <w:b w:val="0"/>
          <w:color w:val="auto"/>
          <w:sz w:val="21"/>
          <w:szCs w:val="21"/>
          <w:highlight w:val="none"/>
        </w:rPr>
        <w:t>16.2投标报价具体包括内容详见“投标人须知前附表”。</w:t>
      </w:r>
    </w:p>
    <w:p w14:paraId="6AB5B843">
      <w:pPr>
        <w:pStyle w:val="6"/>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610CA544">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17.投标有效期</w:t>
      </w:r>
    </w:p>
    <w:p w14:paraId="712C0108">
      <w:pPr>
        <w:pStyle w:val="6"/>
        <w:keepNext w:val="0"/>
        <w:keepLines w:val="0"/>
        <w:spacing w:before="0" w:after="0" w:line="360" w:lineRule="auto"/>
        <w:ind w:firstLine="420" w:firstLineChars="200"/>
        <w:rPr>
          <w:rFonts w:hint="eastAsia" w:ascii="宋体" w:hAnsi="宋体" w:cs="宋体"/>
          <w:b w:val="0"/>
          <w:color w:val="auto"/>
          <w:sz w:val="21"/>
          <w:szCs w:val="21"/>
          <w:highlight w:val="none"/>
        </w:rPr>
      </w:pPr>
      <w:bookmarkStart w:id="102" w:name="_17.1投标有效期应按“投标人须知中的前附表”规定的期限。"/>
      <w:bookmarkEnd w:id="102"/>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45334BC4">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03" w:name="_Toc254970681"/>
      <w:bookmarkStart w:id="104" w:name="_Toc254970540"/>
      <w:r>
        <w:rPr>
          <w:rFonts w:hint="eastAsia" w:ascii="宋体" w:hAnsi="宋体" w:cs="宋体"/>
          <w:b w:val="0"/>
          <w:color w:val="auto"/>
          <w:sz w:val="21"/>
          <w:szCs w:val="21"/>
          <w:highlight w:val="none"/>
        </w:rPr>
        <w:t xml:space="preserve"> 投标有效期应按规定的期限作出承诺，具体详见“投标人须知前附表”。</w:t>
      </w:r>
    </w:p>
    <w:p w14:paraId="0A280252">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03"/>
      <w:bookmarkEnd w:id="104"/>
    </w:p>
    <w:p w14:paraId="14F6D3CC">
      <w:pPr>
        <w:pStyle w:val="6"/>
        <w:keepNext w:val="0"/>
        <w:keepLines w:val="0"/>
        <w:spacing w:before="0" w:after="0" w:line="360" w:lineRule="auto"/>
        <w:ind w:left="420" w:leftChars="200"/>
        <w:rPr>
          <w:rFonts w:hint="eastAsia" w:ascii="宋体" w:hAnsi="宋体" w:cs="宋体"/>
          <w:color w:val="auto"/>
          <w:sz w:val="24"/>
          <w:highlight w:val="none"/>
        </w:rPr>
      </w:pPr>
      <w:bookmarkStart w:id="105" w:name="_18.投标保证金"/>
      <w:bookmarkEnd w:id="105"/>
      <w:bookmarkStart w:id="106" w:name="_Toc254970541"/>
      <w:bookmarkStart w:id="107" w:name="_Toc254970682"/>
      <w:r>
        <w:rPr>
          <w:rFonts w:hint="eastAsia" w:ascii="宋体" w:hAnsi="宋体" w:cs="宋体"/>
          <w:color w:val="auto"/>
          <w:sz w:val="24"/>
          <w:highlight w:val="none"/>
        </w:rPr>
        <w:t>18.投标保证金</w:t>
      </w:r>
      <w:bookmarkEnd w:id="106"/>
      <w:bookmarkEnd w:id="107"/>
    </w:p>
    <w:p w14:paraId="11D46D42">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 的规定提交投标保证金。</w:t>
      </w:r>
    </w:p>
    <w:p w14:paraId="5719853F">
      <w:pPr>
        <w:pStyle w:val="6"/>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08EC85FE">
      <w:pPr>
        <w:pStyle w:val="6"/>
        <w:keepNext w:val="0"/>
        <w:keepLines w:val="0"/>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66FDF53A">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40E3BC0D">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2FAEB5B3">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5859D77B">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2572391C">
      <w:pPr>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398A5366">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724F87F0">
      <w:pPr>
        <w:snapToGrid w:val="0"/>
        <w:spacing w:line="360" w:lineRule="auto"/>
        <w:ind w:firstLine="420" w:firstLineChars="200"/>
        <w:rPr>
          <w:rFonts w:hint="eastAsia" w:ascii="宋体" w:hAnsi="宋体" w:cs="宋体"/>
          <w:color w:val="auto"/>
          <w:szCs w:val="21"/>
          <w:highlight w:val="none"/>
        </w:rPr>
      </w:pPr>
      <w:bookmarkStart w:id="108" w:name="_Toc254970683"/>
      <w:bookmarkStart w:id="109" w:name="_Toc254970542"/>
      <w:r>
        <w:rPr>
          <w:rFonts w:hint="eastAsia" w:ascii="宋体" w:hAnsi="宋体" w:cs="宋体"/>
          <w:color w:val="auto"/>
          <w:szCs w:val="21"/>
          <w:highlight w:val="none"/>
        </w:rPr>
        <w:t>（5）投标人出现本章第9.2、9.3情形的；</w:t>
      </w:r>
    </w:p>
    <w:p w14:paraId="48A0277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08"/>
    <w:bookmarkEnd w:id="109"/>
    <w:p w14:paraId="7ECEC79F">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19.投标文件的编制</w:t>
      </w:r>
    </w:p>
    <w:p w14:paraId="737F6380">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先安装“广西政府采购云平台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5AC3A23B">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bookmarkStart w:id="110" w:name="_19.2投标文件应按报价文件、资格证明文件、商务文件、技术文件分别编制"/>
      <w:bookmarkEnd w:id="110"/>
      <w:r>
        <w:rPr>
          <w:rFonts w:hint="eastAsia" w:ascii="宋体" w:hAnsi="宋体" w:cs="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717E5862">
      <w:pPr>
        <w:pStyle w:val="6"/>
        <w:keepNext w:val="0"/>
        <w:keepLines w:val="0"/>
        <w:spacing w:before="0" w:after="0" w:line="360"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7A4216E8">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7C76294B">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4F4B9F6">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20.电子备份投标文件</w:t>
      </w:r>
    </w:p>
    <w:p w14:paraId="37E47D02">
      <w:pPr>
        <w:spacing w:line="360" w:lineRule="auto"/>
        <w:ind w:firstLine="420" w:firstLineChars="200"/>
        <w:rPr>
          <w:rFonts w:hint="eastAsia" w:ascii="宋体" w:hAnsi="宋体" w:cs="宋体"/>
          <w:color w:val="auto"/>
          <w:sz w:val="24"/>
          <w:highlight w:val="none"/>
        </w:rPr>
      </w:pPr>
      <w:r>
        <w:rPr>
          <w:rFonts w:hint="eastAsia" w:ascii="宋体" w:hAnsi="宋体" w:cs="宋体"/>
          <w:color w:val="auto"/>
          <w:highlight w:val="none"/>
        </w:rPr>
        <w:t>电子备份投标文件是指通过“</w:t>
      </w:r>
      <w:r>
        <w:rPr>
          <w:rFonts w:hint="eastAsia" w:ascii="宋体" w:hAnsi="宋体" w:cs="宋体"/>
          <w:color w:val="auto"/>
          <w:szCs w:val="21"/>
          <w:highlight w:val="none"/>
        </w:rPr>
        <w:t>广西政府采购云平台</w:t>
      </w:r>
      <w:r>
        <w:rPr>
          <w:rFonts w:hint="eastAsia" w:ascii="宋体" w:hAnsi="宋体" w:cs="宋体"/>
          <w:color w:val="auto"/>
          <w:highlight w:val="none"/>
        </w:rPr>
        <w:t>电子投标客户端”在线编制生成且后缀名为“bfbs”的文件，是否接受电子备份投标文件</w:t>
      </w:r>
      <w:r>
        <w:rPr>
          <w:rFonts w:hint="eastAsia" w:ascii="宋体" w:hAnsi="宋体" w:cs="宋体"/>
          <w:bCs/>
          <w:color w:val="auto"/>
          <w:szCs w:val="21"/>
          <w:highlight w:val="none"/>
        </w:rPr>
        <w:t>详见在“投标人须知前附表”。</w:t>
      </w:r>
    </w:p>
    <w:p w14:paraId="7D016208">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21.投标文件的提交</w:t>
      </w:r>
    </w:p>
    <w:p w14:paraId="0979F8DB">
      <w:pPr>
        <w:spacing w:line="360" w:lineRule="auto"/>
        <w:ind w:firstLine="420" w:firstLineChars="200"/>
        <w:rPr>
          <w:rFonts w:hint="eastAsia" w:ascii="宋体" w:hAnsi="宋体" w:cs="宋体"/>
          <w:b/>
          <w:color w:val="auto"/>
          <w:highlight w:val="none"/>
        </w:rPr>
      </w:pPr>
      <w:bookmarkStart w:id="111" w:name="_21.1投标人必须在“投标人须知中的前附表”规定的投标文件接收时间和投"/>
      <w:bookmarkEnd w:id="111"/>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w:t>
      </w:r>
    </w:p>
    <w:p w14:paraId="5A52227B">
      <w:pPr>
        <w:spacing w:line="360" w:lineRule="auto"/>
        <w:ind w:firstLine="422" w:firstLineChars="200"/>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将拒收。</w:t>
      </w:r>
    </w:p>
    <w:p w14:paraId="6D26224C">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22. 投标文件的补充、修改、撤回与退回</w:t>
      </w:r>
    </w:p>
    <w:p w14:paraId="3AB43AE5">
      <w:pPr>
        <w:snapToGrid w:val="0"/>
        <w:spacing w:line="360" w:lineRule="auto"/>
        <w:ind w:firstLine="420"/>
        <w:jc w:val="left"/>
        <w:rPr>
          <w:rFonts w:hint="eastAsia" w:ascii="宋体" w:hAnsi="宋体" w:cs="宋体"/>
          <w:color w:val="auto"/>
          <w:szCs w:val="21"/>
          <w:highlight w:val="none"/>
        </w:rPr>
      </w:pPr>
      <w:bookmarkStart w:id="112" w:name="_Toc254970543"/>
      <w:bookmarkStart w:id="113"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r>
        <w:rPr>
          <w:rFonts w:hint="eastAsia" w:ascii="宋体" w:hAnsi="宋体" w:cs="宋体"/>
          <w:color w:val="auto"/>
          <w:szCs w:val="21"/>
          <w:highlight w:val="none"/>
        </w:rPr>
        <w:t>（补充、修改或者撤回方式可登录“广西政府采购云平台”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依次进入“服务中心”中查看 “电子投标文件制作与投送教程”）</w:t>
      </w:r>
    </w:p>
    <w:bookmarkEnd w:id="112"/>
    <w:bookmarkEnd w:id="113"/>
    <w:p w14:paraId="3FB065E7">
      <w:pPr>
        <w:pStyle w:val="81"/>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10CF1B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39074B67">
      <w:pPr>
        <w:pStyle w:val="4"/>
        <w:keepNext w:val="0"/>
        <w:keepLines w:val="0"/>
        <w:jc w:val="center"/>
        <w:rPr>
          <w:rFonts w:hint="eastAsia" w:ascii="宋体" w:hAnsi="宋体" w:cs="宋体"/>
          <w:color w:val="auto"/>
          <w:highlight w:val="none"/>
        </w:rPr>
      </w:pPr>
      <w:bookmarkStart w:id="114" w:name="_Toc254970685"/>
      <w:bookmarkStart w:id="115" w:name="_Toc254970544"/>
      <w:r>
        <w:rPr>
          <w:rFonts w:hint="eastAsia" w:ascii="宋体" w:hAnsi="宋体" w:cs="宋体"/>
          <w:color w:val="auto"/>
          <w:highlight w:val="none"/>
        </w:rPr>
        <w:t>四、开标</w:t>
      </w:r>
      <w:bookmarkEnd w:id="114"/>
      <w:bookmarkEnd w:id="115"/>
    </w:p>
    <w:p w14:paraId="67F17ABB">
      <w:pPr>
        <w:pStyle w:val="6"/>
        <w:keepNext w:val="0"/>
        <w:keepLines w:val="0"/>
        <w:spacing w:before="0" w:after="0" w:line="360" w:lineRule="auto"/>
        <w:ind w:left="420" w:leftChars="200"/>
        <w:rPr>
          <w:rFonts w:hint="eastAsia" w:ascii="宋体" w:hAnsi="宋体" w:cs="宋体"/>
          <w:color w:val="auto"/>
          <w:sz w:val="24"/>
          <w:highlight w:val="none"/>
        </w:rPr>
      </w:pPr>
      <w:bookmarkStart w:id="116" w:name="_23.开标时间和地点"/>
      <w:bookmarkEnd w:id="116"/>
      <w:r>
        <w:rPr>
          <w:rFonts w:hint="eastAsia" w:ascii="宋体" w:hAnsi="宋体" w:cs="宋体"/>
          <w:color w:val="auto"/>
          <w:sz w:val="24"/>
          <w:highlight w:val="none"/>
        </w:rPr>
        <w:t>23.开标时间和地点</w:t>
      </w:r>
    </w:p>
    <w:p w14:paraId="5CFB6DCB">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4B8F2129">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24.开标程序</w:t>
      </w:r>
    </w:p>
    <w:p w14:paraId="6E79D95F">
      <w:pPr>
        <w:pStyle w:val="8"/>
        <w:spacing w:line="360" w:lineRule="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465679BD">
      <w:pPr>
        <w:pStyle w:val="8"/>
        <w:spacing w:line="360" w:lineRule="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color w:val="auto"/>
          <w:highlight w:val="none"/>
        </w:rPr>
        <w:t>组织线上开标活动，所有供应商均应当准时在线参加，投标人因未在线参加开标而导致投标文件无法按时解密等一切后果由投标人自己承担。</w:t>
      </w:r>
    </w:p>
    <w:p w14:paraId="51A97AB5">
      <w:pPr>
        <w:pStyle w:val="8"/>
        <w:spacing w:line="360" w:lineRule="auto"/>
        <w:rPr>
          <w:rFonts w:hint="eastAsia" w:ascii="宋体" w:hAnsi="宋体" w:cs="宋体"/>
          <w:color w:val="auto"/>
          <w:highlight w:val="none"/>
        </w:rPr>
      </w:pPr>
      <w:r>
        <w:rPr>
          <w:rFonts w:hint="eastAsia" w:ascii="宋体" w:hAnsi="宋体" w:cs="宋体"/>
          <w:color w:val="auto"/>
          <w:highlight w:val="none"/>
        </w:rPr>
        <w:t>24.3开标程序</w:t>
      </w:r>
    </w:p>
    <w:p w14:paraId="5AF32847">
      <w:pPr>
        <w:pStyle w:val="8"/>
        <w:spacing w:line="360" w:lineRule="auto"/>
        <w:rPr>
          <w:rFonts w:hint="eastAsia" w:ascii="宋体" w:hAnsi="宋体" w:cs="宋体"/>
          <w:color w:val="auto"/>
          <w:highlight w:val="none"/>
        </w:rPr>
      </w:pPr>
      <w:r>
        <w:rPr>
          <w:rFonts w:hint="eastAsia" w:ascii="宋体" w:hAnsi="宋体" w:cs="宋体"/>
          <w:color w:val="auto"/>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highlight w:val="none"/>
        </w:rPr>
        <w:t>按开标时间自动提取所有投标文件。采购代理机构依托</w:t>
      </w:r>
      <w:r>
        <w:rPr>
          <w:rFonts w:hint="eastAsia" w:ascii="宋体" w:hAnsi="宋体" w:cs="宋体"/>
          <w:color w:val="auto"/>
          <w:szCs w:val="21"/>
          <w:highlight w:val="none"/>
        </w:rPr>
        <w:t>“广西政府采购云平台”</w:t>
      </w:r>
      <w:r>
        <w:rPr>
          <w:rFonts w:hint="eastAsia" w:ascii="宋体" w:hAnsi="宋体" w:cs="宋体"/>
          <w:color w:val="auto"/>
          <w:highlight w:val="none"/>
        </w:rPr>
        <w:t>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w:t>
      </w:r>
      <w:r>
        <w:rPr>
          <w:rFonts w:hint="eastAsia" w:ascii="宋体" w:hAnsi="宋体" w:cs="宋体"/>
          <w:color w:val="auto"/>
          <w:szCs w:val="21"/>
          <w:highlight w:val="none"/>
        </w:rPr>
        <w:t>“广西政府采购云平台”</w:t>
      </w:r>
      <w:r>
        <w:rPr>
          <w:rFonts w:hint="eastAsia" w:ascii="宋体" w:hAnsi="宋体" w:cs="宋体"/>
          <w:color w:val="auto"/>
          <w:highlight w:val="none"/>
        </w:rPr>
        <w:t>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0E30F20E">
      <w:pPr>
        <w:pStyle w:val="8"/>
        <w:spacing w:line="360" w:lineRule="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w:t>
      </w:r>
      <w:r>
        <w:rPr>
          <w:rFonts w:hint="eastAsia" w:ascii="宋体" w:hAnsi="宋体" w:cs="宋体"/>
          <w:color w:val="auto"/>
          <w:szCs w:val="21"/>
          <w:highlight w:val="none"/>
        </w:rPr>
        <w:t>“广西政府采购云平台”</w:t>
      </w:r>
      <w:r>
        <w:rPr>
          <w:rFonts w:hint="eastAsia" w:ascii="宋体" w:hAnsi="宋体" w:cs="宋体"/>
          <w:color w:val="auto"/>
          <w:highlight w:val="none"/>
        </w:rPr>
        <w:t>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27DB6141">
      <w:pPr>
        <w:pStyle w:val="8"/>
        <w:spacing w:line="360" w:lineRule="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3A18C3B4">
      <w:pPr>
        <w:pStyle w:val="8"/>
        <w:spacing w:line="360" w:lineRule="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479D12C">
      <w:pPr>
        <w:pStyle w:val="8"/>
        <w:spacing w:line="360" w:lineRule="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12535F9D">
      <w:pPr>
        <w:pStyle w:val="8"/>
        <w:spacing w:line="360" w:lineRule="auto"/>
        <w:rPr>
          <w:rFonts w:hint="eastAsia" w:ascii="宋体" w:hAnsi="宋体" w:cs="宋体"/>
          <w:color w:val="auto"/>
          <w:highlight w:val="none"/>
        </w:rPr>
      </w:pPr>
      <w:r>
        <w:rPr>
          <w:rFonts w:hint="eastAsia" w:ascii="宋体" w:hAnsi="宋体" w:cs="宋体"/>
          <w:color w:val="auto"/>
          <w:highlight w:val="none"/>
        </w:rPr>
        <w:t>特别说明：如遇“广西政府采购云平台”电子化开标或评审程序调整的，按调整后执行。</w:t>
      </w:r>
    </w:p>
    <w:p w14:paraId="6BCB4452">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五、资格审查</w:t>
      </w:r>
    </w:p>
    <w:p w14:paraId="59EE3CB8">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25.资格审查</w:t>
      </w:r>
    </w:p>
    <w:p w14:paraId="6B0478AD">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25.1开标结束后，采购人或者采购代理机构通过电子开评标系统依据招标文件对电子投标文件进行线上资格审查。</w:t>
      </w:r>
    </w:p>
    <w:p w14:paraId="2D6108CF">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0FAEAD6B">
      <w:pPr>
        <w:pStyle w:val="6"/>
        <w:keepNext w:val="0"/>
        <w:keepLines w:val="0"/>
        <w:numPr>
          <w:ilvl w:val="0"/>
          <w:numId w:val="0"/>
        </w:numPr>
        <w:spacing w:before="0" w:after="0" w:line="360" w:lineRule="auto"/>
        <w:ind w:firstLine="422" w:firstLineChars="200"/>
        <w:rPr>
          <w:rFonts w:hint="eastAsia" w:ascii="宋体" w:hAnsi="宋体" w:cs="宋体"/>
          <w:color w:val="auto"/>
          <w:sz w:val="21"/>
          <w:szCs w:val="21"/>
          <w:highlight w:val="none"/>
        </w:rPr>
      </w:pPr>
      <w:bookmarkStart w:id="117" w:name="_25.3_投标人有下列情形之一的，资格审查不通过而导致其投标无效："/>
      <w:bookmarkEnd w:id="117"/>
      <w:r>
        <w:rPr>
          <w:rFonts w:hint="eastAsia" w:ascii="宋体" w:hAnsi="宋体" w:cs="宋体"/>
          <w:color w:val="auto"/>
          <w:sz w:val="21"/>
          <w:szCs w:val="21"/>
          <w:highlight w:val="none"/>
        </w:rPr>
        <w:t>25.3 投标人有下列情形之一的，资格审查不通过，作无效投标处理：</w:t>
      </w:r>
    </w:p>
    <w:p w14:paraId="715589ED">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（1）不具备招标文件中规定的资格要求的；</w:t>
      </w:r>
    </w:p>
    <w:p w14:paraId="257C7903">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6F3B5F4F">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18A6975E">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（4）投标文件中的资格证明文件缺少任一项“投标人须知前附表”资格证明文件规定“必须提供”的文件资料的；</w:t>
      </w:r>
    </w:p>
    <w:p w14:paraId="5CF73F0E">
      <w:pPr>
        <w:pStyle w:val="6"/>
        <w:keepNext w:val="0"/>
        <w:keepLines w:val="0"/>
        <w:spacing w:before="0" w:after="0" w:line="360" w:lineRule="auto"/>
        <w:ind w:firstLine="315" w:firstLineChars="150"/>
        <w:rPr>
          <w:rFonts w:hint="eastAsia" w:ascii="宋体" w:hAnsi="宋体" w:cs="宋体"/>
          <w:color w:val="auto"/>
          <w:highlight w:val="none"/>
        </w:rPr>
      </w:pPr>
      <w:r>
        <w:rPr>
          <w:rFonts w:hint="eastAsia" w:ascii="宋体" w:hAnsi="宋体" w:cs="宋体"/>
          <w:b w:val="0"/>
          <w:color w:val="auto"/>
          <w:sz w:val="21"/>
          <w:szCs w:val="21"/>
          <w:highlight w:val="none"/>
        </w:rPr>
        <w:t>（5）投标文件中的资格证明文件出现任一项不符合“投标人须知前附表”资格证明文件规定“必须提供”的文件资料要求或者无效的。</w:t>
      </w:r>
    </w:p>
    <w:p w14:paraId="56700474">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404E86C3">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六、评标</w:t>
      </w:r>
    </w:p>
    <w:p w14:paraId="563E07D1">
      <w:pPr>
        <w:pStyle w:val="6"/>
        <w:keepNext w:val="0"/>
        <w:keepLines w:val="0"/>
        <w:spacing w:before="0" w:after="0" w:line="360" w:lineRule="auto"/>
        <w:ind w:left="420" w:leftChars="200"/>
        <w:rPr>
          <w:rFonts w:hint="eastAsia" w:ascii="宋体" w:hAnsi="宋体" w:cs="宋体"/>
          <w:color w:val="auto"/>
          <w:sz w:val="24"/>
          <w:highlight w:val="none"/>
        </w:rPr>
      </w:pPr>
      <w:bookmarkStart w:id="118" w:name="_26.组建评标委员会"/>
      <w:bookmarkEnd w:id="118"/>
      <w:r>
        <w:rPr>
          <w:rFonts w:hint="eastAsia" w:ascii="宋体" w:hAnsi="宋体" w:cs="宋体"/>
          <w:color w:val="auto"/>
          <w:sz w:val="24"/>
          <w:highlight w:val="none"/>
        </w:rPr>
        <w:t>26.组建评标委员会</w:t>
      </w:r>
    </w:p>
    <w:p w14:paraId="597FED45">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26.1评标委员会由采购人代表和评审专家组成，具体人数详见“投标人须知前附表”，其中评审专家不得少于成员总数的三分之二。</w:t>
      </w:r>
    </w:p>
    <w:p w14:paraId="2E05586B">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26.2参加过采购项目前期咨询论证的专家，不得参加该采购项目的评审活动。</w:t>
      </w:r>
    </w:p>
    <w:p w14:paraId="320CBDD2">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26.3采购代理机构应当基于“广西政府采购云平台”抽（选）取评审专家。</w:t>
      </w:r>
    </w:p>
    <w:p w14:paraId="713C237D">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27.评标的依据</w:t>
      </w:r>
    </w:p>
    <w:p w14:paraId="5D91C72E">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评标委员会以“第四章 评标方法和评标标准”为依据对投标文件进行评审，没有规定的方法、评审因素和标准，不作为评标依据。</w:t>
      </w:r>
    </w:p>
    <w:p w14:paraId="4575D21E">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28.评标原则</w:t>
      </w:r>
    </w:p>
    <w:p w14:paraId="1197BDF4">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7ECA92D">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28.2</w:t>
      </w:r>
      <w:bookmarkStart w:id="119" w:name="_28.3评标方法。本项目将按须知前附表规定的评标办法进行评标，具体评标"/>
      <w:bookmarkEnd w:id="119"/>
      <w:r>
        <w:rPr>
          <w:rFonts w:hint="eastAsia" w:ascii="宋体" w:hAnsi="宋体" w:cs="宋体"/>
          <w:b w:val="0"/>
          <w:color w:val="auto"/>
          <w:sz w:val="21"/>
          <w:szCs w:val="21"/>
          <w:highlight w:val="none"/>
        </w:rPr>
        <w:t>评委表决。评标委员会成员对需要共同认定的事项存在争议的，应当按照少数服从多数的原则作出结论。</w:t>
      </w:r>
    </w:p>
    <w:p w14:paraId="5766F28F">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3A71C5F">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28.4评标过程的监控。本项目电子评标过程实行网上留痕、全程录音、录像监控，投标人在评标过程中所进行的试图影响评标结果的不公正活动，可能导致其投标按无效处理。</w:t>
      </w:r>
    </w:p>
    <w:p w14:paraId="6AFF2061">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29.评标方法及中标候选人推荐</w:t>
      </w:r>
    </w:p>
    <w:p w14:paraId="3B11BD96">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29.1本项目的评标方法详见“投标人须知前附表”。</w:t>
      </w:r>
    </w:p>
    <w:p w14:paraId="23297207">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29.2商务/技术要求允许负偏离的条款数详见“投标人须知前附表”。</w:t>
      </w:r>
    </w:p>
    <w:p w14:paraId="65F2EAB0">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29.3中标候选人推荐数量详见“投标人须知前附表”。</w:t>
      </w:r>
    </w:p>
    <w:p w14:paraId="754F12AA">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29.4电子交易活动的中止。采购过程中出现以下情形，导致电子交易平台无法正常运行，或者无法保证电子交易的公平、公正和安全时，采购代理机构可以中止电子交易活动：</w:t>
      </w:r>
    </w:p>
    <w:p w14:paraId="30FA009C">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（1）电子交易平台发生故障而无法登录访问的；</w:t>
      </w:r>
    </w:p>
    <w:p w14:paraId="4C5E603C">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（2）电子交易平台应用或数据库出现错误，不能进行正常操作的；</w:t>
      </w:r>
    </w:p>
    <w:p w14:paraId="6A710543">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（3）电子交易平台发现严重安全漏洞，有潜在泄密危险的；</w:t>
      </w:r>
    </w:p>
    <w:p w14:paraId="6DF0D32F">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（4）病毒发作导致不能进行正常操作的；</w:t>
      </w:r>
    </w:p>
    <w:p w14:paraId="5E3F127D">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（5）其他无法保证电子交易的公平、公正和安全的情况。</w:t>
      </w:r>
    </w:p>
    <w:p w14:paraId="58392A45">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CEF16F5">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29.5出现下列情形之一的，应予废标：</w:t>
      </w:r>
    </w:p>
    <w:p w14:paraId="6D92F399">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（1）符合专业条件的供应商或者对招标文件作实质响应的供应商不足三家的；</w:t>
      </w:r>
    </w:p>
    <w:p w14:paraId="4A7A22B2">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（2）出现影响采购公正的违法、违规行为的；</w:t>
      </w:r>
    </w:p>
    <w:p w14:paraId="5F3EEF92">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（3）投标人的报价均超过了采购预算，采购人不能支付的；</w:t>
      </w:r>
    </w:p>
    <w:p w14:paraId="3DA41D49">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（4）因重大变故，采购任务取消的。</w:t>
      </w:r>
    </w:p>
    <w:p w14:paraId="42D24C37">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废标后，采购人应当将废标理由通知所有投标人。</w:t>
      </w:r>
    </w:p>
    <w:p w14:paraId="21B82495">
      <w:pPr>
        <w:rPr>
          <w:rFonts w:hint="eastAsia" w:ascii="宋体" w:hAnsi="宋体" w:cs="宋体"/>
          <w:color w:val="auto"/>
          <w:highlight w:val="none"/>
        </w:rPr>
      </w:pPr>
      <w:bookmarkStart w:id="120" w:name="_Toc254970687"/>
      <w:bookmarkStart w:id="121" w:name="_Toc254970546"/>
      <w:r>
        <w:rPr>
          <w:rFonts w:hint="eastAsia" w:ascii="宋体" w:hAnsi="宋体" w:cs="宋体"/>
          <w:color w:val="auto"/>
          <w:highlight w:val="none"/>
        </w:rPr>
        <w:br w:type="page"/>
      </w:r>
    </w:p>
    <w:p w14:paraId="4A7C7320">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七、</w:t>
      </w:r>
      <w:bookmarkEnd w:id="120"/>
      <w:bookmarkEnd w:id="121"/>
      <w:r>
        <w:rPr>
          <w:rFonts w:hint="eastAsia" w:ascii="宋体" w:hAnsi="宋体" w:cs="宋体"/>
          <w:color w:val="auto"/>
          <w:highlight w:val="none"/>
        </w:rPr>
        <w:t>中标和合同</w:t>
      </w:r>
    </w:p>
    <w:p w14:paraId="1A68DE5A">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30确定中标人</w:t>
      </w:r>
    </w:p>
    <w:p w14:paraId="0510E402">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693F21D">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17F07B23">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30.3出现下列情形之一的，应予废标：</w:t>
      </w:r>
    </w:p>
    <w:p w14:paraId="0CB9D089">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（1）符合专业条件的供应商或者对招标文件作实质响应的供应商不足三家的；</w:t>
      </w:r>
    </w:p>
    <w:p w14:paraId="332B7D25">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（2）出现影响采购公正的违法、违规行为的；</w:t>
      </w:r>
    </w:p>
    <w:p w14:paraId="3A54E223">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（3）投标人的报价均超过了采购预算，采购人不能支付的；</w:t>
      </w:r>
    </w:p>
    <w:p w14:paraId="12D41250">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（4）因重大变故，采购任务取消的。</w:t>
      </w:r>
    </w:p>
    <w:p w14:paraId="7CF5ACED">
      <w:pPr>
        <w:pStyle w:val="6"/>
        <w:keepNext w:val="0"/>
        <w:keepLines w:val="0"/>
        <w:spacing w:before="0" w:after="0" w:line="360" w:lineRule="auto"/>
        <w:ind w:firstLine="315" w:firstLineChars="150"/>
        <w:rPr>
          <w:rFonts w:hint="eastAsia" w:ascii="宋体" w:hAnsi="宋体" w:cs="宋体"/>
          <w:color w:val="auto"/>
          <w:szCs w:val="21"/>
          <w:highlight w:val="none"/>
        </w:rPr>
      </w:pPr>
      <w:r>
        <w:rPr>
          <w:rFonts w:hint="eastAsia" w:ascii="宋体" w:hAnsi="宋体" w:cs="宋体"/>
          <w:b w:val="0"/>
          <w:color w:val="auto"/>
          <w:sz w:val="21"/>
          <w:szCs w:val="21"/>
          <w:highlight w:val="none"/>
        </w:rPr>
        <w:t>废标后，采购人应当将废标理由通知所有投标人</w:t>
      </w:r>
      <w:r>
        <w:rPr>
          <w:rFonts w:hint="eastAsia" w:ascii="宋体" w:hAnsi="宋体" w:cs="宋体"/>
          <w:color w:val="auto"/>
          <w:szCs w:val="21"/>
          <w:highlight w:val="none"/>
        </w:rPr>
        <w:t>。</w:t>
      </w:r>
    </w:p>
    <w:p w14:paraId="266674AA">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31. 结果公告</w:t>
      </w:r>
    </w:p>
    <w:p w14:paraId="1ACFFD30">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5D6F13B9">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以上信息查询记录及相关证据与采购文件一并保存。</w:t>
      </w:r>
    </w:p>
    <w:p w14:paraId="53BC0976">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2CDB724E">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32.发出中标通知书</w:t>
      </w:r>
    </w:p>
    <w:p w14:paraId="3683A31E">
      <w:pPr>
        <w:pStyle w:val="6"/>
        <w:keepNext w:val="0"/>
        <w:keepLines w:val="0"/>
        <w:spacing w:before="0" w:after="0" w:line="360"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15A67D3">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33. 无义务解释未中标原因</w:t>
      </w:r>
    </w:p>
    <w:p w14:paraId="053FDBA0">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6FD01137">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34.合同授予标准</w:t>
      </w:r>
    </w:p>
    <w:p w14:paraId="3548326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516A6599">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35.履约保证金</w:t>
      </w:r>
    </w:p>
    <w:p w14:paraId="104D46DD">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bookmarkStart w:id="122" w:name="_39.1中标人须于签订合同前按本须知前附表规定的金额转账或电汇到指定账"/>
      <w:bookmarkEnd w:id="122"/>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w:t>
      </w:r>
    </w:p>
    <w:p w14:paraId="361A96F0">
      <w:pPr>
        <w:pStyle w:val="6"/>
        <w:keepNext w:val="0"/>
        <w:keepLines w:val="0"/>
        <w:spacing w:before="0" w:after="0" w:line="360" w:lineRule="auto"/>
        <w:ind w:firstLine="315" w:firstLineChars="150"/>
        <w:rPr>
          <w:rFonts w:hint="eastAsia"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71661FA2">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36.签订合同</w:t>
      </w:r>
    </w:p>
    <w:p w14:paraId="25D48B20">
      <w:pPr>
        <w:pStyle w:val="6"/>
        <w:keepNext w:val="0"/>
        <w:keepLines w:val="0"/>
        <w:spacing w:before="0" w:after="0" w:line="360" w:lineRule="auto"/>
        <w:ind w:firstLine="316" w:firstLineChars="150"/>
        <w:rPr>
          <w:rFonts w:hint="eastAsia" w:ascii="宋体" w:hAnsi="宋体" w:cs="宋体"/>
          <w:b w:val="0"/>
          <w:color w:val="auto"/>
          <w:sz w:val="21"/>
          <w:szCs w:val="21"/>
          <w:highlight w:val="none"/>
        </w:rPr>
      </w:pPr>
      <w:bookmarkStart w:id="123" w:name="_40.1投标人接到中标通知书后，按须知前附表规定向采购人出示相关资格证"/>
      <w:bookmarkEnd w:id="123"/>
      <w:r>
        <w:rPr>
          <w:rFonts w:hint="eastAsia" w:ascii="宋体" w:hAnsi="宋体" w:cs="宋体"/>
          <w:color w:val="auto"/>
          <w:sz w:val="21"/>
          <w:szCs w:val="21"/>
          <w:highlight w:val="none"/>
        </w:rPr>
        <w:t xml:space="preserve"> 36.1签订电子采购合同：中标人领取电子中标通知书后，</w:t>
      </w:r>
      <w:r>
        <w:rPr>
          <w:rFonts w:hint="eastAsia" w:ascii="宋体" w:hAnsi="宋体" w:cs="宋体"/>
          <w:color w:val="auto"/>
          <w:kern w:val="0"/>
          <w:sz w:val="21"/>
          <w:szCs w:val="21"/>
          <w:highlight w:val="none"/>
        </w:rPr>
        <w:t>在</w:t>
      </w:r>
      <w:r>
        <w:rPr>
          <w:rFonts w:hint="eastAsia" w:ascii="宋体" w:hAnsi="宋体" w:cs="宋体"/>
          <w:color w:val="auto"/>
          <w:kern w:val="0"/>
          <w:sz w:val="21"/>
          <w:szCs w:val="21"/>
          <w:highlight w:val="none"/>
          <w:lang w:val="zh-CN"/>
        </w:rPr>
        <w:t>规定的日期、时间、地点，由法定代表人或其授权代表与采购人代表签订电子采购合同。</w:t>
      </w:r>
    </w:p>
    <w:p w14:paraId="7180E5B0">
      <w:pPr>
        <w:pStyle w:val="6"/>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16B54130">
      <w:pPr>
        <w:pStyle w:val="6"/>
        <w:keepNext w:val="0"/>
        <w:keepLines w:val="0"/>
        <w:numPr>
          <w:ilvl w:val="0"/>
          <w:numId w:val="0"/>
        </w:numPr>
        <w:spacing w:before="0" w:after="0" w:line="360" w:lineRule="auto"/>
        <w:ind w:firstLine="420" w:firstLine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72159CCE">
      <w:pPr>
        <w:pStyle w:val="6"/>
        <w:keepNext w:val="0"/>
        <w:keepLines w:val="0"/>
        <w:spacing w:before="0" w:after="0" w:line="360"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A61BF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796B8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699E18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36.6如签订合同并生效后，供应商无故拒绝或延期，除按照合同条款处理外，将承担相应的法律责任。</w:t>
      </w:r>
    </w:p>
    <w:p w14:paraId="5C6EC8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04F5DB5">
      <w:pPr>
        <w:pStyle w:val="6"/>
        <w:keepNext w:val="0"/>
        <w:keepLines w:val="0"/>
        <w:spacing w:before="0" w:after="0" w:line="360" w:lineRule="auto"/>
        <w:ind w:left="420" w:leftChars="200"/>
        <w:rPr>
          <w:rFonts w:hint="eastAsia" w:ascii="宋体" w:hAnsi="宋体" w:cs="宋体"/>
          <w:color w:val="auto"/>
          <w:sz w:val="24"/>
          <w:highlight w:val="none"/>
        </w:rPr>
      </w:pPr>
      <w:bookmarkStart w:id="124" w:name="_41.政府采购合同公告"/>
      <w:bookmarkEnd w:id="124"/>
      <w:r>
        <w:rPr>
          <w:rFonts w:hint="eastAsia" w:ascii="宋体" w:hAnsi="宋体" w:cs="宋体"/>
          <w:color w:val="auto"/>
          <w:sz w:val="24"/>
          <w:highlight w:val="none"/>
        </w:rPr>
        <w:t>37.政府采购合同公告</w:t>
      </w:r>
    </w:p>
    <w:p w14:paraId="5B4B28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17E7251">
      <w:pPr>
        <w:pStyle w:val="6"/>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38. 询问、质疑和投诉</w:t>
      </w:r>
    </w:p>
    <w:p w14:paraId="19C94E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509452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24270F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（1）对可以质疑的招标文件提出质疑的，为收到招标文件之日或者招标文件公告期限届满之日；</w:t>
      </w:r>
    </w:p>
    <w:p w14:paraId="4D8661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420262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（3）对中标结果提出质疑的，为中标结果公告期限届满之日。</w:t>
      </w:r>
    </w:p>
    <w:p w14:paraId="6D5D4344">
      <w:pPr>
        <w:spacing w:line="360" w:lineRule="auto"/>
        <w:ind w:firstLine="420" w:firstLineChars="200"/>
        <w:rPr>
          <w:rFonts w:hint="eastAsia" w:ascii="宋体" w:hAnsi="宋体" w:cs="宋体"/>
          <w:color w:val="auto"/>
          <w:szCs w:val="21"/>
          <w:highlight w:val="none"/>
        </w:rPr>
      </w:pPr>
      <w:bookmarkStart w:id="125" w:name="_9.2质疑、投诉应当采用书面形式，质疑函、投诉书均应明确阐述招标文件、"/>
      <w:bookmarkEnd w:id="125"/>
      <w:r>
        <w:rPr>
          <w:rFonts w:hint="eastAsia" w:ascii="宋体" w:hAnsi="宋体" w:cs="宋体"/>
          <w:color w:val="auto"/>
          <w:szCs w:val="21"/>
          <w:highlight w:val="none"/>
        </w:rPr>
        <w:t>38.3供应商提出质疑应当提交质疑函和必要的证明材料，针对同一采购程序环节的质疑必须在法定质疑期内一次性提出。质疑函应当包括下列内容（质疑函格式后附）：</w:t>
      </w:r>
    </w:p>
    <w:p w14:paraId="01050F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2CDC88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1BEA81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0F4A72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430AE7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6A8621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232579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323FA7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38.4采购人、采购代理机构认为供应商质疑不成立，或者成立但未对中标结果构成影响的，继续开展采购活动；认为供应商质疑成立且影响或者可能影响中标结果的，按照下列情况处理：</w:t>
      </w:r>
    </w:p>
    <w:p w14:paraId="5E3DB4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（一）对招标文件提出的质疑，依法通过澄清或者修改可以继续开展采购活动的，澄清或者修改招标文件后继续开展采购活动；否则应当修改招标文件后重新开展采购活动。</w:t>
      </w:r>
    </w:p>
    <w:p w14:paraId="4A3EA2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（二）对采购过程、中标结果提出的质疑，合格供应商符合法定数量时，可以从合格的中标候选人中另行确定中标供应商的，应当依法另行确定中标供应商；否则应当重新开展采购活动。</w:t>
      </w:r>
    </w:p>
    <w:p w14:paraId="738634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质疑答复导致中标结果改变的，采购人或者采购代理机构应当将有关情况书面报告本级财政部门。</w:t>
      </w:r>
    </w:p>
    <w:p w14:paraId="7F6D0E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7A73E15">
      <w:pPr>
        <w:pStyle w:val="4"/>
        <w:keepNext w:val="0"/>
        <w:keepLines w:val="0"/>
        <w:spacing w:before="240" w:after="240" w:line="415" w:lineRule="auto"/>
        <w:jc w:val="center"/>
        <w:rPr>
          <w:rFonts w:hint="eastAsia" w:ascii="宋体" w:hAnsi="宋体" w:cs="宋体"/>
          <w:color w:val="auto"/>
          <w:highlight w:val="none"/>
        </w:rPr>
      </w:pPr>
      <w:bookmarkStart w:id="126" w:name="_八、其他事项"/>
      <w:bookmarkEnd w:id="126"/>
      <w:r>
        <w:rPr>
          <w:rFonts w:hint="eastAsia" w:ascii="宋体" w:hAnsi="宋体" w:cs="宋体"/>
          <w:color w:val="auto"/>
          <w:highlight w:val="none"/>
        </w:rPr>
        <w:t>八、其他事项</w:t>
      </w:r>
    </w:p>
    <w:p w14:paraId="20BC26FA">
      <w:pPr>
        <w:pStyle w:val="6"/>
        <w:keepNext w:val="0"/>
        <w:keepLines w:val="0"/>
        <w:spacing w:before="0" w:after="0" w:line="360" w:lineRule="auto"/>
        <w:ind w:left="420" w:leftChars="200"/>
        <w:rPr>
          <w:rFonts w:hint="eastAsia" w:ascii="宋体" w:hAnsi="宋体" w:cs="宋体"/>
          <w:color w:val="auto"/>
          <w:sz w:val="24"/>
          <w:highlight w:val="none"/>
        </w:rPr>
      </w:pPr>
      <w:bookmarkStart w:id="127" w:name="_42.代理服务费"/>
      <w:bookmarkEnd w:id="127"/>
      <w:r>
        <w:rPr>
          <w:rFonts w:hint="eastAsia" w:ascii="宋体" w:hAnsi="宋体" w:cs="宋体"/>
          <w:color w:val="auto"/>
          <w:sz w:val="24"/>
          <w:highlight w:val="none"/>
        </w:rPr>
        <w:t>39.代理服务费</w:t>
      </w:r>
    </w:p>
    <w:p w14:paraId="65635B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39.1代理服务收取标准及缴费账户详见“投标人须知前附表”。</w:t>
      </w:r>
    </w:p>
    <w:p w14:paraId="74FFDC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代理服务收费标准：参照《国家发展改革委关于进一步放开建设项目专业服务价格的通知》（〔2015〕299号）文件精神，结合市场因素，以中标价格为计费额，采购代理机构参照下表收费标准，采用差额定率累进法计算出收费价格。发布中标结果公告后，中标人须向广西中启招标咨询有限公司一次付清服务费。</w:t>
      </w:r>
    </w:p>
    <w:p w14:paraId="7BF25045">
      <w:pPr>
        <w:spacing w:before="240" w:beforeLines="100" w:after="240" w:afterLines="100"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招标代理服务收费标准表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6"/>
        <w:gridCol w:w="1807"/>
        <w:gridCol w:w="1839"/>
        <w:gridCol w:w="1807"/>
      </w:tblGrid>
      <w:tr w14:paraId="594A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86" w:type="dxa"/>
            <w:tcBorders>
              <w:tl2br w:val="single" w:color="auto" w:sz="4" w:space="0"/>
            </w:tcBorders>
            <w:vAlign w:val="center"/>
          </w:tcPr>
          <w:p w14:paraId="1071F4D8">
            <w:pPr>
              <w:spacing w:line="360" w:lineRule="auto"/>
              <w:ind w:firstLine="2415" w:firstLineChars="1150"/>
              <w:jc w:val="center"/>
              <w:rPr>
                <w:rFonts w:hint="eastAsia" w:ascii="宋体" w:hAnsi="宋体" w:cs="宋体"/>
                <w:color w:val="auto"/>
                <w:szCs w:val="21"/>
                <w:highlight w:val="none"/>
              </w:rPr>
            </w:pPr>
            <w:r>
              <w:rPr>
                <w:rFonts w:hint="eastAsia" w:ascii="宋体" w:hAnsi="宋体" w:cs="宋体"/>
                <w:color w:val="auto"/>
                <w:szCs w:val="21"/>
                <w:highlight w:val="none"/>
              </w:rPr>
              <w:t>费率</w:t>
            </w:r>
          </w:p>
          <w:p w14:paraId="6C4A4D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807" w:type="dxa"/>
            <w:vAlign w:val="center"/>
          </w:tcPr>
          <w:p w14:paraId="0549972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839" w:type="dxa"/>
            <w:vAlign w:val="center"/>
          </w:tcPr>
          <w:p w14:paraId="5615CB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1807" w:type="dxa"/>
            <w:vAlign w:val="center"/>
          </w:tcPr>
          <w:p w14:paraId="749A742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7589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86" w:type="dxa"/>
            <w:vAlign w:val="center"/>
          </w:tcPr>
          <w:p w14:paraId="02EA2B2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807" w:type="dxa"/>
            <w:vAlign w:val="center"/>
          </w:tcPr>
          <w:p w14:paraId="4EABDB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839" w:type="dxa"/>
            <w:vAlign w:val="center"/>
          </w:tcPr>
          <w:p w14:paraId="15FF56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807" w:type="dxa"/>
            <w:vAlign w:val="center"/>
          </w:tcPr>
          <w:p w14:paraId="5AD9DE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r>
      <w:tr w14:paraId="25CA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86" w:type="dxa"/>
            <w:vAlign w:val="center"/>
          </w:tcPr>
          <w:p w14:paraId="17CBEBF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807" w:type="dxa"/>
            <w:vAlign w:val="center"/>
          </w:tcPr>
          <w:p w14:paraId="110E2C0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839" w:type="dxa"/>
            <w:vAlign w:val="center"/>
          </w:tcPr>
          <w:p w14:paraId="6C10DD5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0.8%</w:t>
            </w:r>
          </w:p>
        </w:tc>
        <w:tc>
          <w:tcPr>
            <w:tcW w:w="1807" w:type="dxa"/>
            <w:vAlign w:val="center"/>
          </w:tcPr>
          <w:p w14:paraId="2B31D1C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0.7%</w:t>
            </w:r>
          </w:p>
        </w:tc>
      </w:tr>
      <w:tr w14:paraId="6851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86" w:type="dxa"/>
            <w:vAlign w:val="center"/>
          </w:tcPr>
          <w:p w14:paraId="3FCDA4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807" w:type="dxa"/>
            <w:vAlign w:val="center"/>
          </w:tcPr>
          <w:p w14:paraId="6EF4CA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0.8%</w:t>
            </w:r>
          </w:p>
        </w:tc>
        <w:tc>
          <w:tcPr>
            <w:tcW w:w="1839" w:type="dxa"/>
            <w:vAlign w:val="center"/>
          </w:tcPr>
          <w:p w14:paraId="762ADD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0.45%</w:t>
            </w:r>
          </w:p>
        </w:tc>
        <w:tc>
          <w:tcPr>
            <w:tcW w:w="1807" w:type="dxa"/>
            <w:vAlign w:val="center"/>
          </w:tcPr>
          <w:p w14:paraId="2FBC353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0.55%</w:t>
            </w:r>
          </w:p>
        </w:tc>
      </w:tr>
      <w:tr w14:paraId="22BF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86" w:type="dxa"/>
            <w:vAlign w:val="center"/>
          </w:tcPr>
          <w:p w14:paraId="6FCE00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807" w:type="dxa"/>
            <w:vAlign w:val="center"/>
          </w:tcPr>
          <w:p w14:paraId="18565E0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0.5%</w:t>
            </w:r>
          </w:p>
        </w:tc>
        <w:tc>
          <w:tcPr>
            <w:tcW w:w="1839" w:type="dxa"/>
            <w:vAlign w:val="center"/>
          </w:tcPr>
          <w:p w14:paraId="2AA7BD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0.25%</w:t>
            </w:r>
          </w:p>
        </w:tc>
        <w:tc>
          <w:tcPr>
            <w:tcW w:w="1807" w:type="dxa"/>
            <w:vAlign w:val="center"/>
          </w:tcPr>
          <w:p w14:paraId="66427A9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0.35%</w:t>
            </w:r>
          </w:p>
        </w:tc>
      </w:tr>
      <w:tr w14:paraId="1BE8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86" w:type="dxa"/>
            <w:vAlign w:val="center"/>
          </w:tcPr>
          <w:p w14:paraId="7B1E1D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807" w:type="dxa"/>
            <w:vAlign w:val="center"/>
          </w:tcPr>
          <w:p w14:paraId="1B18511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0.25%</w:t>
            </w:r>
          </w:p>
        </w:tc>
        <w:tc>
          <w:tcPr>
            <w:tcW w:w="1839" w:type="dxa"/>
            <w:vAlign w:val="center"/>
          </w:tcPr>
          <w:p w14:paraId="4756964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0.1%</w:t>
            </w:r>
          </w:p>
        </w:tc>
        <w:tc>
          <w:tcPr>
            <w:tcW w:w="1807" w:type="dxa"/>
            <w:vAlign w:val="center"/>
          </w:tcPr>
          <w:p w14:paraId="3EFF73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0.2%</w:t>
            </w:r>
          </w:p>
        </w:tc>
      </w:tr>
      <w:tr w14:paraId="10BB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86" w:type="dxa"/>
            <w:vAlign w:val="center"/>
          </w:tcPr>
          <w:p w14:paraId="4AC7841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807" w:type="dxa"/>
            <w:vAlign w:val="center"/>
          </w:tcPr>
          <w:p w14:paraId="31E5BF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1839" w:type="dxa"/>
            <w:vAlign w:val="center"/>
          </w:tcPr>
          <w:p w14:paraId="057E13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1807" w:type="dxa"/>
            <w:vAlign w:val="center"/>
          </w:tcPr>
          <w:p w14:paraId="2002A6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0.05%</w:t>
            </w:r>
          </w:p>
        </w:tc>
      </w:tr>
      <w:tr w14:paraId="2FFD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86" w:type="dxa"/>
            <w:vAlign w:val="center"/>
          </w:tcPr>
          <w:p w14:paraId="626E56F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807" w:type="dxa"/>
            <w:vAlign w:val="center"/>
          </w:tcPr>
          <w:p w14:paraId="62D5FC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839" w:type="dxa"/>
            <w:vAlign w:val="center"/>
          </w:tcPr>
          <w:p w14:paraId="2DDF06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807" w:type="dxa"/>
            <w:vAlign w:val="center"/>
          </w:tcPr>
          <w:p w14:paraId="0324EA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0.035%</w:t>
            </w:r>
          </w:p>
        </w:tc>
      </w:tr>
      <w:tr w14:paraId="5C24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86" w:type="dxa"/>
            <w:vAlign w:val="center"/>
          </w:tcPr>
          <w:p w14:paraId="3BB303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807" w:type="dxa"/>
            <w:vAlign w:val="center"/>
          </w:tcPr>
          <w:p w14:paraId="3BE8E7E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839" w:type="dxa"/>
            <w:vAlign w:val="center"/>
          </w:tcPr>
          <w:p w14:paraId="39E29BB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807" w:type="dxa"/>
            <w:vAlign w:val="center"/>
          </w:tcPr>
          <w:p w14:paraId="57C8B1F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0.008%</w:t>
            </w:r>
          </w:p>
        </w:tc>
      </w:tr>
      <w:tr w14:paraId="569D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86" w:type="dxa"/>
            <w:vAlign w:val="center"/>
          </w:tcPr>
          <w:p w14:paraId="09B8A93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807" w:type="dxa"/>
            <w:vAlign w:val="center"/>
          </w:tcPr>
          <w:p w14:paraId="5D51720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839" w:type="dxa"/>
            <w:vAlign w:val="center"/>
          </w:tcPr>
          <w:p w14:paraId="40FD267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807" w:type="dxa"/>
            <w:vAlign w:val="center"/>
          </w:tcPr>
          <w:p w14:paraId="096C7C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E27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786" w:type="dxa"/>
            <w:vAlign w:val="center"/>
          </w:tcPr>
          <w:p w14:paraId="68BC98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807" w:type="dxa"/>
            <w:vAlign w:val="center"/>
          </w:tcPr>
          <w:p w14:paraId="16E1E5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839" w:type="dxa"/>
            <w:vAlign w:val="center"/>
          </w:tcPr>
          <w:p w14:paraId="5DD396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807" w:type="dxa"/>
            <w:vAlign w:val="center"/>
          </w:tcPr>
          <w:p w14:paraId="1D6BBC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6A435266">
      <w:pPr>
        <w:spacing w:line="460" w:lineRule="exact"/>
        <w:rPr>
          <w:rFonts w:hint="eastAsia" w:ascii="宋体" w:hAnsi="宋体" w:cs="宋体"/>
          <w:color w:val="auto"/>
          <w:highlight w:val="none"/>
        </w:rPr>
      </w:pPr>
      <w:r>
        <w:rPr>
          <w:rFonts w:hint="eastAsia" w:ascii="宋体" w:hAnsi="宋体" w:cs="宋体"/>
          <w:color w:val="auto"/>
          <w:highlight w:val="none"/>
        </w:rPr>
        <w:t>注：</w:t>
      </w:r>
    </w:p>
    <w:p w14:paraId="28126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招标代理服务收费按差额定率累进法计算。例如：某服务招标代理业务中标金额为600万元，计算招标代理服务收费额如下：</w:t>
      </w:r>
    </w:p>
    <w:p w14:paraId="40ADA1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100万元×1.5%=1.50万元</w:t>
      </w:r>
    </w:p>
    <w:p w14:paraId="1924C4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（500-100）万元×0.8%=3.20万元</w:t>
      </w:r>
    </w:p>
    <w:p w14:paraId="4CCEBE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（600-500）万元×0.45%=0.45万元</w:t>
      </w:r>
    </w:p>
    <w:p w14:paraId="2220B6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合计收费=1.50+3.20+0.45=5.15（万元）。</w:t>
      </w:r>
    </w:p>
    <w:p w14:paraId="39A25248">
      <w:pPr>
        <w:pStyle w:val="6"/>
        <w:keepNext w:val="0"/>
        <w:keepLines w:val="0"/>
        <w:spacing w:before="0" w:after="0" w:line="360" w:lineRule="auto"/>
        <w:ind w:left="420" w:leftChars="200"/>
        <w:rPr>
          <w:rFonts w:hint="eastAsia" w:ascii="宋体" w:hAnsi="宋体" w:cs="宋体"/>
          <w:color w:val="auto"/>
          <w:sz w:val="24"/>
          <w:highlight w:val="none"/>
        </w:rPr>
      </w:pPr>
      <w:r>
        <w:rPr>
          <w:rFonts w:hint="eastAsia" w:ascii="宋体" w:hAnsi="宋体" w:cs="宋体"/>
          <w:color w:val="auto"/>
          <w:sz w:val="24"/>
          <w:highlight w:val="none"/>
        </w:rPr>
        <w:t>40. 需要补充的其他内容</w:t>
      </w:r>
    </w:p>
    <w:p w14:paraId="605882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40.1本招标文件解释规则详见“投标人须知前附表”。</w:t>
      </w:r>
    </w:p>
    <w:p w14:paraId="74FD1F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40.2 其他事项详见“投标人须知前附表”。</w:t>
      </w:r>
    </w:p>
    <w:p w14:paraId="54B651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A58DF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（1）在货物采购项目中，货物由中小企业制造，即货物由中小企业生产且使用该中小企业商号或者注册商标，不对其中涉及的工程承建商和服务的承接商作出要求；</w:t>
      </w:r>
    </w:p>
    <w:p w14:paraId="02376D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（2）在工程采购项目中，工程由中小企业承建，即工程施工单位为中小企业，不对其中涉及的货物的制造商和服务的承接商作出要求；</w:t>
      </w:r>
    </w:p>
    <w:p w14:paraId="28E71E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883D5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在货物采购项目中，供应商提供的货物既有中小企业制造货物，也有大型企业制造货物的，不享受本招标文件规定的中小企业扶持政策。</w:t>
      </w:r>
    </w:p>
    <w:p w14:paraId="69BFC4D4">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依据本招标文件规定享受扶持政策获得政府采购合同的，小微企业不得将合同分包给大中型企业，中型企业不得将合同分包给大型企业。</w:t>
      </w:r>
      <w:r>
        <w:rPr>
          <w:rFonts w:hint="eastAsia" w:ascii="宋体" w:hAnsi="宋体" w:cs="宋体"/>
          <w:color w:val="auto"/>
          <w:highlight w:val="none"/>
        </w:rPr>
        <w:br w:type="page"/>
      </w:r>
    </w:p>
    <w:p w14:paraId="77A38556">
      <w:pPr>
        <w:jc w:val="center"/>
        <w:rPr>
          <w:rFonts w:hint="eastAsia" w:ascii="宋体" w:hAnsi="宋体" w:cs="宋体"/>
          <w:color w:val="auto"/>
          <w:highlight w:val="none"/>
        </w:rPr>
      </w:pPr>
      <w:bookmarkStart w:id="128" w:name="_Toc27918"/>
      <w:bookmarkStart w:id="129" w:name="_Toc254970548"/>
      <w:bookmarkStart w:id="130" w:name="_Toc330456896"/>
      <w:bookmarkStart w:id="131" w:name="_Toc26138"/>
      <w:bookmarkStart w:id="132" w:name="_Toc254970689"/>
    </w:p>
    <w:p w14:paraId="3CE0BDD8">
      <w:pPr>
        <w:jc w:val="center"/>
        <w:rPr>
          <w:rFonts w:hint="eastAsia" w:ascii="宋体" w:hAnsi="宋体" w:cs="宋体"/>
          <w:color w:val="auto"/>
          <w:highlight w:val="none"/>
        </w:rPr>
      </w:pPr>
    </w:p>
    <w:p w14:paraId="0BD4C538">
      <w:pPr>
        <w:pStyle w:val="39"/>
        <w:rPr>
          <w:rFonts w:hint="eastAsia" w:ascii="宋体" w:hAnsi="宋体" w:cs="宋体"/>
          <w:color w:val="auto"/>
          <w:highlight w:val="none"/>
        </w:rPr>
      </w:pPr>
    </w:p>
    <w:p w14:paraId="344A8A55">
      <w:pPr>
        <w:pStyle w:val="39"/>
        <w:rPr>
          <w:rFonts w:hint="eastAsia" w:ascii="宋体" w:hAnsi="宋体" w:cs="宋体"/>
          <w:color w:val="auto"/>
          <w:highlight w:val="none"/>
        </w:rPr>
      </w:pPr>
    </w:p>
    <w:p w14:paraId="015E70AE">
      <w:pPr>
        <w:pStyle w:val="39"/>
        <w:rPr>
          <w:rFonts w:hint="eastAsia" w:ascii="宋体" w:hAnsi="宋体" w:cs="宋体"/>
          <w:color w:val="auto"/>
          <w:highlight w:val="none"/>
        </w:rPr>
      </w:pPr>
    </w:p>
    <w:p w14:paraId="5FBC87CD">
      <w:pPr>
        <w:pStyle w:val="39"/>
        <w:rPr>
          <w:rFonts w:hint="eastAsia" w:ascii="宋体" w:hAnsi="宋体" w:cs="宋体"/>
          <w:color w:val="auto"/>
          <w:highlight w:val="none"/>
        </w:rPr>
      </w:pPr>
    </w:p>
    <w:p w14:paraId="603DA68F">
      <w:pPr>
        <w:pStyle w:val="39"/>
        <w:rPr>
          <w:rFonts w:hint="eastAsia" w:ascii="宋体" w:hAnsi="宋体" w:cs="宋体"/>
          <w:color w:val="auto"/>
          <w:highlight w:val="none"/>
        </w:rPr>
      </w:pPr>
    </w:p>
    <w:p w14:paraId="2F73F4D1">
      <w:pPr>
        <w:pStyle w:val="39"/>
        <w:rPr>
          <w:rFonts w:hint="eastAsia" w:ascii="宋体" w:hAnsi="宋体" w:cs="宋体"/>
          <w:color w:val="auto"/>
          <w:highlight w:val="none"/>
        </w:rPr>
      </w:pPr>
    </w:p>
    <w:p w14:paraId="401CBB52">
      <w:pPr>
        <w:pStyle w:val="39"/>
        <w:rPr>
          <w:rFonts w:hint="eastAsia" w:ascii="宋体" w:hAnsi="宋体" w:cs="宋体"/>
          <w:color w:val="auto"/>
          <w:highlight w:val="none"/>
        </w:rPr>
      </w:pPr>
    </w:p>
    <w:p w14:paraId="68D88D39">
      <w:pPr>
        <w:pStyle w:val="39"/>
        <w:rPr>
          <w:rFonts w:hint="eastAsia" w:ascii="宋体" w:hAnsi="宋体" w:cs="宋体"/>
          <w:color w:val="auto"/>
          <w:highlight w:val="none"/>
        </w:rPr>
      </w:pPr>
    </w:p>
    <w:p w14:paraId="25583DC5">
      <w:pPr>
        <w:pStyle w:val="39"/>
        <w:rPr>
          <w:rFonts w:hint="eastAsia" w:ascii="宋体" w:hAnsi="宋体" w:cs="宋体"/>
          <w:color w:val="auto"/>
          <w:highlight w:val="none"/>
        </w:rPr>
      </w:pPr>
    </w:p>
    <w:p w14:paraId="3B8D830B">
      <w:pPr>
        <w:pStyle w:val="39"/>
        <w:rPr>
          <w:rFonts w:hint="eastAsia" w:ascii="宋体" w:hAnsi="宋体" w:cs="宋体"/>
          <w:color w:val="auto"/>
          <w:highlight w:val="none"/>
        </w:rPr>
      </w:pPr>
    </w:p>
    <w:p w14:paraId="486B604F">
      <w:pPr>
        <w:pStyle w:val="39"/>
        <w:rPr>
          <w:rFonts w:hint="eastAsia" w:ascii="宋体" w:hAnsi="宋体" w:cs="宋体"/>
          <w:color w:val="auto"/>
          <w:highlight w:val="none"/>
        </w:rPr>
      </w:pPr>
    </w:p>
    <w:p w14:paraId="2183D2FD">
      <w:pPr>
        <w:pStyle w:val="39"/>
        <w:rPr>
          <w:rFonts w:hint="eastAsia" w:ascii="宋体" w:hAnsi="宋体" w:cs="宋体"/>
          <w:color w:val="auto"/>
          <w:highlight w:val="none"/>
        </w:rPr>
      </w:pPr>
    </w:p>
    <w:p w14:paraId="715AA300">
      <w:pPr>
        <w:pStyle w:val="39"/>
        <w:rPr>
          <w:rFonts w:hint="eastAsia" w:ascii="宋体" w:hAnsi="宋体" w:cs="宋体"/>
          <w:color w:val="auto"/>
          <w:highlight w:val="none"/>
        </w:rPr>
      </w:pPr>
    </w:p>
    <w:p w14:paraId="27F75C00">
      <w:pPr>
        <w:jc w:val="center"/>
        <w:rPr>
          <w:rFonts w:hint="eastAsia" w:ascii="宋体" w:hAnsi="宋体" w:cs="宋体"/>
          <w:color w:val="auto"/>
          <w:highlight w:val="none"/>
        </w:rPr>
      </w:pPr>
    </w:p>
    <w:p w14:paraId="2DA60E6E">
      <w:pPr>
        <w:pStyle w:val="2"/>
        <w:jc w:val="center"/>
        <w:rPr>
          <w:rFonts w:hint="eastAsia" w:ascii="宋体" w:hAnsi="宋体" w:cs="宋体"/>
          <w:color w:val="auto"/>
          <w:highlight w:val="none"/>
        </w:rPr>
      </w:pPr>
      <w:r>
        <w:rPr>
          <w:rFonts w:hint="eastAsia" w:ascii="宋体" w:hAnsi="宋体" w:cs="宋体"/>
          <w:color w:val="auto"/>
          <w:highlight w:val="none"/>
        </w:rPr>
        <w:t>第四章  评标方法及评标标准</w:t>
      </w:r>
      <w:bookmarkEnd w:id="128"/>
      <w:bookmarkEnd w:id="129"/>
      <w:bookmarkEnd w:id="130"/>
      <w:bookmarkEnd w:id="131"/>
      <w:bookmarkEnd w:id="132"/>
    </w:p>
    <w:p w14:paraId="4C29CBD6">
      <w:pPr>
        <w:widowControl/>
        <w:jc w:val="left"/>
        <w:rPr>
          <w:rFonts w:hint="eastAsia" w:ascii="宋体" w:hAnsi="宋体" w:cs="宋体"/>
          <w:color w:val="auto"/>
          <w:highlight w:val="none"/>
        </w:rPr>
      </w:pPr>
      <w:r>
        <w:rPr>
          <w:rFonts w:hint="eastAsia" w:ascii="宋体" w:hAnsi="宋体" w:cs="宋体"/>
          <w:b/>
          <w:bCs/>
          <w:color w:val="auto"/>
          <w:highlight w:val="none"/>
        </w:rPr>
        <w:br w:type="page"/>
      </w:r>
    </w:p>
    <w:p w14:paraId="6EC41AE0">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一、评标方法</w:t>
      </w:r>
    </w:p>
    <w:p w14:paraId="3ADC576A">
      <w:pPr>
        <w:pStyle w:val="32"/>
        <w:rPr>
          <w:rFonts w:hint="eastAsia" w:hAnsi="宋体" w:cs="宋体"/>
          <w:color w:val="auto"/>
          <w:w w:val="100"/>
          <w:highlight w:val="none"/>
        </w:rPr>
      </w:pPr>
      <w:r>
        <w:rPr>
          <w:rFonts w:hint="eastAsia" w:hAnsi="宋体" w:cs="宋体"/>
          <w:color w:val="auto"/>
          <w:w w:val="100"/>
          <w:highlight w:val="none"/>
        </w:rPr>
        <w:t>综合评分法，是指投标文件满足招标文件全部实质性要求，且按照评审因素的量化指标评审得分最高的投标人为中标候选人的评标方法。</w:t>
      </w:r>
    </w:p>
    <w:p w14:paraId="666E816C">
      <w:pPr>
        <w:pStyle w:val="4"/>
        <w:keepNext w:val="0"/>
        <w:keepLines w:val="0"/>
        <w:jc w:val="center"/>
        <w:rPr>
          <w:rFonts w:hint="eastAsia" w:ascii="宋体" w:hAnsi="宋体" w:cs="宋体"/>
          <w:color w:val="auto"/>
          <w:highlight w:val="none"/>
        </w:rPr>
      </w:pPr>
      <w:r>
        <w:rPr>
          <w:rFonts w:hint="eastAsia" w:ascii="宋体" w:hAnsi="宋体" w:cs="宋体"/>
          <w:color w:val="auto"/>
          <w:highlight w:val="none"/>
        </w:rPr>
        <w:t>二、评标程序</w:t>
      </w:r>
    </w:p>
    <w:p w14:paraId="4E51BA8A">
      <w:pPr>
        <w:pStyle w:val="6"/>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1.符合性审查</w:t>
      </w:r>
    </w:p>
    <w:p w14:paraId="7C8DE53E">
      <w:pPr>
        <w:pStyle w:val="32"/>
        <w:rPr>
          <w:rFonts w:hint="eastAsia" w:hAnsi="宋体" w:cs="宋体"/>
          <w:color w:val="auto"/>
          <w:w w:val="100"/>
          <w:kern w:val="2"/>
          <w:highlight w:val="none"/>
        </w:rPr>
      </w:pPr>
      <w:r>
        <w:rPr>
          <w:rFonts w:hint="eastAsia" w:hAnsi="宋体" w:cs="宋体"/>
          <w:color w:val="auto"/>
          <w:w w:val="100"/>
          <w:kern w:val="2"/>
          <w:highlight w:val="none"/>
        </w:rPr>
        <w:t>评标委员会应当对符合资格的投标人的投标文件进行投标报价、商务、技术等实质性内容符合性审查，以确定其是否满足招标文件的实质性要求。</w:t>
      </w:r>
    </w:p>
    <w:p w14:paraId="5C94D573">
      <w:pPr>
        <w:pStyle w:val="6"/>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2.符合性审查不通过而导致投标无效的情形</w:t>
      </w:r>
    </w:p>
    <w:p w14:paraId="1D95CF6D">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558341F7">
      <w:pPr>
        <w:pStyle w:val="6"/>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2.1在报价评审时，如发现下列情形之一的，将被视为投标无效：</w:t>
      </w:r>
    </w:p>
    <w:p w14:paraId="17FA7779">
      <w:pPr>
        <w:pStyle w:val="8"/>
        <w:numPr>
          <w:ilvl w:val="0"/>
          <w:numId w:val="24"/>
        </w:numPr>
        <w:spacing w:line="360" w:lineRule="auto"/>
        <w:ind w:firstLine="398" w:firstLineChars="200"/>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报价文件未提供“投标人须知前附表”第13.1条规定中“必须提供”的文件资料的；</w:t>
      </w:r>
    </w:p>
    <w:p w14:paraId="64E065CA">
      <w:pPr>
        <w:pStyle w:val="8"/>
        <w:numPr>
          <w:ilvl w:val="0"/>
          <w:numId w:val="24"/>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07DA8930">
      <w:pPr>
        <w:pStyle w:val="8"/>
        <w:numPr>
          <w:ilvl w:val="0"/>
          <w:numId w:val="24"/>
        </w:numPr>
        <w:spacing w:line="360" w:lineRule="auto"/>
        <w:ind w:left="-2" w:firstLine="422"/>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1BD2EE7B">
      <w:pPr>
        <w:pStyle w:val="8"/>
        <w:numPr>
          <w:ilvl w:val="0"/>
          <w:numId w:val="24"/>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2DA3BD1">
      <w:pPr>
        <w:pStyle w:val="8"/>
        <w:numPr>
          <w:ilvl w:val="0"/>
          <w:numId w:val="24"/>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35317A27">
      <w:pPr>
        <w:pStyle w:val="8"/>
        <w:numPr>
          <w:ilvl w:val="0"/>
          <w:numId w:val="24"/>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投标人属于本章第5.1条（2）或者第5.2条（2）项情形的。</w:t>
      </w:r>
    </w:p>
    <w:p w14:paraId="7B63EB20">
      <w:pPr>
        <w:pStyle w:val="8"/>
        <w:numPr>
          <w:ilvl w:val="0"/>
          <w:numId w:val="24"/>
        </w:numPr>
        <w:spacing w:line="360" w:lineRule="auto"/>
        <w:ind w:firstLine="398" w:firstLineChars="200"/>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260E1863">
      <w:pPr>
        <w:pStyle w:val="6"/>
        <w:keepNext w:val="0"/>
        <w:keepLines w:val="0"/>
        <w:numPr>
          <w:ilvl w:val="4"/>
          <w:numId w:val="25"/>
        </w:numPr>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2.2在商务及技术评审时，如发现下列情形之一的，将被视为投标无效：</w:t>
      </w:r>
    </w:p>
    <w:p w14:paraId="6F42861C">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2C341C99">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5667AD0D">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54392FBA">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投标文件未提供“投标人须知前附表”第13条“商务及技术文件”规定中“必须提供”或者“委托时必须提供”的文件资料的；</w:t>
      </w:r>
    </w:p>
    <w:p w14:paraId="1138CF9E">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197FD0A7">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137749BF">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7F45C626">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2051FEAD">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72FDD8B2">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4D44C039">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投标文件中承诺的投标有效期低于招标文件要求的期限的；</w:t>
      </w:r>
    </w:p>
    <w:p w14:paraId="07237D15">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虚假投标，或者出现其他情形而导致被评标委员会认定无效的；</w:t>
      </w:r>
    </w:p>
    <w:p w14:paraId="3010179D">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招标文件未载明允许提供备选（替代）投标方案或明确不允许提供备选（替代）投标方案时，投标人提供了备选（替代）投标方案的；</w:t>
      </w:r>
    </w:p>
    <w:p w14:paraId="41A98D57">
      <w:pPr>
        <w:numPr>
          <w:ilvl w:val="0"/>
          <w:numId w:val="26"/>
        </w:num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4F7C8B68">
      <w:pPr>
        <w:pStyle w:val="25"/>
        <w:snapToGrid w:val="0"/>
        <w:spacing w:line="360" w:lineRule="auto"/>
        <w:ind w:firstLine="413" w:firstLineChars="196"/>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（15）法律、法规和招标文件规定的其他无效情形。</w:t>
      </w:r>
    </w:p>
    <w:p w14:paraId="051DF2D7">
      <w:pPr>
        <w:pStyle w:val="6"/>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3.澄清补正</w:t>
      </w:r>
    </w:p>
    <w:p w14:paraId="17FE4DC2">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147E4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DE14E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798AF9C8">
      <w:pPr>
        <w:pStyle w:val="6"/>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4.投标文件修正</w:t>
      </w:r>
    </w:p>
    <w:p w14:paraId="1183DAE9">
      <w:pPr>
        <w:pStyle w:val="6"/>
        <w:keepNext w:val="0"/>
        <w:keepLines w:val="0"/>
        <w:spacing w:before="0" w:after="0" w:line="360" w:lineRule="auto"/>
        <w:ind w:left="420" w:leftChars="20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4.1投标文件报价出现前后不一致的，按照下列规定修正： </w:t>
      </w:r>
    </w:p>
    <w:p w14:paraId="22C4A16F">
      <w:pPr>
        <w:pStyle w:val="32"/>
        <w:ind w:firstLine="424" w:firstLineChars="202"/>
        <w:rPr>
          <w:rFonts w:hint="eastAsia" w:hAnsi="宋体" w:cs="宋体"/>
          <w:color w:val="auto"/>
          <w:w w:val="100"/>
          <w:highlight w:val="none"/>
        </w:rPr>
      </w:pPr>
      <w:r>
        <w:rPr>
          <w:rFonts w:hint="eastAsia" w:hAnsi="宋体" w:cs="宋体"/>
          <w:color w:val="auto"/>
          <w:w w:val="100"/>
          <w:highlight w:val="none"/>
        </w:rPr>
        <w:t>（1）投标文件中开标一览表（报价表）内容与投标文件中相应内容不一致的，以开标一览表（报价表）为准；</w:t>
      </w:r>
    </w:p>
    <w:p w14:paraId="528AAEA3">
      <w:pPr>
        <w:pStyle w:val="32"/>
        <w:ind w:firstLine="424" w:firstLineChars="202"/>
        <w:rPr>
          <w:rFonts w:hint="eastAsia" w:hAnsi="宋体" w:cs="宋体"/>
          <w:color w:val="auto"/>
          <w:w w:val="100"/>
          <w:highlight w:val="none"/>
        </w:rPr>
      </w:pPr>
      <w:r>
        <w:rPr>
          <w:rFonts w:hint="eastAsia" w:hAnsi="宋体" w:cs="宋体"/>
          <w:color w:val="auto"/>
          <w:w w:val="100"/>
          <w:highlight w:val="none"/>
        </w:rPr>
        <w:t>（2）大写金额和小写金额不一致的，以大写金额为准；</w:t>
      </w:r>
    </w:p>
    <w:p w14:paraId="6E4E1CC6">
      <w:pPr>
        <w:pStyle w:val="32"/>
        <w:ind w:firstLine="424" w:firstLineChars="202"/>
        <w:rPr>
          <w:rFonts w:hint="eastAsia" w:hAnsi="宋体" w:cs="宋体"/>
          <w:color w:val="auto"/>
          <w:w w:val="100"/>
          <w:highlight w:val="none"/>
        </w:rPr>
      </w:pPr>
      <w:r>
        <w:rPr>
          <w:rFonts w:hint="eastAsia" w:hAnsi="宋体" w:cs="宋体"/>
          <w:color w:val="auto"/>
          <w:w w:val="100"/>
          <w:highlight w:val="none"/>
        </w:rPr>
        <w:t>（3）单价金额小数点或者百分比有明显错位的，以开标一览表的总价为准，并修改单价；</w:t>
      </w:r>
    </w:p>
    <w:p w14:paraId="68F5AA18">
      <w:pPr>
        <w:pStyle w:val="32"/>
        <w:ind w:firstLine="424" w:firstLineChars="202"/>
        <w:rPr>
          <w:rFonts w:hint="eastAsia" w:hAnsi="宋体" w:cs="宋体"/>
          <w:color w:val="auto"/>
          <w:w w:val="100"/>
          <w:highlight w:val="none"/>
        </w:rPr>
      </w:pPr>
      <w:r>
        <w:rPr>
          <w:rFonts w:hint="eastAsia" w:hAnsi="宋体" w:cs="宋体"/>
          <w:color w:val="auto"/>
          <w:w w:val="100"/>
          <w:highlight w:val="none"/>
        </w:rPr>
        <w:t>（4）总价金额与按单价汇总金额不一致的，以单价金额计算结果为准。</w:t>
      </w:r>
    </w:p>
    <w:p w14:paraId="3F6B57F4">
      <w:pPr>
        <w:pStyle w:val="32"/>
        <w:ind w:firstLine="424" w:firstLineChars="202"/>
        <w:rPr>
          <w:rFonts w:hint="eastAsia" w:hAnsi="宋体" w:cs="宋体"/>
          <w:color w:val="auto"/>
          <w:w w:val="100"/>
          <w:highlight w:val="none"/>
        </w:rPr>
      </w:pPr>
      <w:r>
        <w:rPr>
          <w:rFonts w:hint="eastAsia" w:hAnsi="宋体" w:cs="宋体"/>
          <w:color w:val="auto"/>
          <w:w w:val="100"/>
          <w:highlight w:val="none"/>
        </w:rPr>
        <w:t>同时出现两种以上不一致的，按照以上（1）-（4）规定的顺序修正。修正后的报价经投标人确认后产生约束力，投标人不确认的，</w:t>
      </w:r>
      <w:r>
        <w:rPr>
          <w:rFonts w:hint="eastAsia" w:hAnsi="宋体" w:cs="宋体"/>
          <w:b/>
          <w:color w:val="auto"/>
          <w:w w:val="100"/>
          <w:kern w:val="2"/>
          <w:highlight w:val="none"/>
        </w:rPr>
        <w:t>其投标无效</w:t>
      </w:r>
      <w:r>
        <w:rPr>
          <w:rFonts w:hint="eastAsia" w:hAnsi="宋体" w:cs="宋体"/>
          <w:color w:val="auto"/>
          <w:w w:val="100"/>
          <w:highlight w:val="none"/>
        </w:rPr>
        <w:t>。</w:t>
      </w:r>
    </w:p>
    <w:p w14:paraId="635D7E13">
      <w:pPr>
        <w:pStyle w:val="6"/>
        <w:keepNext w:val="0"/>
        <w:keepLines w:val="0"/>
        <w:spacing w:before="0" w:after="0" w:line="360" w:lineRule="auto"/>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4.2经投标人确认修正后的报价若超过采购预算金额或者最高限价，</w:t>
      </w:r>
      <w:r>
        <w:rPr>
          <w:rFonts w:hint="eastAsia" w:ascii="宋体" w:hAnsi="宋体" w:cs="宋体"/>
          <w:color w:val="auto"/>
          <w:sz w:val="21"/>
          <w:szCs w:val="21"/>
          <w:highlight w:val="none"/>
        </w:rPr>
        <w:t>投标人的投标文件作无效投标处理</w:t>
      </w:r>
      <w:r>
        <w:rPr>
          <w:rFonts w:hint="eastAsia" w:ascii="宋体" w:hAnsi="宋体" w:cs="宋体"/>
          <w:b w:val="0"/>
          <w:color w:val="auto"/>
          <w:sz w:val="21"/>
          <w:szCs w:val="21"/>
          <w:highlight w:val="none"/>
        </w:rPr>
        <w:t>。</w:t>
      </w:r>
    </w:p>
    <w:p w14:paraId="32B711F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68A97E15">
      <w:pPr>
        <w:pStyle w:val="6"/>
        <w:keepNext w:val="0"/>
        <w:keepLines w:val="0"/>
        <w:spacing w:before="0" w:after="0" w:line="360" w:lineRule="auto"/>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5.比较与评价</w:t>
      </w:r>
    </w:p>
    <w:p w14:paraId="767BE3B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2E21AD9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27B9E10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4012A17D">
      <w:pPr>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p>
    <w:p w14:paraId="669AC86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3C22B6C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6EEA937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732AEA6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7D1B60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21B1A31A">
      <w:pPr>
        <w:snapToGrid w:val="0"/>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39DA1882">
      <w:pPr>
        <w:snapToGrid w:val="0"/>
        <w:spacing w:line="360" w:lineRule="auto"/>
        <w:ind w:firstLine="424" w:firstLineChars="202"/>
        <w:jc w:val="left"/>
        <w:rPr>
          <w:rFonts w:hint="eastAsia" w:ascii="宋体" w:hAnsi="宋体" w:cs="宋体"/>
          <w:b/>
          <w:color w:val="auto"/>
          <w:szCs w:val="21"/>
          <w:highlight w:val="none"/>
        </w:rPr>
      </w:pPr>
      <w:r>
        <w:rPr>
          <w:rFonts w:hint="eastAsia" w:ascii="宋体" w:hAnsi="宋体" w:cs="宋体"/>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p>
    <w:p w14:paraId="3AAA3F7B">
      <w:pPr>
        <w:snapToGrid w:val="0"/>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（3）评标委员会按照招标文件中的规定推荐中标候选人。</w:t>
      </w:r>
    </w:p>
    <w:p w14:paraId="29A2F713">
      <w:pPr>
        <w:snapToGrid w:val="0"/>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F1434C2">
      <w:pPr>
        <w:snapToGrid w:val="0"/>
        <w:spacing w:line="360" w:lineRule="auto"/>
        <w:ind w:firstLine="424" w:firstLineChars="202"/>
        <w:jc w:val="center"/>
        <w:rPr>
          <w:rFonts w:hint="eastAsia" w:ascii="宋体" w:hAnsi="宋体" w:cs="宋体"/>
          <w:color w:val="auto"/>
          <w:szCs w:val="21"/>
          <w:highlight w:val="none"/>
        </w:rPr>
      </w:pPr>
    </w:p>
    <w:p w14:paraId="2106DDAB">
      <w:pPr>
        <w:pStyle w:val="32"/>
        <w:spacing w:line="560" w:lineRule="exact"/>
        <w:jc w:val="center"/>
        <w:rPr>
          <w:rFonts w:hint="eastAsia" w:hAnsi="宋体" w:cs="宋体"/>
          <w:b/>
          <w:color w:val="auto"/>
          <w:sz w:val="32"/>
          <w:szCs w:val="32"/>
          <w:highlight w:val="none"/>
        </w:rPr>
      </w:pPr>
      <w:r>
        <w:rPr>
          <w:rFonts w:hint="eastAsia" w:hAnsi="宋体" w:cs="宋体"/>
          <w:color w:val="auto"/>
          <w:highlight w:val="none"/>
        </w:rPr>
        <w:br w:type="page"/>
      </w:r>
      <w:bookmarkStart w:id="133" w:name="_Hlk71707917"/>
      <w:r>
        <w:rPr>
          <w:rFonts w:hint="eastAsia" w:hAnsi="宋体" w:cs="宋体"/>
          <w:b/>
          <w:bCs/>
          <w:color w:val="auto"/>
          <w:kern w:val="2"/>
          <w:sz w:val="32"/>
          <w:szCs w:val="32"/>
          <w:highlight w:val="none"/>
        </w:rPr>
        <w:t>三、</w:t>
      </w:r>
      <w:r>
        <w:rPr>
          <w:rFonts w:hint="eastAsia" w:hAnsi="宋体" w:cs="宋体"/>
          <w:b/>
          <w:color w:val="auto"/>
          <w:sz w:val="32"/>
          <w:szCs w:val="32"/>
          <w:highlight w:val="none"/>
        </w:rPr>
        <w:t>评标方法及评分标准（适用于所有分标）</w:t>
      </w:r>
    </w:p>
    <w:tbl>
      <w:tblPr>
        <w:tblStyle w:val="62"/>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515"/>
        <w:gridCol w:w="2180"/>
        <w:gridCol w:w="5387"/>
      </w:tblGrid>
      <w:tr w14:paraId="1A93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148" w:type="dxa"/>
            <w:gridSpan w:val="2"/>
            <w:tcBorders>
              <w:top w:val="single" w:color="auto" w:sz="4" w:space="0"/>
              <w:left w:val="single" w:color="auto" w:sz="4" w:space="0"/>
              <w:bottom w:val="single" w:color="auto" w:sz="4" w:space="0"/>
              <w:right w:val="single" w:color="auto" w:sz="4" w:space="0"/>
            </w:tcBorders>
            <w:vAlign w:val="center"/>
          </w:tcPr>
          <w:p w14:paraId="644CA7A3">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180" w:type="dxa"/>
            <w:tcBorders>
              <w:top w:val="single" w:color="auto" w:sz="4" w:space="0"/>
              <w:left w:val="single" w:color="auto" w:sz="4" w:space="0"/>
              <w:bottom w:val="single" w:color="auto" w:sz="4" w:space="0"/>
              <w:right w:val="single" w:color="auto" w:sz="4" w:space="0"/>
            </w:tcBorders>
            <w:vAlign w:val="center"/>
          </w:tcPr>
          <w:p w14:paraId="4DF48702">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评分类型</w:t>
            </w:r>
          </w:p>
        </w:tc>
        <w:tc>
          <w:tcPr>
            <w:tcW w:w="5387" w:type="dxa"/>
            <w:tcBorders>
              <w:top w:val="single" w:color="auto" w:sz="4" w:space="0"/>
              <w:left w:val="single" w:color="auto" w:sz="4" w:space="0"/>
              <w:bottom w:val="single" w:color="auto" w:sz="4" w:space="0"/>
              <w:right w:val="single" w:color="auto" w:sz="4" w:space="0"/>
            </w:tcBorders>
            <w:vAlign w:val="center"/>
          </w:tcPr>
          <w:p w14:paraId="0C93E3D4">
            <w:pPr>
              <w:adjustRightInd w:val="0"/>
              <w:spacing w:line="360" w:lineRule="auto"/>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评分标准</w:t>
            </w:r>
          </w:p>
        </w:tc>
      </w:tr>
      <w:tr w14:paraId="50AB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tcBorders>
              <w:top w:val="single" w:color="auto" w:sz="4" w:space="0"/>
              <w:left w:val="single" w:color="auto" w:sz="4" w:space="0"/>
              <w:bottom w:val="single" w:color="auto" w:sz="4" w:space="0"/>
              <w:right w:val="single" w:color="auto" w:sz="4" w:space="0"/>
            </w:tcBorders>
            <w:vAlign w:val="center"/>
          </w:tcPr>
          <w:p w14:paraId="34ED45E9">
            <w:pPr>
              <w:snapToGrid w:val="0"/>
              <w:spacing w:line="360" w:lineRule="auto"/>
              <w:ind w:firstLine="214" w:firstLineChars="100"/>
              <w:rPr>
                <w:rFonts w:hint="eastAsia" w:ascii="宋体" w:hAnsi="宋体" w:cs="宋体"/>
                <w:color w:val="auto"/>
                <w:spacing w:val="2"/>
                <w:szCs w:val="21"/>
                <w:highlight w:val="none"/>
              </w:rPr>
            </w:pPr>
            <w:r>
              <w:rPr>
                <w:rFonts w:hint="eastAsia" w:ascii="宋体" w:hAnsi="宋体" w:cs="宋体"/>
                <w:color w:val="auto"/>
                <w:spacing w:val="2"/>
                <w:szCs w:val="21"/>
                <w:highlight w:val="none"/>
              </w:rPr>
              <w:t>1</w:t>
            </w:r>
          </w:p>
        </w:tc>
        <w:tc>
          <w:tcPr>
            <w:tcW w:w="1515" w:type="dxa"/>
            <w:tcBorders>
              <w:top w:val="single" w:color="auto" w:sz="4" w:space="0"/>
              <w:left w:val="single" w:color="auto" w:sz="4" w:space="0"/>
              <w:bottom w:val="single" w:color="auto" w:sz="4" w:space="0"/>
              <w:right w:val="single" w:color="auto" w:sz="4" w:space="0"/>
            </w:tcBorders>
            <w:vAlign w:val="center"/>
          </w:tcPr>
          <w:p w14:paraId="4D2F3AB6">
            <w:pPr>
              <w:snapToGrid w:val="0"/>
              <w:spacing w:line="360" w:lineRule="auto"/>
              <w:rPr>
                <w:rFonts w:hint="eastAsia" w:ascii="宋体" w:hAnsi="宋体" w:cs="宋体"/>
                <w:color w:val="auto"/>
                <w:spacing w:val="2"/>
                <w:szCs w:val="21"/>
                <w:highlight w:val="none"/>
              </w:rPr>
            </w:pPr>
            <w:r>
              <w:rPr>
                <w:rFonts w:hint="eastAsia" w:ascii="宋体" w:hAnsi="宋体" w:cs="宋体"/>
                <w:color w:val="auto"/>
                <w:spacing w:val="2"/>
                <w:szCs w:val="21"/>
                <w:highlight w:val="none"/>
              </w:rPr>
              <w:t>价格分（满分10分）</w:t>
            </w:r>
          </w:p>
          <w:p w14:paraId="730B67E4">
            <w:pPr>
              <w:snapToGrid w:val="0"/>
              <w:spacing w:line="360" w:lineRule="auto"/>
              <w:ind w:firstLine="428" w:firstLineChars="200"/>
              <w:rPr>
                <w:rFonts w:hint="eastAsia" w:ascii="宋体" w:hAnsi="宋体" w:cs="宋体"/>
                <w:color w:val="auto"/>
                <w:spacing w:val="2"/>
                <w:szCs w:val="21"/>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275FDDD3">
            <w:pPr>
              <w:snapToGrid w:val="0"/>
              <w:spacing w:line="360" w:lineRule="auto"/>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投标报价（满分10分）</w:t>
            </w:r>
          </w:p>
        </w:tc>
        <w:tc>
          <w:tcPr>
            <w:tcW w:w="5387" w:type="dxa"/>
            <w:tcBorders>
              <w:top w:val="single" w:color="auto" w:sz="4" w:space="0"/>
              <w:left w:val="single" w:color="auto" w:sz="4" w:space="0"/>
              <w:bottom w:val="single" w:color="auto" w:sz="4" w:space="0"/>
              <w:right w:val="single" w:color="auto" w:sz="4" w:space="0"/>
            </w:tcBorders>
            <w:vAlign w:val="center"/>
          </w:tcPr>
          <w:p w14:paraId="13F87BE7">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（1）评标报价为供应商的投标报价进行政策性扣除后的价格，评标报价只是作为评标时使用。最终中标供应商的中标金额等于投标报价。</w:t>
            </w:r>
          </w:p>
          <w:p w14:paraId="2FF5730F">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2）按照《政府采购促进中小企业发展管理办法》（财库〔2020〕46号）、财政部《关于进一步加大政府采购支持中小企业力度的通知》（财库〔2022〕19号）的规定，供应商在其投标文件中提供《中小企业声明函》，且其服务为小型和微型企业承接的，对其最后报价给予10%的扣除。</w:t>
            </w:r>
          </w:p>
          <w:p w14:paraId="48E95BFA">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58F67FD">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5844DC6">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（5）政策性扣除计算方法。</w:t>
            </w:r>
          </w:p>
          <w:p w14:paraId="05C0880C">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在服务采购项目中，服务由小微企业承接；对符合上述要求的供应商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 （范围为4%-6%）的扣除，用扣除后的价格参加评审，扣除后的价格为评标报价，即评标报价=投标报价×（1-6%）。除上述情况外，评标报价=投标报价。</w:t>
            </w:r>
          </w:p>
          <w:p w14:paraId="7407377D">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（6）满足招标文件要求且评标报价最低的评标报价为评标基准价，其价格分为满分。</w:t>
            </w:r>
          </w:p>
          <w:p w14:paraId="5B1396DE">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（7）价格分计算公式：</w:t>
            </w:r>
          </w:p>
          <w:p w14:paraId="4CD81739">
            <w:pPr>
              <w:widowControl/>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价格分=(评标基准价／评标报价)×10分</w:t>
            </w:r>
          </w:p>
        </w:tc>
      </w:tr>
      <w:tr w14:paraId="5655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633" w:type="dxa"/>
            <w:vMerge w:val="restart"/>
            <w:tcBorders>
              <w:top w:val="single" w:color="auto" w:sz="4" w:space="0"/>
              <w:left w:val="single" w:color="auto" w:sz="4" w:space="0"/>
              <w:right w:val="single" w:color="auto" w:sz="4" w:space="0"/>
            </w:tcBorders>
            <w:vAlign w:val="center"/>
          </w:tcPr>
          <w:p w14:paraId="38108B74">
            <w:pPr>
              <w:snapToGrid w:val="0"/>
              <w:spacing w:line="360" w:lineRule="auto"/>
              <w:ind w:firstLine="214" w:firstLineChars="100"/>
              <w:rPr>
                <w:rFonts w:hint="eastAsia" w:ascii="宋体" w:hAnsi="宋体" w:cs="宋体"/>
                <w:color w:val="auto"/>
                <w:spacing w:val="2"/>
                <w:szCs w:val="21"/>
                <w:highlight w:val="none"/>
              </w:rPr>
            </w:pPr>
            <w:r>
              <w:rPr>
                <w:rFonts w:hint="eastAsia" w:ascii="宋体" w:hAnsi="宋体" w:cs="宋体"/>
                <w:color w:val="auto"/>
                <w:spacing w:val="2"/>
                <w:szCs w:val="21"/>
                <w:highlight w:val="none"/>
              </w:rPr>
              <w:t>2</w:t>
            </w:r>
          </w:p>
        </w:tc>
        <w:tc>
          <w:tcPr>
            <w:tcW w:w="1515" w:type="dxa"/>
            <w:vMerge w:val="restart"/>
            <w:tcBorders>
              <w:top w:val="single" w:color="auto" w:sz="4" w:space="0"/>
              <w:left w:val="single" w:color="auto" w:sz="4" w:space="0"/>
              <w:right w:val="single" w:color="auto" w:sz="4" w:space="0"/>
            </w:tcBorders>
            <w:vAlign w:val="center"/>
          </w:tcPr>
          <w:p w14:paraId="62F0B8B8">
            <w:pPr>
              <w:snapToGrid w:val="0"/>
              <w:spacing w:line="360" w:lineRule="auto"/>
              <w:rPr>
                <w:rFonts w:hint="eastAsia" w:ascii="宋体" w:hAnsi="宋体" w:cs="宋体"/>
                <w:color w:val="auto"/>
                <w:spacing w:val="2"/>
                <w:szCs w:val="21"/>
                <w:highlight w:val="none"/>
              </w:rPr>
            </w:pPr>
            <w:r>
              <w:rPr>
                <w:rFonts w:hint="eastAsia" w:ascii="宋体" w:hAnsi="宋体" w:cs="宋体"/>
                <w:color w:val="auto"/>
                <w:spacing w:val="2"/>
                <w:szCs w:val="21"/>
                <w:highlight w:val="none"/>
              </w:rPr>
              <w:t>技术分（满分7</w:t>
            </w:r>
            <w:r>
              <w:rPr>
                <w:rFonts w:hint="eastAsia" w:ascii="宋体" w:hAnsi="宋体" w:cs="宋体"/>
                <w:color w:val="auto"/>
                <w:spacing w:val="2"/>
                <w:szCs w:val="21"/>
                <w:highlight w:val="none"/>
                <w:lang w:val="en-US" w:eastAsia="zh-CN"/>
              </w:rPr>
              <w:t>7</w:t>
            </w:r>
            <w:r>
              <w:rPr>
                <w:rFonts w:hint="eastAsia" w:ascii="宋体" w:hAnsi="宋体" w:cs="宋体"/>
                <w:color w:val="auto"/>
                <w:spacing w:val="2"/>
                <w:szCs w:val="21"/>
                <w:highlight w:val="none"/>
              </w:rPr>
              <w:t>分）</w:t>
            </w:r>
          </w:p>
          <w:p w14:paraId="3E699401">
            <w:pPr>
              <w:snapToGrid w:val="0"/>
              <w:spacing w:line="360" w:lineRule="auto"/>
              <w:ind w:firstLine="428" w:firstLineChars="200"/>
              <w:rPr>
                <w:rFonts w:hint="eastAsia" w:ascii="宋体" w:hAnsi="宋体" w:cs="宋体"/>
                <w:color w:val="auto"/>
                <w:spacing w:val="2"/>
                <w:szCs w:val="21"/>
                <w:highlight w:val="none"/>
              </w:rPr>
            </w:pPr>
          </w:p>
        </w:tc>
        <w:tc>
          <w:tcPr>
            <w:tcW w:w="2180" w:type="dxa"/>
            <w:tcBorders>
              <w:top w:val="single" w:color="auto" w:sz="4" w:space="0"/>
              <w:left w:val="single" w:color="auto" w:sz="4" w:space="0"/>
              <w:right w:val="single" w:color="auto" w:sz="4" w:space="0"/>
            </w:tcBorders>
          </w:tcPr>
          <w:p w14:paraId="38DA047C">
            <w:pPr>
              <w:snapToGrid w:val="0"/>
              <w:spacing w:line="360" w:lineRule="auto"/>
              <w:ind w:firstLine="428" w:firstLineChars="200"/>
              <w:rPr>
                <w:rFonts w:hint="eastAsia" w:ascii="宋体" w:hAnsi="宋体" w:cs="宋体"/>
                <w:color w:val="auto"/>
                <w:spacing w:val="2"/>
                <w:szCs w:val="21"/>
                <w:highlight w:val="none"/>
              </w:rPr>
            </w:pPr>
          </w:p>
          <w:p w14:paraId="0C5CD882">
            <w:pPr>
              <w:snapToGrid w:val="0"/>
              <w:spacing w:line="360" w:lineRule="auto"/>
              <w:rPr>
                <w:rFonts w:hint="eastAsia" w:ascii="宋体" w:hAnsi="宋体" w:cs="宋体"/>
                <w:color w:val="auto"/>
                <w:spacing w:val="2"/>
                <w:szCs w:val="21"/>
                <w:highlight w:val="none"/>
              </w:rPr>
            </w:pPr>
            <w:r>
              <w:rPr>
                <w:rFonts w:hint="eastAsia" w:ascii="宋体" w:hAnsi="宋体" w:cs="宋体"/>
                <w:color w:val="auto"/>
                <w:spacing w:val="2"/>
                <w:szCs w:val="21"/>
                <w:highlight w:val="none"/>
              </w:rPr>
              <w:t>技术条款响应（满分5分）</w:t>
            </w:r>
          </w:p>
        </w:tc>
        <w:tc>
          <w:tcPr>
            <w:tcW w:w="5387" w:type="dxa"/>
            <w:tcBorders>
              <w:top w:val="single" w:color="auto" w:sz="4" w:space="0"/>
              <w:left w:val="single" w:color="auto" w:sz="4" w:space="0"/>
              <w:bottom w:val="single" w:color="auto" w:sz="4" w:space="0"/>
              <w:right w:val="single" w:color="auto" w:sz="4" w:space="0"/>
            </w:tcBorders>
          </w:tcPr>
          <w:p w14:paraId="387AC9BC">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根据各投标人的投标文件进行评审，配置、技术、性能指标、证明材料等参照招标文件逐条进行评分。投标人应对招标文件中“采购需求”中要求的各项内容和技术参数要求进行逐项响应，完全满足或优于招标文件要求的得满分5分，其中不带“▲”每项负偏离扣1分，扣完为止。</w:t>
            </w:r>
          </w:p>
          <w:p w14:paraId="5D8449A1">
            <w:pPr>
              <w:pStyle w:val="19"/>
              <w:ind w:firstLine="420" w:firstLineChars="200"/>
              <w:rPr>
                <w:rFonts w:hint="eastAsia" w:ascii="宋体" w:hAnsi="宋体" w:cs="宋体"/>
                <w:color w:val="auto"/>
                <w:spacing w:val="2"/>
                <w:szCs w:val="21"/>
                <w:highlight w:val="none"/>
              </w:rPr>
            </w:pPr>
            <w:r>
              <w:rPr>
                <w:rFonts w:hint="eastAsia" w:ascii="宋体" w:hAnsi="宋体" w:cs="宋体"/>
                <w:bCs/>
                <w:color w:val="auto"/>
                <w:szCs w:val="21"/>
                <w:highlight w:val="none"/>
              </w:rPr>
              <w:t>注：不带“▲”负偏离超于5项的，视为无效响应。</w:t>
            </w:r>
          </w:p>
        </w:tc>
      </w:tr>
      <w:tr w14:paraId="308F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Merge w:val="continue"/>
            <w:tcBorders>
              <w:left w:val="single" w:color="auto" w:sz="4" w:space="0"/>
              <w:right w:val="single" w:color="auto" w:sz="4" w:space="0"/>
            </w:tcBorders>
            <w:vAlign w:val="center"/>
          </w:tcPr>
          <w:p w14:paraId="01A32D46">
            <w:pPr>
              <w:widowControl/>
              <w:snapToGrid w:val="0"/>
              <w:spacing w:line="360" w:lineRule="auto"/>
              <w:ind w:firstLine="428" w:firstLineChars="200"/>
              <w:rPr>
                <w:rFonts w:hint="eastAsia" w:ascii="宋体" w:hAnsi="宋体" w:cs="宋体"/>
                <w:color w:val="auto"/>
                <w:spacing w:val="2"/>
                <w:szCs w:val="21"/>
                <w:highlight w:val="none"/>
              </w:rPr>
            </w:pPr>
          </w:p>
        </w:tc>
        <w:tc>
          <w:tcPr>
            <w:tcW w:w="1515" w:type="dxa"/>
            <w:vMerge w:val="continue"/>
            <w:tcBorders>
              <w:left w:val="single" w:color="auto" w:sz="4" w:space="0"/>
              <w:right w:val="single" w:color="auto" w:sz="4" w:space="0"/>
            </w:tcBorders>
            <w:vAlign w:val="center"/>
          </w:tcPr>
          <w:p w14:paraId="24C742FB">
            <w:pPr>
              <w:snapToGrid w:val="0"/>
              <w:spacing w:line="360" w:lineRule="auto"/>
              <w:ind w:firstLine="428" w:firstLineChars="200"/>
              <w:rPr>
                <w:rFonts w:hint="eastAsia" w:ascii="宋体" w:hAnsi="宋体" w:cs="宋体"/>
                <w:color w:val="auto"/>
                <w:spacing w:val="2"/>
                <w:szCs w:val="21"/>
                <w:highlight w:val="none"/>
              </w:rPr>
            </w:pPr>
          </w:p>
        </w:tc>
        <w:tc>
          <w:tcPr>
            <w:tcW w:w="218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480E0350">
            <w:pPr>
              <w:snapToGrid w:val="0"/>
              <w:spacing w:line="360" w:lineRule="auto"/>
              <w:ind w:firstLine="428" w:firstLineChars="200"/>
              <w:rPr>
                <w:rFonts w:hint="eastAsia" w:ascii="宋体" w:hAnsi="宋体" w:cs="宋体"/>
                <w:color w:val="auto"/>
                <w:spacing w:val="2"/>
                <w:szCs w:val="21"/>
                <w:highlight w:val="none"/>
              </w:rPr>
            </w:pPr>
          </w:p>
          <w:p w14:paraId="19E98382">
            <w:pPr>
              <w:snapToGrid w:val="0"/>
              <w:spacing w:line="360" w:lineRule="auto"/>
              <w:rPr>
                <w:rFonts w:hint="eastAsia" w:ascii="宋体" w:hAnsi="宋体" w:cs="宋体"/>
                <w:color w:val="auto"/>
                <w:spacing w:val="2"/>
                <w:szCs w:val="21"/>
                <w:highlight w:val="none"/>
              </w:rPr>
            </w:pPr>
            <w:r>
              <w:rPr>
                <w:rFonts w:hint="eastAsia" w:ascii="宋体" w:hAnsi="宋体" w:cs="宋体"/>
                <w:color w:val="auto"/>
                <w:spacing w:val="2"/>
                <w:szCs w:val="21"/>
                <w:highlight w:val="none"/>
              </w:rPr>
              <w:t>产品性能分（满分10分）</w:t>
            </w:r>
          </w:p>
        </w:tc>
        <w:tc>
          <w:tcPr>
            <w:tcW w:w="5387" w:type="dxa"/>
            <w:tcBorders>
              <w:top w:val="single" w:color="auto" w:sz="4" w:space="0"/>
              <w:left w:val="single" w:color="auto" w:sz="4" w:space="0"/>
              <w:bottom w:val="single" w:color="auto" w:sz="4" w:space="0"/>
              <w:right w:val="single" w:color="auto" w:sz="4" w:space="0"/>
            </w:tcBorders>
          </w:tcPr>
          <w:p w14:paraId="217DE525">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 w:val="21"/>
                <w:szCs w:val="21"/>
                <w:highlight w:val="none"/>
                <w:lang w:val="en-US" w:eastAsia="zh-CN"/>
              </w:rPr>
              <w:t>1、所投产品具备省部级相关机构评价报告且结论为符合要求或合格等相应等级，报告中的样本类型需为</w:t>
            </w:r>
            <w:r>
              <w:rPr>
                <w:rFonts w:hint="eastAsia" w:ascii="宋体" w:hAnsi="宋体" w:eastAsia="宋体" w:cs="宋体"/>
                <w:color w:val="auto"/>
                <w:kern w:val="0"/>
                <w:sz w:val="21"/>
                <w:szCs w:val="21"/>
                <w:highlight w:val="none"/>
                <w:lang w:val="en-US" w:eastAsia="zh-CN"/>
              </w:rPr>
              <w:t>豇豆等</w:t>
            </w:r>
            <w:r>
              <w:rPr>
                <w:rFonts w:hint="eastAsia" w:ascii="宋体" w:hAnsi="宋体" w:cs="宋体"/>
                <w:color w:val="auto"/>
                <w:kern w:val="0"/>
                <w:sz w:val="21"/>
                <w:szCs w:val="21"/>
                <w:highlight w:val="none"/>
                <w:lang w:val="en-US" w:eastAsia="zh-CN"/>
              </w:rPr>
              <w:t>其他</w:t>
            </w:r>
            <w:r>
              <w:rPr>
                <w:rFonts w:hint="eastAsia" w:ascii="宋体" w:hAnsi="宋体" w:eastAsia="宋体" w:cs="宋体"/>
                <w:color w:val="auto"/>
                <w:kern w:val="0"/>
                <w:sz w:val="21"/>
                <w:szCs w:val="21"/>
                <w:highlight w:val="none"/>
                <w:lang w:val="en-US" w:eastAsia="zh-CN"/>
              </w:rPr>
              <w:t>农产品</w:t>
            </w:r>
            <w:r>
              <w:rPr>
                <w:rFonts w:hint="eastAsia" w:ascii="宋体" w:hAnsi="宋体" w:cs="宋体"/>
                <w:color w:val="auto"/>
                <w:spacing w:val="2"/>
                <w:sz w:val="21"/>
                <w:szCs w:val="21"/>
                <w:highlight w:val="none"/>
                <w:lang w:val="en-US" w:eastAsia="zh-CN"/>
              </w:rPr>
              <w:t>。10项产品全部具备报告的得5分；8-9项产品具备报告的得2分；少于8项不得分（本项满分5分，提供评价报告并加盖公章）</w:t>
            </w:r>
          </w:p>
          <w:p w14:paraId="37EB4D8D">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2、根据采购需求的要求，每套试纸条（10种参数）仅用1种提取液前处理得5分，用2种得</w:t>
            </w:r>
            <w:r>
              <w:rPr>
                <w:rFonts w:hint="eastAsia" w:ascii="宋体" w:hAnsi="宋体" w:cs="宋体"/>
                <w:color w:val="auto"/>
                <w:spacing w:val="2"/>
                <w:szCs w:val="21"/>
                <w:highlight w:val="none"/>
                <w:lang w:val="en-US" w:eastAsia="zh-CN"/>
              </w:rPr>
              <w:t>3</w:t>
            </w:r>
            <w:r>
              <w:rPr>
                <w:rFonts w:hint="eastAsia" w:ascii="宋体" w:hAnsi="宋体" w:cs="宋体"/>
                <w:color w:val="auto"/>
                <w:spacing w:val="2"/>
                <w:szCs w:val="21"/>
                <w:highlight w:val="none"/>
              </w:rPr>
              <w:t>分。超过</w:t>
            </w:r>
            <w:r>
              <w:rPr>
                <w:rFonts w:hint="eastAsia" w:ascii="宋体" w:hAnsi="宋体" w:cs="宋体"/>
                <w:color w:val="auto"/>
                <w:spacing w:val="2"/>
                <w:szCs w:val="21"/>
                <w:highlight w:val="none"/>
                <w:lang w:val="en-US" w:eastAsia="zh-CN"/>
              </w:rPr>
              <w:t>3</w:t>
            </w:r>
            <w:r>
              <w:rPr>
                <w:rFonts w:hint="eastAsia" w:ascii="宋体" w:hAnsi="宋体" w:cs="宋体"/>
                <w:color w:val="auto"/>
                <w:spacing w:val="2"/>
                <w:szCs w:val="21"/>
                <w:highlight w:val="none"/>
              </w:rPr>
              <w:t>种的不得分（本项满分5分） 。</w:t>
            </w:r>
          </w:p>
          <w:p w14:paraId="79FE867B">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提供验证评价的官方结果证明文件扫描件（或评价报告扫描件）和汇总表（包括但不限于验证产品名称、验证药物残留参数、样品基质、限量标准、评价判定依据、评价验证结果、评价验证结论、评价验证年度等）并加盖投标人公章。）</w:t>
            </w:r>
          </w:p>
        </w:tc>
      </w:tr>
      <w:tr w14:paraId="5372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Merge w:val="continue"/>
            <w:tcBorders>
              <w:left w:val="single" w:color="auto" w:sz="4" w:space="0"/>
              <w:right w:val="single" w:color="auto" w:sz="4" w:space="0"/>
            </w:tcBorders>
            <w:vAlign w:val="center"/>
          </w:tcPr>
          <w:p w14:paraId="553D3C19">
            <w:pPr>
              <w:widowControl/>
              <w:snapToGrid w:val="0"/>
              <w:spacing w:line="360" w:lineRule="auto"/>
              <w:ind w:firstLine="428" w:firstLineChars="200"/>
              <w:rPr>
                <w:rFonts w:hint="eastAsia" w:ascii="宋体" w:hAnsi="宋体" w:cs="宋体"/>
                <w:color w:val="auto"/>
                <w:spacing w:val="2"/>
                <w:szCs w:val="21"/>
                <w:highlight w:val="none"/>
              </w:rPr>
            </w:pPr>
          </w:p>
        </w:tc>
        <w:tc>
          <w:tcPr>
            <w:tcW w:w="1515" w:type="dxa"/>
            <w:vMerge w:val="continue"/>
            <w:tcBorders>
              <w:left w:val="single" w:color="auto" w:sz="4" w:space="0"/>
              <w:right w:val="single" w:color="auto" w:sz="4" w:space="0"/>
            </w:tcBorders>
            <w:vAlign w:val="center"/>
          </w:tcPr>
          <w:p w14:paraId="005CB291">
            <w:pPr>
              <w:snapToGrid w:val="0"/>
              <w:spacing w:line="360" w:lineRule="auto"/>
              <w:ind w:firstLine="428" w:firstLineChars="200"/>
              <w:rPr>
                <w:rFonts w:hint="eastAsia" w:ascii="宋体" w:hAnsi="宋体" w:cs="宋体"/>
                <w:color w:val="auto"/>
                <w:spacing w:val="2"/>
                <w:szCs w:val="21"/>
                <w:highlight w:val="none"/>
              </w:rPr>
            </w:pPr>
          </w:p>
        </w:tc>
        <w:tc>
          <w:tcPr>
            <w:tcW w:w="218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61E6E299">
            <w:pPr>
              <w:snapToGrid w:val="0"/>
              <w:spacing w:line="360" w:lineRule="auto"/>
              <w:ind w:firstLine="428" w:firstLineChars="200"/>
              <w:rPr>
                <w:rFonts w:hint="eastAsia" w:ascii="宋体" w:hAnsi="宋体" w:cs="宋体"/>
                <w:color w:val="auto"/>
                <w:spacing w:val="2"/>
                <w:szCs w:val="21"/>
                <w:highlight w:val="none"/>
              </w:rPr>
            </w:pPr>
          </w:p>
          <w:p w14:paraId="5D482CAB">
            <w:pPr>
              <w:snapToGrid w:val="0"/>
              <w:spacing w:line="360" w:lineRule="auto"/>
              <w:ind w:firstLine="428" w:firstLineChars="200"/>
              <w:rPr>
                <w:rFonts w:hint="eastAsia" w:ascii="宋体" w:hAnsi="宋体" w:cs="宋体"/>
                <w:color w:val="auto"/>
                <w:spacing w:val="2"/>
                <w:szCs w:val="21"/>
                <w:highlight w:val="none"/>
              </w:rPr>
            </w:pPr>
          </w:p>
          <w:p w14:paraId="42ACB95B">
            <w:pPr>
              <w:snapToGrid w:val="0"/>
              <w:spacing w:line="360" w:lineRule="auto"/>
              <w:ind w:firstLine="428" w:firstLineChars="200"/>
              <w:rPr>
                <w:rFonts w:hint="eastAsia" w:ascii="宋体" w:hAnsi="宋体" w:cs="宋体"/>
                <w:color w:val="auto"/>
                <w:spacing w:val="2"/>
                <w:szCs w:val="21"/>
                <w:highlight w:val="none"/>
              </w:rPr>
            </w:pPr>
          </w:p>
          <w:p w14:paraId="59F47649">
            <w:pPr>
              <w:snapToGrid w:val="0"/>
              <w:spacing w:line="360" w:lineRule="auto"/>
              <w:rPr>
                <w:rFonts w:hint="eastAsia" w:ascii="宋体" w:hAnsi="宋体" w:cs="宋体"/>
                <w:color w:val="auto"/>
                <w:spacing w:val="2"/>
                <w:szCs w:val="21"/>
                <w:highlight w:val="none"/>
              </w:rPr>
            </w:pPr>
            <w:r>
              <w:rPr>
                <w:rFonts w:hint="eastAsia" w:ascii="宋体" w:hAnsi="宋体" w:cs="宋体"/>
                <w:color w:val="auto"/>
                <w:spacing w:val="2"/>
                <w:szCs w:val="21"/>
                <w:highlight w:val="none"/>
              </w:rPr>
              <w:t>项目实施方案（满分25分）</w:t>
            </w:r>
          </w:p>
        </w:tc>
        <w:tc>
          <w:tcPr>
            <w:tcW w:w="5387" w:type="dxa"/>
            <w:tcBorders>
              <w:top w:val="single" w:color="auto" w:sz="4" w:space="0"/>
              <w:left w:val="single" w:color="auto" w:sz="4" w:space="0"/>
              <w:bottom w:val="single" w:color="auto" w:sz="4" w:space="0"/>
              <w:right w:val="single" w:color="auto" w:sz="4" w:space="0"/>
            </w:tcBorders>
          </w:tcPr>
          <w:p w14:paraId="68FD2C40">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一档（5 分）：实施方案较为简单的与实际情况有偏离的；</w:t>
            </w:r>
          </w:p>
          <w:p w14:paraId="43928445">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二档（10 分）：基本能够理解本项目的特点，方案内容简单，可操作性不强或不符合本项目实际情况，提出了基本可行的技术实施方案；</w:t>
            </w:r>
          </w:p>
          <w:p w14:paraId="4980CE68">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三档（15 分）：较准确理解本项目的特点，内容较为完整，可行，合理，可操作性较好，具有一定的针对性，能够把握本项目的技术重点和难点，并提出较完整可行的技术实施方案；</w:t>
            </w:r>
          </w:p>
          <w:p w14:paraId="3A1B12C2">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四档（25 分）：准确理解本项目的特点，内容完整、针对性和可操作性强、科学合理，较好地把握本项目的技术重点和难点，并提出完整可行的技术实施方案，且方案全面、准确、科学合理。</w:t>
            </w:r>
          </w:p>
        </w:tc>
      </w:tr>
      <w:tr w14:paraId="0B88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33" w:type="dxa"/>
            <w:vMerge w:val="continue"/>
            <w:tcBorders>
              <w:left w:val="single" w:color="auto" w:sz="4" w:space="0"/>
              <w:right w:val="single" w:color="auto" w:sz="4" w:space="0"/>
            </w:tcBorders>
            <w:vAlign w:val="center"/>
          </w:tcPr>
          <w:p w14:paraId="6929835B">
            <w:pPr>
              <w:widowControl/>
              <w:snapToGrid w:val="0"/>
              <w:spacing w:line="360" w:lineRule="auto"/>
              <w:ind w:firstLine="428" w:firstLineChars="200"/>
              <w:rPr>
                <w:rFonts w:hint="eastAsia" w:ascii="宋体" w:hAnsi="宋体" w:cs="宋体"/>
                <w:color w:val="auto"/>
                <w:spacing w:val="2"/>
                <w:szCs w:val="21"/>
                <w:highlight w:val="none"/>
              </w:rPr>
            </w:pPr>
          </w:p>
        </w:tc>
        <w:tc>
          <w:tcPr>
            <w:tcW w:w="1515" w:type="dxa"/>
            <w:vMerge w:val="continue"/>
            <w:tcBorders>
              <w:left w:val="single" w:color="auto" w:sz="4" w:space="0"/>
              <w:right w:val="single" w:color="auto" w:sz="4" w:space="0"/>
            </w:tcBorders>
            <w:vAlign w:val="center"/>
          </w:tcPr>
          <w:p w14:paraId="4A5AA3AC">
            <w:pPr>
              <w:widowControl/>
              <w:snapToGrid w:val="0"/>
              <w:spacing w:line="360" w:lineRule="auto"/>
              <w:ind w:firstLine="428" w:firstLineChars="200"/>
              <w:rPr>
                <w:rFonts w:hint="eastAsia" w:ascii="宋体" w:hAnsi="宋体" w:cs="宋体"/>
                <w:color w:val="auto"/>
                <w:spacing w:val="2"/>
                <w:szCs w:val="21"/>
                <w:highlight w:val="none"/>
              </w:rPr>
            </w:pPr>
          </w:p>
        </w:tc>
        <w:tc>
          <w:tcPr>
            <w:tcW w:w="218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2C3B0AFE">
            <w:pPr>
              <w:snapToGrid w:val="0"/>
              <w:spacing w:line="360" w:lineRule="auto"/>
              <w:rPr>
                <w:rFonts w:hint="eastAsia" w:ascii="宋体" w:hAnsi="宋体" w:cs="宋体"/>
                <w:color w:val="auto"/>
                <w:spacing w:val="2"/>
                <w:szCs w:val="21"/>
                <w:highlight w:val="none"/>
              </w:rPr>
            </w:pPr>
          </w:p>
          <w:p w14:paraId="4E9BAC78">
            <w:pPr>
              <w:snapToGrid w:val="0"/>
              <w:spacing w:line="360" w:lineRule="auto"/>
              <w:rPr>
                <w:rFonts w:hint="eastAsia" w:ascii="宋体" w:hAnsi="宋体" w:cs="宋体"/>
                <w:color w:val="auto"/>
                <w:spacing w:val="2"/>
                <w:szCs w:val="21"/>
                <w:highlight w:val="none"/>
              </w:rPr>
            </w:pPr>
          </w:p>
          <w:p w14:paraId="616A1CF5">
            <w:pPr>
              <w:snapToGrid w:val="0"/>
              <w:spacing w:line="360" w:lineRule="auto"/>
              <w:rPr>
                <w:rFonts w:hint="eastAsia" w:ascii="宋体" w:hAnsi="宋体" w:cs="宋体"/>
                <w:color w:val="auto"/>
                <w:spacing w:val="2"/>
                <w:szCs w:val="21"/>
                <w:highlight w:val="none"/>
              </w:rPr>
            </w:pPr>
          </w:p>
          <w:p w14:paraId="038DA25C">
            <w:pPr>
              <w:snapToGrid w:val="0"/>
              <w:spacing w:line="360" w:lineRule="auto"/>
              <w:rPr>
                <w:rFonts w:hint="eastAsia" w:ascii="宋体" w:hAnsi="宋体" w:cs="宋体"/>
                <w:color w:val="auto"/>
                <w:spacing w:val="2"/>
                <w:szCs w:val="21"/>
                <w:highlight w:val="none"/>
              </w:rPr>
            </w:pPr>
            <w:r>
              <w:rPr>
                <w:rFonts w:hint="eastAsia" w:ascii="宋体" w:hAnsi="宋体" w:cs="宋体"/>
                <w:color w:val="auto"/>
                <w:spacing w:val="2"/>
                <w:szCs w:val="21"/>
                <w:highlight w:val="none"/>
              </w:rPr>
              <w:t>质量控制及应急能力分（满分</w:t>
            </w:r>
            <w:r>
              <w:rPr>
                <w:rFonts w:hint="eastAsia" w:ascii="宋体" w:hAnsi="宋体" w:cs="宋体"/>
                <w:color w:val="auto"/>
                <w:spacing w:val="2"/>
                <w:szCs w:val="21"/>
                <w:highlight w:val="none"/>
                <w:lang w:val="en-US" w:eastAsia="zh-CN"/>
              </w:rPr>
              <w:t>21</w:t>
            </w:r>
            <w:r>
              <w:rPr>
                <w:rFonts w:hint="eastAsia" w:ascii="宋体" w:hAnsi="宋体" w:cs="宋体"/>
                <w:color w:val="auto"/>
                <w:spacing w:val="2"/>
                <w:szCs w:val="21"/>
                <w:highlight w:val="none"/>
              </w:rPr>
              <w:t>分）</w:t>
            </w:r>
          </w:p>
        </w:tc>
        <w:tc>
          <w:tcPr>
            <w:tcW w:w="5387" w:type="dxa"/>
            <w:tcBorders>
              <w:top w:val="single" w:color="auto" w:sz="4" w:space="0"/>
              <w:left w:val="single" w:color="auto" w:sz="4" w:space="0"/>
              <w:bottom w:val="single" w:color="auto" w:sz="4" w:space="0"/>
              <w:right w:val="single" w:color="auto" w:sz="4" w:space="0"/>
            </w:tcBorders>
          </w:tcPr>
          <w:p w14:paraId="4BC8ED57">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一档（0 分）：没有质量控制及应急能力方案的；</w:t>
            </w:r>
          </w:p>
          <w:p w14:paraId="3601E60B">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二档（</w:t>
            </w:r>
            <w:r>
              <w:rPr>
                <w:rFonts w:hint="eastAsia" w:ascii="宋体" w:hAnsi="宋体" w:cs="宋体"/>
                <w:color w:val="auto"/>
                <w:spacing w:val="2"/>
                <w:szCs w:val="21"/>
                <w:highlight w:val="none"/>
                <w:lang w:val="en-US" w:eastAsia="zh-CN"/>
              </w:rPr>
              <w:t>7</w:t>
            </w:r>
            <w:r>
              <w:rPr>
                <w:rFonts w:hint="eastAsia" w:ascii="宋体" w:hAnsi="宋体" w:cs="宋体"/>
                <w:color w:val="auto"/>
                <w:spacing w:val="2"/>
                <w:szCs w:val="21"/>
                <w:highlight w:val="none"/>
              </w:rPr>
              <w:t xml:space="preserve"> 分）：提出了满足采购需求最低要求的质量控制方案；</w:t>
            </w:r>
          </w:p>
          <w:p w14:paraId="649BC862">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三档（</w:t>
            </w:r>
            <w:r>
              <w:rPr>
                <w:rFonts w:hint="eastAsia" w:ascii="宋体" w:hAnsi="宋体" w:cs="宋体"/>
                <w:color w:val="auto"/>
                <w:spacing w:val="2"/>
                <w:szCs w:val="21"/>
                <w:highlight w:val="none"/>
                <w:lang w:val="en-US" w:eastAsia="zh-CN"/>
              </w:rPr>
              <w:t>14</w:t>
            </w:r>
            <w:r>
              <w:rPr>
                <w:rFonts w:hint="eastAsia" w:ascii="宋体" w:hAnsi="宋体" w:cs="宋体"/>
                <w:color w:val="auto"/>
                <w:spacing w:val="2"/>
                <w:szCs w:val="21"/>
                <w:highlight w:val="none"/>
              </w:rPr>
              <w:t xml:space="preserve"> 分）：提出科学的质量控制方案，满足二档的条件下，针对本项目特点，应急处置预案或方案能够合理处置常见的意外情况；</w:t>
            </w:r>
          </w:p>
          <w:p w14:paraId="2B6E58E9">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四档（2</w:t>
            </w:r>
            <w:r>
              <w:rPr>
                <w:rFonts w:hint="eastAsia" w:ascii="宋体" w:hAnsi="宋体" w:cs="宋体"/>
                <w:color w:val="auto"/>
                <w:spacing w:val="2"/>
                <w:szCs w:val="21"/>
                <w:highlight w:val="none"/>
                <w:lang w:val="en-US" w:eastAsia="zh-CN"/>
              </w:rPr>
              <w:t>1</w:t>
            </w:r>
            <w:r>
              <w:rPr>
                <w:rFonts w:hint="eastAsia" w:ascii="宋体" w:hAnsi="宋体" w:cs="宋体"/>
                <w:color w:val="auto"/>
                <w:spacing w:val="2"/>
                <w:szCs w:val="21"/>
                <w:highlight w:val="none"/>
              </w:rPr>
              <w:t>分）：满足三档的条件下，应急处置预案或方案有具体的联系负责人员，安排和沟通程序，时效的承诺。以及对要求采购人进行配合的明确事项。</w:t>
            </w:r>
          </w:p>
        </w:tc>
      </w:tr>
      <w:tr w14:paraId="123A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3" w:type="dxa"/>
            <w:vMerge w:val="continue"/>
            <w:tcBorders>
              <w:left w:val="single" w:color="auto" w:sz="4" w:space="0"/>
              <w:right w:val="single" w:color="auto" w:sz="4" w:space="0"/>
            </w:tcBorders>
            <w:vAlign w:val="center"/>
          </w:tcPr>
          <w:p w14:paraId="39128870">
            <w:pPr>
              <w:widowControl/>
              <w:snapToGrid w:val="0"/>
              <w:spacing w:line="360" w:lineRule="auto"/>
              <w:ind w:firstLine="428" w:firstLineChars="200"/>
              <w:rPr>
                <w:rFonts w:hint="eastAsia" w:ascii="宋体" w:hAnsi="宋体" w:cs="宋体"/>
                <w:color w:val="auto"/>
                <w:spacing w:val="2"/>
                <w:szCs w:val="21"/>
                <w:highlight w:val="none"/>
              </w:rPr>
            </w:pPr>
          </w:p>
        </w:tc>
        <w:tc>
          <w:tcPr>
            <w:tcW w:w="1515" w:type="dxa"/>
            <w:vMerge w:val="continue"/>
            <w:tcBorders>
              <w:left w:val="single" w:color="auto" w:sz="4" w:space="0"/>
              <w:right w:val="single" w:color="auto" w:sz="4" w:space="0"/>
            </w:tcBorders>
            <w:vAlign w:val="center"/>
          </w:tcPr>
          <w:p w14:paraId="3C64A04F">
            <w:pPr>
              <w:widowControl/>
              <w:snapToGrid w:val="0"/>
              <w:spacing w:line="360" w:lineRule="auto"/>
              <w:ind w:firstLine="428" w:firstLineChars="200"/>
              <w:rPr>
                <w:rFonts w:hint="eastAsia" w:ascii="宋体" w:hAnsi="宋体" w:cs="宋体"/>
                <w:color w:val="auto"/>
                <w:spacing w:val="2"/>
                <w:szCs w:val="21"/>
                <w:highlight w:val="none"/>
              </w:rPr>
            </w:pPr>
          </w:p>
        </w:tc>
        <w:tc>
          <w:tcPr>
            <w:tcW w:w="218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12BC509A">
            <w:pPr>
              <w:snapToGrid w:val="0"/>
              <w:spacing w:line="360" w:lineRule="auto"/>
              <w:ind w:firstLine="428" w:firstLineChars="200"/>
              <w:rPr>
                <w:rFonts w:hint="eastAsia" w:ascii="宋体" w:hAnsi="宋体" w:cs="宋体"/>
                <w:color w:val="auto"/>
                <w:spacing w:val="2"/>
                <w:szCs w:val="21"/>
                <w:highlight w:val="none"/>
              </w:rPr>
            </w:pPr>
          </w:p>
          <w:p w14:paraId="7E7F2DC2">
            <w:pPr>
              <w:snapToGrid w:val="0"/>
              <w:spacing w:line="360" w:lineRule="auto"/>
              <w:ind w:firstLine="428" w:firstLineChars="200"/>
              <w:rPr>
                <w:rFonts w:hint="eastAsia" w:ascii="宋体" w:hAnsi="宋体" w:cs="宋体"/>
                <w:color w:val="auto"/>
                <w:spacing w:val="2"/>
                <w:szCs w:val="21"/>
                <w:highlight w:val="none"/>
              </w:rPr>
            </w:pPr>
          </w:p>
          <w:p w14:paraId="33B4FF39">
            <w:pPr>
              <w:snapToGrid w:val="0"/>
              <w:spacing w:line="360" w:lineRule="auto"/>
              <w:ind w:firstLine="428" w:firstLineChars="200"/>
              <w:rPr>
                <w:rFonts w:hint="eastAsia" w:ascii="宋体" w:hAnsi="宋体" w:cs="宋体"/>
                <w:color w:val="auto"/>
                <w:spacing w:val="2"/>
                <w:szCs w:val="21"/>
                <w:highlight w:val="none"/>
              </w:rPr>
            </w:pPr>
          </w:p>
          <w:p w14:paraId="646F9A63">
            <w:pPr>
              <w:snapToGrid w:val="0"/>
              <w:spacing w:line="360" w:lineRule="auto"/>
              <w:ind w:firstLine="428" w:firstLineChars="200"/>
              <w:rPr>
                <w:rFonts w:hint="eastAsia" w:ascii="宋体" w:hAnsi="宋体" w:cs="宋体"/>
                <w:color w:val="auto"/>
                <w:spacing w:val="2"/>
                <w:szCs w:val="21"/>
                <w:highlight w:val="none"/>
              </w:rPr>
            </w:pPr>
          </w:p>
          <w:p w14:paraId="3F05185D">
            <w:pPr>
              <w:snapToGrid w:val="0"/>
              <w:spacing w:line="360" w:lineRule="auto"/>
              <w:rPr>
                <w:rFonts w:hint="eastAsia" w:ascii="宋体" w:hAnsi="宋体" w:cs="宋体"/>
                <w:color w:val="auto"/>
                <w:spacing w:val="2"/>
                <w:szCs w:val="21"/>
                <w:highlight w:val="none"/>
              </w:rPr>
            </w:pPr>
            <w:r>
              <w:rPr>
                <w:rFonts w:hint="eastAsia" w:ascii="宋体" w:hAnsi="宋体" w:cs="宋体"/>
                <w:color w:val="auto"/>
                <w:spacing w:val="2"/>
                <w:szCs w:val="21"/>
                <w:highlight w:val="none"/>
              </w:rPr>
              <w:t>服务方案（满分</w:t>
            </w:r>
            <w:r>
              <w:rPr>
                <w:rFonts w:hint="eastAsia" w:ascii="宋体" w:hAnsi="宋体" w:cs="宋体"/>
                <w:color w:val="auto"/>
                <w:spacing w:val="2"/>
                <w:szCs w:val="21"/>
                <w:highlight w:val="none"/>
                <w:lang w:val="en-US" w:eastAsia="zh-CN"/>
              </w:rPr>
              <w:t>16</w:t>
            </w:r>
            <w:r>
              <w:rPr>
                <w:rFonts w:hint="eastAsia" w:ascii="宋体" w:hAnsi="宋体" w:cs="宋体"/>
                <w:color w:val="auto"/>
                <w:spacing w:val="2"/>
                <w:szCs w:val="21"/>
                <w:highlight w:val="none"/>
              </w:rPr>
              <w:t>分）</w:t>
            </w:r>
          </w:p>
        </w:tc>
        <w:tc>
          <w:tcPr>
            <w:tcW w:w="5387" w:type="dxa"/>
            <w:tcBorders>
              <w:top w:val="single" w:color="auto" w:sz="4" w:space="0"/>
              <w:left w:val="single" w:color="auto" w:sz="4" w:space="0"/>
              <w:bottom w:val="single" w:color="auto" w:sz="4" w:space="0"/>
              <w:right w:val="single" w:color="auto" w:sz="4" w:space="0"/>
            </w:tcBorders>
          </w:tcPr>
          <w:p w14:paraId="6917C05E">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一档（</w:t>
            </w:r>
            <w:r>
              <w:rPr>
                <w:rFonts w:hint="eastAsia" w:ascii="宋体" w:hAnsi="宋体" w:cs="宋体"/>
                <w:color w:val="auto"/>
                <w:spacing w:val="2"/>
                <w:szCs w:val="21"/>
                <w:highlight w:val="none"/>
                <w:lang w:val="en-US" w:eastAsia="zh-CN"/>
              </w:rPr>
              <w:t>4</w:t>
            </w:r>
            <w:r>
              <w:rPr>
                <w:rFonts w:hint="eastAsia" w:ascii="宋体" w:hAnsi="宋体" w:cs="宋体"/>
                <w:color w:val="auto"/>
                <w:spacing w:val="2"/>
                <w:szCs w:val="21"/>
                <w:highlight w:val="none"/>
              </w:rPr>
              <w:t xml:space="preserve"> 分）</w:t>
            </w:r>
            <w:r>
              <w:rPr>
                <w:rFonts w:hint="eastAsia" w:ascii="宋体" w:hAnsi="宋体" w:cs="宋体"/>
                <w:color w:val="auto"/>
                <w:spacing w:val="2"/>
                <w:szCs w:val="21"/>
                <w:highlight w:val="none"/>
              </w:rPr>
              <w:t>：承诺方案各方面有缺失较多，承诺响应时间滞后，承诺提供设备人员不足，应对一般情况困难；</w:t>
            </w:r>
          </w:p>
          <w:p w14:paraId="578783F6">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二档（</w:t>
            </w:r>
            <w:r>
              <w:rPr>
                <w:rFonts w:hint="eastAsia" w:ascii="宋体" w:hAnsi="宋体" w:cs="宋体"/>
                <w:color w:val="auto"/>
                <w:spacing w:val="2"/>
                <w:szCs w:val="21"/>
                <w:highlight w:val="none"/>
                <w:lang w:val="en-US" w:eastAsia="zh-CN"/>
              </w:rPr>
              <w:t>8</w:t>
            </w:r>
            <w:r>
              <w:rPr>
                <w:rFonts w:hint="eastAsia" w:ascii="宋体" w:hAnsi="宋体" w:cs="宋体"/>
                <w:color w:val="auto"/>
                <w:spacing w:val="2"/>
                <w:szCs w:val="21"/>
                <w:highlight w:val="none"/>
              </w:rPr>
              <w:t>分）:</w:t>
            </w:r>
            <w:r>
              <w:rPr>
                <w:rFonts w:hint="eastAsia" w:ascii="宋体" w:hAnsi="宋体" w:cs="宋体"/>
                <w:color w:val="auto"/>
                <w:spacing w:val="2"/>
                <w:szCs w:val="21"/>
                <w:highlight w:val="none"/>
              </w:rPr>
              <w:t>服务承诺基本完整，可行性不强，响应时间一般，提供设备人员能进行简单工作，基本应对一般情况；</w:t>
            </w:r>
          </w:p>
          <w:p w14:paraId="49C6E967">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三档（1</w:t>
            </w:r>
            <w:r>
              <w:rPr>
                <w:rFonts w:hint="eastAsia" w:ascii="宋体" w:hAnsi="宋体" w:cs="宋体"/>
                <w:color w:val="auto"/>
                <w:spacing w:val="2"/>
                <w:szCs w:val="21"/>
                <w:highlight w:val="none"/>
                <w:lang w:val="en-US" w:eastAsia="zh-CN"/>
              </w:rPr>
              <w:t>2</w:t>
            </w:r>
            <w:r>
              <w:rPr>
                <w:rFonts w:hint="eastAsia" w:ascii="宋体" w:hAnsi="宋体" w:cs="宋体"/>
                <w:color w:val="auto"/>
                <w:spacing w:val="2"/>
                <w:szCs w:val="21"/>
                <w:highlight w:val="none"/>
              </w:rPr>
              <w:t>分）：</w:t>
            </w:r>
            <w:r>
              <w:rPr>
                <w:rFonts w:hint="eastAsia" w:ascii="宋体" w:hAnsi="宋体" w:cs="宋体"/>
                <w:color w:val="auto"/>
                <w:spacing w:val="2"/>
                <w:szCs w:val="21"/>
                <w:highlight w:val="none"/>
              </w:rPr>
              <w:t>承诺方案各方面基本完善，承诺响应时间及时，承诺提供设备人员能进行开展一般工作，基本应对绝大多数情况；</w:t>
            </w:r>
          </w:p>
          <w:p w14:paraId="61B39FFB">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四档（1</w:t>
            </w:r>
            <w:r>
              <w:rPr>
                <w:rFonts w:hint="eastAsia" w:ascii="宋体" w:hAnsi="宋体" w:cs="宋体"/>
                <w:color w:val="auto"/>
                <w:spacing w:val="2"/>
                <w:szCs w:val="21"/>
                <w:highlight w:val="none"/>
                <w:lang w:val="en-US" w:eastAsia="zh-CN"/>
              </w:rPr>
              <w:t>6</w:t>
            </w:r>
            <w:r>
              <w:rPr>
                <w:rFonts w:hint="eastAsia" w:ascii="宋体" w:hAnsi="宋体" w:cs="宋体"/>
                <w:color w:val="auto"/>
                <w:spacing w:val="2"/>
                <w:szCs w:val="21"/>
                <w:highlight w:val="none"/>
              </w:rPr>
              <w:t>分）：</w:t>
            </w:r>
            <w:r>
              <w:rPr>
                <w:rFonts w:hint="eastAsia" w:ascii="宋体" w:hAnsi="宋体" w:cs="宋体"/>
                <w:color w:val="auto"/>
                <w:spacing w:val="2"/>
                <w:szCs w:val="21"/>
                <w:highlight w:val="none"/>
              </w:rPr>
              <w:t>承诺方案各方面完善，内容详细，可操作性强，承诺服务期间对出现的问题能及时、主动响应，并有专职人员在采购人发出通知后到达指定地点。</w:t>
            </w:r>
          </w:p>
        </w:tc>
      </w:tr>
      <w:tr w14:paraId="276D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33" w:type="dxa"/>
            <w:vMerge w:val="restart"/>
            <w:tcBorders>
              <w:top w:val="single" w:color="auto" w:sz="4" w:space="0"/>
              <w:left w:val="single" w:color="auto" w:sz="4" w:space="0"/>
              <w:right w:val="single" w:color="auto" w:sz="4" w:space="0"/>
            </w:tcBorders>
            <w:vAlign w:val="center"/>
          </w:tcPr>
          <w:p w14:paraId="2C63F3F8">
            <w:pPr>
              <w:snapToGrid w:val="0"/>
              <w:spacing w:line="360" w:lineRule="auto"/>
              <w:ind w:firstLine="214" w:firstLineChars="100"/>
              <w:rPr>
                <w:rFonts w:hint="eastAsia" w:ascii="宋体" w:hAnsi="宋体" w:cs="宋体"/>
                <w:color w:val="auto"/>
                <w:spacing w:val="2"/>
                <w:szCs w:val="21"/>
                <w:highlight w:val="none"/>
              </w:rPr>
            </w:pPr>
            <w:r>
              <w:rPr>
                <w:rFonts w:hint="eastAsia" w:ascii="宋体" w:hAnsi="宋体" w:cs="宋体"/>
                <w:color w:val="auto"/>
                <w:spacing w:val="2"/>
                <w:szCs w:val="21"/>
                <w:highlight w:val="none"/>
              </w:rPr>
              <w:t>3</w:t>
            </w:r>
          </w:p>
        </w:tc>
        <w:tc>
          <w:tcPr>
            <w:tcW w:w="1515" w:type="dxa"/>
            <w:vMerge w:val="restart"/>
            <w:tcBorders>
              <w:top w:val="single" w:color="auto" w:sz="4" w:space="0"/>
              <w:left w:val="single" w:color="auto" w:sz="4" w:space="0"/>
              <w:right w:val="single" w:color="auto" w:sz="4" w:space="0"/>
            </w:tcBorders>
            <w:vAlign w:val="center"/>
          </w:tcPr>
          <w:p w14:paraId="5EA953B7">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商务分 （满分</w:t>
            </w:r>
            <w:r>
              <w:rPr>
                <w:rFonts w:hint="eastAsia" w:ascii="宋体" w:hAnsi="宋体" w:cs="宋体"/>
                <w:color w:val="auto"/>
                <w:spacing w:val="2"/>
                <w:szCs w:val="21"/>
                <w:highlight w:val="none"/>
                <w:lang w:val="en-US" w:eastAsia="zh-CN"/>
              </w:rPr>
              <w:t>13</w:t>
            </w:r>
            <w:r>
              <w:rPr>
                <w:rFonts w:hint="eastAsia" w:ascii="宋体" w:hAnsi="宋体" w:cs="宋体"/>
                <w:color w:val="auto"/>
                <w:spacing w:val="2"/>
                <w:szCs w:val="21"/>
                <w:highlight w:val="none"/>
              </w:rPr>
              <w:t>分）</w:t>
            </w:r>
          </w:p>
        </w:tc>
        <w:tc>
          <w:tcPr>
            <w:tcW w:w="2180" w:type="dxa"/>
            <w:tcBorders>
              <w:top w:val="single" w:color="auto" w:sz="4" w:space="0"/>
              <w:left w:val="single" w:color="auto" w:sz="4" w:space="0"/>
              <w:right w:val="single" w:color="auto" w:sz="4" w:space="0"/>
            </w:tcBorders>
          </w:tcPr>
          <w:p w14:paraId="7ED558E8">
            <w:pPr>
              <w:snapToGrid w:val="0"/>
              <w:spacing w:line="360" w:lineRule="auto"/>
              <w:ind w:firstLine="428" w:firstLineChars="200"/>
              <w:rPr>
                <w:rFonts w:hint="eastAsia" w:ascii="宋体" w:hAnsi="宋体" w:cs="宋体"/>
                <w:color w:val="auto"/>
                <w:spacing w:val="2"/>
                <w:szCs w:val="21"/>
                <w:highlight w:val="none"/>
              </w:rPr>
            </w:pPr>
          </w:p>
          <w:p w14:paraId="7262FFD2">
            <w:pPr>
              <w:snapToGrid w:val="0"/>
              <w:spacing w:line="360" w:lineRule="auto"/>
              <w:ind w:firstLine="428" w:firstLineChars="200"/>
              <w:rPr>
                <w:rFonts w:hint="eastAsia" w:ascii="宋体" w:hAnsi="宋体" w:cs="宋体"/>
                <w:color w:val="auto"/>
                <w:spacing w:val="2"/>
                <w:szCs w:val="21"/>
                <w:highlight w:val="none"/>
              </w:rPr>
            </w:pPr>
          </w:p>
          <w:p w14:paraId="33331A9E">
            <w:pPr>
              <w:snapToGrid w:val="0"/>
              <w:spacing w:line="360" w:lineRule="auto"/>
              <w:rPr>
                <w:rFonts w:hint="eastAsia" w:ascii="宋体" w:hAnsi="宋体" w:cs="宋体"/>
                <w:color w:val="auto"/>
                <w:spacing w:val="2"/>
                <w:szCs w:val="21"/>
                <w:highlight w:val="none"/>
              </w:rPr>
            </w:pPr>
            <w:r>
              <w:rPr>
                <w:rFonts w:hint="eastAsia" w:ascii="宋体" w:hAnsi="宋体" w:cs="宋体"/>
                <w:color w:val="auto"/>
                <w:spacing w:val="2"/>
                <w:szCs w:val="21"/>
                <w:highlight w:val="none"/>
              </w:rPr>
              <w:t>企业业绩（满分5 分）</w:t>
            </w:r>
          </w:p>
        </w:tc>
        <w:tc>
          <w:tcPr>
            <w:tcW w:w="5387" w:type="dxa"/>
            <w:tcBorders>
              <w:top w:val="single" w:color="auto" w:sz="4" w:space="0"/>
              <w:left w:val="single" w:color="auto" w:sz="4" w:space="0"/>
              <w:bottom w:val="single" w:color="auto" w:sz="4" w:space="0"/>
              <w:right w:val="single" w:color="auto" w:sz="4" w:space="0"/>
            </w:tcBorders>
          </w:tcPr>
          <w:p w14:paraId="5FCA3753">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2022年6月1日至今，投标人或所投产品生产厂家承接过政府主管部门或其下属机构农药残胶体金快速检测试剂采购或农药残胶体金快速检测服务等类似项目，提供一份得1分。（本项满分5分）</w:t>
            </w:r>
          </w:p>
          <w:p w14:paraId="2FCDAD9F">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证明材料：提供能体现上述内容的项目清晰可辨的服务(合同)协议（含发票或银行转账证明文件）或中标(成交)通知书复印件并加盖公章，不提供则不得分。</w:t>
            </w:r>
            <w:r>
              <w:rPr>
                <w:rFonts w:hint="eastAsia"/>
                <w:color w:val="auto"/>
                <w:highlight w:val="none"/>
              </w:rPr>
              <w:t>以上材料提供清单汇总表（包括但不限于采购单位、采购合同金额、采购样品或服务名称、采购时间等内容）</w:t>
            </w:r>
            <w:r>
              <w:rPr>
                <w:rFonts w:hint="eastAsia"/>
                <w:color w:val="auto"/>
                <w:highlight w:val="none"/>
                <w:lang w:eastAsia="zh-CN"/>
              </w:rPr>
              <w:t>。</w:t>
            </w:r>
          </w:p>
        </w:tc>
      </w:tr>
      <w:tr w14:paraId="75C8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33" w:type="dxa"/>
            <w:vMerge w:val="continue"/>
            <w:tcBorders>
              <w:left w:val="single" w:color="auto" w:sz="4" w:space="0"/>
              <w:right w:val="single" w:color="auto" w:sz="4" w:space="0"/>
            </w:tcBorders>
            <w:vAlign w:val="center"/>
          </w:tcPr>
          <w:p w14:paraId="344A4DDE">
            <w:pPr>
              <w:snapToGrid w:val="0"/>
              <w:spacing w:line="360" w:lineRule="auto"/>
              <w:ind w:firstLine="214" w:firstLineChars="100"/>
              <w:rPr>
                <w:rFonts w:hint="eastAsia" w:ascii="宋体" w:hAnsi="宋体" w:cs="宋体"/>
                <w:color w:val="auto"/>
                <w:spacing w:val="2"/>
                <w:szCs w:val="21"/>
                <w:highlight w:val="none"/>
              </w:rPr>
            </w:pPr>
          </w:p>
        </w:tc>
        <w:tc>
          <w:tcPr>
            <w:tcW w:w="1515" w:type="dxa"/>
            <w:vMerge w:val="continue"/>
            <w:tcBorders>
              <w:left w:val="single" w:color="auto" w:sz="4" w:space="0"/>
              <w:right w:val="single" w:color="auto" w:sz="4" w:space="0"/>
            </w:tcBorders>
            <w:vAlign w:val="center"/>
          </w:tcPr>
          <w:p w14:paraId="37B35EA1">
            <w:pPr>
              <w:snapToGrid w:val="0"/>
              <w:spacing w:line="360" w:lineRule="auto"/>
              <w:ind w:firstLine="428" w:firstLineChars="200"/>
              <w:rPr>
                <w:rFonts w:hint="eastAsia" w:ascii="宋体" w:hAnsi="宋体" w:cs="宋体"/>
                <w:color w:val="auto"/>
                <w:spacing w:val="2"/>
                <w:szCs w:val="21"/>
                <w:highlight w:val="none"/>
              </w:rPr>
            </w:pPr>
          </w:p>
        </w:tc>
        <w:tc>
          <w:tcPr>
            <w:tcW w:w="2180" w:type="dxa"/>
            <w:tcBorders>
              <w:top w:val="single" w:color="auto" w:sz="4" w:space="0"/>
              <w:left w:val="single" w:color="auto" w:sz="4" w:space="0"/>
              <w:right w:val="single" w:color="auto" w:sz="4" w:space="0"/>
            </w:tcBorders>
            <w:vAlign w:val="center"/>
          </w:tcPr>
          <w:p w14:paraId="276DDCF2">
            <w:pPr>
              <w:snapToGrid w:val="0"/>
              <w:spacing w:line="360" w:lineRule="auto"/>
              <w:jc w:val="center"/>
              <w:rPr>
                <w:rFonts w:hint="eastAsia" w:ascii="宋体" w:hAnsi="宋体" w:cs="宋体"/>
                <w:color w:val="auto"/>
                <w:spacing w:val="2"/>
                <w:szCs w:val="21"/>
                <w:highlight w:val="none"/>
              </w:rPr>
            </w:pPr>
            <w:r>
              <w:rPr>
                <w:rFonts w:hint="eastAsia" w:ascii="宋体" w:hAnsi="宋体" w:cs="宋体"/>
                <w:color w:val="auto"/>
                <w:spacing w:val="2"/>
                <w:szCs w:val="21"/>
                <w:highlight w:val="none"/>
              </w:rPr>
              <w:t>体系认证（满分</w:t>
            </w:r>
            <w:r>
              <w:rPr>
                <w:rFonts w:hint="eastAsia" w:ascii="宋体" w:hAnsi="宋体" w:cs="宋体"/>
                <w:color w:val="auto"/>
                <w:spacing w:val="2"/>
                <w:szCs w:val="21"/>
                <w:highlight w:val="none"/>
                <w:lang w:val="en-US" w:eastAsia="zh-CN"/>
              </w:rPr>
              <w:t>3</w:t>
            </w:r>
            <w:r>
              <w:rPr>
                <w:rFonts w:hint="eastAsia" w:ascii="宋体" w:hAnsi="宋体" w:cs="宋体"/>
                <w:color w:val="auto"/>
                <w:spacing w:val="2"/>
                <w:szCs w:val="21"/>
                <w:highlight w:val="none"/>
              </w:rPr>
              <w:t>分）</w:t>
            </w:r>
          </w:p>
        </w:tc>
        <w:tc>
          <w:tcPr>
            <w:tcW w:w="5387" w:type="dxa"/>
            <w:tcBorders>
              <w:top w:val="single" w:color="auto" w:sz="4" w:space="0"/>
              <w:left w:val="single" w:color="auto" w:sz="4" w:space="0"/>
              <w:bottom w:val="single" w:color="auto" w:sz="4" w:space="0"/>
              <w:right w:val="single" w:color="auto" w:sz="4" w:space="0"/>
            </w:tcBorders>
            <w:vAlign w:val="center"/>
          </w:tcPr>
          <w:p w14:paraId="16D4F006">
            <w:pPr>
              <w:snapToGrid w:val="0"/>
              <w:spacing w:line="360" w:lineRule="auto"/>
              <w:ind w:firstLine="428" w:firstLineChars="200"/>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人或所投产品的生产厂家具有有效的①质量管理体系认证证书②环境管理体系认证证书③职业健康安全管理体系认证证书（提供相应认证证书并加盖公章，投标文件中须同时提供相应认证证书复印件及国家认证认可监督管理委员会的“全国认证认可信息公共服务平台”（http://cx.cnca.cn） 查询结果截图，失效、撤销或暂停的对应证书项不得分），提供1项得1分，总分</w:t>
            </w:r>
            <w:r>
              <w:rPr>
                <w:rFonts w:hint="eastAsia" w:ascii="宋体" w:hAnsi="宋体" w:cs="宋体"/>
                <w:color w:val="auto"/>
                <w:spacing w:val="2"/>
                <w:szCs w:val="21"/>
                <w:highlight w:val="none"/>
                <w:lang w:val="en-US" w:eastAsia="zh-CN"/>
              </w:rPr>
              <w:t>3</w:t>
            </w:r>
            <w:r>
              <w:rPr>
                <w:rFonts w:hint="eastAsia" w:ascii="宋体" w:hAnsi="宋体" w:cs="宋体"/>
                <w:color w:val="auto"/>
                <w:spacing w:val="2"/>
                <w:szCs w:val="21"/>
                <w:highlight w:val="none"/>
              </w:rPr>
              <w:t>分，不提供则不得分。</w:t>
            </w:r>
            <w:r>
              <w:rPr>
                <w:rFonts w:hint="eastAsia"/>
                <w:color w:val="auto"/>
                <w:highlight w:val="none"/>
              </w:rPr>
              <w:t>以上材料提供清单汇总表（包括但不限于证书名称、证书编号、认证机构、认证时间、有效期、认证范围等内容）</w:t>
            </w:r>
            <w:r>
              <w:rPr>
                <w:rFonts w:hint="eastAsia"/>
                <w:color w:val="auto"/>
                <w:highlight w:val="none"/>
                <w:lang w:eastAsia="zh-CN"/>
              </w:rPr>
              <w:t>。</w:t>
            </w:r>
            <w:r>
              <w:rPr>
                <w:rFonts w:hint="eastAsia" w:ascii="宋体" w:hAnsi="宋体" w:cs="宋体"/>
                <w:color w:val="auto"/>
                <w:spacing w:val="2"/>
                <w:szCs w:val="21"/>
                <w:highlight w:val="none"/>
              </w:rPr>
              <w:t xml:space="preserve"> </w:t>
            </w:r>
          </w:p>
        </w:tc>
      </w:tr>
      <w:tr w14:paraId="448C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33" w:type="dxa"/>
            <w:vMerge w:val="continue"/>
            <w:tcBorders>
              <w:left w:val="single" w:color="auto" w:sz="4" w:space="0"/>
              <w:bottom w:val="single" w:color="auto" w:sz="4" w:space="0"/>
              <w:right w:val="single" w:color="auto" w:sz="4" w:space="0"/>
            </w:tcBorders>
            <w:vAlign w:val="center"/>
          </w:tcPr>
          <w:p w14:paraId="7BD5ED27">
            <w:pPr>
              <w:snapToGrid w:val="0"/>
              <w:spacing w:line="360" w:lineRule="auto"/>
              <w:ind w:firstLine="214" w:firstLineChars="100"/>
              <w:rPr>
                <w:rFonts w:hint="eastAsia" w:ascii="宋体" w:hAnsi="宋体" w:cs="宋体"/>
                <w:color w:val="auto"/>
                <w:spacing w:val="2"/>
                <w:szCs w:val="21"/>
                <w:highlight w:val="none"/>
              </w:rPr>
            </w:pPr>
          </w:p>
        </w:tc>
        <w:tc>
          <w:tcPr>
            <w:tcW w:w="1515" w:type="dxa"/>
            <w:vMerge w:val="continue"/>
            <w:tcBorders>
              <w:left w:val="single" w:color="auto" w:sz="4" w:space="0"/>
              <w:bottom w:val="single" w:color="auto" w:sz="4" w:space="0"/>
              <w:right w:val="single" w:color="auto" w:sz="4" w:space="0"/>
            </w:tcBorders>
            <w:vAlign w:val="center"/>
          </w:tcPr>
          <w:p w14:paraId="6049BBFC">
            <w:pPr>
              <w:snapToGrid w:val="0"/>
              <w:spacing w:line="360" w:lineRule="auto"/>
              <w:ind w:firstLine="428" w:firstLineChars="200"/>
              <w:rPr>
                <w:rFonts w:hint="eastAsia" w:ascii="宋体" w:hAnsi="宋体" w:cs="宋体"/>
                <w:color w:val="auto"/>
                <w:spacing w:val="2"/>
                <w:szCs w:val="21"/>
                <w:highlight w:val="none"/>
              </w:rPr>
            </w:pPr>
          </w:p>
        </w:tc>
        <w:tc>
          <w:tcPr>
            <w:tcW w:w="2180" w:type="dxa"/>
            <w:tcBorders>
              <w:top w:val="single" w:color="auto" w:sz="4" w:space="0"/>
              <w:left w:val="single" w:color="auto" w:sz="4" w:space="0"/>
              <w:right w:val="single" w:color="auto" w:sz="4" w:space="0"/>
            </w:tcBorders>
            <w:vAlign w:val="center"/>
          </w:tcPr>
          <w:p w14:paraId="16F46F7F">
            <w:pPr>
              <w:snapToGrid w:val="0"/>
              <w:spacing w:line="360" w:lineRule="auto"/>
              <w:jc w:val="center"/>
              <w:rPr>
                <w:rFonts w:hint="eastAsia" w:ascii="宋体" w:hAnsi="宋体" w:cs="宋体"/>
                <w:color w:val="auto"/>
                <w:spacing w:val="2"/>
                <w:szCs w:val="21"/>
                <w:highlight w:val="none"/>
              </w:rPr>
            </w:pPr>
            <w:r>
              <w:rPr>
                <w:rFonts w:hint="eastAsia" w:ascii="宋体" w:hAnsi="宋体" w:cs="宋体"/>
                <w:color w:val="auto"/>
                <w:spacing w:val="2"/>
                <w:szCs w:val="21"/>
                <w:highlight w:val="none"/>
              </w:rPr>
              <w:t>知识产权（满分5分）</w:t>
            </w:r>
          </w:p>
        </w:tc>
        <w:tc>
          <w:tcPr>
            <w:tcW w:w="5387" w:type="dxa"/>
            <w:tcBorders>
              <w:top w:val="single" w:color="auto" w:sz="4" w:space="0"/>
              <w:left w:val="single" w:color="auto" w:sz="4" w:space="0"/>
              <w:bottom w:val="single" w:color="auto" w:sz="4" w:space="0"/>
              <w:right w:val="single" w:color="auto" w:sz="4" w:space="0"/>
            </w:tcBorders>
          </w:tcPr>
          <w:p w14:paraId="3FF31FA7">
            <w:pPr>
              <w:snapToGrid w:val="0"/>
              <w:spacing w:line="360" w:lineRule="auto"/>
              <w:ind w:firstLine="428" w:firstLineChars="200"/>
              <w:rPr>
                <w:rFonts w:hint="eastAsia" w:ascii="宋体" w:hAnsi="宋体" w:eastAsia="宋体" w:cs="宋体"/>
                <w:color w:val="auto"/>
                <w:spacing w:val="2"/>
                <w:szCs w:val="21"/>
                <w:highlight w:val="none"/>
                <w:lang w:val="en-US" w:eastAsia="zh-CN"/>
              </w:rPr>
            </w:pPr>
            <w:r>
              <w:rPr>
                <w:rFonts w:hint="eastAsia" w:ascii="宋体" w:hAnsi="宋体" w:cs="宋体"/>
                <w:color w:val="auto"/>
                <w:spacing w:val="2"/>
                <w:szCs w:val="21"/>
                <w:highlight w:val="none"/>
              </w:rPr>
              <w:t>投标人或所投产品生产厂家投入（或拟投入）本项目</w:t>
            </w:r>
            <w:r>
              <w:rPr>
                <w:rFonts w:hint="eastAsia" w:ascii="宋体" w:hAnsi="宋体" w:cs="宋体"/>
                <w:color w:val="auto"/>
                <w:spacing w:val="2"/>
                <w:szCs w:val="21"/>
                <w:highlight w:val="none"/>
                <w:lang w:val="en-US" w:eastAsia="zh-CN"/>
              </w:rPr>
              <w:t>包括但不限于</w:t>
            </w:r>
            <w:r>
              <w:rPr>
                <w:rFonts w:hint="eastAsia" w:ascii="宋体" w:hAnsi="宋体" w:cs="宋体"/>
                <w:color w:val="auto"/>
                <w:spacing w:val="2"/>
                <w:szCs w:val="21"/>
                <w:highlight w:val="none"/>
              </w:rPr>
              <w:t>数据采集管理</w:t>
            </w:r>
            <w:r>
              <w:rPr>
                <w:rFonts w:hint="eastAsia" w:ascii="宋体" w:hAnsi="宋体" w:cs="宋体"/>
                <w:color w:val="auto"/>
                <w:spacing w:val="2"/>
                <w:szCs w:val="21"/>
                <w:highlight w:val="none"/>
                <w:lang w:eastAsia="zh-CN"/>
              </w:rPr>
              <w:t>、</w:t>
            </w:r>
            <w:r>
              <w:rPr>
                <w:rFonts w:hint="eastAsia" w:ascii="宋体" w:hAnsi="宋体" w:cs="宋体"/>
                <w:color w:val="auto"/>
                <w:spacing w:val="2"/>
                <w:szCs w:val="21"/>
                <w:highlight w:val="none"/>
                <w:lang w:val="en-US" w:eastAsia="zh-CN"/>
              </w:rPr>
              <w:t>抽样、检测等与本项目</w:t>
            </w:r>
            <w:r>
              <w:rPr>
                <w:rFonts w:hint="eastAsia" w:ascii="宋体" w:hAnsi="宋体" w:cs="宋体"/>
                <w:color w:val="auto"/>
                <w:spacing w:val="2"/>
                <w:szCs w:val="21"/>
                <w:highlight w:val="none"/>
              </w:rPr>
              <w:t>相关的软件，</w:t>
            </w:r>
            <w:r>
              <w:rPr>
                <w:rFonts w:hint="eastAsia" w:ascii="宋体" w:hAnsi="宋体" w:cs="宋体"/>
                <w:color w:val="auto"/>
                <w:spacing w:val="2"/>
                <w:szCs w:val="21"/>
                <w:highlight w:val="none"/>
              </w:rPr>
              <w:t>每提供1项相关证明材料得</w:t>
            </w:r>
            <w:r>
              <w:rPr>
                <w:rFonts w:hint="eastAsia" w:ascii="宋体" w:hAnsi="宋体" w:cs="宋体"/>
                <w:color w:val="auto"/>
                <w:spacing w:val="2"/>
                <w:szCs w:val="21"/>
                <w:highlight w:val="none"/>
                <w:lang w:val="en-US" w:eastAsia="zh-CN"/>
              </w:rPr>
              <w:t>1</w:t>
            </w:r>
            <w:r>
              <w:rPr>
                <w:rFonts w:hint="eastAsia" w:ascii="宋体" w:hAnsi="宋体" w:cs="宋体"/>
                <w:color w:val="auto"/>
                <w:spacing w:val="2"/>
                <w:szCs w:val="21"/>
                <w:highlight w:val="none"/>
              </w:rPr>
              <w:t>分，满分5分，不提供不得分。</w:t>
            </w:r>
            <w:r>
              <w:rPr>
                <w:rFonts w:hint="eastAsia"/>
                <w:color w:val="auto"/>
                <w:highlight w:val="none"/>
              </w:rPr>
              <w:t>以上材料提供清单汇总表（包括但不限于</w:t>
            </w:r>
            <w:r>
              <w:rPr>
                <w:rFonts w:hint="eastAsia"/>
                <w:color w:val="auto"/>
                <w:highlight w:val="none"/>
                <w:lang w:val="en-US" w:eastAsia="zh-CN"/>
              </w:rPr>
              <w:t>软件</w:t>
            </w:r>
            <w:r>
              <w:rPr>
                <w:rFonts w:hint="eastAsia"/>
                <w:color w:val="auto"/>
                <w:highlight w:val="none"/>
              </w:rPr>
              <w:t>名称</w:t>
            </w:r>
            <w:r>
              <w:rPr>
                <w:rFonts w:hint="eastAsia"/>
                <w:color w:val="auto"/>
                <w:highlight w:val="none"/>
                <w:lang w:eastAsia="zh-CN"/>
              </w:rPr>
              <w:t>、</w:t>
            </w:r>
            <w:r>
              <w:rPr>
                <w:rFonts w:hint="eastAsia"/>
                <w:color w:val="auto"/>
                <w:highlight w:val="none"/>
                <w:lang w:val="en-US" w:eastAsia="zh-CN"/>
              </w:rPr>
              <w:t>主要功能</w:t>
            </w:r>
            <w:r>
              <w:rPr>
                <w:rFonts w:hint="eastAsia"/>
                <w:color w:val="auto"/>
                <w:highlight w:val="none"/>
              </w:rPr>
              <w:t>等）</w:t>
            </w:r>
            <w:r>
              <w:rPr>
                <w:rFonts w:hint="eastAsia"/>
                <w:color w:val="auto"/>
                <w:highlight w:val="none"/>
                <w:lang w:eastAsia="zh-CN"/>
              </w:rPr>
              <w:t>。</w:t>
            </w:r>
            <w:r>
              <w:rPr>
                <w:rFonts w:hint="eastAsia" w:ascii="宋体" w:hAnsi="宋体" w:cs="宋体"/>
                <w:color w:val="auto"/>
                <w:spacing w:val="2"/>
                <w:szCs w:val="21"/>
                <w:highlight w:val="none"/>
                <w:lang w:val="en-US" w:eastAsia="zh-CN"/>
              </w:rPr>
              <w:t xml:space="preserve"> </w:t>
            </w:r>
          </w:p>
        </w:tc>
      </w:tr>
      <w:tr w14:paraId="3CDE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15" w:type="dxa"/>
            <w:gridSpan w:val="4"/>
            <w:tcBorders>
              <w:top w:val="single" w:color="auto" w:sz="4" w:space="0"/>
              <w:left w:val="single" w:color="auto" w:sz="4" w:space="0"/>
              <w:bottom w:val="single" w:color="auto" w:sz="4" w:space="0"/>
              <w:right w:val="single" w:color="auto" w:sz="4" w:space="0"/>
            </w:tcBorders>
            <w:vAlign w:val="center"/>
          </w:tcPr>
          <w:p w14:paraId="6AAACCE4">
            <w:pPr>
              <w:snapToGrid w:val="0"/>
              <w:spacing w:line="360" w:lineRule="auto"/>
              <w:ind w:firstLine="428" w:firstLineChars="200"/>
              <w:rPr>
                <w:rFonts w:hint="eastAsia" w:ascii="宋体" w:hAnsi="宋体" w:cs="宋体"/>
                <w:color w:val="auto"/>
                <w:spacing w:val="2"/>
                <w:szCs w:val="21"/>
                <w:highlight w:val="none"/>
              </w:rPr>
            </w:pPr>
            <w:r>
              <w:rPr>
                <w:rFonts w:hint="eastAsia" w:ascii="宋体" w:hAnsi="宋体" w:cs="宋体"/>
                <w:color w:val="auto"/>
                <w:spacing w:val="2"/>
                <w:szCs w:val="21"/>
                <w:highlight w:val="none"/>
              </w:rPr>
              <w:t xml:space="preserve">总得分=1+2+3                                       </w:t>
            </w:r>
          </w:p>
        </w:tc>
      </w:tr>
      <w:bookmarkEnd w:id="133"/>
    </w:tbl>
    <w:p w14:paraId="472C0E6A">
      <w:pPr>
        <w:pStyle w:val="4"/>
        <w:keepNext w:val="0"/>
        <w:keepLines w:val="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四、中标候选人推荐原则</w:t>
      </w:r>
    </w:p>
    <w:p w14:paraId="53F62C0D">
      <w:pPr>
        <w:pStyle w:val="32"/>
        <w:jc w:val="center"/>
        <w:rPr>
          <w:rFonts w:hint="eastAsia" w:hAnsi="宋体" w:cs="宋体"/>
          <w:color w:val="auto"/>
          <w:sz w:val="30"/>
          <w:szCs w:val="30"/>
          <w:highlight w:val="none"/>
        </w:rPr>
      </w:pPr>
      <w:r>
        <w:rPr>
          <w:rFonts w:hint="eastAsia" w:hAnsi="宋体" w:cs="宋体"/>
          <w:color w:val="auto"/>
          <w:sz w:val="30"/>
          <w:szCs w:val="30"/>
          <w:highlight w:val="none"/>
        </w:rPr>
        <w:t>综合评分法</w:t>
      </w:r>
    </w:p>
    <w:p w14:paraId="0F1CD4D0">
      <w:pPr>
        <w:pStyle w:val="32"/>
        <w:spacing w:line="360" w:lineRule="auto"/>
        <w:ind w:firstLine="456" w:firstLineChars="200"/>
        <w:rPr>
          <w:rFonts w:hint="eastAsia" w:hAnsi="宋体" w:cs="宋体"/>
          <w:color w:val="auto"/>
          <w:sz w:val="24"/>
          <w:szCs w:val="24"/>
          <w:highlight w:val="none"/>
        </w:rPr>
      </w:pPr>
      <w:r>
        <w:rPr>
          <w:rFonts w:hint="eastAsia" w:hAnsi="宋体" w:cs="宋体"/>
          <w:color w:val="auto"/>
          <w:sz w:val="24"/>
          <w:szCs w:val="24"/>
          <w:highlight w:val="none"/>
        </w:rPr>
        <w:t>1.评标委员会根据原始评标记录和评标结果编写评标报告，并通过电子交易平台向采购人、采购代理机构提交。</w:t>
      </w:r>
    </w:p>
    <w:p w14:paraId="18A6D096">
      <w:pPr>
        <w:pStyle w:val="32"/>
        <w:spacing w:line="360" w:lineRule="auto"/>
        <w:ind w:firstLine="456" w:firstLineChars="200"/>
        <w:rPr>
          <w:rFonts w:hint="eastAsia" w:hAnsi="宋体" w:cs="宋体"/>
          <w:color w:val="auto"/>
          <w:sz w:val="24"/>
          <w:szCs w:val="24"/>
          <w:highlight w:val="none"/>
        </w:rPr>
      </w:pPr>
      <w:r>
        <w:rPr>
          <w:rFonts w:hint="eastAsia" w:hAnsi="宋体" w:cs="宋体"/>
          <w:color w:val="auto"/>
          <w:sz w:val="24"/>
          <w:szCs w:val="24"/>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11D7F934">
      <w:pPr>
        <w:pStyle w:val="32"/>
        <w:spacing w:line="360" w:lineRule="auto"/>
        <w:ind w:firstLine="456" w:firstLineChars="200"/>
        <w:rPr>
          <w:rFonts w:hint="eastAsia" w:hAnsi="宋体" w:cs="宋体"/>
          <w:color w:val="auto"/>
          <w:sz w:val="24"/>
          <w:szCs w:val="24"/>
          <w:highlight w:val="none"/>
        </w:rPr>
      </w:pPr>
      <w:r>
        <w:rPr>
          <w:rFonts w:hint="eastAsia" w:hAnsi="宋体" w:cs="宋体"/>
          <w:color w:val="auto"/>
          <w:sz w:val="24"/>
          <w:szCs w:val="24"/>
          <w:highlight w:val="none"/>
        </w:rPr>
        <w:t>说明：投标人可以对所有分标进行投标，也可以选择某个分标或某几个分标进行投标并报价。为保证履约质量，一个投标人只能中 A、B、C、D分标其中一个分标。评标/中标顺序按 A→B→C→D分标顺推。(即中A分标后不能再中 B、C、D分标；中B分标后不能再中 C、D分标，中C分标后不能再中 D分标，以此类推)。采购人应当按评审委员会推荐的排名顺序，按前述原则确定中标候选人作为中标人。总得分相同的，以投标报价由低到高顺序排列。得分相同且投标报价相同的并列，按依次按项目服务方案得分高者优先、检测能力得分高者优先、质量控制及应急能力得分高者优先、项目抽样和制样方案得分高者优先、投入项目的人员得分高者优先、商务分得分高者优先的顺序排列为排名第一的中标候选人。</w:t>
      </w:r>
      <w:r>
        <w:rPr>
          <w:rFonts w:hint="eastAsia" w:hAnsi="宋体" w:cs="宋体"/>
          <w:color w:val="auto"/>
          <w:sz w:val="24"/>
          <w:szCs w:val="24"/>
          <w:highlight w:val="none"/>
        </w:rPr>
        <w:br w:type="page"/>
      </w:r>
    </w:p>
    <w:p w14:paraId="029F9993">
      <w:pPr>
        <w:spacing w:before="120" w:beforeLines="50" w:after="120" w:afterLines="50" w:line="400" w:lineRule="exact"/>
        <w:rPr>
          <w:rFonts w:hint="eastAsia" w:ascii="宋体" w:hAnsi="宋体" w:cs="宋体"/>
          <w:b/>
          <w:color w:val="auto"/>
          <w:sz w:val="24"/>
          <w:highlight w:val="none"/>
        </w:rPr>
      </w:pPr>
    </w:p>
    <w:p w14:paraId="3CE186C5">
      <w:pPr>
        <w:spacing w:before="120" w:beforeLines="50" w:after="120" w:afterLines="50" w:line="400" w:lineRule="exact"/>
        <w:rPr>
          <w:rFonts w:hint="eastAsia" w:ascii="宋体" w:hAnsi="宋体" w:cs="宋体"/>
          <w:b/>
          <w:color w:val="auto"/>
          <w:sz w:val="24"/>
          <w:highlight w:val="none"/>
        </w:rPr>
      </w:pPr>
    </w:p>
    <w:p w14:paraId="25579B07">
      <w:pPr>
        <w:spacing w:before="120" w:beforeLines="50" w:after="120" w:afterLines="50" w:line="400" w:lineRule="exact"/>
        <w:rPr>
          <w:rFonts w:hint="eastAsia" w:ascii="宋体" w:hAnsi="宋体" w:cs="宋体"/>
          <w:b/>
          <w:color w:val="auto"/>
          <w:sz w:val="24"/>
          <w:highlight w:val="none"/>
        </w:rPr>
      </w:pPr>
    </w:p>
    <w:p w14:paraId="3C9913D3">
      <w:pPr>
        <w:spacing w:before="120" w:beforeLines="50" w:after="120" w:afterLines="50" w:line="400" w:lineRule="exact"/>
        <w:rPr>
          <w:rFonts w:hint="eastAsia" w:ascii="宋体" w:hAnsi="宋体" w:cs="宋体"/>
          <w:b/>
          <w:color w:val="auto"/>
          <w:sz w:val="24"/>
          <w:highlight w:val="none"/>
        </w:rPr>
      </w:pPr>
    </w:p>
    <w:p w14:paraId="43E374EA">
      <w:pPr>
        <w:spacing w:before="120" w:beforeLines="50" w:after="120" w:afterLines="50" w:line="400" w:lineRule="exact"/>
        <w:rPr>
          <w:rFonts w:hint="eastAsia" w:ascii="宋体" w:hAnsi="宋体" w:cs="宋体"/>
          <w:b/>
          <w:color w:val="auto"/>
          <w:sz w:val="24"/>
          <w:highlight w:val="none"/>
        </w:rPr>
      </w:pPr>
    </w:p>
    <w:p w14:paraId="0D935630">
      <w:pPr>
        <w:spacing w:before="120" w:beforeLines="50" w:after="120" w:afterLines="50" w:line="400" w:lineRule="exact"/>
        <w:rPr>
          <w:rFonts w:hint="eastAsia" w:ascii="宋体" w:hAnsi="宋体" w:cs="宋体"/>
          <w:b/>
          <w:color w:val="auto"/>
          <w:sz w:val="24"/>
          <w:highlight w:val="none"/>
        </w:rPr>
      </w:pPr>
    </w:p>
    <w:p w14:paraId="11EF9692">
      <w:pPr>
        <w:spacing w:before="120" w:beforeLines="50" w:after="120" w:afterLines="50" w:line="400" w:lineRule="exact"/>
        <w:rPr>
          <w:rFonts w:hint="eastAsia" w:ascii="宋体" w:hAnsi="宋体" w:cs="宋体"/>
          <w:b/>
          <w:color w:val="auto"/>
          <w:sz w:val="24"/>
          <w:highlight w:val="none"/>
        </w:rPr>
      </w:pPr>
    </w:p>
    <w:p w14:paraId="32F2AA95">
      <w:pPr>
        <w:pStyle w:val="2"/>
        <w:jc w:val="center"/>
        <w:rPr>
          <w:rFonts w:hint="eastAsia" w:ascii="宋体" w:hAnsi="宋体" w:cs="宋体"/>
          <w:color w:val="auto"/>
          <w:highlight w:val="none"/>
        </w:rPr>
      </w:pPr>
      <w:bookmarkStart w:id="134" w:name="_Toc6945"/>
      <w:bookmarkStart w:id="135" w:name="_Toc28267"/>
      <w:r>
        <w:rPr>
          <w:rFonts w:hint="eastAsia" w:ascii="宋体" w:hAnsi="宋体" w:cs="宋体"/>
          <w:color w:val="auto"/>
          <w:highlight w:val="none"/>
        </w:rPr>
        <w:t>第五章  拟签订的合同文本</w:t>
      </w:r>
      <w:bookmarkEnd w:id="134"/>
      <w:bookmarkEnd w:id="135"/>
    </w:p>
    <w:p w14:paraId="483C293C">
      <w:pPr>
        <w:snapToGrid w:val="0"/>
        <w:jc w:val="center"/>
        <w:rPr>
          <w:rFonts w:hint="eastAsia" w:ascii="宋体" w:hAnsi="宋体" w:cs="宋体"/>
          <w:bCs/>
          <w:color w:val="auto"/>
          <w:sz w:val="32"/>
          <w:szCs w:val="32"/>
          <w:highlight w:val="none"/>
        </w:rPr>
      </w:pPr>
    </w:p>
    <w:p w14:paraId="0700FA2D">
      <w:pPr>
        <w:snapToGrid w:val="0"/>
        <w:jc w:val="center"/>
        <w:rPr>
          <w:rFonts w:hint="eastAsia" w:ascii="宋体" w:hAnsi="宋体" w:cs="宋体"/>
          <w:bCs/>
          <w:color w:val="auto"/>
          <w:sz w:val="32"/>
          <w:szCs w:val="32"/>
          <w:highlight w:val="none"/>
        </w:rPr>
      </w:pPr>
    </w:p>
    <w:p w14:paraId="1081087D">
      <w:pPr>
        <w:snapToGrid w:val="0"/>
        <w:jc w:val="center"/>
        <w:rPr>
          <w:rFonts w:hint="eastAsia" w:ascii="宋体" w:hAnsi="宋体" w:cs="宋体"/>
          <w:bCs/>
          <w:color w:val="auto"/>
          <w:sz w:val="32"/>
          <w:szCs w:val="32"/>
          <w:highlight w:val="none"/>
        </w:rPr>
      </w:pPr>
    </w:p>
    <w:p w14:paraId="40C04BC7">
      <w:pPr>
        <w:snapToGrid w:val="0"/>
        <w:jc w:val="center"/>
        <w:rPr>
          <w:rFonts w:hint="eastAsia" w:ascii="宋体" w:hAnsi="宋体" w:cs="宋体"/>
          <w:bCs/>
          <w:color w:val="auto"/>
          <w:sz w:val="32"/>
          <w:szCs w:val="32"/>
          <w:highlight w:val="none"/>
        </w:rPr>
      </w:pPr>
    </w:p>
    <w:p w14:paraId="0B9680E8">
      <w:pPr>
        <w:snapToGrid w:val="0"/>
        <w:jc w:val="center"/>
        <w:rPr>
          <w:rFonts w:hint="eastAsia" w:ascii="宋体" w:hAnsi="宋体" w:cs="宋体"/>
          <w:bCs/>
          <w:color w:val="auto"/>
          <w:sz w:val="32"/>
          <w:szCs w:val="32"/>
          <w:highlight w:val="none"/>
        </w:rPr>
      </w:pPr>
    </w:p>
    <w:p w14:paraId="5C3F11CA">
      <w:pPr>
        <w:snapToGrid w:val="0"/>
        <w:jc w:val="center"/>
        <w:rPr>
          <w:rFonts w:hint="eastAsia" w:ascii="宋体" w:hAnsi="宋体" w:cs="宋体"/>
          <w:bCs/>
          <w:color w:val="auto"/>
          <w:sz w:val="32"/>
          <w:szCs w:val="32"/>
          <w:highlight w:val="none"/>
        </w:rPr>
      </w:pPr>
    </w:p>
    <w:p w14:paraId="710295F6">
      <w:pPr>
        <w:snapToGrid w:val="0"/>
        <w:jc w:val="center"/>
        <w:rPr>
          <w:rFonts w:hint="eastAsia" w:ascii="宋体" w:hAnsi="宋体" w:cs="宋体"/>
          <w:bCs/>
          <w:color w:val="auto"/>
          <w:sz w:val="32"/>
          <w:szCs w:val="32"/>
          <w:highlight w:val="none"/>
        </w:rPr>
      </w:pPr>
    </w:p>
    <w:p w14:paraId="6B3406A2">
      <w:pPr>
        <w:snapToGrid w:val="0"/>
        <w:jc w:val="center"/>
        <w:rPr>
          <w:rFonts w:hint="eastAsia" w:ascii="宋体" w:hAnsi="宋体" w:cs="宋体"/>
          <w:bCs/>
          <w:color w:val="auto"/>
          <w:sz w:val="32"/>
          <w:szCs w:val="32"/>
          <w:highlight w:val="none"/>
        </w:rPr>
      </w:pPr>
    </w:p>
    <w:p w14:paraId="703D0371">
      <w:pPr>
        <w:snapToGrid w:val="0"/>
        <w:jc w:val="center"/>
        <w:rPr>
          <w:rFonts w:hint="eastAsia" w:ascii="宋体" w:hAnsi="宋体" w:cs="宋体"/>
          <w:bCs/>
          <w:color w:val="auto"/>
          <w:sz w:val="32"/>
          <w:szCs w:val="32"/>
          <w:highlight w:val="none"/>
        </w:rPr>
      </w:pPr>
    </w:p>
    <w:p w14:paraId="681234BC">
      <w:pPr>
        <w:snapToGrid w:val="0"/>
        <w:jc w:val="center"/>
        <w:rPr>
          <w:rFonts w:hint="eastAsia" w:ascii="宋体" w:hAnsi="宋体" w:cs="宋体"/>
          <w:bCs/>
          <w:color w:val="auto"/>
          <w:sz w:val="32"/>
          <w:szCs w:val="32"/>
          <w:highlight w:val="none"/>
        </w:rPr>
      </w:pPr>
    </w:p>
    <w:p w14:paraId="09647B0B">
      <w:pPr>
        <w:snapToGrid w:val="0"/>
        <w:jc w:val="center"/>
        <w:rPr>
          <w:rFonts w:hint="eastAsia" w:ascii="宋体" w:hAnsi="宋体" w:cs="宋体"/>
          <w:bCs/>
          <w:color w:val="auto"/>
          <w:sz w:val="32"/>
          <w:szCs w:val="32"/>
          <w:highlight w:val="none"/>
        </w:rPr>
      </w:pPr>
    </w:p>
    <w:p w14:paraId="51B8EBA0">
      <w:pPr>
        <w:snapToGrid w:val="0"/>
        <w:jc w:val="center"/>
        <w:rPr>
          <w:rFonts w:hint="eastAsia" w:ascii="宋体" w:hAnsi="宋体" w:cs="宋体"/>
          <w:bCs/>
          <w:color w:val="auto"/>
          <w:sz w:val="32"/>
          <w:szCs w:val="32"/>
          <w:highlight w:val="none"/>
        </w:rPr>
      </w:pPr>
    </w:p>
    <w:p w14:paraId="40153522">
      <w:pPr>
        <w:snapToGrid w:val="0"/>
        <w:jc w:val="center"/>
        <w:rPr>
          <w:rFonts w:hint="eastAsia" w:ascii="宋体" w:hAnsi="宋体" w:cs="宋体"/>
          <w:bCs/>
          <w:color w:val="auto"/>
          <w:sz w:val="32"/>
          <w:szCs w:val="32"/>
          <w:highlight w:val="none"/>
        </w:rPr>
      </w:pPr>
    </w:p>
    <w:p w14:paraId="226F6FA2">
      <w:pPr>
        <w:snapToGrid w:val="0"/>
        <w:jc w:val="center"/>
        <w:rPr>
          <w:rFonts w:hint="eastAsia" w:ascii="宋体" w:hAnsi="宋体" w:cs="宋体"/>
          <w:bCs/>
          <w:color w:val="auto"/>
          <w:sz w:val="32"/>
          <w:szCs w:val="32"/>
          <w:highlight w:val="none"/>
        </w:rPr>
      </w:pPr>
    </w:p>
    <w:p w14:paraId="47AA5D0E">
      <w:pPr>
        <w:snapToGrid w:val="0"/>
        <w:jc w:val="center"/>
        <w:rPr>
          <w:rFonts w:hint="eastAsia" w:ascii="宋体" w:hAnsi="宋体" w:cs="宋体"/>
          <w:bCs/>
          <w:color w:val="auto"/>
          <w:sz w:val="32"/>
          <w:szCs w:val="32"/>
          <w:highlight w:val="none"/>
        </w:rPr>
      </w:pPr>
    </w:p>
    <w:p w14:paraId="535774F8">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0ADB2F52">
      <w:pPr>
        <w:snapToGrid w:val="0"/>
        <w:spacing w:line="480" w:lineRule="auto"/>
        <w:ind w:left="5880" w:hanging="5880" w:hangingChars="2800"/>
        <w:rPr>
          <w:rFonts w:hint="eastAsia" w:ascii="宋体" w:hAnsi="宋体" w:cs="宋体"/>
          <w:color w:val="auto"/>
          <w:szCs w:val="21"/>
          <w:highlight w:val="non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广西壮族自治区农业农村厅</w:t>
      </w:r>
      <w:r>
        <w:rPr>
          <w:rFonts w:hint="eastAsia" w:ascii="宋体" w:hAnsi="宋体" w:cs="宋体"/>
          <w:color w:val="auto"/>
          <w:szCs w:val="21"/>
          <w:highlight w:val="none"/>
        </w:rPr>
        <w:t xml:space="preserve">         </w:t>
      </w:r>
    </w:p>
    <w:p w14:paraId="2CCCAF67">
      <w:pPr>
        <w:snapToGrid w:val="0"/>
        <w:spacing w:line="48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供 应 商（乙方） </w:t>
      </w:r>
      <w:r>
        <w:rPr>
          <w:rFonts w:hint="eastAsia" w:ascii="宋体" w:hAnsi="宋体" w:cs="宋体"/>
          <w:color w:val="auto"/>
          <w:szCs w:val="21"/>
          <w:highlight w:val="none"/>
          <w:u w:val="single"/>
        </w:rPr>
        <w:t xml:space="preserve">                       </w:t>
      </w:r>
    </w:p>
    <w:p w14:paraId="2E015EF7">
      <w:pPr>
        <w:snapToGrid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 xml:space="preserve">项目名称：    </w:t>
      </w:r>
    </w:p>
    <w:p w14:paraId="29E591D9">
      <w:pPr>
        <w:snapToGrid w:val="0"/>
        <w:spacing w:line="48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项目编号：</w:t>
      </w:r>
    </w:p>
    <w:p w14:paraId="60791192">
      <w:pPr>
        <w:snapToGrid w:val="0"/>
        <w:spacing w:line="48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签订地点：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签订时间：2025年     月     日</w:t>
      </w:r>
    </w:p>
    <w:p w14:paraId="735A40CD">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根据《中华人民共和国政府采购法》、《中华人民共和国民法典》等法律、法规规定，按照招投标（采购文件）规定条款和中标人承诺，甲乙双方签订本合同。</w:t>
      </w:r>
    </w:p>
    <w:p w14:paraId="168E08F1">
      <w:pPr>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67D85655">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1、提供项目（服务）一览表</w:t>
      </w:r>
    </w:p>
    <w:tbl>
      <w:tblPr>
        <w:tblStyle w:val="6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230"/>
        <w:gridCol w:w="1483"/>
        <w:gridCol w:w="1339"/>
        <w:gridCol w:w="1815"/>
        <w:gridCol w:w="2236"/>
      </w:tblGrid>
      <w:tr w14:paraId="0435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80" w:type="dxa"/>
            <w:vAlign w:val="center"/>
          </w:tcPr>
          <w:p w14:paraId="5B06856B">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2230" w:type="dxa"/>
            <w:vAlign w:val="center"/>
          </w:tcPr>
          <w:p w14:paraId="51FF86E8">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1483" w:type="dxa"/>
            <w:vAlign w:val="center"/>
          </w:tcPr>
          <w:p w14:paraId="301E98C5">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39" w:type="dxa"/>
            <w:vAlign w:val="center"/>
          </w:tcPr>
          <w:p w14:paraId="76873FE4">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815" w:type="dxa"/>
            <w:vAlign w:val="center"/>
          </w:tcPr>
          <w:p w14:paraId="3ADAA9F7">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2236" w:type="dxa"/>
            <w:vAlign w:val="center"/>
          </w:tcPr>
          <w:p w14:paraId="5B3A6D92">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单项合计（元）</w:t>
            </w:r>
          </w:p>
        </w:tc>
      </w:tr>
      <w:tr w14:paraId="50A6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80" w:type="dxa"/>
            <w:vAlign w:val="center"/>
          </w:tcPr>
          <w:p w14:paraId="7A9013BC">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30" w:type="dxa"/>
            <w:vAlign w:val="center"/>
          </w:tcPr>
          <w:p w14:paraId="19ED6524">
            <w:pPr>
              <w:spacing w:line="480" w:lineRule="auto"/>
              <w:jc w:val="center"/>
              <w:rPr>
                <w:rFonts w:hint="eastAsia" w:ascii="宋体" w:hAnsi="宋体" w:cs="宋体"/>
                <w:color w:val="auto"/>
                <w:szCs w:val="21"/>
                <w:highlight w:val="none"/>
              </w:rPr>
            </w:pPr>
          </w:p>
        </w:tc>
        <w:tc>
          <w:tcPr>
            <w:tcW w:w="1483" w:type="dxa"/>
            <w:vAlign w:val="center"/>
          </w:tcPr>
          <w:p w14:paraId="1FCB0517">
            <w:pPr>
              <w:spacing w:line="480" w:lineRule="auto"/>
              <w:jc w:val="center"/>
              <w:rPr>
                <w:rFonts w:hint="eastAsia" w:ascii="宋体" w:hAnsi="宋体" w:cs="宋体"/>
                <w:color w:val="auto"/>
                <w:szCs w:val="21"/>
                <w:highlight w:val="none"/>
              </w:rPr>
            </w:pPr>
          </w:p>
        </w:tc>
        <w:tc>
          <w:tcPr>
            <w:tcW w:w="1339" w:type="dxa"/>
            <w:vAlign w:val="center"/>
          </w:tcPr>
          <w:p w14:paraId="6A2072BF">
            <w:pPr>
              <w:spacing w:line="480" w:lineRule="auto"/>
              <w:jc w:val="center"/>
              <w:rPr>
                <w:rFonts w:hint="eastAsia" w:ascii="宋体" w:hAnsi="宋体" w:cs="宋体"/>
                <w:color w:val="auto"/>
                <w:szCs w:val="21"/>
                <w:highlight w:val="none"/>
              </w:rPr>
            </w:pPr>
          </w:p>
        </w:tc>
        <w:tc>
          <w:tcPr>
            <w:tcW w:w="1815" w:type="dxa"/>
            <w:vAlign w:val="center"/>
          </w:tcPr>
          <w:p w14:paraId="7CD7F75E">
            <w:pPr>
              <w:spacing w:line="480" w:lineRule="auto"/>
              <w:jc w:val="center"/>
              <w:rPr>
                <w:rFonts w:hint="eastAsia" w:ascii="宋体" w:hAnsi="宋体" w:cs="宋体"/>
                <w:color w:val="auto"/>
                <w:szCs w:val="21"/>
                <w:highlight w:val="none"/>
              </w:rPr>
            </w:pPr>
          </w:p>
        </w:tc>
        <w:tc>
          <w:tcPr>
            <w:tcW w:w="2236" w:type="dxa"/>
            <w:vAlign w:val="center"/>
          </w:tcPr>
          <w:p w14:paraId="6AEDC7E9">
            <w:pPr>
              <w:spacing w:line="480" w:lineRule="auto"/>
              <w:jc w:val="center"/>
              <w:rPr>
                <w:rFonts w:hint="eastAsia" w:ascii="宋体" w:hAnsi="宋体" w:cs="宋体"/>
                <w:color w:val="auto"/>
                <w:szCs w:val="21"/>
                <w:highlight w:val="none"/>
              </w:rPr>
            </w:pPr>
          </w:p>
        </w:tc>
      </w:tr>
      <w:tr w14:paraId="5C32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3" w:type="dxa"/>
            <w:gridSpan w:val="6"/>
            <w:vAlign w:val="center"/>
          </w:tcPr>
          <w:p w14:paraId="0A10FE93">
            <w:pPr>
              <w:spacing w:line="480" w:lineRule="auto"/>
              <w:jc w:val="left"/>
              <w:rPr>
                <w:rFonts w:hint="eastAsia" w:ascii="宋体" w:hAnsi="宋体" w:cs="宋体"/>
                <w:color w:val="auto"/>
                <w:szCs w:val="21"/>
                <w:highlight w:val="none"/>
              </w:rPr>
            </w:pPr>
            <w:r>
              <w:rPr>
                <w:rFonts w:hint="eastAsia" w:ascii="宋体" w:hAnsi="宋体" w:cs="宋体"/>
                <w:color w:val="auto"/>
                <w:szCs w:val="21"/>
                <w:highlight w:val="none"/>
              </w:rPr>
              <w:t>中标单价：</w:t>
            </w:r>
          </w:p>
        </w:tc>
      </w:tr>
      <w:tr w14:paraId="6F31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883" w:type="dxa"/>
            <w:gridSpan w:val="6"/>
            <w:vAlign w:val="center"/>
          </w:tcPr>
          <w:p w14:paraId="268DC8B6">
            <w:pPr>
              <w:spacing w:line="48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注：合同结算金额=实际监测数量*单价。</w:t>
            </w:r>
          </w:p>
        </w:tc>
      </w:tr>
    </w:tbl>
    <w:p w14:paraId="206E31CC">
      <w:pPr>
        <w:tabs>
          <w:tab w:val="left" w:pos="8280"/>
        </w:tabs>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相关服务、备品备件、标准附件、专用工具、人员薪酬、交通费、安装、调试、技术支持、检测检验、必要的保费、各项税费、代理服务费、项目验收费等各项费用的总和。如招投标文件对其另有规定的，从其规定。</w:t>
      </w:r>
    </w:p>
    <w:p w14:paraId="017E8AAA">
      <w:pPr>
        <w:tabs>
          <w:tab w:val="left" w:pos="8280"/>
        </w:tabs>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3、具体服务内容、范围及要求详见招标文件“第三章 项目需求”和当年具体实施方案的约定，招标文件中的项目需求与实施方案有冲突的，以实施方案要求为准。</w:t>
      </w:r>
    </w:p>
    <w:p w14:paraId="65AE4212">
      <w:pPr>
        <w:snapToGrid w:val="0"/>
        <w:spacing w:line="48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第二条　质量保证</w:t>
      </w:r>
    </w:p>
    <w:p w14:paraId="3189CA7E">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1、乙方所提供的技术条款、服务标准等质量必须与招投标文件和承诺相一致。</w:t>
      </w:r>
    </w:p>
    <w:p w14:paraId="34318CF7">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2、乙方所提供的服务必须是符合招标要求、国家标准、行业标准的。</w:t>
      </w:r>
    </w:p>
    <w:p w14:paraId="1FC76734">
      <w:pPr>
        <w:snapToGrid w:val="0"/>
        <w:spacing w:line="48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26BBA627">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1、乙方应保证所提供服务在使用时不会侵犯任何第三方的专利权、设计权或其他权利。</w:t>
      </w:r>
    </w:p>
    <w:p w14:paraId="48150405">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2、乙方应按采购文件规定的时间向甲方提供使用服务的有关技术资料。</w:t>
      </w:r>
    </w:p>
    <w:p w14:paraId="46FB9E5C">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B59593E">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4、乙方保证所交付的项目的所有权完全属于乙方且无任何抵押、质押、查封等产权瑕疵。</w:t>
      </w:r>
    </w:p>
    <w:p w14:paraId="569945E7">
      <w:pPr>
        <w:snapToGrid w:val="0"/>
        <w:spacing w:line="48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服务期限和验收</w:t>
      </w:r>
    </w:p>
    <w:p w14:paraId="5BBA5CAC">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1、服务期限：自签订合同之日起一年内。</w:t>
      </w:r>
    </w:p>
    <w:p w14:paraId="2C1BC241">
      <w:pPr>
        <w:snapToGrid w:val="0"/>
        <w:spacing w:line="48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rPr>
        <w:t>服务地点：广西区内采购人指定地点。</w:t>
      </w:r>
    </w:p>
    <w:p w14:paraId="63EE8BCD">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2、乙方提供不符合招标文件和本合同约定的服务成果，甲方有权拒绝接受。</w:t>
      </w:r>
    </w:p>
    <w:p w14:paraId="58F03541">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甲方对乙方提交的服务按照采购文件上的采购服务要求和具体实施方案内容规定的服务成果，依据按国家相关标准、行业标准、地方标准或者其他标准、规范进行验收。乙方在指定地点提交服务成果后，甲方应当在项目交付30个工作日内进行验收，逾期不验收的，乙方可视同验收合格。验收合格后由甲乙双方签署验收单并加盖采购单位公章，甲乙双方各执一份。</w:t>
      </w:r>
    </w:p>
    <w:p w14:paraId="1981A7B7">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4、乙方应按要求提交服务成果材料：</w:t>
      </w:r>
      <w:r>
        <w:rPr>
          <w:rFonts w:hint="eastAsia" w:ascii="宋体" w:hAnsi="宋体" w:cs="宋体"/>
          <w:color w:val="auto"/>
          <w:szCs w:val="21"/>
          <w:highlight w:val="none"/>
          <w:u w:val="single"/>
        </w:rPr>
        <w:t>详见乙方投标文件</w:t>
      </w:r>
      <w:r>
        <w:rPr>
          <w:rFonts w:hint="eastAsia" w:ascii="宋体" w:hAnsi="宋体" w:cs="宋体"/>
          <w:color w:val="auto"/>
          <w:szCs w:val="21"/>
          <w:highlight w:val="none"/>
        </w:rPr>
        <w:t>，和当年具体实施方案的约定，招标文件中的成果材料与实施方案有冲突的，以实施方案要求为准。如有缺失应及时补齐，否则视为逾期交付。在验收过程中发现乙方有违约问题，可暂缓资金结算，待违约问题解决后，方可办理资金结算事宜，在此期间，甲方不承担逾期付款责任。</w:t>
      </w:r>
    </w:p>
    <w:p w14:paraId="5749A439">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5、乙方项目交付前应对产品作出全面检查和对验收文件进行整理，并列出清单，作为甲方项目验收和使用的技术条件依据，检验的结果应随项目成果交甲方。</w:t>
      </w:r>
    </w:p>
    <w:p w14:paraId="5C1A4992">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6、甲方对验收有异议的，在验收后五个工作日内以书面形式向乙方提出，乙方应自收到甲方书面异议后</w:t>
      </w:r>
      <w:r>
        <w:rPr>
          <w:rFonts w:hint="eastAsia" w:ascii="宋体" w:hAnsi="宋体" w:cs="宋体"/>
          <w:color w:val="auto"/>
          <w:szCs w:val="21"/>
          <w:highlight w:val="none"/>
          <w:u w:val="single"/>
        </w:rPr>
        <w:t xml:space="preserve"> 5个工作</w:t>
      </w:r>
      <w:r>
        <w:rPr>
          <w:rFonts w:hint="eastAsia" w:ascii="宋体" w:hAnsi="宋体" w:cs="宋体"/>
          <w:color w:val="auto"/>
          <w:szCs w:val="21"/>
          <w:highlight w:val="none"/>
        </w:rPr>
        <w:t>日内及时予以解决。</w:t>
      </w:r>
    </w:p>
    <w:p w14:paraId="3120DED3">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7、验收时乙方必须在现场，验收完毕后作出验收结果报告；验收费用由乙方负责。</w:t>
      </w:r>
    </w:p>
    <w:p w14:paraId="1C8D4913">
      <w:pPr>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服务、质量保证期</w:t>
      </w:r>
    </w:p>
    <w:p w14:paraId="52C4A9E1">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乙方应按照国家有关法律法规以及采购文件和本合同所附的《服务承诺》，为甲方提供技术服务。</w:t>
      </w:r>
    </w:p>
    <w:p w14:paraId="33967B5C">
      <w:pPr>
        <w:snapToGrid w:val="0"/>
        <w:spacing w:line="48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第六条　付款方式</w:t>
      </w:r>
    </w:p>
    <w:p w14:paraId="711B6D5F">
      <w:pPr>
        <w:snapToGrid w:val="0"/>
        <w:spacing w:line="480" w:lineRule="auto"/>
        <w:ind w:firstLine="420" w:firstLineChars="200"/>
        <w:rPr>
          <w:rFonts w:hint="eastAsia" w:ascii="宋体" w:hAnsi="宋体" w:cs="宋体"/>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color w:val="auto"/>
          <w:kern w:val="0"/>
          <w:szCs w:val="21"/>
          <w:highlight w:val="none"/>
        </w:rPr>
        <w:t>在合同履行期间，甲方要求终止或解除合同，乙方已开始评估工作的，甲方应根据乙方已进行的实际工作量给予适当的补偿。</w:t>
      </w:r>
    </w:p>
    <w:p w14:paraId="2E1AAE41">
      <w:pPr>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2、资金性质：</w:t>
      </w:r>
      <w:r>
        <w:rPr>
          <w:rFonts w:hint="eastAsia" w:ascii="宋体" w:hAnsi="宋体" w:cs="宋体"/>
          <w:color w:val="auto"/>
          <w:szCs w:val="21"/>
          <w:highlight w:val="none"/>
          <w:u w:val="single"/>
        </w:rPr>
        <w:t>财政预算拨款。</w:t>
      </w:r>
    </w:p>
    <w:p w14:paraId="273C2520">
      <w:pPr>
        <w:snapToGrid w:val="0"/>
        <w:spacing w:line="48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3、付款方式：</w:t>
      </w:r>
    </w:p>
    <w:p w14:paraId="389632C7">
      <w:pPr>
        <w:spacing w:line="480" w:lineRule="auto"/>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4、</w:t>
      </w:r>
      <w:r>
        <w:rPr>
          <w:rFonts w:hint="eastAsia" w:ascii="宋体" w:hAnsi="宋体" w:cs="宋体"/>
          <w:color w:val="auto"/>
          <w:kern w:val="0"/>
          <w:szCs w:val="21"/>
          <w:highlight w:val="none"/>
        </w:rPr>
        <w:t>履约保证金金额：合同总价的2%。</w:t>
      </w:r>
    </w:p>
    <w:p w14:paraId="3DAED812">
      <w:pPr>
        <w:pStyle w:val="19"/>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签订合同前交至指定账户，否则不予签订合同</w:t>
      </w:r>
    </w:p>
    <w:p w14:paraId="27914209">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履约保证金递交方式：银行转账、电汇或网上支付、支票、汇票、本票或者银行、保险机构出具的保函（含电子保函）等非现金方式</w:t>
      </w:r>
    </w:p>
    <w:p w14:paraId="2370BB96">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履约保证金退付方式、时间及条件：项目验收完成后无息退付。履约保证金退付方式同投标保证金退付方式。</w:t>
      </w:r>
    </w:p>
    <w:p w14:paraId="586FF024">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由中标人向履约保证金收取单位提供《政府采购项目合同验收书》、《政府采购项目履约保证金退付意见书》，保证金收取单位在收到合格材料后10个工作日内办理退还手续（不计利息）。</w:t>
      </w:r>
    </w:p>
    <w:p w14:paraId="75DA9057">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履约保证金收取单位指定账户：</w:t>
      </w:r>
    </w:p>
    <w:p w14:paraId="0D89F25F">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开户名称：广西壮族自治区农业农村厅</w:t>
      </w:r>
    </w:p>
    <w:p w14:paraId="1A4CC703">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开户银行：20022101040001679</w:t>
      </w:r>
    </w:p>
    <w:p w14:paraId="375050A0">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银行账号：农行南宁天桃支行。</w:t>
      </w:r>
    </w:p>
    <w:p w14:paraId="2EEA692B">
      <w:pPr>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税费</w:t>
      </w:r>
    </w:p>
    <w:p w14:paraId="0C3E1E7A">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5F43C19D">
      <w:pPr>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质量保证及售后服务</w:t>
      </w:r>
    </w:p>
    <w:p w14:paraId="2C5E1F25">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1、乙方应按采购文件规定的技术要求、服务质量标准向甲方提供服务。不符合要求者，根据实际情况，经双方协商，可按以下办法处理：</w:t>
      </w:r>
    </w:p>
    <w:p w14:paraId="11BEEAEB">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⑴更换：由乙方承担所发生的全部费用。</w:t>
      </w:r>
    </w:p>
    <w:p w14:paraId="011DD62F">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⑵贬值处理：由甲乙双方合议定价。</w:t>
      </w:r>
    </w:p>
    <w:p w14:paraId="71354EE0">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⑶合同终止处理：乙方应退还甲方支付的合同款，同时应承担该项目的直接费用（保险、检验、货款利息及银行手续费等）。</w:t>
      </w:r>
    </w:p>
    <w:p w14:paraId="29F04175">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成果提交后，如有修改，乙方应在规定时间按要求完成修改工作，甲方不另行支付额外费用。</w:t>
      </w:r>
    </w:p>
    <w:p w14:paraId="68C8A001">
      <w:pPr>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0758B001">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1、乙方不能按约定向甲方交付合法有效的发票的，甲方有权暂不予支付合同款项。</w:t>
      </w:r>
    </w:p>
    <w:p w14:paraId="2F34CF47">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2、乙方擅自转让本合同服务内容的，甲方有权解除合同，不予支付合同款项并要求乙方按合同总金额的20%向甲方支付违约金。</w:t>
      </w:r>
    </w:p>
    <w:p w14:paraId="4A41D16E">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3、乙方擅自解除合同的，应向甲方支付合同总金额20%的违约金，同时甲方有权不予支付合同款项。</w:t>
      </w:r>
    </w:p>
    <w:p w14:paraId="6A466C8F">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4、乙方未按期限提交服务成果的，乙方应向甲方支付合同总金额 </w:t>
      </w:r>
      <w:r>
        <w:rPr>
          <w:rFonts w:hint="eastAsia" w:ascii="宋体" w:hAnsi="宋体" w:cs="宋体"/>
          <w:color w:val="auto"/>
          <w:szCs w:val="21"/>
          <w:highlight w:val="none"/>
          <w:lang w:val="zh-CN"/>
        </w:rPr>
        <w:t>3‰/天的</w:t>
      </w:r>
      <w:r>
        <w:rPr>
          <w:rFonts w:hint="eastAsia" w:ascii="宋体" w:hAnsi="宋体" w:cs="宋体"/>
          <w:color w:val="auto"/>
          <w:szCs w:val="21"/>
          <w:highlight w:val="none"/>
        </w:rPr>
        <w:t>违约金，逾期交付</w:t>
      </w:r>
      <w:r>
        <w:rPr>
          <w:rFonts w:hint="eastAsia" w:ascii="宋体" w:hAnsi="宋体" w:cs="宋体"/>
          <w:color w:val="auto"/>
          <w:szCs w:val="21"/>
          <w:highlight w:val="none"/>
          <w:lang w:val="zh-CN"/>
        </w:rPr>
        <w:t>超过</w:t>
      </w:r>
      <w:r>
        <w:rPr>
          <w:rFonts w:hint="eastAsia" w:ascii="宋体" w:hAnsi="宋体" w:cs="宋体"/>
          <w:color w:val="auto"/>
          <w:szCs w:val="21"/>
          <w:highlight w:val="none"/>
          <w:u w:val="single"/>
          <w:lang w:val="zh-CN"/>
        </w:rPr>
        <w:t>30</w:t>
      </w:r>
      <w:r>
        <w:rPr>
          <w:rFonts w:hint="eastAsia" w:ascii="宋体" w:hAnsi="宋体" w:cs="宋体"/>
          <w:color w:val="auto"/>
          <w:szCs w:val="21"/>
          <w:highlight w:val="none"/>
          <w:lang w:val="zh-CN"/>
        </w:rPr>
        <w:t>天的，甲方有权解除合同，</w:t>
      </w:r>
      <w:r>
        <w:rPr>
          <w:rFonts w:hint="eastAsia" w:ascii="宋体" w:hAnsi="宋体" w:cs="宋体"/>
          <w:color w:val="auto"/>
          <w:szCs w:val="21"/>
          <w:highlight w:val="none"/>
        </w:rPr>
        <w:t>并</w:t>
      </w:r>
      <w:r>
        <w:rPr>
          <w:rFonts w:hint="eastAsia" w:ascii="宋体" w:hAnsi="宋体" w:cs="宋体"/>
          <w:color w:val="auto"/>
          <w:szCs w:val="21"/>
          <w:highlight w:val="none"/>
          <w:lang w:val="zh-CN"/>
        </w:rPr>
        <w:t>要求乙方</w:t>
      </w:r>
      <w:r>
        <w:rPr>
          <w:rFonts w:hint="eastAsia" w:ascii="宋体" w:hAnsi="宋体" w:cs="宋体"/>
          <w:color w:val="auto"/>
          <w:szCs w:val="21"/>
          <w:highlight w:val="none"/>
        </w:rPr>
        <w:t xml:space="preserve">向甲方支付合同总金额10%的违约金。  </w:t>
      </w:r>
    </w:p>
    <w:p w14:paraId="0E56AC59">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5、乙方提交的服务成果不符合约定的，应予以负责整改，造成逾期交付的，乙方承担逾期交工的违约责任。</w:t>
      </w:r>
    </w:p>
    <w:p w14:paraId="74A2CF43">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6、乙方提供的成果如侵犯了第三方合法权益而引发的任何纠纷或诉讼，均由乙方负责交涉并承担全部责任</w:t>
      </w:r>
      <w:r>
        <w:rPr>
          <w:rFonts w:hint="eastAsia" w:ascii="宋体" w:hAnsi="宋体" w:cs="宋体"/>
          <w:color w:val="auto"/>
          <w:szCs w:val="21"/>
          <w:highlight w:val="none"/>
          <w:lang w:val="zh-CN"/>
        </w:rPr>
        <w:t>，造成甲方损失的，乙方应予赔偿</w:t>
      </w:r>
      <w:r>
        <w:rPr>
          <w:rFonts w:hint="eastAsia" w:ascii="宋体" w:hAnsi="宋体" w:cs="宋体"/>
          <w:color w:val="auto"/>
          <w:szCs w:val="21"/>
          <w:highlight w:val="none"/>
        </w:rPr>
        <w:t>。</w:t>
      </w:r>
    </w:p>
    <w:p w14:paraId="04FD0448">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7、乙方未按本合同和招标文件中规定的服务承诺提供售后服务的，乙方应按本合同总金额 5%向甲方支付违约金。</w:t>
      </w:r>
    </w:p>
    <w:p w14:paraId="7F92E042">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8、乙方及乙方工作人员必须对实施本服务接触到的甲方资料保密，若发生泄密，乙方应按合同总金额的5%支付违约金，甲方损失超过此违约金的，乙方亦应赔偿。</w:t>
      </w:r>
    </w:p>
    <w:p w14:paraId="71186A0B">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9、因乙方违约造成的甲方损失或应向甲方支付的违约金，甲方有权直接从未付款中扣除。</w:t>
      </w:r>
    </w:p>
    <w:p w14:paraId="18A5E403">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10、因乙方违约，造成的甲方支出的争议处理费用（包括但不限于诉讼费、律师费、保全费、诉讼财产保全担保保险费等）也由乙方承担。</w:t>
      </w:r>
    </w:p>
    <w:p w14:paraId="6B1F8862">
      <w:pPr>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2FDA72AF">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69A94CA3">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58038A2F">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3、不可抗力事件延续30天以上，双方应通过友好协商，确定是否继续履行合同。</w:t>
      </w:r>
    </w:p>
    <w:p w14:paraId="33407388">
      <w:pPr>
        <w:snapToGrid w:val="0"/>
        <w:spacing w:line="48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2525B6FF">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1、因履行本合同引起的或与本合同有关的争议，甲乙双方应首先通过友好协商解决，如果协商不能解决，任何一方可向甲方所在地有管辖权的人民法院提起诉讼。</w:t>
      </w:r>
    </w:p>
    <w:p w14:paraId="72E32925">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2、诉讼期间，本合同继续履行。</w:t>
      </w:r>
    </w:p>
    <w:p w14:paraId="7E104ABE">
      <w:pPr>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合同生效及其他</w:t>
      </w:r>
    </w:p>
    <w:p w14:paraId="17C7968B">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1、合同经双方法定代表人或被授权代表签字并加盖单位公章后生效。</w:t>
      </w:r>
    </w:p>
    <w:p w14:paraId="4CD81AC6">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2、合同执行中涉及采购资金和采购内容修改或补充的，须经财政部门审批，并签书面补充协议报财政部门备案，而后双方就此签署补充协议确定。</w:t>
      </w:r>
    </w:p>
    <w:p w14:paraId="52EDC1BB">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3、本合同未尽事宜，双方协商并签署补充协议确定。</w:t>
      </w:r>
    </w:p>
    <w:p w14:paraId="21E80426">
      <w:pPr>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177BB2A8">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2AFF5131">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2E2D3ADA">
      <w:pPr>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附件为合同有效组成部分，与合同效力同等。本合同附件如下：</w:t>
      </w:r>
    </w:p>
    <w:p w14:paraId="74C5C39A">
      <w:pPr>
        <w:numPr>
          <w:ilvl w:val="0"/>
          <w:numId w:val="27"/>
        </w:num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招标文件；</w:t>
      </w:r>
    </w:p>
    <w:p w14:paraId="0939820E">
      <w:pPr>
        <w:numPr>
          <w:ilvl w:val="0"/>
          <w:numId w:val="27"/>
        </w:num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乙方提供的投标文件；</w:t>
      </w:r>
    </w:p>
    <w:p w14:paraId="418B4A1E">
      <w:pPr>
        <w:numPr>
          <w:ilvl w:val="0"/>
          <w:numId w:val="27"/>
        </w:num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其他约定附件。</w:t>
      </w:r>
    </w:p>
    <w:p w14:paraId="0F23D005">
      <w:pPr>
        <w:snapToGrid w:val="0"/>
        <w:spacing w:line="48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第十五条　签订本合同依据</w:t>
      </w:r>
    </w:p>
    <w:p w14:paraId="65B3A843">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1、政府采招标文件；</w:t>
      </w:r>
    </w:p>
    <w:p w14:paraId="2CEB1BA6">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2、乙方提供的投标；</w:t>
      </w:r>
    </w:p>
    <w:p w14:paraId="0F446FEE">
      <w:pPr>
        <w:snapToGrid w:val="0"/>
        <w:spacing w:line="48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3、中标通知书。</w:t>
      </w:r>
    </w:p>
    <w:p w14:paraId="4CA51F86">
      <w:pPr>
        <w:snapToGrid w:val="0"/>
        <w:spacing w:line="48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第十六条　</w:t>
      </w:r>
      <w:r>
        <w:rPr>
          <w:rFonts w:hint="eastAsia" w:ascii="宋体" w:hAnsi="宋体" w:cs="宋体"/>
          <w:color w:val="auto"/>
          <w:szCs w:val="21"/>
          <w:highlight w:val="none"/>
        </w:rPr>
        <w:t>本合同一式五份，具有同等法律效力，甲乙双方各两份、采购代理机构一份。（可根据需要另增加）。</w:t>
      </w:r>
    </w:p>
    <w:tbl>
      <w:tblPr>
        <w:tblStyle w:val="62"/>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9"/>
        <w:gridCol w:w="4650"/>
      </w:tblGrid>
      <w:tr w14:paraId="0EDD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trPr>
        <w:tc>
          <w:tcPr>
            <w:tcW w:w="4649" w:type="dxa"/>
            <w:vAlign w:val="center"/>
          </w:tcPr>
          <w:p w14:paraId="408F825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甲方（章）广西壮族自治区农业农村厅           </w:t>
            </w:r>
          </w:p>
          <w:p w14:paraId="5557F23F">
            <w:pPr>
              <w:snapToGrid w:val="0"/>
              <w:spacing w:line="360" w:lineRule="auto"/>
              <w:ind w:firstLine="945" w:firstLineChars="450"/>
              <w:jc w:val="right"/>
              <w:rPr>
                <w:rFonts w:hint="eastAsia" w:ascii="宋体" w:hAnsi="宋体" w:cs="宋体"/>
                <w:color w:val="auto"/>
                <w:szCs w:val="21"/>
                <w:highlight w:val="none"/>
              </w:rPr>
            </w:pPr>
          </w:p>
          <w:p w14:paraId="365E9D98">
            <w:pPr>
              <w:snapToGrid w:val="0"/>
              <w:spacing w:line="360" w:lineRule="auto"/>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650" w:type="dxa"/>
            <w:vAlign w:val="center"/>
          </w:tcPr>
          <w:p w14:paraId="73600D3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6D371959">
            <w:pPr>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89F7C92">
            <w:pPr>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r>
      <w:tr w14:paraId="799E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exact"/>
        </w:trPr>
        <w:tc>
          <w:tcPr>
            <w:tcW w:w="4649" w:type="dxa"/>
            <w:vAlign w:val="center"/>
          </w:tcPr>
          <w:p w14:paraId="13FA66F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单位地址：</w:t>
            </w:r>
            <w:r>
              <w:rPr>
                <w:rFonts w:hint="eastAsia" w:ascii="宋体" w:hAnsi="宋体" w:cs="宋体"/>
                <w:bCs/>
                <w:color w:val="auto"/>
                <w:szCs w:val="21"/>
                <w:highlight w:val="none"/>
              </w:rPr>
              <w:t>广西壮族自治区南宁市青秀区青山路8号</w:t>
            </w:r>
          </w:p>
        </w:tc>
        <w:tc>
          <w:tcPr>
            <w:tcW w:w="4650" w:type="dxa"/>
            <w:vAlign w:val="center"/>
          </w:tcPr>
          <w:p w14:paraId="031686B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01A2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exact"/>
        </w:trPr>
        <w:tc>
          <w:tcPr>
            <w:tcW w:w="4649" w:type="dxa"/>
            <w:vAlign w:val="center"/>
          </w:tcPr>
          <w:p w14:paraId="5E9142D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4650" w:type="dxa"/>
            <w:vAlign w:val="center"/>
          </w:tcPr>
          <w:p w14:paraId="79C29C6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7FC4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exact"/>
        </w:trPr>
        <w:tc>
          <w:tcPr>
            <w:tcW w:w="4649" w:type="dxa"/>
            <w:vAlign w:val="center"/>
          </w:tcPr>
          <w:p w14:paraId="67366F9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650" w:type="dxa"/>
            <w:vAlign w:val="center"/>
          </w:tcPr>
          <w:p w14:paraId="1DBF14A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2228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exact"/>
        </w:trPr>
        <w:tc>
          <w:tcPr>
            <w:tcW w:w="4649" w:type="dxa"/>
            <w:vAlign w:val="center"/>
          </w:tcPr>
          <w:p w14:paraId="7C18D33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650" w:type="dxa"/>
            <w:vAlign w:val="center"/>
          </w:tcPr>
          <w:p w14:paraId="4902EA4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613A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exact"/>
        </w:trPr>
        <w:tc>
          <w:tcPr>
            <w:tcW w:w="4649" w:type="dxa"/>
            <w:vAlign w:val="center"/>
          </w:tcPr>
          <w:p w14:paraId="7E8D2D2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650" w:type="dxa"/>
            <w:vAlign w:val="center"/>
          </w:tcPr>
          <w:p w14:paraId="28D8C07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7A3F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exact"/>
        </w:trPr>
        <w:tc>
          <w:tcPr>
            <w:tcW w:w="4649" w:type="dxa"/>
            <w:vAlign w:val="center"/>
          </w:tcPr>
          <w:p w14:paraId="50FB1C5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650" w:type="dxa"/>
            <w:vAlign w:val="center"/>
          </w:tcPr>
          <w:p w14:paraId="406173C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1BFF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exact"/>
        </w:trPr>
        <w:tc>
          <w:tcPr>
            <w:tcW w:w="4649" w:type="dxa"/>
            <w:vAlign w:val="center"/>
          </w:tcPr>
          <w:p w14:paraId="0E3F9A6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650" w:type="dxa"/>
            <w:vAlign w:val="center"/>
          </w:tcPr>
          <w:p w14:paraId="14FE7FC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2881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exact"/>
        </w:trPr>
        <w:tc>
          <w:tcPr>
            <w:tcW w:w="4649" w:type="dxa"/>
            <w:vAlign w:val="center"/>
          </w:tcPr>
          <w:p w14:paraId="6EAC1B6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650" w:type="dxa"/>
            <w:vAlign w:val="center"/>
          </w:tcPr>
          <w:p w14:paraId="75B7916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r>
      <w:tr w14:paraId="5986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exact"/>
        </w:trPr>
        <w:tc>
          <w:tcPr>
            <w:tcW w:w="4649" w:type="dxa"/>
            <w:vAlign w:val="center"/>
          </w:tcPr>
          <w:p w14:paraId="121A05D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4650" w:type="dxa"/>
            <w:vAlign w:val="center"/>
          </w:tcPr>
          <w:p w14:paraId="73BAF54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r>
      <w:tr w14:paraId="7DA6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trPr>
        <w:tc>
          <w:tcPr>
            <w:tcW w:w="9299" w:type="dxa"/>
            <w:gridSpan w:val="2"/>
          </w:tcPr>
          <w:p w14:paraId="218B769B">
            <w:pPr>
              <w:wordWrap w:val="0"/>
              <w:snapToGrid w:val="0"/>
              <w:spacing w:line="360" w:lineRule="auto"/>
              <w:ind w:right="240"/>
              <w:rPr>
                <w:rFonts w:hint="eastAsia" w:ascii="宋体" w:hAnsi="宋体" w:cs="宋体"/>
                <w:color w:val="auto"/>
                <w:szCs w:val="21"/>
                <w:highlight w:val="none"/>
              </w:rPr>
            </w:pPr>
          </w:p>
          <w:p w14:paraId="16595A2A">
            <w:pPr>
              <w:wordWrap w:val="0"/>
              <w:snapToGrid w:val="0"/>
              <w:spacing w:line="360" w:lineRule="auto"/>
              <w:ind w:right="240"/>
              <w:rPr>
                <w:rFonts w:hint="eastAsia" w:ascii="宋体" w:hAnsi="宋体" w:cs="宋体"/>
                <w:color w:val="auto"/>
                <w:szCs w:val="21"/>
                <w:highlight w:val="none"/>
              </w:rPr>
            </w:pPr>
            <w:r>
              <w:rPr>
                <w:rFonts w:hint="eastAsia" w:ascii="宋体" w:hAnsi="宋体" w:cs="宋体"/>
                <w:color w:val="auto"/>
                <w:szCs w:val="21"/>
                <w:highlight w:val="none"/>
              </w:rPr>
              <w:t xml:space="preserve">经办人：                                                 </w:t>
            </w:r>
          </w:p>
          <w:p w14:paraId="4E2F5AF1">
            <w:pPr>
              <w:wordWrap w:val="0"/>
              <w:snapToGrid w:val="0"/>
              <w:spacing w:line="360" w:lineRule="auto"/>
              <w:ind w:right="24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r>
    </w:tbl>
    <w:p w14:paraId="1CEFD917">
      <w:pPr>
        <w:snapToGrid w:val="0"/>
        <w:jc w:val="center"/>
        <w:rPr>
          <w:rFonts w:hint="eastAsia" w:ascii="宋体" w:hAnsi="宋体" w:cs="宋体"/>
          <w:bCs/>
          <w:color w:val="auto"/>
          <w:sz w:val="32"/>
          <w:szCs w:val="32"/>
          <w:highlight w:val="none"/>
        </w:rPr>
      </w:pPr>
    </w:p>
    <w:p w14:paraId="2AF4C629">
      <w:pPr>
        <w:snapToGrid w:val="0"/>
        <w:jc w:val="center"/>
        <w:rPr>
          <w:rFonts w:hint="eastAsia" w:ascii="宋体" w:hAnsi="宋体" w:cs="宋体"/>
          <w:bCs/>
          <w:color w:val="auto"/>
          <w:sz w:val="32"/>
          <w:szCs w:val="32"/>
          <w:highlight w:val="none"/>
        </w:rPr>
      </w:pPr>
    </w:p>
    <w:p w14:paraId="7E60FA59">
      <w:pPr>
        <w:snapToGrid w:val="0"/>
        <w:jc w:val="center"/>
        <w:rPr>
          <w:rFonts w:hint="eastAsia" w:ascii="宋体" w:hAnsi="宋体" w:cs="宋体"/>
          <w:bCs/>
          <w:color w:val="auto"/>
          <w:sz w:val="32"/>
          <w:szCs w:val="32"/>
          <w:highlight w:val="none"/>
        </w:rPr>
      </w:pPr>
    </w:p>
    <w:p w14:paraId="78D58A51">
      <w:pPr>
        <w:snapToGrid w:val="0"/>
        <w:jc w:val="center"/>
        <w:rPr>
          <w:rFonts w:hint="eastAsia" w:ascii="宋体" w:hAnsi="宋体" w:cs="宋体"/>
          <w:bCs/>
          <w:color w:val="auto"/>
          <w:sz w:val="32"/>
          <w:szCs w:val="32"/>
          <w:highlight w:val="none"/>
        </w:rPr>
      </w:pPr>
    </w:p>
    <w:p w14:paraId="32E6815E">
      <w:pPr>
        <w:snapToGrid w:val="0"/>
        <w:jc w:val="center"/>
        <w:rPr>
          <w:rFonts w:hint="eastAsia" w:ascii="宋体" w:hAnsi="宋体" w:cs="宋体"/>
          <w:bCs/>
          <w:color w:val="auto"/>
          <w:sz w:val="32"/>
          <w:szCs w:val="32"/>
          <w:highlight w:val="none"/>
        </w:rPr>
      </w:pPr>
    </w:p>
    <w:p w14:paraId="4B24E59B">
      <w:pPr>
        <w:snapToGrid w:val="0"/>
        <w:jc w:val="center"/>
        <w:rPr>
          <w:rFonts w:hint="eastAsia" w:ascii="宋体" w:hAnsi="宋体" w:cs="宋体"/>
          <w:bCs/>
          <w:color w:val="auto"/>
          <w:sz w:val="32"/>
          <w:szCs w:val="32"/>
          <w:highlight w:val="none"/>
        </w:rPr>
      </w:pPr>
    </w:p>
    <w:p w14:paraId="357DACA0">
      <w:pPr>
        <w:snapToGrid w:val="0"/>
        <w:jc w:val="center"/>
        <w:rPr>
          <w:rFonts w:hint="eastAsia" w:ascii="宋体" w:hAnsi="宋体" w:cs="宋体"/>
          <w:bCs/>
          <w:color w:val="auto"/>
          <w:sz w:val="32"/>
          <w:szCs w:val="32"/>
          <w:highlight w:val="none"/>
        </w:rPr>
      </w:pPr>
    </w:p>
    <w:p w14:paraId="5D8B6870">
      <w:pPr>
        <w:snapToGrid w:val="0"/>
        <w:jc w:val="center"/>
        <w:rPr>
          <w:rFonts w:hint="eastAsia" w:ascii="宋体" w:hAnsi="宋体" w:cs="宋体"/>
          <w:bCs/>
          <w:color w:val="auto"/>
          <w:sz w:val="32"/>
          <w:szCs w:val="32"/>
          <w:highlight w:val="none"/>
        </w:rPr>
      </w:pPr>
    </w:p>
    <w:p w14:paraId="3A4CE3B9">
      <w:pPr>
        <w:snapToGrid w:val="0"/>
        <w:jc w:val="center"/>
        <w:rPr>
          <w:rFonts w:hint="eastAsia" w:ascii="宋体" w:hAnsi="宋体" w:cs="宋体"/>
          <w:bCs/>
          <w:color w:val="auto"/>
          <w:sz w:val="32"/>
          <w:szCs w:val="32"/>
          <w:highlight w:val="none"/>
        </w:rPr>
      </w:pPr>
    </w:p>
    <w:p w14:paraId="07940D99">
      <w:pPr>
        <w:snapToGrid w:val="0"/>
        <w:jc w:val="center"/>
        <w:rPr>
          <w:rFonts w:hint="eastAsia" w:ascii="宋体" w:hAnsi="宋体" w:cs="宋体"/>
          <w:bCs/>
          <w:color w:val="auto"/>
          <w:sz w:val="32"/>
          <w:szCs w:val="32"/>
          <w:highlight w:val="none"/>
        </w:rPr>
      </w:pPr>
    </w:p>
    <w:p w14:paraId="19422299">
      <w:pPr>
        <w:snapToGrid w:val="0"/>
        <w:jc w:val="center"/>
        <w:rPr>
          <w:rFonts w:hint="eastAsia" w:ascii="宋体" w:hAnsi="宋体" w:cs="宋体"/>
          <w:bCs/>
          <w:color w:val="auto"/>
          <w:sz w:val="32"/>
          <w:szCs w:val="32"/>
          <w:highlight w:val="none"/>
        </w:rPr>
      </w:pPr>
    </w:p>
    <w:p w14:paraId="539D2AD0">
      <w:pPr>
        <w:snapToGrid w:val="0"/>
        <w:jc w:val="center"/>
        <w:rPr>
          <w:rFonts w:hint="eastAsia" w:ascii="宋体" w:hAnsi="宋体" w:cs="宋体"/>
          <w:bCs/>
          <w:color w:val="auto"/>
          <w:sz w:val="32"/>
          <w:szCs w:val="32"/>
          <w:highlight w:val="none"/>
        </w:rPr>
      </w:pPr>
    </w:p>
    <w:p w14:paraId="1F6559C8">
      <w:pPr>
        <w:snapToGrid w:val="0"/>
        <w:jc w:val="center"/>
        <w:rPr>
          <w:rFonts w:hint="eastAsia" w:ascii="宋体" w:hAnsi="宋体" w:cs="宋体"/>
          <w:bCs/>
          <w:color w:val="auto"/>
          <w:sz w:val="32"/>
          <w:szCs w:val="32"/>
          <w:highlight w:val="none"/>
        </w:rPr>
      </w:pPr>
    </w:p>
    <w:p w14:paraId="15A8129E">
      <w:pPr>
        <w:snapToGrid w:val="0"/>
        <w:jc w:val="center"/>
        <w:rPr>
          <w:rFonts w:hint="eastAsia" w:ascii="宋体" w:hAnsi="宋体" w:cs="宋体"/>
          <w:bCs/>
          <w:color w:val="auto"/>
          <w:sz w:val="32"/>
          <w:szCs w:val="32"/>
          <w:highlight w:val="none"/>
        </w:rPr>
      </w:pPr>
    </w:p>
    <w:p w14:paraId="2547C03B">
      <w:pPr>
        <w:snapToGrid w:val="0"/>
        <w:jc w:val="center"/>
        <w:rPr>
          <w:rFonts w:hint="eastAsia" w:ascii="宋体" w:hAnsi="宋体" w:cs="宋体"/>
          <w:bCs/>
          <w:color w:val="auto"/>
          <w:sz w:val="32"/>
          <w:szCs w:val="32"/>
          <w:highlight w:val="none"/>
        </w:rPr>
      </w:pPr>
    </w:p>
    <w:p w14:paraId="1398B259">
      <w:pPr>
        <w:snapToGrid w:val="0"/>
        <w:jc w:val="center"/>
        <w:rPr>
          <w:rFonts w:hint="eastAsia" w:ascii="宋体" w:hAnsi="宋体" w:cs="宋体"/>
          <w:bCs/>
          <w:color w:val="auto"/>
          <w:sz w:val="32"/>
          <w:szCs w:val="32"/>
          <w:highlight w:val="none"/>
        </w:rPr>
      </w:pPr>
    </w:p>
    <w:p w14:paraId="5EBC18E0">
      <w:pPr>
        <w:snapToGrid w:val="0"/>
        <w:jc w:val="center"/>
        <w:rPr>
          <w:rFonts w:hint="eastAsia" w:ascii="宋体" w:hAnsi="宋体" w:cs="宋体"/>
          <w:bCs/>
          <w:color w:val="auto"/>
          <w:sz w:val="32"/>
          <w:szCs w:val="32"/>
          <w:highlight w:val="none"/>
        </w:rPr>
      </w:pPr>
    </w:p>
    <w:p w14:paraId="46171E5A">
      <w:pPr>
        <w:snapToGrid w:val="0"/>
        <w:jc w:val="center"/>
        <w:rPr>
          <w:rFonts w:hint="eastAsia" w:ascii="宋体" w:hAnsi="宋体" w:cs="宋体"/>
          <w:bCs/>
          <w:color w:val="auto"/>
          <w:sz w:val="32"/>
          <w:szCs w:val="32"/>
          <w:highlight w:val="none"/>
        </w:rPr>
      </w:pPr>
    </w:p>
    <w:p w14:paraId="06E0FEE0">
      <w:pPr>
        <w:snapToGrid w:val="0"/>
        <w:jc w:val="center"/>
        <w:rPr>
          <w:rFonts w:hint="eastAsia" w:ascii="宋体" w:hAnsi="宋体" w:cs="宋体"/>
          <w:bCs/>
          <w:color w:val="auto"/>
          <w:sz w:val="32"/>
          <w:szCs w:val="32"/>
          <w:highlight w:val="none"/>
        </w:rPr>
      </w:pPr>
    </w:p>
    <w:p w14:paraId="59DB88C2">
      <w:pPr>
        <w:pStyle w:val="39"/>
        <w:rPr>
          <w:rFonts w:hint="eastAsia" w:ascii="宋体" w:hAnsi="宋体" w:cs="宋体"/>
          <w:bCs/>
          <w:color w:val="auto"/>
          <w:sz w:val="32"/>
          <w:szCs w:val="32"/>
          <w:highlight w:val="none"/>
        </w:rPr>
      </w:pPr>
    </w:p>
    <w:p w14:paraId="2DD39CF4">
      <w:pPr>
        <w:pStyle w:val="39"/>
        <w:rPr>
          <w:rFonts w:hint="eastAsia" w:ascii="宋体" w:hAnsi="宋体" w:cs="宋体"/>
          <w:bCs/>
          <w:color w:val="auto"/>
          <w:sz w:val="32"/>
          <w:szCs w:val="32"/>
          <w:highlight w:val="none"/>
        </w:rPr>
      </w:pPr>
    </w:p>
    <w:p w14:paraId="353A5553">
      <w:pPr>
        <w:pStyle w:val="39"/>
        <w:rPr>
          <w:rFonts w:hint="eastAsia" w:ascii="宋体" w:hAnsi="宋体" w:cs="宋体"/>
          <w:bCs/>
          <w:color w:val="auto"/>
          <w:sz w:val="32"/>
          <w:szCs w:val="32"/>
          <w:highlight w:val="none"/>
        </w:rPr>
      </w:pPr>
    </w:p>
    <w:p w14:paraId="252342E1">
      <w:pPr>
        <w:pStyle w:val="39"/>
        <w:rPr>
          <w:rFonts w:hint="eastAsia" w:ascii="宋体" w:hAnsi="宋体" w:cs="宋体"/>
          <w:bCs/>
          <w:color w:val="auto"/>
          <w:sz w:val="32"/>
          <w:szCs w:val="32"/>
          <w:highlight w:val="none"/>
        </w:rPr>
      </w:pPr>
    </w:p>
    <w:p w14:paraId="3489A5AC">
      <w:pPr>
        <w:pStyle w:val="39"/>
        <w:rPr>
          <w:rFonts w:hint="eastAsia" w:ascii="宋体" w:hAnsi="宋体" w:cs="宋体"/>
          <w:bCs/>
          <w:color w:val="auto"/>
          <w:sz w:val="32"/>
          <w:szCs w:val="32"/>
          <w:highlight w:val="none"/>
        </w:rPr>
      </w:pPr>
    </w:p>
    <w:p w14:paraId="78D20590">
      <w:pPr>
        <w:pStyle w:val="39"/>
        <w:rPr>
          <w:rFonts w:hint="eastAsia" w:ascii="宋体" w:hAnsi="宋体" w:cs="宋体"/>
          <w:bCs/>
          <w:color w:val="auto"/>
          <w:sz w:val="32"/>
          <w:szCs w:val="32"/>
          <w:highlight w:val="none"/>
        </w:rPr>
      </w:pPr>
    </w:p>
    <w:p w14:paraId="35AE110E">
      <w:pPr>
        <w:pStyle w:val="39"/>
        <w:rPr>
          <w:rFonts w:hint="eastAsia" w:ascii="宋体" w:hAnsi="宋体" w:cs="宋体"/>
          <w:bCs/>
          <w:color w:val="auto"/>
          <w:sz w:val="32"/>
          <w:szCs w:val="32"/>
          <w:highlight w:val="none"/>
        </w:rPr>
      </w:pPr>
    </w:p>
    <w:p w14:paraId="34E86671">
      <w:pPr>
        <w:snapToGrid w:val="0"/>
        <w:jc w:val="center"/>
        <w:rPr>
          <w:rFonts w:hint="eastAsia" w:ascii="宋体" w:hAnsi="宋体" w:cs="宋体"/>
          <w:bCs/>
          <w:color w:val="auto"/>
          <w:sz w:val="32"/>
          <w:szCs w:val="32"/>
          <w:highlight w:val="none"/>
        </w:rPr>
      </w:pPr>
    </w:p>
    <w:p w14:paraId="5351497F">
      <w:pPr>
        <w:pStyle w:val="2"/>
        <w:jc w:val="center"/>
        <w:rPr>
          <w:rFonts w:hint="eastAsia" w:ascii="宋体" w:hAnsi="宋体" w:cs="宋体"/>
          <w:color w:val="auto"/>
          <w:highlight w:val="none"/>
        </w:rPr>
      </w:pPr>
      <w:bookmarkStart w:id="136" w:name="_Toc21405"/>
      <w:bookmarkStart w:id="137" w:name="_Toc7433"/>
      <w:r>
        <w:rPr>
          <w:rFonts w:hint="eastAsia" w:ascii="宋体" w:hAnsi="宋体" w:cs="宋体"/>
          <w:color w:val="auto"/>
          <w:highlight w:val="none"/>
        </w:rPr>
        <w:t>第六章  投标文件格式</w:t>
      </w:r>
      <w:bookmarkEnd w:id="136"/>
      <w:bookmarkEnd w:id="137"/>
    </w:p>
    <w:p w14:paraId="5437CD12">
      <w:pPr>
        <w:snapToGrid w:val="0"/>
        <w:spacing w:before="50" w:after="50"/>
        <w:outlineLvl w:val="1"/>
        <w:rPr>
          <w:rFonts w:hint="eastAsia" w:ascii="宋体" w:hAnsi="宋体" w:cs="宋体"/>
          <w:color w:val="auto"/>
          <w:sz w:val="32"/>
          <w:szCs w:val="20"/>
          <w:highlight w:val="none"/>
        </w:rPr>
      </w:pPr>
    </w:p>
    <w:p w14:paraId="4908C84E">
      <w:pPr>
        <w:snapToGrid w:val="0"/>
        <w:spacing w:before="50" w:after="50"/>
        <w:outlineLvl w:val="1"/>
        <w:rPr>
          <w:rFonts w:hint="eastAsia" w:ascii="宋体" w:hAnsi="宋体" w:cs="宋体"/>
          <w:color w:val="auto"/>
          <w:sz w:val="32"/>
          <w:szCs w:val="20"/>
          <w:highlight w:val="none"/>
        </w:rPr>
      </w:pPr>
    </w:p>
    <w:p w14:paraId="22472597">
      <w:pPr>
        <w:snapToGrid w:val="0"/>
        <w:spacing w:before="50" w:after="50"/>
        <w:outlineLvl w:val="1"/>
        <w:rPr>
          <w:rFonts w:hint="eastAsia" w:ascii="宋体" w:hAnsi="宋体" w:cs="宋体"/>
          <w:color w:val="auto"/>
          <w:sz w:val="32"/>
          <w:szCs w:val="20"/>
          <w:highlight w:val="none"/>
        </w:rPr>
      </w:pPr>
    </w:p>
    <w:p w14:paraId="4A8A2FBB">
      <w:pPr>
        <w:snapToGrid w:val="0"/>
        <w:spacing w:before="50" w:after="50"/>
        <w:outlineLvl w:val="1"/>
        <w:rPr>
          <w:rFonts w:hint="eastAsia" w:ascii="宋体" w:hAnsi="宋体" w:cs="宋体"/>
          <w:color w:val="auto"/>
          <w:sz w:val="32"/>
          <w:szCs w:val="20"/>
          <w:highlight w:val="none"/>
        </w:rPr>
      </w:pPr>
    </w:p>
    <w:p w14:paraId="3006CEA1">
      <w:pPr>
        <w:snapToGrid w:val="0"/>
        <w:spacing w:before="50" w:after="50"/>
        <w:outlineLvl w:val="1"/>
        <w:rPr>
          <w:rFonts w:hint="eastAsia" w:ascii="宋体" w:hAnsi="宋体" w:cs="宋体"/>
          <w:color w:val="auto"/>
          <w:sz w:val="32"/>
          <w:szCs w:val="20"/>
          <w:highlight w:val="none"/>
        </w:rPr>
      </w:pPr>
    </w:p>
    <w:p w14:paraId="7B4327E8">
      <w:pPr>
        <w:snapToGrid w:val="0"/>
        <w:spacing w:before="50" w:after="50"/>
        <w:outlineLvl w:val="1"/>
        <w:rPr>
          <w:rFonts w:hint="eastAsia" w:ascii="宋体" w:hAnsi="宋体" w:cs="宋体"/>
          <w:color w:val="auto"/>
          <w:sz w:val="32"/>
          <w:szCs w:val="20"/>
          <w:highlight w:val="none"/>
        </w:rPr>
      </w:pPr>
    </w:p>
    <w:p w14:paraId="780A76AF">
      <w:pPr>
        <w:snapToGrid w:val="0"/>
        <w:spacing w:before="50" w:after="50"/>
        <w:outlineLvl w:val="1"/>
        <w:rPr>
          <w:rFonts w:hint="eastAsia" w:ascii="宋体" w:hAnsi="宋体" w:cs="宋体"/>
          <w:color w:val="auto"/>
          <w:sz w:val="32"/>
          <w:szCs w:val="20"/>
          <w:highlight w:val="none"/>
        </w:rPr>
      </w:pPr>
    </w:p>
    <w:p w14:paraId="7EBCC560">
      <w:pPr>
        <w:snapToGrid w:val="0"/>
        <w:spacing w:before="50" w:after="50"/>
        <w:outlineLvl w:val="1"/>
        <w:rPr>
          <w:rFonts w:hint="eastAsia" w:ascii="宋体" w:hAnsi="宋体" w:cs="宋体"/>
          <w:color w:val="auto"/>
          <w:sz w:val="32"/>
          <w:szCs w:val="20"/>
          <w:highlight w:val="none"/>
        </w:rPr>
      </w:pPr>
    </w:p>
    <w:p w14:paraId="008FB6CC">
      <w:pPr>
        <w:snapToGrid w:val="0"/>
        <w:spacing w:before="50" w:after="50"/>
        <w:outlineLvl w:val="1"/>
        <w:rPr>
          <w:rFonts w:hint="eastAsia" w:ascii="宋体" w:hAnsi="宋体" w:cs="宋体"/>
          <w:color w:val="auto"/>
          <w:sz w:val="32"/>
          <w:szCs w:val="20"/>
          <w:highlight w:val="none"/>
        </w:rPr>
      </w:pPr>
    </w:p>
    <w:p w14:paraId="54394FA5">
      <w:pPr>
        <w:snapToGrid w:val="0"/>
        <w:spacing w:before="50" w:after="50"/>
        <w:outlineLvl w:val="1"/>
        <w:rPr>
          <w:rFonts w:hint="eastAsia" w:ascii="宋体" w:hAnsi="宋体" w:cs="宋体"/>
          <w:color w:val="auto"/>
          <w:sz w:val="32"/>
          <w:szCs w:val="20"/>
          <w:highlight w:val="none"/>
        </w:rPr>
      </w:pPr>
    </w:p>
    <w:p w14:paraId="0B7A5DCD">
      <w:pPr>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38" w:name="_Toc19686836"/>
      <w:bookmarkStart w:id="139" w:name="_Toc254970557"/>
      <w:bookmarkStart w:id="140" w:name="_Toc254970698"/>
      <w:r>
        <w:rPr>
          <w:rFonts w:hint="eastAsia" w:ascii="宋体" w:hAnsi="宋体" w:cs="宋体"/>
          <w:b/>
          <w:color w:val="auto"/>
          <w:sz w:val="28"/>
          <w:szCs w:val="28"/>
          <w:highlight w:val="none"/>
        </w:rPr>
        <w:t>一、报价文件格式</w:t>
      </w:r>
      <w:bookmarkEnd w:id="138"/>
    </w:p>
    <w:p w14:paraId="316DE621">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521A2938">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35F22816">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68A9B63E">
      <w:pPr>
        <w:snapToGrid w:val="0"/>
        <w:spacing w:before="120" w:beforeLines="50" w:after="50" w:line="400" w:lineRule="exact"/>
        <w:jc w:val="center"/>
        <w:rPr>
          <w:rFonts w:hint="eastAsia" w:ascii="宋体" w:hAnsi="宋体" w:cs="宋体"/>
          <w:bCs/>
          <w:color w:val="auto"/>
          <w:sz w:val="24"/>
          <w:szCs w:val="20"/>
          <w:highlight w:val="none"/>
        </w:rPr>
      </w:pPr>
    </w:p>
    <w:p w14:paraId="2E4CD4DD">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0614AB1B">
      <w:pPr>
        <w:snapToGrid w:val="0"/>
        <w:spacing w:before="120" w:beforeLines="50" w:after="50" w:line="400" w:lineRule="exact"/>
        <w:rPr>
          <w:rFonts w:hint="eastAsia" w:ascii="宋体" w:hAnsi="宋体" w:cs="宋体"/>
          <w:bCs/>
          <w:color w:val="auto"/>
          <w:sz w:val="24"/>
          <w:szCs w:val="20"/>
          <w:highlight w:val="none"/>
        </w:rPr>
      </w:pPr>
    </w:p>
    <w:p w14:paraId="08D19BFB">
      <w:pPr>
        <w:snapToGrid w:val="0"/>
        <w:spacing w:before="120" w:beforeLines="50" w:after="50" w:line="400" w:lineRule="exact"/>
        <w:rPr>
          <w:rFonts w:hint="eastAsia" w:ascii="宋体" w:hAnsi="宋体" w:cs="宋体"/>
          <w:bCs/>
          <w:color w:val="auto"/>
          <w:sz w:val="24"/>
          <w:szCs w:val="20"/>
          <w:highlight w:val="none"/>
        </w:rPr>
      </w:pPr>
    </w:p>
    <w:p w14:paraId="4D71E984">
      <w:pPr>
        <w:snapToGrid w:val="0"/>
        <w:spacing w:before="120" w:beforeLines="50" w:after="50" w:line="400" w:lineRule="exact"/>
        <w:rPr>
          <w:rFonts w:hint="eastAsia" w:ascii="宋体" w:hAnsi="宋体" w:cs="宋体"/>
          <w:bCs/>
          <w:color w:val="auto"/>
          <w:sz w:val="24"/>
          <w:szCs w:val="20"/>
          <w:highlight w:val="none"/>
        </w:rPr>
      </w:pPr>
    </w:p>
    <w:p w14:paraId="5A23D7D4">
      <w:pPr>
        <w:snapToGrid w:val="0"/>
        <w:spacing w:before="120" w:beforeLines="50" w:after="50" w:line="400" w:lineRule="exact"/>
        <w:rPr>
          <w:rFonts w:hint="eastAsia" w:ascii="宋体" w:hAnsi="宋体" w:cs="宋体"/>
          <w:bCs/>
          <w:color w:val="auto"/>
          <w:sz w:val="24"/>
          <w:szCs w:val="20"/>
          <w:highlight w:val="none"/>
        </w:rPr>
      </w:pPr>
    </w:p>
    <w:p w14:paraId="29DAFB8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2498CA4F">
      <w:pPr>
        <w:snapToGrid w:val="0"/>
        <w:spacing w:before="120" w:beforeLines="50" w:after="50" w:line="400" w:lineRule="exact"/>
        <w:ind w:firstLine="360" w:firstLineChars="150"/>
        <w:rPr>
          <w:rFonts w:hint="eastAsia" w:ascii="宋体" w:hAnsi="宋体" w:cs="宋体"/>
          <w:bCs/>
          <w:color w:val="auto"/>
          <w:sz w:val="24"/>
          <w:highlight w:val="none"/>
        </w:rPr>
      </w:pPr>
    </w:p>
    <w:p w14:paraId="65641C53">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67DF6C79">
      <w:pPr>
        <w:snapToGrid w:val="0"/>
        <w:spacing w:before="120" w:beforeLines="50" w:after="50" w:line="400" w:lineRule="exact"/>
        <w:ind w:firstLine="360" w:firstLineChars="150"/>
        <w:rPr>
          <w:rFonts w:hint="eastAsia" w:ascii="宋体" w:hAnsi="宋体" w:cs="宋体"/>
          <w:bCs/>
          <w:color w:val="auto"/>
          <w:sz w:val="24"/>
          <w:highlight w:val="none"/>
        </w:rPr>
      </w:pPr>
    </w:p>
    <w:p w14:paraId="31C7F7A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4437FF57">
      <w:pPr>
        <w:snapToGrid w:val="0"/>
        <w:spacing w:before="120" w:beforeLines="50" w:after="50" w:line="400" w:lineRule="exact"/>
        <w:ind w:firstLine="360" w:firstLineChars="150"/>
        <w:rPr>
          <w:rFonts w:hint="eastAsia" w:ascii="宋体" w:hAnsi="宋体" w:cs="宋体"/>
          <w:bCs/>
          <w:color w:val="auto"/>
          <w:sz w:val="24"/>
          <w:highlight w:val="none"/>
        </w:rPr>
      </w:pPr>
    </w:p>
    <w:p w14:paraId="247C3DFF">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7016B751">
      <w:pPr>
        <w:snapToGrid w:val="0"/>
        <w:spacing w:before="120" w:beforeLines="50" w:after="50" w:line="400" w:lineRule="exact"/>
        <w:ind w:firstLine="360" w:firstLineChars="150"/>
        <w:rPr>
          <w:rFonts w:hint="eastAsia" w:ascii="宋体" w:hAnsi="宋体" w:cs="宋体"/>
          <w:bCs/>
          <w:color w:val="auto"/>
          <w:sz w:val="24"/>
          <w:highlight w:val="none"/>
        </w:rPr>
      </w:pPr>
    </w:p>
    <w:p w14:paraId="13999ADF">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71754FE1">
      <w:pPr>
        <w:pStyle w:val="8"/>
        <w:snapToGrid w:val="0"/>
        <w:spacing w:before="50" w:after="50" w:line="400" w:lineRule="exact"/>
        <w:ind w:firstLine="960" w:firstLineChars="400"/>
        <w:rPr>
          <w:rFonts w:hint="eastAsia" w:ascii="宋体" w:hAnsi="宋体" w:cs="宋体"/>
          <w:bCs/>
          <w:color w:val="auto"/>
          <w:sz w:val="24"/>
          <w:szCs w:val="24"/>
          <w:highlight w:val="none"/>
        </w:rPr>
      </w:pPr>
    </w:p>
    <w:p w14:paraId="74FF944B">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2975636A">
      <w:pPr>
        <w:snapToGrid w:val="0"/>
        <w:spacing w:before="120" w:beforeLines="50" w:after="50" w:line="360" w:lineRule="auto"/>
        <w:jc w:val="left"/>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44B261A7">
      <w:pPr>
        <w:snapToGrid w:val="0"/>
        <w:spacing w:before="50" w:after="120" w:afterLines="50" w:line="360" w:lineRule="auto"/>
        <w:jc w:val="left"/>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14789429">
      <w:pPr>
        <w:snapToGrid w:val="0"/>
        <w:spacing w:before="120" w:beforeLines="50" w:after="50"/>
        <w:rPr>
          <w:rFonts w:hint="eastAsia" w:ascii="宋体" w:hAnsi="宋体" w:cs="宋体"/>
          <w:b/>
          <w:color w:val="auto"/>
          <w:sz w:val="24"/>
          <w:highlight w:val="none"/>
        </w:rPr>
      </w:pPr>
    </w:p>
    <w:p w14:paraId="34E6B61F">
      <w:pPr>
        <w:snapToGrid w:val="0"/>
        <w:spacing w:before="120" w:beforeLines="50" w:after="50"/>
        <w:rPr>
          <w:rFonts w:hint="eastAsia" w:ascii="宋体" w:hAnsi="宋体" w:cs="宋体"/>
          <w:b/>
          <w:color w:val="auto"/>
          <w:sz w:val="24"/>
          <w:highlight w:val="none"/>
        </w:rPr>
      </w:pPr>
    </w:p>
    <w:p w14:paraId="45CB47F8">
      <w:pPr>
        <w:snapToGrid w:val="0"/>
        <w:spacing w:before="120" w:beforeLines="50" w:after="50"/>
        <w:rPr>
          <w:rFonts w:hint="eastAsia" w:ascii="宋体" w:hAnsi="宋体" w:cs="宋体"/>
          <w:b/>
          <w:color w:val="auto"/>
          <w:sz w:val="24"/>
          <w:highlight w:val="none"/>
        </w:rPr>
      </w:pPr>
    </w:p>
    <w:p w14:paraId="41F08E1A">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56FC74CB">
      <w:pPr>
        <w:snapToGrid w:val="0"/>
        <w:spacing w:before="120" w:beforeLines="50" w:after="50"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 标 函</w:t>
      </w:r>
    </w:p>
    <w:p w14:paraId="1A920A5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8251DD8">
      <w:pPr>
        <w:snapToGrid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）的招标文件，签字代表______</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5934410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据此函，我方宣布同意如下：</w:t>
      </w:r>
    </w:p>
    <w:p w14:paraId="1E413DC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CF8197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4E33739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D9783B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2563613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43C9C3A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1081B6E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1F2CC0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FD901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842507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ACA37B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9.与本项目有关的一切正式往来信函请寄：</w:t>
      </w:r>
    </w:p>
    <w:p w14:paraId="2DDA6277">
      <w:pPr>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52CCF0A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w:t>
      </w:r>
      <w:r>
        <w:rPr>
          <w:rFonts w:hint="eastAsia" w:ascii="宋体" w:hAnsi="宋体" w:cs="宋体"/>
          <w:color w:val="auto"/>
          <w:sz w:val="24"/>
          <w:highlight w:val="none"/>
          <w:u w:val="single"/>
        </w:rPr>
        <w:t xml:space="preserve">         </w:t>
      </w:r>
    </w:p>
    <w:p w14:paraId="4D4A4FF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08D6C196">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058C5EA">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法定代表人或者委托代理人（签字或者电子签名）：_______ </w:t>
      </w:r>
    </w:p>
    <w:p w14:paraId="73614027">
      <w:pPr>
        <w:pStyle w:val="32"/>
        <w:rPr>
          <w:rFonts w:hint="eastAsia" w:hAnsi="宋体" w:cs="宋体"/>
          <w:color w:val="auto"/>
          <w:sz w:val="24"/>
          <w:szCs w:val="24"/>
          <w:highlight w:val="none"/>
        </w:rPr>
      </w:pPr>
      <w:r>
        <w:rPr>
          <w:rFonts w:hint="eastAsia" w:hAnsi="宋体" w:cs="宋体"/>
          <w:color w:val="auto"/>
          <w:sz w:val="24"/>
          <w:szCs w:val="24"/>
          <w:highlight w:val="none"/>
        </w:rPr>
        <w:t xml:space="preserve"> 投标人名称（电子签章）：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3BF174B2">
      <w:pPr>
        <w:snapToGrid w:val="0"/>
        <w:spacing w:before="120" w:beforeLines="50" w:after="50"/>
        <w:jc w:val="left"/>
        <w:rPr>
          <w:rFonts w:hint="eastAsia" w:ascii="宋体" w:hAnsi="宋体" w:cs="宋体"/>
          <w:color w:val="auto"/>
          <w:highlight w:val="none"/>
        </w:rPr>
      </w:pPr>
      <w:r>
        <w:rPr>
          <w:rFonts w:hint="eastAsia" w:ascii="宋体" w:hAnsi="宋体" w:cs="宋体"/>
          <w:color w:val="auto"/>
          <w:highlight w:val="none"/>
          <w:u w:val="single"/>
        </w:rPr>
        <w:br w:type="page"/>
      </w:r>
      <w:r>
        <w:rPr>
          <w:rFonts w:hint="eastAsia" w:ascii="宋体" w:hAnsi="宋体" w:cs="宋体"/>
          <w:color w:val="auto"/>
          <w:szCs w:val="21"/>
          <w:highlight w:val="none"/>
        </w:rPr>
        <w:t xml:space="preserve"> </w:t>
      </w:r>
    </w:p>
    <w:p w14:paraId="4634B50D">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b/>
          <w:color w:val="auto"/>
          <w:sz w:val="24"/>
          <w:highlight w:val="none"/>
        </w:rPr>
        <w:t>4. 开标一览表</w:t>
      </w:r>
    </w:p>
    <w:p w14:paraId="662E06B9">
      <w:pPr>
        <w:snapToGrid w:val="0"/>
        <w:spacing w:before="50" w:after="50"/>
        <w:jc w:val="center"/>
        <w:rPr>
          <w:rFonts w:hint="eastAsia" w:ascii="宋体" w:hAnsi="宋体" w:cs="宋体"/>
          <w:b/>
          <w:color w:val="auto"/>
          <w:sz w:val="30"/>
          <w:highlight w:val="none"/>
        </w:rPr>
      </w:pPr>
      <w:r>
        <w:rPr>
          <w:rFonts w:hint="eastAsia" w:ascii="宋体" w:hAnsi="宋体" w:cs="宋体"/>
          <w:b/>
          <w:color w:val="auto"/>
          <w:sz w:val="30"/>
          <w:highlight w:val="none"/>
        </w:rPr>
        <w:t>开标一览表</w:t>
      </w:r>
    </w:p>
    <w:p w14:paraId="0FC47322">
      <w:pPr>
        <w:snapToGrid w:val="0"/>
        <w:spacing w:before="50" w:after="50"/>
        <w:jc w:val="center"/>
        <w:rPr>
          <w:rFonts w:hint="eastAsia" w:ascii="宋体" w:hAnsi="宋体" w:cs="宋体"/>
          <w:b/>
          <w:color w:val="auto"/>
          <w:sz w:val="30"/>
          <w:szCs w:val="20"/>
          <w:highlight w:val="none"/>
        </w:rPr>
      </w:pPr>
    </w:p>
    <w:p w14:paraId="4A266DC5">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         项目编号：         分标：</w:t>
      </w:r>
    </w:p>
    <w:p w14:paraId="6A90586E">
      <w:pPr>
        <w:snapToGrid w:val="0"/>
        <w:spacing w:before="50" w:after="50"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                      </w:t>
      </w:r>
    </w:p>
    <w:tbl>
      <w:tblPr>
        <w:tblStyle w:val="62"/>
        <w:tblW w:w="98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864"/>
        <w:gridCol w:w="2456"/>
        <w:gridCol w:w="1802"/>
        <w:gridCol w:w="1310"/>
        <w:gridCol w:w="888"/>
      </w:tblGrid>
      <w:tr w14:paraId="1F70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right"/>
        </w:trPr>
        <w:tc>
          <w:tcPr>
            <w:tcW w:w="528" w:type="dxa"/>
            <w:tcBorders>
              <w:top w:val="single" w:color="auto" w:sz="4" w:space="0"/>
              <w:left w:val="single" w:color="auto" w:sz="4" w:space="0"/>
              <w:bottom w:val="single" w:color="auto" w:sz="4" w:space="0"/>
              <w:right w:val="single" w:color="auto" w:sz="4" w:space="0"/>
            </w:tcBorders>
            <w:vAlign w:val="center"/>
          </w:tcPr>
          <w:p w14:paraId="42FBF1E9">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864" w:type="dxa"/>
            <w:tcBorders>
              <w:top w:val="single" w:color="auto" w:sz="4" w:space="0"/>
              <w:left w:val="single" w:color="auto" w:sz="4" w:space="0"/>
              <w:bottom w:val="single" w:color="auto" w:sz="4" w:space="0"/>
              <w:right w:val="single" w:color="auto" w:sz="4" w:space="0"/>
            </w:tcBorders>
            <w:vAlign w:val="center"/>
          </w:tcPr>
          <w:p w14:paraId="0003450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分标号及标的名称</w:t>
            </w:r>
          </w:p>
        </w:tc>
        <w:tc>
          <w:tcPr>
            <w:tcW w:w="2456" w:type="dxa"/>
            <w:tcBorders>
              <w:top w:val="single" w:color="auto" w:sz="4" w:space="0"/>
              <w:left w:val="single" w:color="auto" w:sz="4" w:space="0"/>
              <w:bottom w:val="single" w:color="auto" w:sz="4" w:space="0"/>
              <w:right w:val="single" w:color="auto" w:sz="4" w:space="0"/>
            </w:tcBorders>
            <w:vAlign w:val="center"/>
          </w:tcPr>
          <w:p w14:paraId="4E5F2DCA">
            <w:pPr>
              <w:jc w:val="center"/>
              <w:rPr>
                <w:rFonts w:hint="eastAsia" w:ascii="宋体" w:hAnsi="宋体" w:cs="宋体"/>
                <w:color w:val="auto"/>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需求、技术需求（检测项目）</w:t>
            </w:r>
          </w:p>
        </w:tc>
        <w:tc>
          <w:tcPr>
            <w:tcW w:w="1802" w:type="dxa"/>
            <w:tcBorders>
              <w:top w:val="single" w:color="auto" w:sz="4" w:space="0"/>
              <w:left w:val="single" w:color="auto" w:sz="4" w:space="0"/>
              <w:bottom w:val="single" w:color="auto" w:sz="4" w:space="0"/>
              <w:right w:val="single" w:color="auto" w:sz="4" w:space="0"/>
            </w:tcBorders>
            <w:vAlign w:val="center"/>
          </w:tcPr>
          <w:p w14:paraId="03A36CC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投标单价</w:t>
            </w:r>
          </w:p>
          <w:p w14:paraId="5898EFF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（元/个）</w:t>
            </w:r>
          </w:p>
        </w:tc>
        <w:tc>
          <w:tcPr>
            <w:tcW w:w="1310" w:type="dxa"/>
            <w:tcBorders>
              <w:top w:val="single" w:color="auto" w:sz="4" w:space="0"/>
              <w:left w:val="single" w:color="auto" w:sz="4" w:space="0"/>
              <w:bottom w:val="single" w:color="auto" w:sz="4" w:space="0"/>
              <w:right w:val="single" w:color="auto" w:sz="4" w:space="0"/>
            </w:tcBorders>
            <w:vAlign w:val="center"/>
          </w:tcPr>
          <w:p w14:paraId="3975F1FE">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服务期限</w:t>
            </w:r>
          </w:p>
        </w:tc>
        <w:tc>
          <w:tcPr>
            <w:tcW w:w="888" w:type="dxa"/>
            <w:tcBorders>
              <w:top w:val="single" w:color="auto" w:sz="4" w:space="0"/>
              <w:left w:val="single" w:color="auto" w:sz="4" w:space="0"/>
              <w:bottom w:val="single" w:color="auto" w:sz="4" w:space="0"/>
              <w:right w:val="single" w:color="auto" w:sz="4" w:space="0"/>
            </w:tcBorders>
            <w:vAlign w:val="center"/>
          </w:tcPr>
          <w:p w14:paraId="2DE7618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A63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right"/>
        </w:trPr>
        <w:tc>
          <w:tcPr>
            <w:tcW w:w="528" w:type="dxa"/>
            <w:tcBorders>
              <w:top w:val="single" w:color="auto" w:sz="4" w:space="0"/>
              <w:left w:val="single" w:color="auto" w:sz="4" w:space="0"/>
              <w:bottom w:val="single" w:color="auto" w:sz="4" w:space="0"/>
              <w:right w:val="single" w:color="auto" w:sz="4" w:space="0"/>
            </w:tcBorders>
            <w:vAlign w:val="center"/>
          </w:tcPr>
          <w:p w14:paraId="6374367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864" w:type="dxa"/>
            <w:tcBorders>
              <w:top w:val="single" w:color="auto" w:sz="4" w:space="0"/>
              <w:left w:val="single" w:color="auto" w:sz="4" w:space="0"/>
              <w:bottom w:val="single" w:color="auto" w:sz="4" w:space="0"/>
              <w:right w:val="single" w:color="auto" w:sz="4" w:space="0"/>
            </w:tcBorders>
            <w:vAlign w:val="center"/>
          </w:tcPr>
          <w:p w14:paraId="59A51E9D">
            <w:pPr>
              <w:jc w:val="center"/>
              <w:rPr>
                <w:rFonts w:hint="eastAsia" w:ascii="宋体" w:hAnsi="宋体" w:cs="宋体"/>
                <w:color w:val="auto"/>
                <w:szCs w:val="21"/>
                <w:highlight w:val="none"/>
              </w:rPr>
            </w:pPr>
          </w:p>
        </w:tc>
        <w:tc>
          <w:tcPr>
            <w:tcW w:w="2456" w:type="dxa"/>
            <w:tcBorders>
              <w:top w:val="single" w:color="auto" w:sz="4" w:space="0"/>
              <w:left w:val="single" w:color="auto" w:sz="4" w:space="0"/>
              <w:bottom w:val="single" w:color="auto" w:sz="4" w:space="0"/>
              <w:right w:val="single" w:color="auto" w:sz="4" w:space="0"/>
            </w:tcBorders>
            <w:vAlign w:val="center"/>
          </w:tcPr>
          <w:p w14:paraId="380FE27D">
            <w:pPr>
              <w:spacing w:line="440" w:lineRule="exact"/>
              <w:rPr>
                <w:rFonts w:hint="eastAsia" w:ascii="宋体" w:hAnsi="宋体" w:cs="宋体"/>
                <w:color w:val="auto"/>
                <w:szCs w:val="21"/>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14:paraId="37399BF5">
            <w:pPr>
              <w:spacing w:line="440" w:lineRule="exact"/>
              <w:jc w:val="center"/>
              <w:rPr>
                <w:rFonts w:hint="eastAsia" w:ascii="宋体" w:hAnsi="宋体" w:cs="宋体"/>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vAlign w:val="center"/>
          </w:tcPr>
          <w:p w14:paraId="3AEEBDFC">
            <w:pPr>
              <w:spacing w:line="440" w:lineRule="exact"/>
              <w:jc w:val="center"/>
              <w:rPr>
                <w:rFonts w:hint="eastAsia" w:ascii="宋体" w:hAnsi="宋体" w:cs="宋体"/>
                <w:color w:val="auto"/>
                <w:szCs w:val="21"/>
                <w:highlight w:val="none"/>
              </w:rPr>
            </w:pPr>
          </w:p>
        </w:tc>
        <w:tc>
          <w:tcPr>
            <w:tcW w:w="888" w:type="dxa"/>
            <w:tcBorders>
              <w:top w:val="single" w:color="auto" w:sz="4" w:space="0"/>
              <w:left w:val="single" w:color="auto" w:sz="4" w:space="0"/>
              <w:bottom w:val="single" w:color="auto" w:sz="4" w:space="0"/>
              <w:right w:val="single" w:color="auto" w:sz="4" w:space="0"/>
            </w:tcBorders>
          </w:tcPr>
          <w:p w14:paraId="065E4D99">
            <w:pPr>
              <w:spacing w:line="440" w:lineRule="exact"/>
              <w:rPr>
                <w:rFonts w:hint="eastAsia" w:ascii="宋体" w:hAnsi="宋体" w:cs="宋体"/>
                <w:color w:val="auto"/>
                <w:szCs w:val="21"/>
                <w:highlight w:val="none"/>
              </w:rPr>
            </w:pPr>
          </w:p>
        </w:tc>
      </w:tr>
      <w:tr w14:paraId="0863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right"/>
        </w:trPr>
        <w:tc>
          <w:tcPr>
            <w:tcW w:w="528" w:type="dxa"/>
            <w:tcBorders>
              <w:top w:val="single" w:color="auto" w:sz="4" w:space="0"/>
              <w:left w:val="single" w:color="auto" w:sz="4" w:space="0"/>
              <w:bottom w:val="single" w:color="auto" w:sz="4" w:space="0"/>
              <w:right w:val="single" w:color="auto" w:sz="4" w:space="0"/>
            </w:tcBorders>
            <w:vAlign w:val="center"/>
          </w:tcPr>
          <w:p w14:paraId="6D46E1E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864" w:type="dxa"/>
            <w:tcBorders>
              <w:top w:val="single" w:color="auto" w:sz="4" w:space="0"/>
              <w:left w:val="single" w:color="auto" w:sz="4" w:space="0"/>
              <w:bottom w:val="single" w:color="auto" w:sz="4" w:space="0"/>
              <w:right w:val="single" w:color="auto" w:sz="4" w:space="0"/>
            </w:tcBorders>
            <w:vAlign w:val="center"/>
          </w:tcPr>
          <w:p w14:paraId="5788B106">
            <w:pPr>
              <w:jc w:val="center"/>
              <w:rPr>
                <w:rFonts w:hint="eastAsia" w:ascii="宋体" w:hAnsi="宋体" w:cs="宋体"/>
                <w:color w:val="auto"/>
                <w:szCs w:val="21"/>
                <w:highlight w:val="none"/>
              </w:rPr>
            </w:pPr>
          </w:p>
        </w:tc>
        <w:tc>
          <w:tcPr>
            <w:tcW w:w="2456" w:type="dxa"/>
            <w:tcBorders>
              <w:top w:val="single" w:color="auto" w:sz="4" w:space="0"/>
              <w:left w:val="single" w:color="auto" w:sz="4" w:space="0"/>
              <w:bottom w:val="single" w:color="auto" w:sz="4" w:space="0"/>
              <w:right w:val="single" w:color="auto" w:sz="4" w:space="0"/>
            </w:tcBorders>
            <w:vAlign w:val="center"/>
          </w:tcPr>
          <w:p w14:paraId="2478F0F1">
            <w:pPr>
              <w:spacing w:line="440" w:lineRule="exact"/>
              <w:rPr>
                <w:rFonts w:hint="eastAsia" w:ascii="宋体" w:hAnsi="宋体" w:cs="宋体"/>
                <w:color w:val="auto"/>
                <w:szCs w:val="21"/>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14:paraId="277AE87A">
            <w:pPr>
              <w:spacing w:line="440" w:lineRule="exact"/>
              <w:jc w:val="center"/>
              <w:rPr>
                <w:rFonts w:hint="eastAsia" w:ascii="宋体" w:hAnsi="宋体" w:cs="宋体"/>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vAlign w:val="center"/>
          </w:tcPr>
          <w:p w14:paraId="0AE90AB5">
            <w:pPr>
              <w:spacing w:line="440" w:lineRule="exact"/>
              <w:jc w:val="center"/>
              <w:rPr>
                <w:rFonts w:hint="eastAsia" w:ascii="宋体" w:hAnsi="宋体" w:cs="宋体"/>
                <w:color w:val="auto"/>
                <w:szCs w:val="21"/>
                <w:highlight w:val="none"/>
              </w:rPr>
            </w:pPr>
          </w:p>
        </w:tc>
        <w:tc>
          <w:tcPr>
            <w:tcW w:w="888" w:type="dxa"/>
            <w:tcBorders>
              <w:top w:val="single" w:color="auto" w:sz="4" w:space="0"/>
              <w:left w:val="single" w:color="auto" w:sz="4" w:space="0"/>
              <w:bottom w:val="single" w:color="auto" w:sz="4" w:space="0"/>
              <w:right w:val="single" w:color="auto" w:sz="4" w:space="0"/>
            </w:tcBorders>
          </w:tcPr>
          <w:p w14:paraId="2154FDE2">
            <w:pPr>
              <w:spacing w:line="440" w:lineRule="exact"/>
              <w:rPr>
                <w:rFonts w:hint="eastAsia" w:ascii="宋体" w:hAnsi="宋体" w:cs="宋体"/>
                <w:color w:val="auto"/>
                <w:szCs w:val="21"/>
                <w:highlight w:val="none"/>
              </w:rPr>
            </w:pPr>
          </w:p>
        </w:tc>
      </w:tr>
      <w:tr w14:paraId="3ECE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right"/>
        </w:trPr>
        <w:tc>
          <w:tcPr>
            <w:tcW w:w="528" w:type="dxa"/>
            <w:tcBorders>
              <w:top w:val="single" w:color="auto" w:sz="4" w:space="0"/>
              <w:left w:val="single" w:color="auto" w:sz="4" w:space="0"/>
              <w:bottom w:val="single" w:color="auto" w:sz="4" w:space="0"/>
              <w:right w:val="single" w:color="auto" w:sz="4" w:space="0"/>
            </w:tcBorders>
            <w:vAlign w:val="center"/>
          </w:tcPr>
          <w:p w14:paraId="447B8208">
            <w:pPr>
              <w:spacing w:line="440" w:lineRule="exact"/>
              <w:jc w:val="center"/>
              <w:rPr>
                <w:rFonts w:hint="eastAsia" w:ascii="宋体" w:hAnsi="宋体" w:cs="宋体"/>
                <w:color w:val="auto"/>
                <w:szCs w:val="21"/>
                <w:highlight w:val="none"/>
              </w:rPr>
            </w:pPr>
          </w:p>
        </w:tc>
        <w:tc>
          <w:tcPr>
            <w:tcW w:w="2864" w:type="dxa"/>
            <w:tcBorders>
              <w:top w:val="single" w:color="auto" w:sz="4" w:space="0"/>
              <w:left w:val="single" w:color="auto" w:sz="4" w:space="0"/>
              <w:bottom w:val="single" w:color="auto" w:sz="4" w:space="0"/>
              <w:right w:val="single" w:color="auto" w:sz="4" w:space="0"/>
            </w:tcBorders>
            <w:vAlign w:val="center"/>
          </w:tcPr>
          <w:p w14:paraId="4FD5ED39">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456" w:type="dxa"/>
            <w:tcBorders>
              <w:top w:val="single" w:color="auto" w:sz="4" w:space="0"/>
              <w:left w:val="single" w:color="auto" w:sz="4" w:space="0"/>
              <w:bottom w:val="single" w:color="auto" w:sz="4" w:space="0"/>
              <w:right w:val="single" w:color="auto" w:sz="4" w:space="0"/>
            </w:tcBorders>
            <w:vAlign w:val="center"/>
          </w:tcPr>
          <w:p w14:paraId="1B8803E2">
            <w:pPr>
              <w:spacing w:line="440" w:lineRule="exact"/>
              <w:rPr>
                <w:rFonts w:hint="eastAsia" w:ascii="宋体" w:hAnsi="宋体" w:cs="宋体"/>
                <w:color w:val="auto"/>
                <w:szCs w:val="21"/>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14:paraId="1383CA99">
            <w:pPr>
              <w:spacing w:line="440" w:lineRule="exact"/>
              <w:jc w:val="center"/>
              <w:rPr>
                <w:rFonts w:hint="eastAsia" w:ascii="宋体" w:hAnsi="宋体" w:cs="宋体"/>
                <w:color w:val="auto"/>
                <w:szCs w:val="21"/>
                <w:highlight w:val="none"/>
              </w:rPr>
            </w:pPr>
          </w:p>
        </w:tc>
        <w:tc>
          <w:tcPr>
            <w:tcW w:w="1310" w:type="dxa"/>
            <w:tcBorders>
              <w:top w:val="single" w:color="auto" w:sz="4" w:space="0"/>
              <w:left w:val="single" w:color="auto" w:sz="4" w:space="0"/>
              <w:bottom w:val="single" w:color="auto" w:sz="4" w:space="0"/>
              <w:right w:val="single" w:color="auto" w:sz="4" w:space="0"/>
            </w:tcBorders>
            <w:vAlign w:val="center"/>
          </w:tcPr>
          <w:p w14:paraId="1D7A4AC7">
            <w:pPr>
              <w:spacing w:line="440" w:lineRule="exact"/>
              <w:jc w:val="center"/>
              <w:rPr>
                <w:rFonts w:hint="eastAsia" w:ascii="宋体" w:hAnsi="宋体" w:cs="宋体"/>
                <w:color w:val="auto"/>
                <w:szCs w:val="21"/>
                <w:highlight w:val="none"/>
              </w:rPr>
            </w:pPr>
          </w:p>
        </w:tc>
        <w:tc>
          <w:tcPr>
            <w:tcW w:w="888" w:type="dxa"/>
            <w:tcBorders>
              <w:top w:val="single" w:color="auto" w:sz="4" w:space="0"/>
              <w:left w:val="single" w:color="auto" w:sz="4" w:space="0"/>
              <w:bottom w:val="single" w:color="auto" w:sz="4" w:space="0"/>
              <w:right w:val="single" w:color="auto" w:sz="4" w:space="0"/>
            </w:tcBorders>
          </w:tcPr>
          <w:p w14:paraId="5E1A6769">
            <w:pPr>
              <w:spacing w:line="440" w:lineRule="exact"/>
              <w:rPr>
                <w:rFonts w:hint="eastAsia" w:ascii="宋体" w:hAnsi="宋体" w:cs="宋体"/>
                <w:color w:val="auto"/>
                <w:szCs w:val="21"/>
                <w:highlight w:val="none"/>
              </w:rPr>
            </w:pPr>
          </w:p>
        </w:tc>
      </w:tr>
      <w:tr w14:paraId="7568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right"/>
        </w:trPr>
        <w:tc>
          <w:tcPr>
            <w:tcW w:w="9848" w:type="dxa"/>
            <w:gridSpan w:val="6"/>
            <w:tcBorders>
              <w:top w:val="single" w:color="auto" w:sz="4" w:space="0"/>
              <w:left w:val="single" w:color="auto" w:sz="4" w:space="0"/>
              <w:bottom w:val="single" w:color="auto" w:sz="4" w:space="0"/>
              <w:right w:val="single" w:color="auto" w:sz="4" w:space="0"/>
            </w:tcBorders>
            <w:vAlign w:val="center"/>
          </w:tcPr>
          <w:p w14:paraId="00CC27C8">
            <w:pPr>
              <w:rPr>
                <w:rFonts w:hint="eastAsia" w:ascii="宋体" w:hAnsi="宋体" w:cs="宋体"/>
                <w:color w:val="auto"/>
                <w:szCs w:val="21"/>
                <w:highlight w:val="none"/>
              </w:rPr>
            </w:pPr>
            <w:r>
              <w:rPr>
                <w:rFonts w:hint="eastAsia" w:ascii="宋体" w:hAnsi="宋体" w:cs="宋体"/>
                <w:color w:val="auto"/>
                <w:szCs w:val="21"/>
                <w:highlight w:val="none"/>
              </w:rPr>
              <w:t>投标单价报价（大写）：人民币                            （¥        元/个）</w:t>
            </w:r>
          </w:p>
        </w:tc>
      </w:tr>
      <w:tr w14:paraId="141C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right"/>
        </w:trPr>
        <w:tc>
          <w:tcPr>
            <w:tcW w:w="9848" w:type="dxa"/>
            <w:gridSpan w:val="6"/>
            <w:tcBorders>
              <w:top w:val="single" w:color="auto" w:sz="4" w:space="0"/>
              <w:left w:val="single" w:color="auto" w:sz="4" w:space="0"/>
              <w:bottom w:val="single" w:color="auto" w:sz="4" w:space="0"/>
              <w:right w:val="single" w:color="auto" w:sz="4" w:space="0"/>
            </w:tcBorders>
            <w:vAlign w:val="center"/>
          </w:tcPr>
          <w:p w14:paraId="7F69701F">
            <w:pPr>
              <w:rPr>
                <w:rFonts w:hint="eastAsia" w:ascii="宋体" w:hAnsi="宋体" w:cs="宋体"/>
                <w:color w:val="auto"/>
                <w:szCs w:val="21"/>
                <w:highlight w:val="none"/>
              </w:rPr>
            </w:pPr>
            <w:r>
              <w:rPr>
                <w:rFonts w:hint="eastAsia" w:ascii="宋体" w:hAnsi="宋体" w:cs="宋体"/>
                <w:color w:val="auto"/>
                <w:szCs w:val="21"/>
                <w:highlight w:val="none"/>
              </w:rPr>
              <w:t>验收标准：依据招标文件上的技术规格要求和国家有关质量标准进行。</w:t>
            </w:r>
          </w:p>
        </w:tc>
      </w:tr>
      <w:tr w14:paraId="5831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right"/>
        </w:trPr>
        <w:tc>
          <w:tcPr>
            <w:tcW w:w="9848" w:type="dxa"/>
            <w:gridSpan w:val="6"/>
            <w:tcBorders>
              <w:top w:val="single" w:color="auto" w:sz="4" w:space="0"/>
              <w:left w:val="single" w:color="auto" w:sz="4" w:space="0"/>
              <w:bottom w:val="single" w:color="auto" w:sz="4" w:space="0"/>
              <w:right w:val="single" w:color="auto" w:sz="4" w:space="0"/>
            </w:tcBorders>
            <w:vAlign w:val="center"/>
          </w:tcPr>
          <w:p w14:paraId="34F16E8A">
            <w:pPr>
              <w:rPr>
                <w:rFonts w:hint="eastAsia" w:ascii="宋体" w:hAnsi="宋体" w:cs="宋体"/>
                <w:color w:val="auto"/>
                <w:szCs w:val="21"/>
                <w:highlight w:val="none"/>
              </w:rPr>
            </w:pPr>
            <w:r>
              <w:rPr>
                <w:rFonts w:hint="eastAsia" w:ascii="宋体" w:hAnsi="宋体" w:cs="宋体"/>
                <w:color w:val="auto"/>
                <w:szCs w:val="21"/>
                <w:highlight w:val="none"/>
              </w:rPr>
              <w:t>优惠及其他：</w:t>
            </w:r>
          </w:p>
        </w:tc>
      </w:tr>
    </w:tbl>
    <w:p w14:paraId="69128B63">
      <w:pPr>
        <w:snapToGrid w:val="0"/>
        <w:spacing w:before="50" w:after="50" w:line="360" w:lineRule="auto"/>
        <w:rPr>
          <w:rFonts w:hint="eastAsia" w:ascii="宋体" w:hAnsi="宋体" w:cs="宋体"/>
          <w:color w:val="auto"/>
          <w:sz w:val="24"/>
          <w:highlight w:val="none"/>
        </w:rPr>
      </w:pPr>
    </w:p>
    <w:p w14:paraId="4DE7C441">
      <w:pPr>
        <w:snapToGrid w:val="0"/>
        <w:spacing w:before="50" w:after="50"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注: </w:t>
      </w:r>
    </w:p>
    <w:p w14:paraId="367F842A">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1.投标人的开标一览表必须加盖投标人电子签章并由法定代表人或者委托代理人签字或者电子签名，</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7E77AC8A">
      <w:pPr>
        <w:snapToGrid w:val="0"/>
        <w:spacing w:line="360" w:lineRule="auto"/>
        <w:ind w:firstLine="480" w:firstLineChars="200"/>
        <w:jc w:val="left"/>
        <w:rPr>
          <w:rFonts w:hint="eastAsia"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报价一经涂改，应在涂改处加盖投标人公章或者加盖电子签章或者由法定代表人或者委托代理人签字（或者电子签名）</w:t>
      </w:r>
      <w:r>
        <w:rPr>
          <w:rFonts w:hint="eastAsia" w:ascii="宋体" w:hAnsi="宋体" w:cs="宋体"/>
          <w:b/>
          <w:color w:val="auto"/>
          <w:sz w:val="24"/>
          <w:highlight w:val="none"/>
        </w:rPr>
        <w:t>，否则其投标作无效标处理。</w:t>
      </w:r>
    </w:p>
    <w:p w14:paraId="1FB8594F">
      <w:pPr>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3.如有多分标，按分标分别提供开标一览表，</w:t>
      </w:r>
      <w:r>
        <w:rPr>
          <w:rFonts w:hint="eastAsia" w:ascii="宋体" w:hAnsi="宋体" w:cs="宋体"/>
          <w:b/>
          <w:color w:val="auto"/>
          <w:sz w:val="24"/>
          <w:highlight w:val="none"/>
        </w:rPr>
        <w:t>否则投标无效。</w:t>
      </w:r>
    </w:p>
    <w:p w14:paraId="7BC37088">
      <w:pPr>
        <w:pStyle w:val="39"/>
        <w:rPr>
          <w:rFonts w:hint="eastAsia" w:ascii="宋体" w:hAnsi="宋体" w:cs="宋体"/>
          <w:color w:val="auto"/>
          <w:highlight w:val="none"/>
        </w:rPr>
      </w:pPr>
    </w:p>
    <w:p w14:paraId="5DD4765E">
      <w:pPr>
        <w:snapToGrid w:val="0"/>
        <w:spacing w:line="360" w:lineRule="auto"/>
        <w:ind w:left="-2" w:leftChars="-1" w:right="-817" w:rightChars="-389"/>
        <w:rPr>
          <w:rFonts w:hint="eastAsia"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 </w:t>
      </w:r>
    </w:p>
    <w:p w14:paraId="10A4405C">
      <w:pPr>
        <w:snapToGrid w:val="0"/>
        <w:spacing w:line="360" w:lineRule="auto"/>
        <w:ind w:left="-3" w:leftChars="-15" w:right="-817" w:rightChars="-389" w:hanging="28" w:hangingChars="12"/>
        <w:rPr>
          <w:rFonts w:hint="eastAsia"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237871F2">
      <w:pPr>
        <w:snapToGrid w:val="0"/>
        <w:spacing w:line="360" w:lineRule="auto"/>
        <w:ind w:left="-3" w:leftChars="-15" w:right="-817" w:rightChars="-389" w:hanging="28" w:hangingChars="12"/>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0276804A">
      <w:pPr>
        <w:widowControl/>
        <w:jc w:val="left"/>
        <w:rPr>
          <w:rFonts w:hint="eastAsia" w:ascii="宋体" w:hAnsi="宋体" w:cs="宋体"/>
          <w:b/>
          <w:color w:val="auto"/>
          <w:highlight w:val="none"/>
        </w:rPr>
      </w:pPr>
      <w:r>
        <w:rPr>
          <w:rFonts w:hint="eastAsia" w:ascii="宋体" w:hAnsi="宋体" w:cs="宋体"/>
          <w:color w:val="auto"/>
          <w:highlight w:val="none"/>
        </w:rPr>
        <w:br w:type="page"/>
      </w:r>
    </w:p>
    <w:p w14:paraId="6E1CEB94">
      <w:pPr>
        <w:snapToGrid w:val="0"/>
        <w:spacing w:before="120" w:beforeLines="50" w:after="50"/>
        <w:jc w:val="left"/>
        <w:rPr>
          <w:rFonts w:hint="eastAsia" w:ascii="宋体" w:hAnsi="宋体" w:cs="宋体"/>
          <w:color w:val="auto"/>
          <w:highlight w:val="none"/>
        </w:rPr>
      </w:pPr>
      <w:r>
        <w:rPr>
          <w:rFonts w:hint="eastAsia" w:ascii="宋体" w:hAnsi="宋体" w:cs="宋体"/>
          <w:b/>
          <w:color w:val="auto"/>
          <w:sz w:val="24"/>
          <w:highlight w:val="none"/>
        </w:rPr>
        <w:t>5.中小企业声明函格式</w:t>
      </w:r>
    </w:p>
    <w:p w14:paraId="4B711CED">
      <w:pPr>
        <w:rPr>
          <w:rFonts w:hint="eastAsia" w:ascii="宋体" w:hAnsi="宋体" w:cs="宋体"/>
          <w:color w:val="auto"/>
          <w:highlight w:val="none"/>
        </w:rPr>
      </w:pPr>
    </w:p>
    <w:p w14:paraId="2F6A0ACC">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104E43EC">
      <w:pPr>
        <w:spacing w:before="2" w:line="500" w:lineRule="exact"/>
        <w:rPr>
          <w:rFonts w:hint="eastAsia" w:ascii="宋体" w:hAnsi="宋体" w:cs="宋体"/>
          <w:b/>
          <w:bCs/>
          <w:color w:val="auto"/>
          <w:sz w:val="24"/>
          <w:highlight w:val="none"/>
        </w:rPr>
      </w:pPr>
    </w:p>
    <w:p w14:paraId="32D624AA">
      <w:pPr>
        <w:pStyle w:val="22"/>
        <w:spacing w:line="500" w:lineRule="exact"/>
        <w:ind w:right="142" w:firstLine="480" w:firstLineChars="200"/>
        <w:rPr>
          <w:rFonts w:hint="eastAsia" w:ascii="宋体" w:hAnsi="宋体" w:cs="宋体"/>
          <w:color w:val="auto"/>
          <w:highlight w:val="none"/>
        </w:rPr>
      </w:pPr>
      <w:r>
        <w:rPr>
          <w:rFonts w:hint="eastAsia" w:ascii="宋体" w:hAnsi="宋体" w:cs="宋体"/>
          <w:color w:val="auto"/>
          <w:highlight w:val="none"/>
        </w:rPr>
        <w:t>本公司郑重声明，根据《政府采购促进中小企业发展管理办法》（财库﹝2020﹞46号）的规定，本公司参加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采购活动，服务全部由符合政策要求的中小企业承接。相关企业（含签订分包意向协议的中小企业）的具体情况如下：</w:t>
      </w:r>
    </w:p>
    <w:p w14:paraId="4ABD3F91">
      <w:pPr>
        <w:tabs>
          <w:tab w:val="left" w:pos="1384"/>
          <w:tab w:val="left" w:pos="4562"/>
          <w:tab w:val="left" w:pos="6803"/>
        </w:tabs>
        <w:spacing w:before="13" w:line="500" w:lineRule="exact"/>
        <w:ind w:right="142" w:firstLine="686" w:firstLineChars="286"/>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5378872">
      <w:pPr>
        <w:tabs>
          <w:tab w:val="left" w:pos="1065"/>
          <w:tab w:val="left" w:pos="4262"/>
          <w:tab w:val="left" w:pos="6477"/>
        </w:tabs>
        <w:spacing w:before="20" w:line="500" w:lineRule="exact"/>
        <w:ind w:right="84" w:firstLine="686" w:firstLineChars="286"/>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02EB6172">
      <w:pPr>
        <w:pStyle w:val="22"/>
        <w:spacing w:before="34" w:line="500" w:lineRule="exact"/>
        <w:ind w:left="765" w:right="142" w:hanging="5"/>
        <w:rPr>
          <w:rFonts w:hint="eastAsia" w:ascii="宋体" w:hAnsi="宋体" w:cs="宋体"/>
          <w:color w:val="auto"/>
          <w:highlight w:val="none"/>
        </w:rPr>
      </w:pPr>
      <w:r>
        <w:rPr>
          <w:rFonts w:hint="eastAsia" w:ascii="宋体" w:hAnsi="宋体" w:cs="宋体"/>
          <w:color w:val="auto"/>
          <w:highlight w:val="none"/>
        </w:rPr>
        <w:t xml:space="preserve">…… </w:t>
      </w:r>
    </w:p>
    <w:p w14:paraId="30AB375C">
      <w:pPr>
        <w:pStyle w:val="22"/>
        <w:spacing w:before="34" w:line="500" w:lineRule="exact"/>
        <w:ind w:right="142" w:firstLine="480" w:firstLineChars="20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5B523CD5">
      <w:pPr>
        <w:pStyle w:val="22"/>
        <w:spacing w:before="34" w:line="500" w:lineRule="exact"/>
        <w:ind w:right="142" w:firstLine="480" w:firstLineChars="200"/>
        <w:rPr>
          <w:rFonts w:hint="eastAsia"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185CA25E">
      <w:pPr>
        <w:pStyle w:val="22"/>
        <w:spacing w:before="56" w:line="500" w:lineRule="exact"/>
        <w:ind w:left="3960" w:right="1808"/>
        <w:rPr>
          <w:rFonts w:hint="eastAsia" w:ascii="宋体" w:hAnsi="宋体" w:cs="宋体"/>
          <w:color w:val="auto"/>
          <w:highlight w:val="none"/>
        </w:rPr>
      </w:pPr>
      <w:r>
        <w:rPr>
          <w:rFonts w:hint="eastAsia" w:ascii="宋体" w:hAnsi="宋体" w:cs="宋体"/>
          <w:color w:val="auto"/>
          <w:kern w:val="24"/>
          <w:highlight w:val="none"/>
        </w:rPr>
        <w:t>企业名称（电子签章）：</w:t>
      </w:r>
    </w:p>
    <w:p w14:paraId="47C41771">
      <w:pPr>
        <w:pStyle w:val="22"/>
        <w:spacing w:before="56" w:line="500" w:lineRule="exact"/>
        <w:ind w:left="3960" w:right="1808"/>
        <w:rPr>
          <w:rFonts w:hint="eastAsia" w:ascii="宋体" w:hAnsi="宋体" w:cs="宋体"/>
          <w:color w:val="auto"/>
          <w:highlight w:val="none"/>
        </w:rPr>
      </w:pPr>
      <w:r>
        <w:rPr>
          <w:rFonts w:hint="eastAsia" w:ascii="宋体" w:hAnsi="宋体" w:cs="宋体"/>
          <w:color w:val="auto"/>
          <w:highlight w:val="none"/>
        </w:rPr>
        <w:t>日 期：</w:t>
      </w:r>
    </w:p>
    <w:p w14:paraId="51922C4B">
      <w:pPr>
        <w:rPr>
          <w:rFonts w:hint="eastAsia" w:ascii="宋体" w:hAnsi="宋体" w:cs="宋体"/>
          <w:color w:val="auto"/>
          <w:sz w:val="24"/>
          <w:highlight w:val="none"/>
        </w:rPr>
      </w:pPr>
    </w:p>
    <w:p w14:paraId="508479CE">
      <w:pPr>
        <w:rPr>
          <w:rFonts w:hint="eastAsia" w:ascii="宋体" w:hAnsi="宋体" w:cs="宋体"/>
          <w:b/>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b/>
          <w:color w:val="auto"/>
          <w:sz w:val="24"/>
          <w:highlight w:val="none"/>
        </w:rPr>
        <w:t>6.残疾人福利性单位声明函格式</w:t>
      </w:r>
    </w:p>
    <w:p w14:paraId="7D350E69">
      <w:pPr>
        <w:spacing w:line="588" w:lineRule="exact"/>
        <w:jc w:val="center"/>
        <w:rPr>
          <w:rFonts w:hint="eastAsia" w:ascii="宋体" w:hAnsi="宋体" w:cs="宋体"/>
          <w:b/>
          <w:color w:val="auto"/>
          <w:spacing w:val="6"/>
          <w:sz w:val="32"/>
          <w:szCs w:val="32"/>
          <w:highlight w:val="none"/>
        </w:rPr>
      </w:pPr>
      <w:bookmarkStart w:id="141" w:name="OLE_LINK14"/>
      <w:bookmarkStart w:id="142" w:name="OLE_LINK13"/>
    </w:p>
    <w:p w14:paraId="5B2E43B7">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bookmarkEnd w:id="141"/>
    <w:bookmarkEnd w:id="142"/>
    <w:p w14:paraId="0643590A">
      <w:pPr>
        <w:spacing w:line="588" w:lineRule="exact"/>
        <w:rPr>
          <w:rFonts w:hint="eastAsia" w:ascii="宋体" w:hAnsi="宋体" w:cs="宋体"/>
          <w:b/>
          <w:color w:val="auto"/>
          <w:spacing w:val="6"/>
          <w:sz w:val="30"/>
          <w:szCs w:val="30"/>
          <w:highlight w:val="none"/>
        </w:rPr>
      </w:pPr>
    </w:p>
    <w:p w14:paraId="2C0418BC">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476ACDE4">
      <w:pPr>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3322A8FF">
      <w:pPr>
        <w:spacing w:line="360" w:lineRule="auto"/>
        <w:ind w:firstLine="504" w:firstLineChars="200"/>
        <w:rPr>
          <w:rFonts w:hint="eastAsia" w:ascii="宋体" w:hAnsi="宋体" w:cs="宋体"/>
          <w:color w:val="auto"/>
          <w:spacing w:val="6"/>
          <w:sz w:val="24"/>
          <w:highlight w:val="none"/>
        </w:rPr>
      </w:pPr>
    </w:p>
    <w:p w14:paraId="5E0C54F8">
      <w:pPr>
        <w:spacing w:line="360" w:lineRule="auto"/>
        <w:ind w:firstLine="504" w:firstLineChars="200"/>
        <w:rPr>
          <w:rFonts w:hint="eastAsia" w:ascii="宋体" w:hAnsi="宋体" w:cs="宋体"/>
          <w:color w:val="auto"/>
          <w:spacing w:val="6"/>
          <w:sz w:val="24"/>
          <w:highlight w:val="none"/>
        </w:rPr>
      </w:pPr>
    </w:p>
    <w:p w14:paraId="3E39BE05">
      <w:pPr>
        <w:tabs>
          <w:tab w:val="left" w:pos="4860"/>
        </w:tabs>
        <w:spacing w:line="360" w:lineRule="auto"/>
        <w:ind w:right="1560" w:firstLine="504" w:firstLineChars="200"/>
        <w:contextualSpacing/>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单位名称（电子签章）：</w:t>
      </w:r>
    </w:p>
    <w:p w14:paraId="290FB419">
      <w:pPr>
        <w:tabs>
          <w:tab w:val="left" w:pos="4860"/>
        </w:tabs>
        <w:spacing w:line="360" w:lineRule="auto"/>
        <w:ind w:right="1560" w:firstLine="504" w:firstLineChars="200"/>
        <w:contextualSpacing/>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日  期：</w:t>
      </w:r>
    </w:p>
    <w:p w14:paraId="2E5DADB8">
      <w:pPr>
        <w:spacing w:line="360" w:lineRule="auto"/>
        <w:rPr>
          <w:rFonts w:hint="eastAsia" w:ascii="宋体" w:hAnsi="宋体" w:cs="宋体"/>
          <w:color w:val="auto"/>
          <w:sz w:val="24"/>
          <w:highlight w:val="none"/>
        </w:rPr>
      </w:pPr>
    </w:p>
    <w:p w14:paraId="039D34C3">
      <w:pPr>
        <w:spacing w:line="360" w:lineRule="auto"/>
        <w:rPr>
          <w:rFonts w:hint="eastAsia" w:ascii="宋体" w:hAnsi="宋体" w:cs="宋体"/>
          <w:color w:val="auto"/>
          <w:sz w:val="24"/>
          <w:highlight w:val="none"/>
        </w:rPr>
      </w:pPr>
    </w:p>
    <w:p w14:paraId="12F52696">
      <w:pPr>
        <w:spacing w:line="360" w:lineRule="auto"/>
        <w:rPr>
          <w:rFonts w:hint="eastAsia" w:ascii="宋体" w:hAnsi="宋体" w:cs="宋体"/>
          <w:color w:val="auto"/>
          <w:sz w:val="24"/>
          <w:highlight w:val="none"/>
        </w:rPr>
      </w:pPr>
    </w:p>
    <w:p w14:paraId="427972D2">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DE9B52E">
      <w:pPr>
        <w:pStyle w:val="44"/>
        <w:ind w:firstLine="422"/>
        <w:rPr>
          <w:rFonts w:hint="eastAsia" w:hAnsi="宋体" w:cs="宋体"/>
          <w:color w:val="auto"/>
          <w:highlight w:val="none"/>
        </w:rPr>
      </w:pPr>
    </w:p>
    <w:p w14:paraId="3EAB1088">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143" w:name="_Toc19686837"/>
      <w:r>
        <w:rPr>
          <w:rFonts w:hint="eastAsia" w:ascii="宋体" w:hAnsi="宋体" w:cs="宋体"/>
          <w:b/>
          <w:color w:val="auto"/>
          <w:sz w:val="28"/>
          <w:szCs w:val="28"/>
          <w:highlight w:val="none"/>
        </w:rPr>
        <w:t>二、资格证明文件格式</w:t>
      </w:r>
      <w:bookmarkEnd w:id="139"/>
      <w:bookmarkEnd w:id="140"/>
      <w:bookmarkEnd w:id="143"/>
    </w:p>
    <w:p w14:paraId="53F2A9AB">
      <w:pPr>
        <w:numPr>
          <w:ilvl w:val="2"/>
          <w:numId w:val="28"/>
        </w:numPr>
        <w:snapToGrid w:val="0"/>
        <w:spacing w:before="120" w:beforeLines="50" w:after="50" w:line="360" w:lineRule="auto"/>
        <w:ind w:left="0" w:firstLine="0"/>
        <w:jc w:val="left"/>
        <w:rPr>
          <w:rFonts w:hint="eastAsia"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0F13DF36">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268594BC">
      <w:pPr>
        <w:snapToGrid w:val="0"/>
        <w:spacing w:before="120" w:beforeLines="50" w:after="50"/>
        <w:rPr>
          <w:rFonts w:hint="eastAsia" w:ascii="宋体" w:hAnsi="宋体" w:cs="宋体"/>
          <w:color w:val="auto"/>
          <w:sz w:val="24"/>
          <w:szCs w:val="20"/>
          <w:highlight w:val="none"/>
        </w:rPr>
      </w:pPr>
    </w:p>
    <w:p w14:paraId="3566BEDE">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7A3AB2AA">
      <w:pPr>
        <w:snapToGrid w:val="0"/>
        <w:spacing w:before="120" w:beforeLines="50" w:after="50"/>
        <w:rPr>
          <w:rFonts w:hint="eastAsia" w:ascii="宋体" w:hAnsi="宋体" w:cs="宋体"/>
          <w:bCs/>
          <w:color w:val="auto"/>
          <w:sz w:val="24"/>
          <w:szCs w:val="20"/>
          <w:highlight w:val="none"/>
        </w:rPr>
      </w:pPr>
    </w:p>
    <w:p w14:paraId="7EEA3D2A">
      <w:pPr>
        <w:snapToGrid w:val="0"/>
        <w:spacing w:before="120" w:beforeLines="50" w:after="50"/>
        <w:rPr>
          <w:rFonts w:hint="eastAsia" w:ascii="宋体" w:hAnsi="宋体" w:cs="宋体"/>
          <w:bCs/>
          <w:color w:val="auto"/>
          <w:sz w:val="24"/>
          <w:szCs w:val="20"/>
          <w:highlight w:val="none"/>
        </w:rPr>
      </w:pPr>
    </w:p>
    <w:p w14:paraId="67691E50">
      <w:pPr>
        <w:snapToGrid w:val="0"/>
        <w:spacing w:before="120" w:beforeLines="50" w:after="50"/>
        <w:rPr>
          <w:rFonts w:hint="eastAsia" w:ascii="宋体" w:hAnsi="宋体" w:cs="宋体"/>
          <w:bCs/>
          <w:color w:val="auto"/>
          <w:sz w:val="24"/>
          <w:szCs w:val="20"/>
          <w:highlight w:val="none"/>
        </w:rPr>
      </w:pPr>
    </w:p>
    <w:p w14:paraId="6722E236">
      <w:pPr>
        <w:snapToGrid w:val="0"/>
        <w:spacing w:before="120" w:beforeLines="50" w:after="50"/>
        <w:rPr>
          <w:rFonts w:hint="eastAsia" w:ascii="宋体" w:hAnsi="宋体" w:cs="宋体"/>
          <w:bCs/>
          <w:color w:val="auto"/>
          <w:sz w:val="24"/>
          <w:szCs w:val="20"/>
          <w:highlight w:val="none"/>
        </w:rPr>
      </w:pPr>
    </w:p>
    <w:p w14:paraId="47FD9061">
      <w:pPr>
        <w:snapToGrid w:val="0"/>
        <w:spacing w:before="120" w:beforeLines="50" w:after="50"/>
        <w:rPr>
          <w:rFonts w:hint="eastAsia" w:ascii="宋体" w:hAnsi="宋体" w:cs="宋体"/>
          <w:bCs/>
          <w:color w:val="auto"/>
          <w:sz w:val="24"/>
          <w:szCs w:val="20"/>
          <w:highlight w:val="none"/>
        </w:rPr>
      </w:pPr>
    </w:p>
    <w:p w14:paraId="39CEB11C">
      <w:pPr>
        <w:snapToGrid w:val="0"/>
        <w:spacing w:before="120" w:beforeLines="50" w:after="50"/>
        <w:rPr>
          <w:rFonts w:hint="eastAsia" w:ascii="宋体" w:hAnsi="宋体" w:cs="宋体"/>
          <w:bCs/>
          <w:color w:val="auto"/>
          <w:sz w:val="24"/>
          <w:szCs w:val="20"/>
          <w:highlight w:val="none"/>
        </w:rPr>
      </w:pPr>
    </w:p>
    <w:p w14:paraId="7AA60A66">
      <w:pPr>
        <w:snapToGrid w:val="0"/>
        <w:spacing w:before="120" w:beforeLines="50" w:after="50"/>
        <w:rPr>
          <w:rFonts w:hint="eastAsia" w:ascii="宋体" w:hAnsi="宋体" w:cs="宋体"/>
          <w:bCs/>
          <w:color w:val="auto"/>
          <w:sz w:val="24"/>
          <w:szCs w:val="20"/>
          <w:highlight w:val="none"/>
        </w:rPr>
      </w:pPr>
    </w:p>
    <w:p w14:paraId="58658723">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5D6A84E6">
      <w:pPr>
        <w:snapToGrid w:val="0"/>
        <w:spacing w:before="120" w:beforeLines="50" w:after="50"/>
        <w:ind w:firstLine="540" w:firstLineChars="225"/>
        <w:rPr>
          <w:rFonts w:hint="eastAsia" w:ascii="宋体" w:hAnsi="宋体" w:cs="宋体"/>
          <w:bCs/>
          <w:color w:val="auto"/>
          <w:sz w:val="24"/>
          <w:szCs w:val="20"/>
          <w:highlight w:val="none"/>
        </w:rPr>
      </w:pPr>
    </w:p>
    <w:p w14:paraId="5634C880">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CE2B2EA">
      <w:pPr>
        <w:snapToGrid w:val="0"/>
        <w:spacing w:before="120" w:beforeLines="50" w:after="50"/>
        <w:ind w:firstLine="540" w:firstLineChars="225"/>
        <w:rPr>
          <w:rFonts w:hint="eastAsia" w:ascii="宋体" w:hAnsi="宋体" w:cs="宋体"/>
          <w:bCs/>
          <w:color w:val="auto"/>
          <w:sz w:val="24"/>
          <w:szCs w:val="20"/>
          <w:highlight w:val="none"/>
        </w:rPr>
      </w:pPr>
    </w:p>
    <w:p w14:paraId="42A84BEA">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645D1573">
      <w:pPr>
        <w:pStyle w:val="8"/>
        <w:snapToGrid w:val="0"/>
        <w:spacing w:before="50" w:after="50"/>
        <w:ind w:firstLine="540" w:firstLineChars="225"/>
        <w:rPr>
          <w:rFonts w:hint="eastAsia" w:ascii="宋体" w:hAnsi="宋体" w:cs="宋体"/>
          <w:bCs/>
          <w:color w:val="auto"/>
          <w:sz w:val="24"/>
          <w:szCs w:val="24"/>
          <w:highlight w:val="none"/>
        </w:rPr>
      </w:pPr>
    </w:p>
    <w:p w14:paraId="03E14B61">
      <w:pPr>
        <w:pStyle w:val="8"/>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17D24BE7">
      <w:pPr>
        <w:pStyle w:val="8"/>
        <w:snapToGrid w:val="0"/>
        <w:spacing w:before="50" w:after="50"/>
        <w:ind w:firstLine="540" w:firstLineChars="225"/>
        <w:rPr>
          <w:rFonts w:hint="eastAsia" w:ascii="宋体" w:hAnsi="宋体" w:cs="宋体"/>
          <w:bCs/>
          <w:color w:val="auto"/>
          <w:sz w:val="24"/>
          <w:szCs w:val="24"/>
          <w:highlight w:val="none"/>
        </w:rPr>
      </w:pPr>
    </w:p>
    <w:p w14:paraId="60331DF7">
      <w:pPr>
        <w:pStyle w:val="8"/>
        <w:snapToGrid w:val="0"/>
        <w:spacing w:before="50" w:after="50"/>
        <w:ind w:firstLine="960" w:firstLineChars="400"/>
        <w:rPr>
          <w:rFonts w:hint="eastAsia" w:ascii="宋体" w:hAnsi="宋体" w:cs="宋体"/>
          <w:bCs/>
          <w:color w:val="auto"/>
          <w:sz w:val="24"/>
          <w:szCs w:val="24"/>
          <w:highlight w:val="none"/>
        </w:rPr>
      </w:pPr>
    </w:p>
    <w:p w14:paraId="5E34CF48">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3929E732">
      <w:pPr>
        <w:snapToGrid w:val="0"/>
        <w:spacing w:before="120" w:beforeLines="50" w:after="50"/>
        <w:rPr>
          <w:rFonts w:hint="eastAsia" w:ascii="宋体" w:hAnsi="宋体" w:cs="宋体"/>
          <w:color w:val="auto"/>
          <w:sz w:val="24"/>
          <w:szCs w:val="20"/>
          <w:highlight w:val="none"/>
        </w:rPr>
      </w:pPr>
    </w:p>
    <w:p w14:paraId="2975738C">
      <w:pPr>
        <w:snapToGrid w:val="0"/>
        <w:spacing w:before="120" w:beforeLines="50" w:after="50"/>
        <w:rPr>
          <w:rFonts w:hint="eastAsia" w:ascii="宋体" w:hAnsi="宋体" w:cs="宋体"/>
          <w:color w:val="auto"/>
          <w:sz w:val="24"/>
          <w:szCs w:val="20"/>
          <w:highlight w:val="none"/>
        </w:rPr>
      </w:pPr>
    </w:p>
    <w:p w14:paraId="0AFEAE1B">
      <w:pPr>
        <w:numPr>
          <w:ilvl w:val="2"/>
          <w:numId w:val="28"/>
        </w:numPr>
        <w:snapToGrid w:val="0"/>
        <w:spacing w:before="120" w:beforeLines="50" w:after="50" w:line="360" w:lineRule="auto"/>
        <w:ind w:left="0" w:firstLine="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4A6C328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6625E837">
      <w:pPr>
        <w:snapToGrid w:val="0"/>
        <w:spacing w:before="50" w:after="120" w:afterLines="50"/>
        <w:jc w:val="left"/>
        <w:rPr>
          <w:rFonts w:hint="eastAsia" w:ascii="宋体" w:hAnsi="宋体" w:cs="宋体"/>
          <w:color w:val="auto"/>
          <w:sz w:val="24"/>
          <w:highlight w:val="none"/>
        </w:rPr>
      </w:pPr>
    </w:p>
    <w:p w14:paraId="67B6E9D6">
      <w:pPr>
        <w:snapToGrid w:val="0"/>
        <w:spacing w:before="50" w:after="120" w:afterLines="50"/>
        <w:jc w:val="left"/>
        <w:rPr>
          <w:rFonts w:hint="eastAsia" w:ascii="宋体" w:hAnsi="宋体" w:cs="宋体"/>
          <w:color w:val="auto"/>
          <w:sz w:val="24"/>
          <w:highlight w:val="none"/>
        </w:rPr>
      </w:pPr>
    </w:p>
    <w:p w14:paraId="15227F5B">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投标人直接控股股东信息表</w:t>
      </w:r>
    </w:p>
    <w:p w14:paraId="50D9A0A7">
      <w:pPr>
        <w:snapToGrid w:val="0"/>
        <w:spacing w:before="50" w:after="120" w:afterLines="50"/>
        <w:jc w:val="center"/>
        <w:rPr>
          <w:rFonts w:hint="eastAsia" w:ascii="宋体" w:hAnsi="宋体" w:cs="宋体"/>
          <w:b/>
          <w:color w:val="auto"/>
          <w:sz w:val="28"/>
          <w:szCs w:val="28"/>
          <w:highlight w:val="none"/>
        </w:rPr>
      </w:pPr>
    </w:p>
    <w:p w14:paraId="73346BB6">
      <w:pPr>
        <w:snapToGrid w:val="0"/>
        <w:spacing w:before="50" w:after="120" w:afterLines="5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62"/>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0E913E4">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F30F3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47E9C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AD04A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F2E9E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B5676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0539C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D16DC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76020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3727BC">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33C29">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E8D7A9">
            <w:pPr>
              <w:spacing w:line="360" w:lineRule="auto"/>
              <w:jc w:val="center"/>
              <w:rPr>
                <w:rFonts w:hint="eastAsia" w:ascii="宋体" w:hAnsi="宋体" w:cs="宋体"/>
                <w:color w:val="auto"/>
                <w:kern w:val="0"/>
                <w:sz w:val="24"/>
                <w:highlight w:val="none"/>
              </w:rPr>
            </w:pPr>
          </w:p>
        </w:tc>
      </w:tr>
      <w:tr w14:paraId="2DF7213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8E056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5B27A1">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53AD48">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6060C7">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36DA1">
            <w:pPr>
              <w:spacing w:line="360" w:lineRule="auto"/>
              <w:jc w:val="center"/>
              <w:rPr>
                <w:rFonts w:hint="eastAsia" w:ascii="宋体" w:hAnsi="宋体" w:cs="宋体"/>
                <w:color w:val="auto"/>
                <w:kern w:val="0"/>
                <w:sz w:val="24"/>
                <w:highlight w:val="none"/>
              </w:rPr>
            </w:pPr>
          </w:p>
        </w:tc>
      </w:tr>
      <w:tr w14:paraId="09D80F4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F02B3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652060">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664580">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868C5">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6DD811">
            <w:pPr>
              <w:spacing w:line="360" w:lineRule="auto"/>
              <w:jc w:val="center"/>
              <w:rPr>
                <w:rFonts w:hint="eastAsia" w:ascii="宋体" w:hAnsi="宋体" w:cs="宋体"/>
                <w:color w:val="auto"/>
                <w:kern w:val="0"/>
                <w:sz w:val="24"/>
                <w:highlight w:val="none"/>
              </w:rPr>
            </w:pPr>
          </w:p>
        </w:tc>
      </w:tr>
      <w:tr w14:paraId="0A12FF7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E5666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77323A">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206350">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27433D">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4FE13E">
            <w:pPr>
              <w:spacing w:line="360" w:lineRule="auto"/>
              <w:jc w:val="center"/>
              <w:rPr>
                <w:rFonts w:hint="eastAsia" w:ascii="宋体" w:hAnsi="宋体" w:cs="宋体"/>
                <w:color w:val="auto"/>
                <w:kern w:val="0"/>
                <w:sz w:val="24"/>
                <w:highlight w:val="none"/>
              </w:rPr>
            </w:pPr>
          </w:p>
        </w:tc>
      </w:tr>
    </w:tbl>
    <w:p w14:paraId="6C7820C2">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08ADB8E1">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00B897A">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EB128E9">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34138A55">
      <w:pPr>
        <w:snapToGrid w:val="0"/>
        <w:spacing w:line="360" w:lineRule="auto"/>
        <w:jc w:val="left"/>
        <w:rPr>
          <w:rFonts w:hint="eastAsia" w:ascii="宋体" w:hAnsi="宋体" w:cs="宋体"/>
          <w:color w:val="auto"/>
          <w:sz w:val="24"/>
          <w:highlight w:val="none"/>
        </w:rPr>
      </w:pPr>
    </w:p>
    <w:p w14:paraId="7969D9FA">
      <w:pPr>
        <w:snapToGrid w:val="0"/>
        <w:spacing w:line="360" w:lineRule="auto"/>
        <w:jc w:val="left"/>
        <w:rPr>
          <w:rFonts w:hint="eastAsia" w:ascii="宋体" w:hAnsi="宋体" w:cs="宋体"/>
          <w:color w:val="auto"/>
          <w:sz w:val="24"/>
          <w:highlight w:val="none"/>
        </w:rPr>
      </w:pPr>
    </w:p>
    <w:p w14:paraId="28B8D88B">
      <w:pPr>
        <w:snapToGrid w:val="0"/>
        <w:spacing w:line="360" w:lineRule="auto"/>
        <w:jc w:val="left"/>
        <w:rPr>
          <w:rFonts w:hint="eastAsia" w:ascii="宋体" w:hAnsi="宋体" w:cs="宋体"/>
          <w:color w:val="auto"/>
          <w:sz w:val="24"/>
          <w:highlight w:val="none"/>
        </w:rPr>
      </w:pPr>
    </w:p>
    <w:p w14:paraId="0455C568">
      <w:pPr>
        <w:snapToGrid w:val="0"/>
        <w:spacing w:line="360" w:lineRule="auto"/>
        <w:ind w:left="-2" w:leftChars="-1" w:right="-817" w:rightChars="-389"/>
        <w:rPr>
          <w:rFonts w:hint="eastAsia"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490E77A9">
      <w:pPr>
        <w:snapToGrid w:val="0"/>
        <w:spacing w:line="360" w:lineRule="auto"/>
        <w:ind w:left="-3" w:leftChars="-15" w:right="-817" w:rightChars="-389" w:hanging="28" w:hangingChars="12"/>
        <w:rPr>
          <w:rFonts w:hint="eastAsia"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2EC78F3B">
      <w:pPr>
        <w:snapToGrid w:val="0"/>
        <w:spacing w:line="360" w:lineRule="auto"/>
        <w:jc w:val="left"/>
        <w:rPr>
          <w:rFonts w:hint="eastAsia" w:ascii="宋体" w:hAnsi="宋体" w:cs="宋体"/>
          <w:color w:val="auto"/>
          <w:szCs w:val="21"/>
          <w:highlight w:val="none"/>
        </w:rPr>
      </w:pPr>
      <w:r>
        <w:rPr>
          <w:rFonts w:hint="eastAsia" w:ascii="宋体" w:hAnsi="宋体" w:cs="宋体"/>
          <w:color w:val="auto"/>
          <w:sz w:val="24"/>
          <w:highlight w:val="none"/>
        </w:rPr>
        <w:t xml:space="preserve">                                    日期：    年   月   日</w:t>
      </w:r>
    </w:p>
    <w:p w14:paraId="035E04BE">
      <w:pPr>
        <w:snapToGrid w:val="0"/>
        <w:jc w:val="center"/>
        <w:rPr>
          <w:rFonts w:hint="eastAsia" w:ascii="宋体" w:hAnsi="宋体" w:cs="宋体"/>
          <w:b/>
          <w:color w:val="auto"/>
          <w:sz w:val="28"/>
          <w:szCs w:val="28"/>
          <w:highlight w:val="none"/>
        </w:rPr>
      </w:pPr>
    </w:p>
    <w:p w14:paraId="7164ECE7">
      <w:pPr>
        <w:snapToGrid w:val="0"/>
        <w:spacing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4"/>
          <w:highlight w:val="none"/>
        </w:rPr>
        <w:t>4.</w:t>
      </w:r>
      <w:r>
        <w:rPr>
          <w:rFonts w:hint="eastAsia" w:ascii="宋体" w:hAnsi="宋体" w:cs="宋体"/>
          <w:color w:val="auto"/>
          <w:highlight w:val="none"/>
        </w:rPr>
        <w:t xml:space="preserve"> </w:t>
      </w:r>
      <w:r>
        <w:rPr>
          <w:rFonts w:hint="eastAsia" w:ascii="宋体" w:hAnsi="宋体" w:cs="宋体"/>
          <w:b/>
          <w:color w:val="auto"/>
          <w:sz w:val="28"/>
          <w:szCs w:val="28"/>
          <w:highlight w:val="none"/>
        </w:rPr>
        <w:t>投标人直接管理关系信息表</w:t>
      </w:r>
    </w:p>
    <w:p w14:paraId="248E6661">
      <w:pPr>
        <w:snapToGrid w:val="0"/>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62"/>
        <w:tblW w:w="8570" w:type="dxa"/>
        <w:tblInd w:w="0" w:type="dxa"/>
        <w:tblLayout w:type="fixed"/>
        <w:tblCellMar>
          <w:top w:w="0" w:type="dxa"/>
          <w:left w:w="0" w:type="dxa"/>
          <w:bottom w:w="0" w:type="dxa"/>
          <w:right w:w="0" w:type="dxa"/>
        </w:tblCellMar>
      </w:tblPr>
      <w:tblGrid>
        <w:gridCol w:w="1005"/>
        <w:gridCol w:w="2659"/>
        <w:gridCol w:w="3306"/>
        <w:gridCol w:w="1600"/>
      </w:tblGrid>
      <w:tr w14:paraId="2DED05C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1B5CA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583F0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3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B5D1C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AC3C4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8B3D81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FB7A3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F6A18C">
            <w:pPr>
              <w:spacing w:line="360" w:lineRule="auto"/>
              <w:jc w:val="center"/>
              <w:rPr>
                <w:rFonts w:hint="eastAsia" w:ascii="宋体" w:hAnsi="宋体" w:cs="宋体"/>
                <w:color w:val="auto"/>
                <w:kern w:val="0"/>
                <w:sz w:val="24"/>
                <w:highlight w:val="none"/>
              </w:rPr>
            </w:pPr>
          </w:p>
        </w:tc>
        <w:tc>
          <w:tcPr>
            <w:tcW w:w="33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392B85">
            <w:pPr>
              <w:spacing w:line="360" w:lineRule="auto"/>
              <w:jc w:val="center"/>
              <w:rPr>
                <w:rFonts w:hint="eastAsia" w:ascii="宋体" w:hAnsi="宋体" w:cs="宋体"/>
                <w:color w:val="auto"/>
                <w:kern w:val="0"/>
                <w:sz w:val="24"/>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0704FC">
            <w:pPr>
              <w:spacing w:line="360" w:lineRule="auto"/>
              <w:jc w:val="center"/>
              <w:rPr>
                <w:rFonts w:hint="eastAsia" w:ascii="宋体" w:hAnsi="宋体" w:cs="宋体"/>
                <w:color w:val="auto"/>
                <w:kern w:val="0"/>
                <w:sz w:val="24"/>
                <w:highlight w:val="none"/>
              </w:rPr>
            </w:pPr>
          </w:p>
        </w:tc>
      </w:tr>
      <w:tr w14:paraId="46E7C34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10998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4C265C">
            <w:pPr>
              <w:spacing w:line="360" w:lineRule="auto"/>
              <w:jc w:val="center"/>
              <w:rPr>
                <w:rFonts w:hint="eastAsia" w:ascii="宋体" w:hAnsi="宋体" w:cs="宋体"/>
                <w:color w:val="auto"/>
                <w:kern w:val="0"/>
                <w:sz w:val="24"/>
                <w:highlight w:val="none"/>
              </w:rPr>
            </w:pPr>
          </w:p>
        </w:tc>
        <w:tc>
          <w:tcPr>
            <w:tcW w:w="33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BBE3F6">
            <w:pPr>
              <w:spacing w:line="360" w:lineRule="auto"/>
              <w:jc w:val="center"/>
              <w:rPr>
                <w:rFonts w:hint="eastAsia" w:ascii="宋体" w:hAnsi="宋体" w:cs="宋体"/>
                <w:color w:val="auto"/>
                <w:kern w:val="0"/>
                <w:sz w:val="24"/>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D645C">
            <w:pPr>
              <w:spacing w:line="360" w:lineRule="auto"/>
              <w:jc w:val="center"/>
              <w:rPr>
                <w:rFonts w:hint="eastAsia" w:ascii="宋体" w:hAnsi="宋体" w:cs="宋体"/>
                <w:color w:val="auto"/>
                <w:kern w:val="0"/>
                <w:sz w:val="24"/>
                <w:highlight w:val="none"/>
              </w:rPr>
            </w:pPr>
          </w:p>
        </w:tc>
      </w:tr>
      <w:tr w14:paraId="4A839D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DED54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9A01CD">
            <w:pPr>
              <w:spacing w:line="360" w:lineRule="auto"/>
              <w:jc w:val="center"/>
              <w:rPr>
                <w:rFonts w:hint="eastAsia" w:ascii="宋体" w:hAnsi="宋体" w:cs="宋体"/>
                <w:color w:val="auto"/>
                <w:kern w:val="0"/>
                <w:sz w:val="24"/>
                <w:highlight w:val="none"/>
              </w:rPr>
            </w:pPr>
          </w:p>
        </w:tc>
        <w:tc>
          <w:tcPr>
            <w:tcW w:w="33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CBB447">
            <w:pPr>
              <w:spacing w:line="360" w:lineRule="auto"/>
              <w:jc w:val="center"/>
              <w:rPr>
                <w:rFonts w:hint="eastAsia" w:ascii="宋体" w:hAnsi="宋体" w:cs="宋体"/>
                <w:color w:val="auto"/>
                <w:kern w:val="0"/>
                <w:sz w:val="24"/>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1C237D">
            <w:pPr>
              <w:spacing w:line="360" w:lineRule="auto"/>
              <w:jc w:val="center"/>
              <w:rPr>
                <w:rFonts w:hint="eastAsia" w:ascii="宋体" w:hAnsi="宋体" w:cs="宋体"/>
                <w:color w:val="auto"/>
                <w:kern w:val="0"/>
                <w:sz w:val="24"/>
                <w:highlight w:val="none"/>
              </w:rPr>
            </w:pPr>
          </w:p>
        </w:tc>
      </w:tr>
      <w:tr w14:paraId="7527DEE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B3E96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B96964">
            <w:pPr>
              <w:spacing w:line="360" w:lineRule="auto"/>
              <w:jc w:val="center"/>
              <w:rPr>
                <w:rFonts w:hint="eastAsia" w:ascii="宋体" w:hAnsi="宋体" w:cs="宋体"/>
                <w:color w:val="auto"/>
                <w:kern w:val="0"/>
                <w:sz w:val="24"/>
                <w:highlight w:val="none"/>
              </w:rPr>
            </w:pPr>
          </w:p>
        </w:tc>
        <w:tc>
          <w:tcPr>
            <w:tcW w:w="330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E6B83B">
            <w:pPr>
              <w:spacing w:line="360" w:lineRule="auto"/>
              <w:jc w:val="center"/>
              <w:rPr>
                <w:rFonts w:hint="eastAsia" w:ascii="宋体" w:hAnsi="宋体" w:cs="宋体"/>
                <w:color w:val="auto"/>
                <w:kern w:val="0"/>
                <w:sz w:val="24"/>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A3E285">
            <w:pPr>
              <w:spacing w:line="360" w:lineRule="auto"/>
              <w:jc w:val="center"/>
              <w:rPr>
                <w:rFonts w:hint="eastAsia" w:ascii="宋体" w:hAnsi="宋体" w:cs="宋体"/>
                <w:color w:val="auto"/>
                <w:kern w:val="0"/>
                <w:sz w:val="24"/>
                <w:highlight w:val="none"/>
              </w:rPr>
            </w:pPr>
          </w:p>
        </w:tc>
      </w:tr>
    </w:tbl>
    <w:p w14:paraId="092C5C3B">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2DC8ABA3">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304FC48A">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51CD3080">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15543027">
      <w:pPr>
        <w:snapToGrid w:val="0"/>
        <w:spacing w:line="360" w:lineRule="auto"/>
        <w:jc w:val="left"/>
        <w:rPr>
          <w:rFonts w:hint="eastAsia" w:ascii="宋体" w:hAnsi="宋体" w:cs="宋体"/>
          <w:color w:val="auto"/>
          <w:sz w:val="24"/>
          <w:highlight w:val="none"/>
        </w:rPr>
      </w:pPr>
    </w:p>
    <w:p w14:paraId="501CC11D">
      <w:pPr>
        <w:snapToGrid w:val="0"/>
        <w:spacing w:line="360" w:lineRule="auto"/>
        <w:jc w:val="left"/>
        <w:rPr>
          <w:rFonts w:hint="eastAsia" w:ascii="宋体" w:hAnsi="宋体" w:cs="宋体"/>
          <w:color w:val="auto"/>
          <w:sz w:val="24"/>
          <w:highlight w:val="none"/>
        </w:rPr>
      </w:pPr>
    </w:p>
    <w:p w14:paraId="2B9EB06F">
      <w:pPr>
        <w:snapToGrid w:val="0"/>
        <w:spacing w:line="360" w:lineRule="auto"/>
        <w:jc w:val="left"/>
        <w:rPr>
          <w:rFonts w:hint="eastAsia" w:ascii="宋体" w:hAnsi="宋体" w:cs="宋体"/>
          <w:color w:val="auto"/>
          <w:sz w:val="24"/>
          <w:highlight w:val="none"/>
        </w:rPr>
      </w:pPr>
    </w:p>
    <w:p w14:paraId="24530C51">
      <w:pPr>
        <w:snapToGrid w:val="0"/>
        <w:spacing w:line="360" w:lineRule="auto"/>
        <w:jc w:val="left"/>
        <w:rPr>
          <w:rFonts w:hint="eastAsia" w:ascii="宋体" w:hAnsi="宋体" w:cs="宋体"/>
          <w:color w:val="auto"/>
          <w:sz w:val="24"/>
          <w:highlight w:val="none"/>
        </w:rPr>
      </w:pPr>
    </w:p>
    <w:p w14:paraId="4205DE78">
      <w:pPr>
        <w:snapToGrid w:val="0"/>
        <w:spacing w:line="360" w:lineRule="auto"/>
        <w:ind w:left="-2" w:leftChars="-1" w:right="-817" w:rightChars="-389"/>
        <w:rPr>
          <w:rFonts w:hint="eastAsia" w:ascii="宋体" w:hAnsi="宋体" w:cs="宋体"/>
          <w:color w:val="auto"/>
          <w:sz w:val="24"/>
          <w:highlight w:val="none"/>
        </w:rPr>
      </w:pPr>
      <w:r>
        <w:rPr>
          <w:rFonts w:hint="eastAsia" w:ascii="宋体" w:hAnsi="宋体" w:cs="宋体"/>
          <w:color w:val="auto"/>
          <w:sz w:val="24"/>
          <w:highlight w:val="none"/>
        </w:rPr>
        <w:t xml:space="preserve">            法定代表人或者委托代理人（签字或者电子签名）：</w:t>
      </w:r>
    </w:p>
    <w:p w14:paraId="1460F578">
      <w:pPr>
        <w:snapToGrid w:val="0"/>
        <w:spacing w:line="360" w:lineRule="auto"/>
        <w:ind w:left="-3" w:leftChars="-15" w:right="-817" w:rightChars="-389" w:hanging="28" w:hangingChars="12"/>
        <w:rPr>
          <w:rFonts w:hint="eastAsia"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49EA3B6D">
      <w:pPr>
        <w:snapToGrid w:val="0"/>
        <w:spacing w:line="360" w:lineRule="auto"/>
        <w:ind w:right="480" w:firstLine="240" w:firstLineChars="100"/>
        <w:jc w:val="left"/>
        <w:rPr>
          <w:rFonts w:hint="eastAsia" w:ascii="宋体" w:hAnsi="宋体" w:cs="宋体"/>
          <w:color w:val="auto"/>
          <w:szCs w:val="21"/>
          <w:highlight w:val="none"/>
        </w:rPr>
      </w:pPr>
      <w:r>
        <w:rPr>
          <w:rFonts w:hint="eastAsia" w:ascii="宋体" w:hAnsi="宋体" w:cs="宋体"/>
          <w:color w:val="auto"/>
          <w:sz w:val="24"/>
          <w:highlight w:val="none"/>
        </w:rPr>
        <w:t xml:space="preserve">                                日期：    年   月   日</w:t>
      </w:r>
    </w:p>
    <w:p w14:paraId="5B266997">
      <w:pPr>
        <w:snapToGrid w:val="0"/>
        <w:spacing w:before="120" w:beforeLines="50" w:after="50"/>
        <w:jc w:val="left"/>
        <w:rPr>
          <w:rFonts w:hint="eastAsia" w:ascii="宋体" w:hAnsi="宋体" w:cs="宋体"/>
          <w:color w:val="auto"/>
          <w:sz w:val="24"/>
          <w:highlight w:val="none"/>
        </w:rPr>
      </w:pPr>
    </w:p>
    <w:p w14:paraId="39539FC6">
      <w:pPr>
        <w:snapToGrid w:val="0"/>
        <w:spacing w:before="50" w:after="120" w:afterLines="50"/>
        <w:jc w:val="left"/>
        <w:rPr>
          <w:rFonts w:hint="eastAsia" w:ascii="宋体" w:hAnsi="宋体" w:cs="宋体"/>
          <w:color w:val="auto"/>
          <w:szCs w:val="21"/>
          <w:highlight w:val="none"/>
        </w:rPr>
      </w:pPr>
    </w:p>
    <w:p w14:paraId="6C5A5719">
      <w:pPr>
        <w:snapToGrid w:val="0"/>
        <w:spacing w:before="120" w:beforeLines="50" w:after="50"/>
        <w:jc w:val="left"/>
        <w:rPr>
          <w:rFonts w:hint="eastAsia" w:ascii="宋体" w:hAnsi="宋体" w:cs="宋体"/>
          <w:b/>
          <w:color w:val="auto"/>
          <w:sz w:val="24"/>
          <w:szCs w:val="20"/>
          <w:highlight w:val="none"/>
        </w:rPr>
      </w:pPr>
    </w:p>
    <w:p w14:paraId="788EEEDB">
      <w:pPr>
        <w:snapToGrid w:val="0"/>
        <w:spacing w:before="120" w:beforeLines="50" w:after="50"/>
        <w:ind w:left="142"/>
        <w:jc w:val="left"/>
        <w:rPr>
          <w:rFonts w:hint="eastAsia" w:ascii="宋体" w:hAnsi="宋体" w:cs="宋体"/>
          <w:b/>
          <w:color w:val="auto"/>
          <w:sz w:val="24"/>
          <w:highlight w:val="none"/>
        </w:rPr>
      </w:pPr>
    </w:p>
    <w:p w14:paraId="2F5A2668">
      <w:pPr>
        <w:snapToGrid w:val="0"/>
        <w:spacing w:before="120" w:beforeLines="50" w:after="50"/>
        <w:ind w:left="142"/>
        <w:jc w:val="left"/>
        <w:rPr>
          <w:rFonts w:hint="eastAsia" w:ascii="宋体" w:hAnsi="宋体" w:cs="宋体"/>
          <w:b/>
          <w:color w:val="auto"/>
          <w:sz w:val="24"/>
          <w:highlight w:val="none"/>
        </w:rPr>
      </w:pPr>
    </w:p>
    <w:p w14:paraId="451991D0">
      <w:pPr>
        <w:snapToGrid w:val="0"/>
        <w:spacing w:before="120" w:beforeLines="50" w:after="50"/>
        <w:ind w:left="142"/>
        <w:jc w:val="left"/>
        <w:rPr>
          <w:rFonts w:hint="eastAsia" w:ascii="宋体" w:hAnsi="宋体" w:cs="宋体"/>
          <w:b/>
          <w:color w:val="auto"/>
          <w:sz w:val="24"/>
          <w:highlight w:val="none"/>
        </w:rPr>
      </w:pPr>
    </w:p>
    <w:p w14:paraId="09DDDEB6">
      <w:pPr>
        <w:snapToGrid w:val="0"/>
        <w:spacing w:before="120" w:beforeLines="50" w:after="50"/>
        <w:ind w:left="142"/>
        <w:jc w:val="left"/>
        <w:rPr>
          <w:rFonts w:hint="eastAsia" w:ascii="宋体" w:hAnsi="宋体" w:cs="宋体"/>
          <w:b/>
          <w:color w:val="auto"/>
          <w:sz w:val="24"/>
          <w:highlight w:val="none"/>
        </w:rPr>
      </w:pPr>
    </w:p>
    <w:p w14:paraId="02B58061">
      <w:pPr>
        <w:pStyle w:val="44"/>
        <w:ind w:firstLine="422"/>
        <w:rPr>
          <w:rFonts w:hint="eastAsia" w:hAnsi="宋体" w:cs="宋体"/>
          <w:color w:val="auto"/>
          <w:highlight w:val="none"/>
        </w:rPr>
      </w:pPr>
    </w:p>
    <w:p w14:paraId="34E7A658">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343D6C68">
      <w:pPr>
        <w:snapToGrid w:val="0"/>
        <w:spacing w:before="120" w:beforeLines="50" w:after="50"/>
        <w:ind w:left="142"/>
        <w:jc w:val="left"/>
        <w:rPr>
          <w:rFonts w:hint="eastAsia" w:ascii="宋体" w:hAnsi="宋体" w:cs="宋体"/>
          <w:b/>
          <w:color w:val="auto"/>
          <w:sz w:val="24"/>
          <w:szCs w:val="20"/>
          <w:highlight w:val="none"/>
        </w:rPr>
      </w:pPr>
      <w:r>
        <w:rPr>
          <w:rFonts w:hint="eastAsia" w:ascii="宋体" w:hAnsi="宋体" w:cs="宋体"/>
          <w:b/>
          <w:color w:val="auto"/>
          <w:sz w:val="24"/>
          <w:highlight w:val="none"/>
        </w:rPr>
        <w:t>5.投标声明</w:t>
      </w:r>
    </w:p>
    <w:p w14:paraId="003F1FF8">
      <w:pPr>
        <w:snapToGrid w:val="0"/>
        <w:spacing w:before="50" w:after="120" w:afterLines="50"/>
        <w:jc w:val="left"/>
        <w:rPr>
          <w:rFonts w:hint="eastAsia" w:ascii="宋体" w:hAnsi="宋体" w:cs="宋体"/>
          <w:color w:val="auto"/>
          <w:highlight w:val="none"/>
        </w:rPr>
      </w:pPr>
    </w:p>
    <w:p w14:paraId="7D8F5049">
      <w:pPr>
        <w:snapToGrid w:val="0"/>
        <w:spacing w:before="50" w:after="120" w:afterLines="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投标声明</w:t>
      </w:r>
    </w:p>
    <w:p w14:paraId="1E0B646B">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（采购人名称）：</w:t>
      </w:r>
    </w:p>
    <w:p w14:paraId="6FE72518">
      <w:pPr>
        <w:spacing w:line="400" w:lineRule="exact"/>
        <w:ind w:firstLine="523" w:firstLineChars="218"/>
        <w:jc w:val="left"/>
        <w:rPr>
          <w:rFonts w:hint="eastAsia"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71B165B8">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81C6D6C">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3A452207">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38AB4098">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（一）具有独立承担民事责任的能力；</w:t>
      </w:r>
    </w:p>
    <w:p w14:paraId="5232E387">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1BF0BADF">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77FDEFE4">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5E10758C">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1DBFDBF7">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（六）法律、行政法规规定的其他条件。</w:t>
      </w:r>
    </w:p>
    <w:p w14:paraId="22C3AB78">
      <w:pPr>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7312C474">
      <w:pPr>
        <w:spacing w:line="400" w:lineRule="exact"/>
        <w:ind w:firstLine="468"/>
        <w:jc w:val="left"/>
        <w:rPr>
          <w:rFonts w:hint="eastAsia" w:ascii="宋体" w:hAnsi="宋体" w:cs="宋体"/>
          <w:color w:val="auto"/>
          <w:sz w:val="24"/>
          <w:highlight w:val="none"/>
        </w:rPr>
      </w:pPr>
      <w:r>
        <w:rPr>
          <w:rFonts w:hint="eastAsia" w:ascii="宋体" w:hAnsi="宋体" w:cs="宋体"/>
          <w:color w:val="auto"/>
          <w:sz w:val="24"/>
          <w:highlight w:val="none"/>
        </w:rPr>
        <w:t>特此承诺。</w:t>
      </w:r>
    </w:p>
    <w:p w14:paraId="233C43AF">
      <w:pPr>
        <w:spacing w:line="400" w:lineRule="exact"/>
        <w:ind w:firstLine="468"/>
        <w:jc w:val="left"/>
        <w:rPr>
          <w:rFonts w:hint="eastAsia" w:ascii="宋体" w:hAnsi="宋体" w:cs="宋体"/>
          <w:color w:val="auto"/>
          <w:sz w:val="24"/>
          <w:highlight w:val="none"/>
        </w:rPr>
      </w:pPr>
    </w:p>
    <w:p w14:paraId="5EECEB67">
      <w:pPr>
        <w:snapToGrid w:val="0"/>
        <w:spacing w:before="50" w:after="50"/>
        <w:ind w:firstLine="1063" w:firstLineChars="441"/>
        <w:rPr>
          <w:rFonts w:hint="eastAsia" w:ascii="宋体" w:hAnsi="宋体" w:cs="宋体"/>
          <w:color w:val="auto"/>
          <w:spacing w:val="20"/>
          <w:sz w:val="24"/>
          <w:highlight w:val="none"/>
          <w:u w:val="single"/>
        </w:rPr>
      </w:pPr>
      <w:r>
        <w:rPr>
          <w:rFonts w:hint="eastAsia" w:ascii="宋体" w:hAnsi="宋体" w:cs="宋体"/>
          <w:b/>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r>
        <w:rPr>
          <w:rFonts w:hint="eastAsia" w:ascii="宋体" w:hAnsi="宋体" w:cs="宋体"/>
          <w:color w:val="auto"/>
          <w:spacing w:val="20"/>
          <w:sz w:val="24"/>
          <w:highlight w:val="none"/>
          <w:u w:val="single"/>
        </w:rPr>
        <w:t xml:space="preserve">        </w:t>
      </w:r>
    </w:p>
    <w:p w14:paraId="0D279CF2">
      <w:pPr>
        <w:spacing w:line="400" w:lineRule="exact"/>
        <w:jc w:val="left"/>
        <w:rPr>
          <w:rFonts w:hint="eastAsia" w:ascii="宋体" w:hAnsi="宋体" w:cs="宋体"/>
          <w:color w:val="auto"/>
          <w:sz w:val="24"/>
          <w:highlight w:val="none"/>
        </w:rPr>
      </w:pPr>
    </w:p>
    <w:p w14:paraId="7A438F13">
      <w:pPr>
        <w:spacing w:line="40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 xml:space="preserve">                             投标人名称（电子签章）：</w:t>
      </w:r>
      <w:r>
        <w:rPr>
          <w:rFonts w:hint="eastAsia" w:ascii="宋体" w:hAnsi="宋体" w:cs="宋体"/>
          <w:color w:val="auto"/>
          <w:sz w:val="24"/>
          <w:highlight w:val="none"/>
          <w:u w:val="single"/>
        </w:rPr>
        <w:t xml:space="preserve">                 </w:t>
      </w:r>
    </w:p>
    <w:p w14:paraId="7DB339FB">
      <w:pPr>
        <w:pStyle w:val="39"/>
        <w:rPr>
          <w:rFonts w:hint="eastAsia" w:ascii="宋体" w:hAnsi="宋体" w:cs="宋体"/>
          <w:color w:val="auto"/>
          <w:highlight w:val="none"/>
        </w:rPr>
      </w:pPr>
    </w:p>
    <w:p w14:paraId="368859B3">
      <w:pPr>
        <w:spacing w:line="400" w:lineRule="exact"/>
        <w:jc w:val="left"/>
        <w:rPr>
          <w:rFonts w:hint="eastAsia" w:ascii="宋体" w:hAnsi="宋体" w:cs="宋体"/>
          <w:color w:val="auto"/>
          <w:highlight w:val="none"/>
        </w:rPr>
      </w:pPr>
      <w:r>
        <w:rPr>
          <w:rFonts w:hint="eastAsia" w:ascii="宋体" w:hAnsi="宋体" w:cs="宋体"/>
          <w:color w:val="auto"/>
          <w:sz w:val="24"/>
          <w:highlight w:val="none"/>
        </w:rPr>
        <w:t xml:space="preserve">                                                  年    月    日</w:t>
      </w:r>
    </w:p>
    <w:p w14:paraId="060338BE">
      <w:pPr>
        <w:snapToGrid w:val="0"/>
        <w:spacing w:before="120" w:beforeLines="50" w:after="50"/>
        <w:jc w:val="left"/>
        <w:rPr>
          <w:rFonts w:hint="eastAsia" w:ascii="宋体" w:hAnsi="宋体" w:cs="宋体"/>
          <w:color w:val="auto"/>
          <w:sz w:val="24"/>
          <w:highlight w:val="none"/>
        </w:rPr>
      </w:pPr>
    </w:p>
    <w:p w14:paraId="25937993">
      <w:pPr>
        <w:spacing w:line="400" w:lineRule="exact"/>
        <w:contextualSpacing/>
        <w:jc w:val="left"/>
        <w:rPr>
          <w:rFonts w:hint="eastAsia" w:ascii="宋体" w:hAnsi="宋体" w:cs="宋体"/>
          <w:color w:val="auto"/>
          <w:sz w:val="24"/>
          <w:highlight w:val="none"/>
        </w:rPr>
      </w:pPr>
    </w:p>
    <w:p w14:paraId="57B5D7E7">
      <w:pPr>
        <w:pStyle w:val="44"/>
        <w:ind w:firstLine="422"/>
        <w:rPr>
          <w:rFonts w:hint="eastAsia" w:hAnsi="宋体" w:cs="宋体"/>
          <w:color w:val="auto"/>
          <w:highlight w:val="none"/>
        </w:rPr>
      </w:pPr>
    </w:p>
    <w:p w14:paraId="6BC2F8AD">
      <w:pPr>
        <w:rPr>
          <w:rFonts w:hint="eastAsia" w:ascii="宋体" w:hAnsi="宋体" w:cs="宋体"/>
          <w:color w:val="auto"/>
          <w:highlight w:val="none"/>
        </w:rPr>
      </w:pPr>
    </w:p>
    <w:p w14:paraId="1922C253">
      <w:pPr>
        <w:spacing w:line="400" w:lineRule="exact"/>
        <w:contextualSpacing/>
        <w:jc w:val="left"/>
        <w:rPr>
          <w:rFonts w:hint="eastAsia" w:ascii="宋体" w:hAnsi="宋体" w:cs="宋体"/>
          <w:color w:val="auto"/>
          <w:sz w:val="24"/>
          <w:highlight w:val="none"/>
        </w:rPr>
      </w:pPr>
    </w:p>
    <w:p w14:paraId="3DC2FEDB">
      <w:pPr>
        <w:spacing w:line="400" w:lineRule="exact"/>
        <w:contextualSpacing/>
        <w:jc w:val="left"/>
        <w:rPr>
          <w:rFonts w:hint="eastAsia" w:ascii="宋体" w:hAnsi="宋体" w:cs="宋体"/>
          <w:color w:val="auto"/>
          <w:sz w:val="24"/>
          <w:highlight w:val="none"/>
        </w:rPr>
      </w:pPr>
    </w:p>
    <w:p w14:paraId="5DF860F1">
      <w:pPr>
        <w:rPr>
          <w:rFonts w:hint="eastAsia" w:ascii="宋体" w:hAnsi="宋体" w:cs="宋体"/>
          <w:b/>
          <w:color w:val="auto"/>
          <w:sz w:val="28"/>
          <w:szCs w:val="28"/>
          <w:highlight w:val="none"/>
        </w:rPr>
      </w:pPr>
      <w:bookmarkStart w:id="144" w:name="_Toc19686838"/>
      <w:r>
        <w:rPr>
          <w:rFonts w:hint="eastAsia" w:ascii="宋体" w:hAnsi="宋体" w:cs="宋体"/>
          <w:b/>
          <w:color w:val="auto"/>
          <w:sz w:val="28"/>
          <w:szCs w:val="28"/>
          <w:highlight w:val="none"/>
        </w:rPr>
        <w:br w:type="page"/>
      </w:r>
    </w:p>
    <w:p w14:paraId="441F63E3">
      <w:pPr>
        <w:rPr>
          <w:rFonts w:hint="eastAsia" w:ascii="宋体" w:hAnsi="宋体" w:cs="宋体"/>
          <w:b/>
          <w:color w:val="auto"/>
          <w:sz w:val="28"/>
          <w:szCs w:val="28"/>
          <w:highlight w:val="none"/>
        </w:rPr>
      </w:pPr>
      <w:r>
        <w:rPr>
          <w:rFonts w:hint="eastAsia" w:ascii="宋体" w:hAnsi="宋体" w:cs="宋体"/>
          <w:b/>
          <w:color w:val="auto"/>
          <w:sz w:val="28"/>
          <w:szCs w:val="28"/>
          <w:highlight w:val="none"/>
        </w:rPr>
        <w:t>三、商务技术文件格式</w:t>
      </w:r>
      <w:bookmarkEnd w:id="144"/>
    </w:p>
    <w:p w14:paraId="5F0E3C42">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1.商务技术文件封面格式： </w:t>
      </w:r>
    </w:p>
    <w:p w14:paraId="6B69E0BE">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1AA6ACB7">
      <w:pPr>
        <w:snapToGrid w:val="0"/>
        <w:spacing w:before="120" w:beforeLines="50" w:after="50"/>
        <w:rPr>
          <w:rFonts w:hint="eastAsia" w:ascii="宋体" w:hAnsi="宋体" w:cs="宋体"/>
          <w:color w:val="auto"/>
          <w:sz w:val="24"/>
          <w:szCs w:val="20"/>
          <w:highlight w:val="none"/>
        </w:rPr>
      </w:pPr>
    </w:p>
    <w:p w14:paraId="33CE2699">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商务技术文件</w:t>
      </w:r>
    </w:p>
    <w:p w14:paraId="568B51AC">
      <w:pPr>
        <w:snapToGrid w:val="0"/>
        <w:spacing w:before="120" w:beforeLines="50" w:after="50"/>
        <w:rPr>
          <w:rFonts w:hint="eastAsia" w:ascii="宋体" w:hAnsi="宋体" w:cs="宋体"/>
          <w:bCs/>
          <w:color w:val="auto"/>
          <w:sz w:val="24"/>
          <w:szCs w:val="20"/>
          <w:highlight w:val="none"/>
        </w:rPr>
      </w:pPr>
    </w:p>
    <w:p w14:paraId="159866C0">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7AC40132">
      <w:pPr>
        <w:snapToGrid w:val="0"/>
        <w:spacing w:before="120" w:beforeLines="50" w:after="50"/>
        <w:ind w:firstLine="540" w:firstLineChars="225"/>
        <w:rPr>
          <w:rFonts w:hint="eastAsia" w:ascii="宋体" w:hAnsi="宋体" w:cs="宋体"/>
          <w:bCs/>
          <w:color w:val="auto"/>
          <w:sz w:val="24"/>
          <w:szCs w:val="20"/>
          <w:highlight w:val="none"/>
        </w:rPr>
      </w:pPr>
    </w:p>
    <w:p w14:paraId="6C416274">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6C3AC641">
      <w:pPr>
        <w:snapToGrid w:val="0"/>
        <w:spacing w:before="120" w:beforeLines="50" w:after="50"/>
        <w:ind w:firstLine="540" w:firstLineChars="225"/>
        <w:rPr>
          <w:rFonts w:hint="eastAsia" w:ascii="宋体" w:hAnsi="宋体" w:cs="宋体"/>
          <w:bCs/>
          <w:color w:val="auto"/>
          <w:sz w:val="24"/>
          <w:szCs w:val="20"/>
          <w:highlight w:val="none"/>
        </w:rPr>
      </w:pPr>
    </w:p>
    <w:p w14:paraId="3FEA2EC1">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E107211">
      <w:pPr>
        <w:snapToGrid w:val="0"/>
        <w:spacing w:before="120" w:beforeLines="50" w:after="50"/>
        <w:ind w:firstLine="540" w:firstLineChars="225"/>
        <w:rPr>
          <w:rFonts w:hint="eastAsia" w:ascii="宋体" w:hAnsi="宋体" w:cs="宋体"/>
          <w:bCs/>
          <w:color w:val="auto"/>
          <w:sz w:val="24"/>
          <w:szCs w:val="20"/>
          <w:highlight w:val="none"/>
        </w:rPr>
      </w:pPr>
    </w:p>
    <w:p w14:paraId="2EA71EC4">
      <w:pPr>
        <w:pStyle w:val="8"/>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314F811">
      <w:pPr>
        <w:pStyle w:val="8"/>
        <w:snapToGrid w:val="0"/>
        <w:spacing w:before="50" w:after="50"/>
        <w:ind w:firstLine="540" w:firstLineChars="225"/>
        <w:rPr>
          <w:rFonts w:hint="eastAsia" w:ascii="宋体" w:hAnsi="宋体" w:cs="宋体"/>
          <w:bCs/>
          <w:color w:val="auto"/>
          <w:sz w:val="24"/>
          <w:szCs w:val="24"/>
          <w:highlight w:val="none"/>
        </w:rPr>
      </w:pPr>
    </w:p>
    <w:p w14:paraId="3A99F571">
      <w:pPr>
        <w:pStyle w:val="8"/>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3B623BBA">
      <w:pPr>
        <w:pStyle w:val="8"/>
        <w:snapToGrid w:val="0"/>
        <w:spacing w:before="50" w:after="50"/>
        <w:ind w:firstLine="960" w:firstLineChars="400"/>
        <w:rPr>
          <w:rFonts w:hint="eastAsia" w:ascii="宋体" w:hAnsi="宋体" w:cs="宋体"/>
          <w:bCs/>
          <w:color w:val="auto"/>
          <w:sz w:val="24"/>
          <w:szCs w:val="24"/>
          <w:highlight w:val="none"/>
        </w:rPr>
      </w:pPr>
    </w:p>
    <w:p w14:paraId="2FEFD11B">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1E84B9C">
      <w:pPr>
        <w:snapToGrid w:val="0"/>
        <w:spacing w:before="120" w:beforeLines="50" w:after="50"/>
        <w:rPr>
          <w:rFonts w:hint="eastAsia" w:ascii="宋体" w:hAnsi="宋体" w:cs="宋体"/>
          <w:color w:val="auto"/>
          <w:sz w:val="24"/>
          <w:szCs w:val="20"/>
          <w:highlight w:val="none"/>
        </w:rPr>
      </w:pPr>
    </w:p>
    <w:p w14:paraId="2DDB7011">
      <w:pPr>
        <w:snapToGrid w:val="0"/>
        <w:spacing w:line="360" w:lineRule="auto"/>
        <w:jc w:val="left"/>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2.商务技术文件目录</w:t>
      </w:r>
    </w:p>
    <w:p w14:paraId="73CA23D1">
      <w:pPr>
        <w:snapToGrid w:val="0"/>
        <w:spacing w:before="50" w:after="120" w:afterLines="50" w:line="360" w:lineRule="auto"/>
        <w:jc w:val="left"/>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39EB6D00">
      <w:pPr>
        <w:snapToGrid w:val="0"/>
        <w:spacing w:before="50" w:after="120" w:afterLines="50"/>
        <w:jc w:val="left"/>
        <w:rPr>
          <w:rFonts w:hint="eastAsia" w:ascii="宋体" w:hAnsi="宋体" w:cs="宋体"/>
          <w:color w:val="auto"/>
          <w:highlight w:val="none"/>
        </w:rPr>
      </w:pPr>
    </w:p>
    <w:p w14:paraId="1611C248">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77C1DC3E">
      <w:pPr>
        <w:snapToGrid w:val="0"/>
        <w:spacing w:before="120" w:beforeLines="50" w:after="50"/>
        <w:jc w:val="left"/>
        <w:rPr>
          <w:rFonts w:hint="eastAsia" w:ascii="宋体" w:hAnsi="宋体" w:cs="宋体"/>
          <w:b/>
          <w:color w:val="auto"/>
          <w:sz w:val="24"/>
          <w:highlight w:val="none"/>
        </w:rPr>
      </w:pPr>
    </w:p>
    <w:p w14:paraId="79114F3D">
      <w:pPr>
        <w:snapToGrid w:val="0"/>
        <w:spacing w:before="120" w:beforeLines="50" w:after="50"/>
        <w:ind w:left="420"/>
        <w:jc w:val="center"/>
        <w:rPr>
          <w:rFonts w:hint="eastAsia" w:ascii="宋体" w:hAnsi="宋体" w:cs="宋体"/>
          <w:b/>
          <w:color w:val="auto"/>
          <w:spacing w:val="-17"/>
          <w:sz w:val="32"/>
          <w:szCs w:val="32"/>
          <w:highlight w:val="none"/>
        </w:rPr>
      </w:pPr>
      <w:r>
        <w:rPr>
          <w:rFonts w:hint="eastAsia" w:ascii="宋体" w:hAnsi="宋体" w:cs="宋体"/>
          <w:bCs/>
          <w:color w:val="auto"/>
          <w:spacing w:val="-17"/>
          <w:sz w:val="44"/>
          <w:szCs w:val="44"/>
          <w:highlight w:val="none"/>
        </w:rPr>
        <w:t>投标人参加本项目无围标串标行为的承诺函</w:t>
      </w:r>
    </w:p>
    <w:p w14:paraId="29E77F86">
      <w:pPr>
        <w:snapToGrid w:val="0"/>
        <w:spacing w:before="120" w:beforeLines="50" w:after="50"/>
        <w:rPr>
          <w:rFonts w:hint="eastAsia" w:ascii="宋体" w:hAnsi="宋体" w:cs="宋体"/>
          <w:b/>
          <w:color w:val="auto"/>
          <w:sz w:val="24"/>
          <w:highlight w:val="none"/>
        </w:rPr>
      </w:pPr>
    </w:p>
    <w:p w14:paraId="1E4F8213">
      <w:pPr>
        <w:spacing w:line="400" w:lineRule="exact"/>
        <w:contextualSpacing/>
        <w:jc w:val="left"/>
        <w:rPr>
          <w:rFonts w:hint="eastAsia"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38CF2573">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1.不同投标人的投标文件由同一单位或者个人编制； </w:t>
      </w:r>
    </w:p>
    <w:p w14:paraId="061FC5C9">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2063FD70">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40305DDC">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18FB903A">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5.不同投标人的投标文件相互混装；</w:t>
      </w:r>
    </w:p>
    <w:p w14:paraId="329B95D8">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4FBEDF4A">
      <w:pPr>
        <w:spacing w:line="400" w:lineRule="exact"/>
        <w:contextualSpacing/>
        <w:jc w:val="left"/>
        <w:rPr>
          <w:rFonts w:hint="eastAsia"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556037A9">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533CC6CC">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5CAFA695">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5F00006E">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4459EE46">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4B2BA6B3">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252767A3">
      <w:pPr>
        <w:spacing w:line="400" w:lineRule="exact"/>
        <w:ind w:firstLine="470" w:firstLineChars="196"/>
        <w:contextualSpacing/>
        <w:jc w:val="left"/>
        <w:rPr>
          <w:rFonts w:hint="eastAsia"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1E2685C3">
      <w:pPr>
        <w:spacing w:line="400" w:lineRule="exact"/>
        <w:ind w:firstLine="472" w:firstLineChars="196"/>
        <w:contextualSpacing/>
        <w:jc w:val="left"/>
        <w:rPr>
          <w:rFonts w:hint="eastAsia"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6D910BB9">
      <w:pPr>
        <w:pStyle w:val="32"/>
        <w:rPr>
          <w:rFonts w:hint="eastAsia" w:hAnsi="宋体" w:cs="宋体"/>
          <w:color w:val="auto"/>
          <w:highlight w:val="none"/>
        </w:rPr>
      </w:pPr>
    </w:p>
    <w:p w14:paraId="14FA56FB">
      <w:pPr>
        <w:pStyle w:val="32"/>
        <w:rPr>
          <w:rFonts w:hint="eastAsia" w:hAnsi="宋体" w:cs="宋体"/>
          <w:color w:val="auto"/>
          <w:highlight w:val="none"/>
        </w:rPr>
      </w:pPr>
      <w:r>
        <w:rPr>
          <w:rFonts w:hint="eastAsia" w:hAnsi="宋体" w:cs="宋体"/>
          <w:color w:val="auto"/>
          <w:highlight w:val="none"/>
        </w:rPr>
        <w:t>投标人名称（电子签章）</w:t>
      </w:r>
    </w:p>
    <w:p w14:paraId="2D1D1100">
      <w:pPr>
        <w:pStyle w:val="32"/>
        <w:rPr>
          <w:rFonts w:hint="eastAsia" w:hAnsi="宋体" w:cs="宋体"/>
          <w:color w:val="auto"/>
          <w:highlight w:val="none"/>
        </w:rPr>
      </w:pPr>
      <w:r>
        <w:rPr>
          <w:rFonts w:hint="eastAsia" w:hAnsi="宋体" w:cs="宋体"/>
          <w:color w:val="auto"/>
          <w:highlight w:val="none"/>
        </w:rPr>
        <w:t>年月日</w:t>
      </w:r>
    </w:p>
    <w:p w14:paraId="017FFD14">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4.法定代表人身份证明</w:t>
      </w:r>
    </w:p>
    <w:p w14:paraId="2CC25500">
      <w:pPr>
        <w:spacing w:before="240" w:beforeLines="100" w:after="120" w:afterLines="50"/>
        <w:ind w:left="540"/>
        <w:jc w:val="center"/>
        <w:rPr>
          <w:rFonts w:hint="eastAsia" w:ascii="宋体" w:hAnsi="宋体" w:cs="宋体"/>
          <w:b/>
          <w:color w:val="auto"/>
          <w:sz w:val="32"/>
          <w:szCs w:val="32"/>
          <w:highlight w:val="none"/>
        </w:rPr>
      </w:pPr>
    </w:p>
    <w:p w14:paraId="5DB73475">
      <w:pPr>
        <w:spacing w:before="240" w:beforeLines="100" w:after="120" w:afterLines="50"/>
        <w:ind w:left="54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34B62A1C">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投 标 人：</w:t>
      </w:r>
    </w:p>
    <w:p w14:paraId="34EF2648">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地    址：</w:t>
      </w:r>
    </w:p>
    <w:p w14:paraId="4C14D4BD">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姓    名：性      别：</w:t>
      </w:r>
    </w:p>
    <w:p w14:paraId="06265AB5">
      <w:pPr>
        <w:spacing w:line="500" w:lineRule="exact"/>
        <w:ind w:left="540"/>
        <w:rPr>
          <w:rFonts w:hint="eastAsia" w:ascii="宋体" w:hAnsi="宋体" w:cs="宋体"/>
          <w:color w:val="auto"/>
          <w:sz w:val="24"/>
          <w:highlight w:val="none"/>
          <w:u w:val="single"/>
        </w:rPr>
      </w:pPr>
      <w:r>
        <w:rPr>
          <w:rFonts w:hint="eastAsia" w:ascii="宋体" w:hAnsi="宋体" w:cs="宋体"/>
          <w:color w:val="auto"/>
          <w:sz w:val="24"/>
          <w:highlight w:val="none"/>
        </w:rPr>
        <w:t>年    龄：职      务：</w:t>
      </w:r>
    </w:p>
    <w:p w14:paraId="6768F42E">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身份证号码：</w:t>
      </w:r>
    </w:p>
    <w:p w14:paraId="7C4C5D78">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1424CC3D">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特此证明。</w:t>
      </w:r>
    </w:p>
    <w:p w14:paraId="0BEBBFD2">
      <w:pPr>
        <w:spacing w:line="500" w:lineRule="exact"/>
        <w:ind w:left="540"/>
        <w:rPr>
          <w:rFonts w:hint="eastAsia" w:ascii="宋体" w:hAnsi="宋体" w:cs="宋体"/>
          <w:color w:val="auto"/>
          <w:sz w:val="24"/>
          <w:highlight w:val="none"/>
        </w:rPr>
      </w:pPr>
    </w:p>
    <w:p w14:paraId="6A11AD4C">
      <w:pPr>
        <w:spacing w:line="500" w:lineRule="exact"/>
        <w:ind w:left="540"/>
        <w:rPr>
          <w:rFonts w:hint="eastAsia" w:ascii="宋体" w:hAnsi="宋体" w:cs="宋体"/>
          <w:color w:val="auto"/>
          <w:sz w:val="24"/>
          <w:highlight w:val="none"/>
        </w:rPr>
      </w:pPr>
    </w:p>
    <w:p w14:paraId="2EB87249">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9FA8474">
      <w:pPr>
        <w:spacing w:line="500" w:lineRule="exact"/>
        <w:ind w:left="540"/>
        <w:rPr>
          <w:rFonts w:hint="eastAsia" w:ascii="宋体" w:hAnsi="宋体" w:cs="宋体"/>
          <w:color w:val="auto"/>
          <w:sz w:val="24"/>
          <w:highlight w:val="none"/>
        </w:rPr>
      </w:pPr>
    </w:p>
    <w:p w14:paraId="26F64FDC">
      <w:pPr>
        <w:spacing w:line="500" w:lineRule="exact"/>
        <w:ind w:left="540"/>
        <w:jc w:val="right"/>
        <w:rPr>
          <w:rFonts w:hint="eastAsia" w:ascii="宋体" w:hAnsi="宋体" w:cs="宋体"/>
          <w:color w:val="auto"/>
          <w:sz w:val="24"/>
          <w:highlight w:val="none"/>
        </w:rPr>
      </w:pPr>
      <w:r>
        <w:rPr>
          <w:rFonts w:hint="eastAsia" w:ascii="宋体" w:hAnsi="宋体" w:cs="宋体"/>
          <w:color w:val="auto"/>
          <w:sz w:val="24"/>
          <w:highlight w:val="none"/>
        </w:rPr>
        <w:t>投标人名称（电子签章）</w:t>
      </w:r>
    </w:p>
    <w:p w14:paraId="58DB065A">
      <w:pPr>
        <w:snapToGrid w:val="0"/>
        <w:spacing w:before="120" w:beforeLines="50" w:after="50"/>
        <w:ind w:left="54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49D55EAD">
      <w:pPr>
        <w:snapToGrid w:val="0"/>
        <w:spacing w:before="120" w:beforeLines="50" w:after="50"/>
        <w:jc w:val="center"/>
        <w:rPr>
          <w:rFonts w:hint="eastAsia" w:ascii="宋体" w:hAnsi="宋体" w:cs="宋体"/>
          <w:b/>
          <w:color w:val="auto"/>
          <w:sz w:val="24"/>
          <w:highlight w:val="none"/>
        </w:rPr>
      </w:pPr>
    </w:p>
    <w:p w14:paraId="3064E398">
      <w:pPr>
        <w:snapToGrid w:val="0"/>
        <w:spacing w:before="120" w:beforeLines="50" w:after="50"/>
        <w:jc w:val="left"/>
        <w:rPr>
          <w:rFonts w:hint="eastAsia" w:ascii="宋体" w:hAnsi="宋体" w:cs="宋体"/>
          <w:b/>
          <w:color w:val="auto"/>
          <w:sz w:val="24"/>
          <w:szCs w:val="20"/>
          <w:highlight w:val="none"/>
        </w:rPr>
      </w:pPr>
    </w:p>
    <w:p w14:paraId="55B6C170">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4FB75797">
      <w:pPr>
        <w:snapToGrid w:val="0"/>
        <w:spacing w:before="120" w:beforeLines="50" w:after="50"/>
        <w:jc w:val="center"/>
        <w:rPr>
          <w:rFonts w:hint="eastAsia" w:ascii="宋体" w:hAnsi="宋体" w:cs="宋体"/>
          <w:b/>
          <w:color w:val="auto"/>
          <w:sz w:val="44"/>
          <w:szCs w:val="44"/>
          <w:highlight w:val="none"/>
        </w:rPr>
      </w:pPr>
    </w:p>
    <w:p w14:paraId="696BACA9">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1BE62636">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57D2647A">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02703A9C">
      <w:pPr>
        <w:snapToGrid w:val="0"/>
        <w:spacing w:before="120" w:beforeLines="50" w:after="50"/>
        <w:jc w:val="center"/>
        <w:rPr>
          <w:rFonts w:hint="eastAsia" w:ascii="宋体" w:hAnsi="宋体" w:cs="宋体"/>
          <w:b/>
          <w:color w:val="auto"/>
          <w:sz w:val="24"/>
          <w:highlight w:val="none"/>
        </w:rPr>
      </w:pPr>
    </w:p>
    <w:p w14:paraId="7E069F86">
      <w:pPr>
        <w:spacing w:line="360" w:lineRule="auto"/>
        <w:rPr>
          <w:rFonts w:hint="eastAsia"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3C7D1FB">
      <w:pPr>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3CBEB56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65DB88A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F90F1C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14A188E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4BAC4380">
      <w:pPr>
        <w:spacing w:line="360" w:lineRule="auto"/>
        <w:rPr>
          <w:rFonts w:hint="eastAsia" w:ascii="宋体" w:hAnsi="宋体" w:cs="宋体"/>
          <w:color w:val="auto"/>
          <w:sz w:val="24"/>
          <w:highlight w:val="none"/>
        </w:rPr>
      </w:pPr>
    </w:p>
    <w:p w14:paraId="27CE23C6">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委托代理人（签字或者电子签名）：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404D372">
      <w:pPr>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p>
    <w:p w14:paraId="03BC1914">
      <w:pPr>
        <w:spacing w:line="440" w:lineRule="exact"/>
        <w:rPr>
          <w:rFonts w:hint="eastAsia"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r>
        <w:rPr>
          <w:rFonts w:hint="eastAsia" w:ascii="宋体" w:hAnsi="宋体" w:cs="宋体"/>
          <w:color w:val="auto"/>
          <w:sz w:val="24"/>
          <w:highlight w:val="none"/>
          <w:u w:val="single"/>
        </w:rPr>
        <w:t xml:space="preserve">              </w:t>
      </w:r>
    </w:p>
    <w:p w14:paraId="19061B0C">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B4CEADB">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7FBDF5AC">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BFA9C2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注：1.</w:t>
      </w:r>
      <w:bookmarkStart w:id="145" w:name="_Hlk65851555"/>
      <w:bookmarkStart w:id="146" w:name="_Hlk65851620"/>
      <w:r>
        <w:rPr>
          <w:rFonts w:hint="eastAsia" w:ascii="宋体" w:hAnsi="宋体" w:cs="宋体"/>
          <w:color w:val="auto"/>
          <w:sz w:val="24"/>
          <w:highlight w:val="none"/>
        </w:rPr>
        <w:t>法定代表人必须在授权委托书上签字或者盖章或者电子签名，</w:t>
      </w:r>
      <w:bookmarkEnd w:id="145"/>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46"/>
    </w:p>
    <w:p w14:paraId="4E3EB383">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79E6BEB4">
      <w:pPr>
        <w:snapToGrid w:val="0"/>
        <w:spacing w:before="120" w:beforeLines="50" w:after="50"/>
        <w:ind w:firstLine="566" w:firstLineChars="236"/>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638760D0">
      <w:pPr>
        <w:snapToGrid w:val="0"/>
        <w:spacing w:before="120" w:beforeLines="50" w:after="50"/>
        <w:jc w:val="left"/>
        <w:rPr>
          <w:rFonts w:hint="eastAsia" w:ascii="宋体" w:hAnsi="宋体" w:cs="宋体"/>
          <w:color w:val="auto"/>
          <w:sz w:val="24"/>
          <w:highlight w:val="none"/>
        </w:rPr>
      </w:pPr>
    </w:p>
    <w:p w14:paraId="7B99AE15">
      <w:pPr>
        <w:rPr>
          <w:rFonts w:hint="eastAsia" w:ascii="宋体" w:hAnsi="宋体" w:cs="宋体"/>
          <w:b/>
          <w:color w:val="auto"/>
          <w:sz w:val="24"/>
          <w:szCs w:val="20"/>
          <w:highlight w:val="none"/>
        </w:rPr>
      </w:pPr>
      <w:r>
        <w:rPr>
          <w:rFonts w:hint="eastAsia" w:ascii="宋体" w:hAnsi="宋体" w:cs="宋体"/>
          <w:b/>
          <w:color w:val="auto"/>
          <w:sz w:val="24"/>
          <w:highlight w:val="none"/>
        </w:rPr>
        <w:t>6.商务要求偏离表格式</w:t>
      </w:r>
    </w:p>
    <w:p w14:paraId="351A1A8D">
      <w:pPr>
        <w:snapToGrid w:val="0"/>
        <w:spacing w:before="50"/>
        <w:jc w:val="left"/>
        <w:rPr>
          <w:rFonts w:hint="eastAsia" w:ascii="宋体" w:hAnsi="宋体" w:cs="宋体"/>
          <w:color w:val="auto"/>
          <w:sz w:val="24"/>
          <w:highlight w:val="none"/>
        </w:rPr>
      </w:pPr>
    </w:p>
    <w:p w14:paraId="6FDCC0CB">
      <w:pPr>
        <w:pStyle w:val="32"/>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p w14:paraId="7F1625A8">
      <w:pPr>
        <w:snapToGrid w:val="0"/>
        <w:spacing w:before="50"/>
        <w:jc w:val="left"/>
        <w:rPr>
          <w:rFonts w:hint="eastAsia" w:ascii="宋体" w:hAnsi="宋体" w:cs="宋体"/>
          <w:color w:val="auto"/>
          <w:sz w:val="24"/>
          <w:highlight w:val="none"/>
          <w:u w:val="single"/>
        </w:rPr>
      </w:pPr>
    </w:p>
    <w:tbl>
      <w:tblPr>
        <w:tblStyle w:val="62"/>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2828"/>
        <w:gridCol w:w="2268"/>
        <w:gridCol w:w="2035"/>
      </w:tblGrid>
      <w:tr w14:paraId="5471A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0CFA3246">
            <w:pPr>
              <w:snapToGrid w:val="0"/>
              <w:spacing w:before="120" w:beforeLines="50"/>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2828" w:type="dxa"/>
            <w:tcBorders>
              <w:top w:val="single" w:color="auto" w:sz="4" w:space="0"/>
              <w:left w:val="single" w:color="auto" w:sz="4" w:space="0"/>
              <w:bottom w:val="single" w:color="auto" w:sz="4" w:space="0"/>
              <w:right w:val="single" w:color="auto" w:sz="4" w:space="0"/>
            </w:tcBorders>
          </w:tcPr>
          <w:p w14:paraId="1F2C9A64">
            <w:pPr>
              <w:snapToGrid w:val="0"/>
              <w:spacing w:before="120" w:beforeLines="50"/>
              <w:jc w:val="center"/>
              <w:rPr>
                <w:rFonts w:hint="eastAsia" w:ascii="宋体" w:hAnsi="宋体" w:cs="宋体"/>
                <w:color w:val="auto"/>
                <w:sz w:val="24"/>
                <w:highlight w:val="none"/>
              </w:rPr>
            </w:pPr>
            <w:r>
              <w:rPr>
                <w:rFonts w:hint="eastAsia" w:ascii="宋体" w:hAnsi="宋体" w:cs="宋体"/>
                <w:color w:val="auto"/>
                <w:sz w:val="24"/>
                <w:highlight w:val="none"/>
              </w:rPr>
              <w:t>招标文件商务要求</w:t>
            </w:r>
          </w:p>
        </w:tc>
        <w:tc>
          <w:tcPr>
            <w:tcW w:w="2268" w:type="dxa"/>
            <w:tcBorders>
              <w:top w:val="single" w:color="auto" w:sz="4" w:space="0"/>
              <w:left w:val="single" w:color="auto" w:sz="4" w:space="0"/>
              <w:bottom w:val="single" w:color="auto" w:sz="4" w:space="0"/>
              <w:right w:val="single" w:color="auto" w:sz="4" w:space="0"/>
            </w:tcBorders>
          </w:tcPr>
          <w:p w14:paraId="16D498A5">
            <w:pPr>
              <w:snapToGrid w:val="0"/>
              <w:spacing w:before="120" w:beforeLines="50"/>
              <w:jc w:val="center"/>
              <w:rPr>
                <w:rFonts w:hint="eastAsia"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1FF52B6A">
            <w:pPr>
              <w:snapToGrid w:val="0"/>
              <w:spacing w:before="120" w:beforeLines="50"/>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5C87D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0C956B80">
            <w:pPr>
              <w:jc w:val="center"/>
              <w:rPr>
                <w:rFonts w:hint="eastAsia" w:ascii="宋体" w:hAnsi="宋体" w:cs="宋体"/>
                <w:color w:val="auto"/>
                <w:sz w:val="24"/>
                <w:highlight w:val="none"/>
              </w:rPr>
            </w:pPr>
            <w:r>
              <w:rPr>
                <w:rFonts w:hint="eastAsia" w:ascii="宋体" w:hAnsi="宋体" w:cs="宋体"/>
                <w:color w:val="auto"/>
                <w:sz w:val="24"/>
                <w:highlight w:val="none"/>
              </w:rPr>
              <w:t>服务期限</w:t>
            </w:r>
          </w:p>
        </w:tc>
        <w:tc>
          <w:tcPr>
            <w:tcW w:w="2828" w:type="dxa"/>
            <w:tcBorders>
              <w:top w:val="single" w:color="auto" w:sz="4" w:space="0"/>
              <w:left w:val="single" w:color="auto" w:sz="4" w:space="0"/>
              <w:bottom w:val="single" w:color="auto" w:sz="4" w:space="0"/>
              <w:right w:val="single" w:color="auto" w:sz="4" w:space="0"/>
            </w:tcBorders>
            <w:vAlign w:val="center"/>
          </w:tcPr>
          <w:p w14:paraId="2C6D5DEE">
            <w:pPr>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D7BCA7E">
            <w:pPr>
              <w:snapToGrid w:val="0"/>
              <w:spacing w:before="120" w:beforeLines="5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C97D962">
            <w:pPr>
              <w:snapToGrid w:val="0"/>
              <w:spacing w:before="120" w:beforeLines="50"/>
              <w:jc w:val="center"/>
              <w:rPr>
                <w:rFonts w:hint="eastAsia" w:ascii="宋体" w:hAnsi="宋体" w:cs="宋体"/>
                <w:color w:val="auto"/>
                <w:sz w:val="24"/>
                <w:highlight w:val="none"/>
              </w:rPr>
            </w:pPr>
          </w:p>
        </w:tc>
      </w:tr>
      <w:tr w14:paraId="5384F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724F75F0">
            <w:pPr>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828" w:type="dxa"/>
            <w:tcBorders>
              <w:top w:val="single" w:color="auto" w:sz="4" w:space="0"/>
              <w:left w:val="single" w:color="auto" w:sz="4" w:space="0"/>
              <w:bottom w:val="single" w:color="auto" w:sz="4" w:space="0"/>
              <w:right w:val="single" w:color="auto" w:sz="4" w:space="0"/>
            </w:tcBorders>
            <w:vAlign w:val="center"/>
          </w:tcPr>
          <w:p w14:paraId="19CC6E44">
            <w:pPr>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3FBAB410">
            <w:pPr>
              <w:snapToGrid w:val="0"/>
              <w:spacing w:before="120" w:beforeLines="50"/>
              <w:ind w:left="43"/>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84E130C">
            <w:pPr>
              <w:snapToGrid w:val="0"/>
              <w:spacing w:before="120" w:beforeLines="50"/>
              <w:ind w:left="43"/>
              <w:jc w:val="center"/>
              <w:rPr>
                <w:rFonts w:hint="eastAsia" w:ascii="宋体" w:hAnsi="宋体" w:cs="宋体"/>
                <w:color w:val="auto"/>
                <w:sz w:val="24"/>
                <w:highlight w:val="none"/>
              </w:rPr>
            </w:pPr>
          </w:p>
        </w:tc>
      </w:tr>
      <w:tr w14:paraId="2ED39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7150BA6B">
            <w:pPr>
              <w:snapToGrid w:val="0"/>
              <w:spacing w:before="120" w:beforeLines="50"/>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828" w:type="dxa"/>
            <w:tcBorders>
              <w:top w:val="single" w:color="auto" w:sz="4" w:space="0"/>
              <w:left w:val="single" w:color="auto" w:sz="4" w:space="0"/>
              <w:bottom w:val="single" w:color="auto" w:sz="4" w:space="0"/>
              <w:right w:val="single" w:color="auto" w:sz="4" w:space="0"/>
            </w:tcBorders>
          </w:tcPr>
          <w:p w14:paraId="2A456D92">
            <w:pPr>
              <w:snapToGrid w:val="0"/>
              <w:spacing w:before="120" w:beforeLines="50"/>
              <w:jc w:val="center"/>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25402AA">
            <w:pPr>
              <w:snapToGrid w:val="0"/>
              <w:spacing w:before="120" w:beforeLines="50"/>
              <w:jc w:val="center"/>
              <w:rPr>
                <w:rFonts w:hint="eastAsia"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1BA70AE">
            <w:pPr>
              <w:snapToGrid w:val="0"/>
              <w:spacing w:before="120" w:beforeLines="50"/>
              <w:jc w:val="center"/>
              <w:rPr>
                <w:rFonts w:hint="eastAsia" w:ascii="宋体" w:hAnsi="宋体" w:cs="宋体"/>
                <w:color w:val="auto"/>
                <w:sz w:val="24"/>
                <w:highlight w:val="none"/>
              </w:rPr>
            </w:pPr>
          </w:p>
        </w:tc>
      </w:tr>
    </w:tbl>
    <w:p w14:paraId="5B7CF9F9">
      <w:pPr>
        <w:pStyle w:val="21"/>
        <w:rPr>
          <w:rFonts w:hint="eastAsia" w:ascii="宋体" w:hAnsi="宋体" w:cs="宋体"/>
          <w:color w:val="auto"/>
          <w:highlight w:val="none"/>
        </w:rPr>
      </w:pPr>
      <w:r>
        <w:rPr>
          <w:rFonts w:hint="eastAsia" w:ascii="宋体" w:hAnsi="宋体" w:cs="宋体"/>
          <w:color w:val="auto"/>
          <w:highlight w:val="none"/>
        </w:rPr>
        <w:t>注：</w:t>
      </w:r>
    </w:p>
    <w:p w14:paraId="1388FC94">
      <w:pPr>
        <w:pStyle w:val="25"/>
        <w:spacing w:line="520" w:lineRule="exact"/>
        <w:ind w:firstLine="0" w:firstLineChars="0"/>
        <w:rPr>
          <w:rFonts w:hint="eastAsia"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采购需求”中的商务要求逐条作明确的投标响应，并作出偏离说明。</w:t>
      </w:r>
    </w:p>
    <w:p w14:paraId="7B930E5E">
      <w:pPr>
        <w:pStyle w:val="21"/>
        <w:rPr>
          <w:rFonts w:hint="eastAsia" w:ascii="宋体" w:hAnsi="宋体" w:cs="宋体"/>
          <w:b w:val="0"/>
          <w:bCs w:val="0"/>
          <w:color w:val="auto"/>
          <w:highlight w:val="none"/>
        </w:rPr>
      </w:pPr>
      <w:r>
        <w:rPr>
          <w:rFonts w:hint="eastAsia" w:ascii="宋体" w:hAnsi="宋体" w:cs="宋体"/>
          <w:b w:val="0"/>
          <w:bCs w:val="0"/>
          <w:color w:val="auto"/>
          <w:highlight w:val="none"/>
        </w:rPr>
        <w:t>2.投标人应根据自身的承诺，对照招标文件要求在“偏离说明”中注明“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4F16EF8E">
      <w:pPr>
        <w:snapToGrid w:val="0"/>
        <w:spacing w:before="50" w:after="50"/>
        <w:rPr>
          <w:rFonts w:hint="eastAsia" w:ascii="宋体" w:hAnsi="宋体" w:cs="宋体"/>
          <w:color w:val="auto"/>
          <w:sz w:val="24"/>
          <w:highlight w:val="none"/>
        </w:rPr>
      </w:pPr>
    </w:p>
    <w:p w14:paraId="463DE376">
      <w:pPr>
        <w:snapToGrid w:val="0"/>
        <w:spacing w:before="50" w:after="50"/>
        <w:rPr>
          <w:rFonts w:hint="eastAsia" w:ascii="宋体" w:hAnsi="宋体" w:cs="宋体"/>
          <w:color w:val="auto"/>
          <w:sz w:val="24"/>
          <w:highlight w:val="none"/>
        </w:rPr>
      </w:pPr>
    </w:p>
    <w:p w14:paraId="0D6F4B24">
      <w:pPr>
        <w:snapToGrid w:val="0"/>
        <w:spacing w:before="50" w:after="50"/>
        <w:rPr>
          <w:rFonts w:hint="eastAsia"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p>
    <w:p w14:paraId="74B75B3F">
      <w:pPr>
        <w:snapToGrid w:val="0"/>
        <w:spacing w:before="120" w:beforeLines="50"/>
        <w:rPr>
          <w:rFonts w:hint="eastAsia"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p>
    <w:p w14:paraId="486AB367">
      <w:pPr>
        <w:snapToGrid w:val="0"/>
        <w:spacing w:before="120" w:beforeLines="50"/>
        <w:rPr>
          <w:rFonts w:hint="eastAsia" w:ascii="宋体" w:hAnsi="宋体" w:cs="宋体"/>
          <w:color w:val="auto"/>
          <w:sz w:val="24"/>
          <w:szCs w:val="20"/>
          <w:highlight w:val="none"/>
        </w:rPr>
      </w:pPr>
      <w:r>
        <w:rPr>
          <w:rFonts w:hint="eastAsia" w:ascii="宋体" w:hAnsi="宋体" w:cs="宋体"/>
          <w:color w:val="auto"/>
          <w:spacing w:val="20"/>
          <w:sz w:val="24"/>
          <w:highlight w:val="none"/>
        </w:rPr>
        <w:t xml:space="preserve">日  期：    </w:t>
      </w:r>
      <w:r>
        <w:rPr>
          <w:rFonts w:hint="eastAsia" w:ascii="宋体" w:hAnsi="宋体" w:cs="宋体"/>
          <w:color w:val="auto"/>
          <w:sz w:val="24"/>
          <w:highlight w:val="none"/>
        </w:rPr>
        <w:t>年    月    日</w:t>
      </w:r>
    </w:p>
    <w:p w14:paraId="0300E79C">
      <w:pPr>
        <w:snapToGrid w:val="0"/>
        <w:spacing w:before="120" w:beforeLines="50"/>
        <w:rPr>
          <w:rFonts w:hint="eastAsia" w:ascii="宋体" w:hAnsi="宋体" w:cs="宋体"/>
          <w:color w:val="auto"/>
          <w:sz w:val="24"/>
          <w:szCs w:val="20"/>
          <w:highlight w:val="none"/>
        </w:rPr>
      </w:pPr>
    </w:p>
    <w:p w14:paraId="63A975A7">
      <w:pPr>
        <w:snapToGrid w:val="0"/>
        <w:spacing w:before="120" w:beforeLines="50" w:after="50"/>
        <w:jc w:val="left"/>
        <w:rPr>
          <w:rFonts w:hint="eastAsia" w:ascii="宋体" w:hAnsi="宋体" w:cs="宋体"/>
          <w:color w:val="auto"/>
          <w:sz w:val="24"/>
          <w:szCs w:val="20"/>
          <w:highlight w:val="none"/>
        </w:rPr>
        <w:sectPr>
          <w:footerReference r:id="rId12" w:type="first"/>
          <w:headerReference r:id="rId9" w:type="default"/>
          <w:footerReference r:id="rId10" w:type="default"/>
          <w:footerReference r:id="rId11" w:type="even"/>
          <w:pgSz w:w="11906" w:h="16838"/>
          <w:pgMar w:top="1134" w:right="1134" w:bottom="1134" w:left="1134" w:header="851" w:footer="992" w:gutter="0"/>
          <w:cols w:space="0" w:num="1"/>
          <w:docGrid w:linePitch="312" w:charSpace="0"/>
        </w:sectPr>
      </w:pPr>
    </w:p>
    <w:p w14:paraId="725961C5">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t>7.投标人业绩证明材料</w:t>
      </w:r>
    </w:p>
    <w:p w14:paraId="1103CAFA">
      <w:pPr>
        <w:pStyle w:val="46"/>
        <w:snapToGrid w:val="0"/>
        <w:ind w:left="480" w:hanging="480"/>
        <w:rPr>
          <w:rFonts w:hint="eastAsia" w:ascii="宋体" w:hAnsi="宋体" w:cs="宋体"/>
          <w:color w:val="auto"/>
          <w:sz w:val="24"/>
          <w:highlight w:val="none"/>
        </w:rPr>
      </w:pPr>
    </w:p>
    <w:p w14:paraId="5A80FA07">
      <w:pPr>
        <w:pStyle w:val="46"/>
        <w:snapToGrid w:val="0"/>
        <w:ind w:left="480" w:hanging="480"/>
        <w:rPr>
          <w:rFonts w:hint="eastAsia" w:ascii="宋体" w:hAnsi="宋体" w:cs="宋体"/>
          <w:color w:val="auto"/>
          <w:sz w:val="24"/>
          <w:highlight w:val="none"/>
        </w:rPr>
      </w:pPr>
      <w:r>
        <w:rPr>
          <w:rFonts w:hint="eastAsia" w:ascii="宋体" w:hAnsi="宋体" w:cs="宋体"/>
          <w:color w:val="auto"/>
          <w:sz w:val="24"/>
          <w:highlight w:val="none"/>
        </w:rPr>
        <w:t xml:space="preserve">投标人业绩情况一览表格式： </w:t>
      </w:r>
    </w:p>
    <w:tbl>
      <w:tblPr>
        <w:tblStyle w:val="6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25337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3599913B">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7B7929AE">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3D2B1CC5">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合同金额</w:t>
            </w:r>
          </w:p>
          <w:p w14:paraId="13D46D04">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4F5EE884">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采购人联系人及</w:t>
            </w:r>
          </w:p>
          <w:p w14:paraId="67D9F709">
            <w:pPr>
              <w:snapToGrid w:val="0"/>
              <w:spacing w:line="240" w:lineRule="exact"/>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14:paraId="2BC8C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5"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53448A56">
            <w:pPr>
              <w:jc w:val="left"/>
              <w:rPr>
                <w:rFonts w:hint="eastAsia" w:ascii="宋体" w:hAnsi="宋体" w:cs="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6BE22D4E">
            <w:pPr>
              <w:jc w:val="left"/>
              <w:rPr>
                <w:rFonts w:hint="eastAsia" w:ascii="宋体" w:hAnsi="宋体" w:cs="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0AA651EC">
            <w:pPr>
              <w:jc w:val="left"/>
              <w:rPr>
                <w:rFonts w:hint="eastAsia" w:ascii="宋体" w:hAnsi="宋体" w:cs="宋体"/>
                <w:color w:val="auto"/>
                <w:sz w:val="24"/>
                <w:highlight w:val="none"/>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6916E3D9">
            <w:pPr>
              <w:jc w:val="left"/>
              <w:rPr>
                <w:rFonts w:hint="eastAsia" w:ascii="宋体" w:hAnsi="宋体" w:cs="宋体"/>
                <w:color w:val="auto"/>
                <w:sz w:val="24"/>
                <w:highlight w:val="none"/>
              </w:rPr>
            </w:pPr>
          </w:p>
        </w:tc>
      </w:tr>
      <w:tr w14:paraId="2FCEA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3B3A24CA">
            <w:pPr>
              <w:snapToGrid w:val="0"/>
              <w:spacing w:line="240" w:lineRule="exact"/>
              <w:jc w:val="left"/>
              <w:rPr>
                <w:rFonts w:hint="eastAsia"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18865B3">
            <w:pPr>
              <w:snapToGrid w:val="0"/>
              <w:spacing w:line="240" w:lineRule="exact"/>
              <w:jc w:val="left"/>
              <w:rPr>
                <w:rFonts w:hint="eastAsia"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5ACE463">
            <w:pPr>
              <w:snapToGrid w:val="0"/>
              <w:spacing w:line="240" w:lineRule="exact"/>
              <w:jc w:val="left"/>
              <w:rPr>
                <w:rFonts w:hint="eastAsia"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2861029B">
            <w:pPr>
              <w:snapToGrid w:val="0"/>
              <w:spacing w:line="240" w:lineRule="exact"/>
              <w:jc w:val="left"/>
              <w:rPr>
                <w:rFonts w:hint="eastAsia" w:ascii="宋体" w:hAnsi="宋体" w:cs="宋体"/>
                <w:color w:val="auto"/>
                <w:sz w:val="24"/>
                <w:highlight w:val="none"/>
              </w:rPr>
            </w:pPr>
          </w:p>
        </w:tc>
      </w:tr>
      <w:tr w14:paraId="528CD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3A2657A0">
            <w:pPr>
              <w:snapToGrid w:val="0"/>
              <w:spacing w:before="50" w:after="120" w:afterLines="50" w:line="400" w:lineRule="exact"/>
              <w:jc w:val="left"/>
              <w:rPr>
                <w:rFonts w:hint="eastAsia"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D3E7C2C">
            <w:pPr>
              <w:snapToGrid w:val="0"/>
              <w:spacing w:before="50" w:after="120" w:afterLines="50" w:line="400" w:lineRule="exact"/>
              <w:jc w:val="left"/>
              <w:rPr>
                <w:rFonts w:hint="eastAsia"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68C1D4F">
            <w:pPr>
              <w:snapToGrid w:val="0"/>
              <w:spacing w:before="50" w:after="120" w:afterLines="50" w:line="400" w:lineRule="exact"/>
              <w:jc w:val="left"/>
              <w:rPr>
                <w:rFonts w:hint="eastAsia"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11A64E8B">
            <w:pPr>
              <w:snapToGrid w:val="0"/>
              <w:spacing w:before="50" w:after="120" w:afterLines="50" w:line="400" w:lineRule="exact"/>
              <w:jc w:val="left"/>
              <w:rPr>
                <w:rFonts w:hint="eastAsia" w:ascii="宋体" w:hAnsi="宋体" w:cs="宋体"/>
                <w:color w:val="auto"/>
                <w:sz w:val="24"/>
                <w:highlight w:val="none"/>
              </w:rPr>
            </w:pPr>
          </w:p>
        </w:tc>
      </w:tr>
      <w:tr w14:paraId="7D87E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6790BFBD">
            <w:pPr>
              <w:snapToGrid w:val="0"/>
              <w:spacing w:before="50" w:after="120" w:afterLines="50" w:line="400" w:lineRule="exact"/>
              <w:jc w:val="left"/>
              <w:rPr>
                <w:rFonts w:hint="eastAsia"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631D01D">
            <w:pPr>
              <w:snapToGrid w:val="0"/>
              <w:spacing w:before="50" w:after="120" w:afterLines="50" w:line="400" w:lineRule="exact"/>
              <w:jc w:val="left"/>
              <w:rPr>
                <w:rFonts w:hint="eastAsia"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EED30E3">
            <w:pPr>
              <w:snapToGrid w:val="0"/>
              <w:spacing w:before="50" w:after="120" w:afterLines="50" w:line="400" w:lineRule="exact"/>
              <w:jc w:val="left"/>
              <w:rPr>
                <w:rFonts w:hint="eastAsia"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15323ECC">
            <w:pPr>
              <w:snapToGrid w:val="0"/>
              <w:spacing w:before="50" w:after="120" w:afterLines="50" w:line="400" w:lineRule="exact"/>
              <w:jc w:val="left"/>
              <w:rPr>
                <w:rFonts w:hint="eastAsia" w:ascii="宋体" w:hAnsi="宋体" w:cs="宋体"/>
                <w:color w:val="auto"/>
                <w:sz w:val="24"/>
                <w:highlight w:val="none"/>
              </w:rPr>
            </w:pPr>
          </w:p>
        </w:tc>
      </w:tr>
      <w:tr w14:paraId="5EB8D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64DFB333">
            <w:pPr>
              <w:snapToGrid w:val="0"/>
              <w:spacing w:before="50" w:after="120" w:afterLines="50" w:line="400" w:lineRule="exact"/>
              <w:jc w:val="left"/>
              <w:rPr>
                <w:rFonts w:hint="eastAsia"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595F8C4">
            <w:pPr>
              <w:snapToGrid w:val="0"/>
              <w:spacing w:before="50" w:after="120" w:afterLines="50" w:line="400" w:lineRule="exact"/>
              <w:jc w:val="left"/>
              <w:rPr>
                <w:rFonts w:hint="eastAsia"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B3045EB">
            <w:pPr>
              <w:snapToGrid w:val="0"/>
              <w:spacing w:before="50" w:after="120" w:afterLines="50" w:line="400" w:lineRule="exact"/>
              <w:jc w:val="left"/>
              <w:rPr>
                <w:rFonts w:hint="eastAsia"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0DA5050A">
            <w:pPr>
              <w:snapToGrid w:val="0"/>
              <w:spacing w:before="50" w:after="120" w:afterLines="50" w:line="400" w:lineRule="exact"/>
              <w:jc w:val="left"/>
              <w:rPr>
                <w:rFonts w:hint="eastAsia" w:ascii="宋体" w:hAnsi="宋体" w:cs="宋体"/>
                <w:color w:val="auto"/>
                <w:sz w:val="24"/>
                <w:highlight w:val="none"/>
              </w:rPr>
            </w:pPr>
          </w:p>
        </w:tc>
      </w:tr>
      <w:tr w14:paraId="47102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0CC63151">
            <w:pPr>
              <w:snapToGrid w:val="0"/>
              <w:spacing w:before="50" w:after="120" w:afterLines="50" w:line="400" w:lineRule="exact"/>
              <w:jc w:val="left"/>
              <w:rPr>
                <w:rFonts w:hint="eastAsia"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B2D4C12">
            <w:pPr>
              <w:snapToGrid w:val="0"/>
              <w:spacing w:before="50" w:after="120" w:afterLines="50" w:line="400" w:lineRule="exact"/>
              <w:jc w:val="left"/>
              <w:rPr>
                <w:rFonts w:hint="eastAsia" w:ascii="宋体" w:hAnsi="宋体" w:cs="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4578600">
            <w:pPr>
              <w:snapToGrid w:val="0"/>
              <w:spacing w:before="50" w:after="120" w:afterLines="50" w:line="400" w:lineRule="exact"/>
              <w:jc w:val="left"/>
              <w:rPr>
                <w:rFonts w:hint="eastAsia" w:ascii="宋体" w:hAnsi="宋体" w:cs="宋体"/>
                <w:color w:val="auto"/>
                <w:sz w:val="24"/>
                <w:highlight w:val="none"/>
              </w:rPr>
            </w:pPr>
          </w:p>
        </w:tc>
        <w:tc>
          <w:tcPr>
            <w:tcW w:w="2855" w:type="dxa"/>
            <w:tcBorders>
              <w:top w:val="single" w:color="auto" w:sz="4" w:space="0"/>
              <w:left w:val="single" w:color="auto" w:sz="4" w:space="0"/>
              <w:bottom w:val="single" w:color="auto" w:sz="4" w:space="0"/>
              <w:right w:val="single" w:color="auto" w:sz="4" w:space="0"/>
            </w:tcBorders>
          </w:tcPr>
          <w:p w14:paraId="057C9316">
            <w:pPr>
              <w:snapToGrid w:val="0"/>
              <w:spacing w:before="50" w:after="120" w:afterLines="50" w:line="400" w:lineRule="exact"/>
              <w:jc w:val="left"/>
              <w:rPr>
                <w:rFonts w:hint="eastAsia" w:ascii="宋体" w:hAnsi="宋体" w:cs="宋体"/>
                <w:color w:val="auto"/>
                <w:sz w:val="24"/>
                <w:highlight w:val="none"/>
              </w:rPr>
            </w:pPr>
          </w:p>
        </w:tc>
      </w:tr>
    </w:tbl>
    <w:p w14:paraId="6CF3CE49">
      <w:pPr>
        <w:pStyle w:val="16"/>
        <w:spacing w:before="0" w:after="0" w:line="360" w:lineRule="auto"/>
        <w:contextualSpacing/>
        <w:rPr>
          <w:rFonts w:hint="eastAsia" w:ascii="宋体" w:hAnsi="宋体" w:eastAsia="宋体" w:cs="宋体"/>
          <w:color w:val="auto"/>
          <w:sz w:val="24"/>
          <w:szCs w:val="24"/>
          <w:highlight w:val="none"/>
        </w:rPr>
      </w:pPr>
    </w:p>
    <w:p w14:paraId="4A854FF1">
      <w:pPr>
        <w:pStyle w:val="16"/>
        <w:spacing w:before="0" w:after="0"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5F0CC2A0">
      <w:pPr>
        <w:pStyle w:val="16"/>
        <w:spacing w:before="0" w:after="0" w:line="360" w:lineRule="auto"/>
        <w:contextualSpacing/>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法定代表人或者委托代理人（签字或者电子签名）：</w:t>
      </w:r>
      <w:r>
        <w:rPr>
          <w:rFonts w:hint="eastAsia" w:ascii="宋体" w:hAnsi="宋体" w:eastAsia="宋体" w:cs="宋体"/>
          <w:color w:val="auto"/>
          <w:sz w:val="24"/>
          <w:szCs w:val="24"/>
          <w:highlight w:val="none"/>
          <w:u w:val="single"/>
        </w:rPr>
        <w:t>　　　　　</w:t>
      </w:r>
    </w:p>
    <w:p w14:paraId="13EF65A2">
      <w:pPr>
        <w:spacing w:line="360" w:lineRule="auto"/>
        <w:ind w:right="480"/>
        <w:contextualSpacing/>
        <w:jc w:val="left"/>
        <w:rPr>
          <w:rFonts w:hint="eastAsia" w:ascii="宋体" w:hAnsi="宋体" w:cs="宋体"/>
          <w:color w:val="auto"/>
          <w:sz w:val="24"/>
          <w:szCs w:val="20"/>
          <w:highlight w:val="none"/>
        </w:rPr>
      </w:pPr>
      <w:r>
        <w:rPr>
          <w:rFonts w:hint="eastAsia" w:ascii="宋体" w:hAnsi="宋体" w:cs="宋体"/>
          <w:color w:val="auto"/>
          <w:sz w:val="24"/>
          <w:highlight w:val="none"/>
        </w:rPr>
        <w:t xml:space="preserve">投标人名称（电子签章）：                                                                </w:t>
      </w:r>
      <w:r>
        <w:rPr>
          <w:rFonts w:hint="eastAsia" w:ascii="宋体" w:hAnsi="宋体" w:cs="宋体"/>
          <w:color w:val="auto"/>
          <w:spacing w:val="20"/>
          <w:sz w:val="24"/>
          <w:highlight w:val="none"/>
        </w:rPr>
        <w:t xml:space="preserve">日  期：   </w:t>
      </w:r>
      <w:r>
        <w:rPr>
          <w:rFonts w:hint="eastAsia" w:ascii="宋体" w:hAnsi="宋体" w:cs="宋体"/>
          <w:color w:val="auto"/>
          <w:sz w:val="24"/>
          <w:highlight w:val="none"/>
        </w:rPr>
        <w:t>年    月    日</w:t>
      </w:r>
    </w:p>
    <w:p w14:paraId="4F044238">
      <w:pPr>
        <w:snapToGrid w:val="0"/>
        <w:spacing w:before="50"/>
        <w:ind w:firstLine="480" w:firstLineChars="200"/>
        <w:jc w:val="left"/>
        <w:rPr>
          <w:rFonts w:hint="eastAsia" w:ascii="宋体" w:hAnsi="宋体" w:cs="宋体"/>
          <w:color w:val="auto"/>
          <w:sz w:val="24"/>
          <w:szCs w:val="20"/>
          <w:highlight w:val="none"/>
        </w:rPr>
      </w:pPr>
    </w:p>
    <w:p w14:paraId="0CDE0B83">
      <w:pPr>
        <w:snapToGrid w:val="0"/>
        <w:spacing w:before="50"/>
        <w:jc w:val="left"/>
        <w:rPr>
          <w:rFonts w:hint="eastAsia" w:ascii="宋体" w:hAnsi="宋体" w:cs="宋体"/>
          <w:color w:val="auto"/>
          <w:sz w:val="24"/>
          <w:highlight w:val="none"/>
        </w:rPr>
      </w:pPr>
    </w:p>
    <w:p w14:paraId="4C876D84">
      <w:pPr>
        <w:snapToGrid w:val="0"/>
        <w:spacing w:before="120" w:beforeLines="50"/>
        <w:rPr>
          <w:rFonts w:hint="eastAsia" w:ascii="宋体" w:hAnsi="宋体" w:cs="宋体"/>
          <w:color w:val="auto"/>
          <w:sz w:val="24"/>
          <w:szCs w:val="20"/>
          <w:highlight w:val="none"/>
        </w:rPr>
        <w:sectPr>
          <w:pgSz w:w="11906" w:h="16838"/>
          <w:pgMar w:top="1134" w:right="1134" w:bottom="1134" w:left="1134" w:header="851" w:footer="992" w:gutter="0"/>
          <w:cols w:space="720" w:num="1"/>
          <w:docGrid w:linePitch="312" w:charSpace="0"/>
        </w:sectPr>
      </w:pPr>
    </w:p>
    <w:p w14:paraId="2FA4636F">
      <w:pPr>
        <w:snapToGrid w:val="0"/>
        <w:spacing w:before="120" w:beforeLines="50" w:after="50"/>
        <w:jc w:val="left"/>
        <w:rPr>
          <w:rFonts w:hint="eastAsia" w:ascii="宋体" w:hAnsi="宋体" w:cs="宋体"/>
          <w:b/>
          <w:color w:val="auto"/>
          <w:sz w:val="24"/>
          <w:highlight w:val="none"/>
        </w:rPr>
      </w:pPr>
      <w:bookmarkStart w:id="147" w:name="_Toc19686839"/>
      <w:r>
        <w:rPr>
          <w:rFonts w:hint="eastAsia" w:ascii="宋体" w:hAnsi="宋体" w:cs="宋体"/>
          <w:b/>
          <w:color w:val="auto"/>
          <w:sz w:val="24"/>
          <w:highlight w:val="none"/>
        </w:rPr>
        <w:t>8.技术要求偏离表格式</w:t>
      </w:r>
    </w:p>
    <w:p w14:paraId="6E40F47C">
      <w:pPr>
        <w:snapToGrid w:val="0"/>
        <w:spacing w:before="120" w:beforeLines="50" w:after="50"/>
        <w:ind w:left="142"/>
        <w:jc w:val="left"/>
        <w:rPr>
          <w:rFonts w:hint="eastAsia" w:ascii="宋体" w:hAnsi="宋体" w:cs="宋体"/>
          <w:b/>
          <w:color w:val="auto"/>
          <w:sz w:val="24"/>
          <w:highlight w:val="none"/>
        </w:rPr>
      </w:pPr>
    </w:p>
    <w:p w14:paraId="53D023FA">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25495018">
      <w:pPr>
        <w:pStyle w:val="32"/>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62"/>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2"/>
        <w:gridCol w:w="1833"/>
        <w:gridCol w:w="2180"/>
        <w:gridCol w:w="1933"/>
      </w:tblGrid>
      <w:tr w14:paraId="5FFF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0DA116">
            <w:pPr>
              <w:pStyle w:val="32"/>
              <w:rPr>
                <w:rFonts w:hint="eastAsia" w:hAnsi="宋体" w:cs="宋体"/>
                <w:color w:val="auto"/>
                <w:kern w:val="2"/>
                <w:highlight w:val="none"/>
              </w:rPr>
            </w:pPr>
            <w:r>
              <w:rPr>
                <w:rFonts w:hint="eastAsia" w:hAnsi="宋体" w:cs="宋体"/>
                <w:color w:val="auto"/>
                <w:kern w:val="2"/>
                <w:highlight w:val="none"/>
              </w:rPr>
              <w:t>项号</w:t>
            </w:r>
          </w:p>
        </w:tc>
        <w:tc>
          <w:tcPr>
            <w:tcW w:w="2142" w:type="dxa"/>
            <w:tcBorders>
              <w:top w:val="single" w:color="auto" w:sz="4" w:space="0"/>
              <w:left w:val="single" w:color="auto" w:sz="4" w:space="0"/>
              <w:bottom w:val="single" w:color="auto" w:sz="4" w:space="0"/>
              <w:right w:val="single" w:color="auto" w:sz="4" w:space="0"/>
            </w:tcBorders>
            <w:vAlign w:val="center"/>
          </w:tcPr>
          <w:p w14:paraId="012BB91D">
            <w:pPr>
              <w:pStyle w:val="32"/>
              <w:rPr>
                <w:rFonts w:hint="eastAsia" w:hAnsi="宋体" w:cs="宋体"/>
                <w:color w:val="auto"/>
                <w:kern w:val="2"/>
                <w:highlight w:val="none"/>
              </w:rPr>
            </w:pPr>
            <w:r>
              <w:rPr>
                <w:rFonts w:hint="eastAsia" w:hAnsi="宋体" w:cs="宋体"/>
                <w:color w:val="auto"/>
                <w:kern w:val="2"/>
                <w:highlight w:val="none"/>
              </w:rPr>
              <w:t>标的名称</w:t>
            </w:r>
          </w:p>
        </w:tc>
        <w:tc>
          <w:tcPr>
            <w:tcW w:w="1833" w:type="dxa"/>
            <w:tcBorders>
              <w:top w:val="single" w:color="auto" w:sz="4" w:space="0"/>
              <w:left w:val="single" w:color="auto" w:sz="4" w:space="0"/>
              <w:bottom w:val="single" w:color="auto" w:sz="4" w:space="0"/>
              <w:right w:val="single" w:color="auto" w:sz="4" w:space="0"/>
            </w:tcBorders>
            <w:vAlign w:val="center"/>
          </w:tcPr>
          <w:p w14:paraId="6190E590">
            <w:pPr>
              <w:pStyle w:val="32"/>
              <w:rPr>
                <w:rFonts w:hint="eastAsia" w:hAnsi="宋体" w:cs="宋体"/>
                <w:color w:val="auto"/>
                <w:kern w:val="2"/>
                <w:highlight w:val="none"/>
              </w:rPr>
            </w:pPr>
            <w:r>
              <w:rPr>
                <w:rFonts w:hint="eastAsia" w:hAnsi="宋体" w:cs="宋体"/>
                <w:color w:val="auto"/>
                <w:kern w:val="2"/>
                <w:highlight w:val="none"/>
              </w:rPr>
              <w:t>技术要求</w:t>
            </w:r>
          </w:p>
        </w:tc>
        <w:tc>
          <w:tcPr>
            <w:tcW w:w="2180" w:type="dxa"/>
            <w:tcBorders>
              <w:top w:val="single" w:color="auto" w:sz="4" w:space="0"/>
              <w:left w:val="single" w:color="auto" w:sz="4" w:space="0"/>
              <w:bottom w:val="single" w:color="auto" w:sz="4" w:space="0"/>
              <w:right w:val="single" w:color="auto" w:sz="4" w:space="0"/>
            </w:tcBorders>
            <w:vAlign w:val="center"/>
          </w:tcPr>
          <w:p w14:paraId="621927AC">
            <w:pPr>
              <w:pStyle w:val="32"/>
              <w:rPr>
                <w:rFonts w:hint="eastAsia" w:hAnsi="宋体" w:cs="宋体"/>
                <w:color w:val="auto"/>
                <w:kern w:val="2"/>
                <w:highlight w:val="none"/>
              </w:rPr>
            </w:pPr>
            <w:r>
              <w:rPr>
                <w:rFonts w:hint="eastAsia" w:hAnsi="宋体" w:cs="宋体"/>
                <w:color w:val="auto"/>
                <w:kern w:val="2"/>
                <w:highlight w:val="none"/>
              </w:rPr>
              <w:t>投标响应</w:t>
            </w:r>
          </w:p>
        </w:tc>
        <w:tc>
          <w:tcPr>
            <w:tcW w:w="1933" w:type="dxa"/>
            <w:tcBorders>
              <w:top w:val="single" w:color="auto" w:sz="4" w:space="0"/>
              <w:left w:val="single" w:color="auto" w:sz="4" w:space="0"/>
              <w:bottom w:val="single" w:color="auto" w:sz="4" w:space="0"/>
              <w:right w:val="single" w:color="auto" w:sz="4" w:space="0"/>
            </w:tcBorders>
            <w:vAlign w:val="center"/>
          </w:tcPr>
          <w:p w14:paraId="7B7C6156">
            <w:pPr>
              <w:pStyle w:val="32"/>
              <w:rPr>
                <w:rFonts w:hint="eastAsia" w:hAnsi="宋体" w:cs="宋体"/>
                <w:color w:val="auto"/>
                <w:kern w:val="2"/>
                <w:highlight w:val="none"/>
              </w:rPr>
            </w:pPr>
            <w:r>
              <w:rPr>
                <w:rFonts w:hint="eastAsia" w:hAnsi="宋体" w:cs="宋体"/>
                <w:color w:val="auto"/>
                <w:kern w:val="2"/>
                <w:highlight w:val="none"/>
              </w:rPr>
              <w:t>偏离说明</w:t>
            </w:r>
          </w:p>
        </w:tc>
      </w:tr>
      <w:tr w14:paraId="1D66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14C98A80">
            <w:pPr>
              <w:pStyle w:val="32"/>
              <w:rPr>
                <w:rFonts w:hint="eastAsia" w:hAnsi="宋体" w:cs="宋体"/>
                <w:color w:val="auto"/>
                <w:kern w:val="2"/>
                <w:highlight w:val="none"/>
              </w:rPr>
            </w:pPr>
          </w:p>
        </w:tc>
        <w:tc>
          <w:tcPr>
            <w:tcW w:w="2142" w:type="dxa"/>
            <w:tcBorders>
              <w:top w:val="single" w:color="auto" w:sz="4" w:space="0"/>
              <w:left w:val="single" w:color="auto" w:sz="4" w:space="0"/>
              <w:bottom w:val="single" w:color="auto" w:sz="4" w:space="0"/>
              <w:right w:val="single" w:color="auto" w:sz="4" w:space="0"/>
            </w:tcBorders>
            <w:vAlign w:val="center"/>
          </w:tcPr>
          <w:p w14:paraId="1E221F7D">
            <w:pPr>
              <w:pStyle w:val="32"/>
              <w:rPr>
                <w:rFonts w:hint="eastAsia" w:hAnsi="宋体" w:cs="宋体"/>
                <w:color w:val="auto"/>
                <w:kern w:val="2"/>
                <w:highlight w:val="none"/>
              </w:rPr>
            </w:pPr>
          </w:p>
        </w:tc>
        <w:tc>
          <w:tcPr>
            <w:tcW w:w="1833" w:type="dxa"/>
            <w:tcBorders>
              <w:top w:val="single" w:color="auto" w:sz="4" w:space="0"/>
              <w:left w:val="single" w:color="auto" w:sz="4" w:space="0"/>
              <w:bottom w:val="single" w:color="auto" w:sz="4" w:space="0"/>
              <w:right w:val="single" w:color="auto" w:sz="4" w:space="0"/>
            </w:tcBorders>
            <w:vAlign w:val="center"/>
          </w:tcPr>
          <w:p w14:paraId="47BBE33A">
            <w:pPr>
              <w:pStyle w:val="32"/>
              <w:rPr>
                <w:rFonts w:hint="eastAsia" w:hAnsi="宋体" w:cs="宋体"/>
                <w:color w:val="auto"/>
                <w:kern w:val="2"/>
                <w:highlight w:val="none"/>
              </w:rPr>
            </w:pPr>
          </w:p>
        </w:tc>
        <w:tc>
          <w:tcPr>
            <w:tcW w:w="2180" w:type="dxa"/>
            <w:tcBorders>
              <w:top w:val="single" w:color="auto" w:sz="4" w:space="0"/>
              <w:left w:val="single" w:color="auto" w:sz="4" w:space="0"/>
              <w:bottom w:val="single" w:color="auto" w:sz="4" w:space="0"/>
              <w:right w:val="single" w:color="auto" w:sz="4" w:space="0"/>
            </w:tcBorders>
            <w:vAlign w:val="center"/>
          </w:tcPr>
          <w:p w14:paraId="56066235">
            <w:pPr>
              <w:pStyle w:val="32"/>
              <w:rPr>
                <w:rFonts w:hint="eastAsia" w:hAnsi="宋体" w:cs="宋体"/>
                <w:color w:val="auto"/>
                <w:kern w:val="2"/>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14:paraId="6D8E3145">
            <w:pPr>
              <w:pStyle w:val="32"/>
              <w:rPr>
                <w:rFonts w:hint="eastAsia" w:hAnsi="宋体" w:cs="宋体"/>
                <w:color w:val="auto"/>
                <w:kern w:val="2"/>
                <w:highlight w:val="none"/>
              </w:rPr>
            </w:pPr>
          </w:p>
        </w:tc>
      </w:tr>
      <w:tr w14:paraId="7B1E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52BAFB8F">
            <w:pPr>
              <w:pStyle w:val="32"/>
              <w:rPr>
                <w:rFonts w:hint="eastAsia" w:hAnsi="宋体" w:cs="宋体"/>
                <w:color w:val="auto"/>
                <w:kern w:val="2"/>
                <w:highlight w:val="none"/>
              </w:rPr>
            </w:pPr>
          </w:p>
        </w:tc>
        <w:tc>
          <w:tcPr>
            <w:tcW w:w="2142" w:type="dxa"/>
            <w:tcBorders>
              <w:top w:val="single" w:color="auto" w:sz="4" w:space="0"/>
              <w:left w:val="single" w:color="auto" w:sz="4" w:space="0"/>
              <w:bottom w:val="single" w:color="auto" w:sz="4" w:space="0"/>
              <w:right w:val="single" w:color="auto" w:sz="4" w:space="0"/>
            </w:tcBorders>
          </w:tcPr>
          <w:p w14:paraId="57DFB55D">
            <w:pPr>
              <w:pStyle w:val="32"/>
              <w:rPr>
                <w:rFonts w:hint="eastAsia" w:hAnsi="宋体" w:cs="宋体"/>
                <w:color w:val="auto"/>
                <w:kern w:val="2"/>
                <w:highlight w:val="none"/>
              </w:rPr>
            </w:pPr>
          </w:p>
        </w:tc>
        <w:tc>
          <w:tcPr>
            <w:tcW w:w="1833" w:type="dxa"/>
            <w:tcBorders>
              <w:top w:val="single" w:color="auto" w:sz="4" w:space="0"/>
              <w:left w:val="single" w:color="auto" w:sz="4" w:space="0"/>
              <w:bottom w:val="single" w:color="auto" w:sz="4" w:space="0"/>
              <w:right w:val="single" w:color="auto" w:sz="4" w:space="0"/>
            </w:tcBorders>
          </w:tcPr>
          <w:p w14:paraId="25473243">
            <w:pPr>
              <w:pStyle w:val="32"/>
              <w:rPr>
                <w:rFonts w:hint="eastAsia" w:hAnsi="宋体" w:cs="宋体"/>
                <w:color w:val="auto"/>
                <w:kern w:val="2"/>
                <w:highlight w:val="none"/>
              </w:rPr>
            </w:pPr>
          </w:p>
        </w:tc>
        <w:tc>
          <w:tcPr>
            <w:tcW w:w="2180" w:type="dxa"/>
            <w:tcBorders>
              <w:top w:val="single" w:color="auto" w:sz="4" w:space="0"/>
              <w:left w:val="single" w:color="auto" w:sz="4" w:space="0"/>
              <w:bottom w:val="single" w:color="auto" w:sz="4" w:space="0"/>
              <w:right w:val="single" w:color="auto" w:sz="4" w:space="0"/>
            </w:tcBorders>
          </w:tcPr>
          <w:p w14:paraId="0D600F5A">
            <w:pPr>
              <w:pStyle w:val="32"/>
              <w:rPr>
                <w:rFonts w:hint="eastAsia" w:hAnsi="宋体" w:cs="宋体"/>
                <w:color w:val="auto"/>
                <w:kern w:val="2"/>
                <w:highlight w:val="none"/>
              </w:rPr>
            </w:pPr>
          </w:p>
        </w:tc>
        <w:tc>
          <w:tcPr>
            <w:tcW w:w="1933" w:type="dxa"/>
            <w:tcBorders>
              <w:top w:val="single" w:color="auto" w:sz="4" w:space="0"/>
              <w:left w:val="single" w:color="auto" w:sz="4" w:space="0"/>
              <w:bottom w:val="single" w:color="auto" w:sz="4" w:space="0"/>
              <w:right w:val="single" w:color="auto" w:sz="4" w:space="0"/>
            </w:tcBorders>
          </w:tcPr>
          <w:p w14:paraId="2B6EC93D">
            <w:pPr>
              <w:pStyle w:val="32"/>
              <w:rPr>
                <w:rFonts w:hint="eastAsia" w:hAnsi="宋体" w:cs="宋体"/>
                <w:color w:val="auto"/>
                <w:kern w:val="2"/>
                <w:highlight w:val="none"/>
              </w:rPr>
            </w:pPr>
          </w:p>
        </w:tc>
      </w:tr>
      <w:tr w14:paraId="7AFD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5A3D8A5A">
            <w:pPr>
              <w:pStyle w:val="32"/>
              <w:rPr>
                <w:rFonts w:hint="eastAsia" w:hAnsi="宋体" w:cs="宋体"/>
                <w:color w:val="auto"/>
                <w:kern w:val="2"/>
                <w:highlight w:val="none"/>
              </w:rPr>
            </w:pPr>
          </w:p>
        </w:tc>
        <w:tc>
          <w:tcPr>
            <w:tcW w:w="2142" w:type="dxa"/>
            <w:tcBorders>
              <w:top w:val="single" w:color="auto" w:sz="4" w:space="0"/>
              <w:left w:val="single" w:color="auto" w:sz="4" w:space="0"/>
              <w:bottom w:val="single" w:color="auto" w:sz="4" w:space="0"/>
              <w:right w:val="single" w:color="auto" w:sz="4" w:space="0"/>
            </w:tcBorders>
          </w:tcPr>
          <w:p w14:paraId="5FDACF1D">
            <w:pPr>
              <w:pStyle w:val="32"/>
              <w:rPr>
                <w:rFonts w:hint="eastAsia" w:hAnsi="宋体" w:cs="宋体"/>
                <w:color w:val="auto"/>
                <w:kern w:val="2"/>
                <w:highlight w:val="none"/>
              </w:rPr>
            </w:pPr>
          </w:p>
        </w:tc>
        <w:tc>
          <w:tcPr>
            <w:tcW w:w="1833" w:type="dxa"/>
            <w:tcBorders>
              <w:top w:val="single" w:color="auto" w:sz="4" w:space="0"/>
              <w:left w:val="single" w:color="auto" w:sz="4" w:space="0"/>
              <w:bottom w:val="single" w:color="auto" w:sz="4" w:space="0"/>
              <w:right w:val="single" w:color="auto" w:sz="4" w:space="0"/>
            </w:tcBorders>
          </w:tcPr>
          <w:p w14:paraId="4BDCF51D">
            <w:pPr>
              <w:pStyle w:val="32"/>
              <w:rPr>
                <w:rFonts w:hint="eastAsia" w:hAnsi="宋体" w:cs="宋体"/>
                <w:color w:val="auto"/>
                <w:kern w:val="2"/>
                <w:highlight w:val="none"/>
              </w:rPr>
            </w:pPr>
          </w:p>
        </w:tc>
        <w:tc>
          <w:tcPr>
            <w:tcW w:w="2180" w:type="dxa"/>
            <w:tcBorders>
              <w:top w:val="single" w:color="auto" w:sz="4" w:space="0"/>
              <w:left w:val="single" w:color="auto" w:sz="4" w:space="0"/>
              <w:bottom w:val="single" w:color="auto" w:sz="4" w:space="0"/>
              <w:right w:val="single" w:color="auto" w:sz="4" w:space="0"/>
            </w:tcBorders>
          </w:tcPr>
          <w:p w14:paraId="74A22320">
            <w:pPr>
              <w:pStyle w:val="32"/>
              <w:rPr>
                <w:rFonts w:hint="eastAsia" w:hAnsi="宋体" w:cs="宋体"/>
                <w:color w:val="auto"/>
                <w:kern w:val="2"/>
                <w:highlight w:val="none"/>
              </w:rPr>
            </w:pPr>
          </w:p>
        </w:tc>
        <w:tc>
          <w:tcPr>
            <w:tcW w:w="1933" w:type="dxa"/>
            <w:tcBorders>
              <w:top w:val="single" w:color="auto" w:sz="4" w:space="0"/>
              <w:left w:val="single" w:color="auto" w:sz="4" w:space="0"/>
              <w:bottom w:val="single" w:color="auto" w:sz="4" w:space="0"/>
              <w:right w:val="single" w:color="auto" w:sz="4" w:space="0"/>
            </w:tcBorders>
          </w:tcPr>
          <w:p w14:paraId="2C7CDD35">
            <w:pPr>
              <w:pStyle w:val="32"/>
              <w:rPr>
                <w:rFonts w:hint="eastAsia" w:hAnsi="宋体" w:cs="宋体"/>
                <w:color w:val="auto"/>
                <w:kern w:val="2"/>
                <w:highlight w:val="none"/>
              </w:rPr>
            </w:pPr>
          </w:p>
        </w:tc>
      </w:tr>
      <w:tr w14:paraId="3602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4D4BDABD">
            <w:pPr>
              <w:pStyle w:val="32"/>
              <w:rPr>
                <w:rFonts w:hint="eastAsia" w:hAnsi="宋体" w:cs="宋体"/>
                <w:color w:val="auto"/>
                <w:kern w:val="2"/>
                <w:highlight w:val="none"/>
              </w:rPr>
            </w:pPr>
          </w:p>
        </w:tc>
        <w:tc>
          <w:tcPr>
            <w:tcW w:w="2142" w:type="dxa"/>
            <w:tcBorders>
              <w:top w:val="single" w:color="auto" w:sz="4" w:space="0"/>
              <w:left w:val="single" w:color="auto" w:sz="4" w:space="0"/>
              <w:bottom w:val="single" w:color="auto" w:sz="4" w:space="0"/>
              <w:right w:val="single" w:color="auto" w:sz="4" w:space="0"/>
            </w:tcBorders>
          </w:tcPr>
          <w:p w14:paraId="449DB496">
            <w:pPr>
              <w:pStyle w:val="32"/>
              <w:rPr>
                <w:rFonts w:hint="eastAsia" w:hAnsi="宋体" w:cs="宋体"/>
                <w:color w:val="auto"/>
                <w:kern w:val="2"/>
                <w:highlight w:val="none"/>
              </w:rPr>
            </w:pPr>
          </w:p>
        </w:tc>
        <w:tc>
          <w:tcPr>
            <w:tcW w:w="1833" w:type="dxa"/>
            <w:tcBorders>
              <w:top w:val="single" w:color="auto" w:sz="4" w:space="0"/>
              <w:left w:val="single" w:color="auto" w:sz="4" w:space="0"/>
              <w:bottom w:val="single" w:color="auto" w:sz="4" w:space="0"/>
              <w:right w:val="single" w:color="auto" w:sz="4" w:space="0"/>
            </w:tcBorders>
          </w:tcPr>
          <w:p w14:paraId="3497AC31">
            <w:pPr>
              <w:pStyle w:val="32"/>
              <w:rPr>
                <w:rFonts w:hint="eastAsia" w:hAnsi="宋体" w:cs="宋体"/>
                <w:color w:val="auto"/>
                <w:kern w:val="2"/>
                <w:highlight w:val="none"/>
              </w:rPr>
            </w:pPr>
          </w:p>
        </w:tc>
        <w:tc>
          <w:tcPr>
            <w:tcW w:w="2180" w:type="dxa"/>
            <w:tcBorders>
              <w:top w:val="single" w:color="auto" w:sz="4" w:space="0"/>
              <w:left w:val="single" w:color="auto" w:sz="4" w:space="0"/>
              <w:bottom w:val="single" w:color="auto" w:sz="4" w:space="0"/>
              <w:right w:val="single" w:color="auto" w:sz="4" w:space="0"/>
            </w:tcBorders>
          </w:tcPr>
          <w:p w14:paraId="08468446">
            <w:pPr>
              <w:pStyle w:val="32"/>
              <w:rPr>
                <w:rFonts w:hint="eastAsia" w:hAnsi="宋体" w:cs="宋体"/>
                <w:color w:val="auto"/>
                <w:kern w:val="2"/>
                <w:highlight w:val="none"/>
              </w:rPr>
            </w:pPr>
          </w:p>
        </w:tc>
        <w:tc>
          <w:tcPr>
            <w:tcW w:w="1933" w:type="dxa"/>
            <w:tcBorders>
              <w:top w:val="single" w:color="auto" w:sz="4" w:space="0"/>
              <w:left w:val="single" w:color="auto" w:sz="4" w:space="0"/>
              <w:bottom w:val="single" w:color="auto" w:sz="4" w:space="0"/>
              <w:right w:val="single" w:color="auto" w:sz="4" w:space="0"/>
            </w:tcBorders>
          </w:tcPr>
          <w:p w14:paraId="0CA9B247">
            <w:pPr>
              <w:pStyle w:val="32"/>
              <w:rPr>
                <w:rFonts w:hint="eastAsia" w:hAnsi="宋体" w:cs="宋体"/>
                <w:color w:val="auto"/>
                <w:kern w:val="2"/>
                <w:highlight w:val="none"/>
              </w:rPr>
            </w:pPr>
          </w:p>
        </w:tc>
      </w:tr>
      <w:tr w14:paraId="5EDA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05149B4D">
            <w:pPr>
              <w:pStyle w:val="32"/>
              <w:rPr>
                <w:rFonts w:hint="eastAsia" w:hAnsi="宋体" w:cs="宋体"/>
                <w:color w:val="auto"/>
                <w:kern w:val="2"/>
                <w:highlight w:val="none"/>
              </w:rPr>
            </w:pPr>
          </w:p>
        </w:tc>
        <w:tc>
          <w:tcPr>
            <w:tcW w:w="2142" w:type="dxa"/>
            <w:tcBorders>
              <w:top w:val="single" w:color="auto" w:sz="4" w:space="0"/>
              <w:left w:val="single" w:color="auto" w:sz="4" w:space="0"/>
              <w:bottom w:val="single" w:color="auto" w:sz="4" w:space="0"/>
              <w:right w:val="single" w:color="auto" w:sz="4" w:space="0"/>
            </w:tcBorders>
          </w:tcPr>
          <w:p w14:paraId="6252E46C">
            <w:pPr>
              <w:pStyle w:val="32"/>
              <w:rPr>
                <w:rFonts w:hint="eastAsia" w:hAnsi="宋体" w:cs="宋体"/>
                <w:color w:val="auto"/>
                <w:kern w:val="2"/>
                <w:highlight w:val="none"/>
              </w:rPr>
            </w:pPr>
          </w:p>
        </w:tc>
        <w:tc>
          <w:tcPr>
            <w:tcW w:w="1833" w:type="dxa"/>
            <w:tcBorders>
              <w:top w:val="single" w:color="auto" w:sz="4" w:space="0"/>
              <w:left w:val="single" w:color="auto" w:sz="4" w:space="0"/>
              <w:bottom w:val="single" w:color="auto" w:sz="4" w:space="0"/>
              <w:right w:val="single" w:color="auto" w:sz="4" w:space="0"/>
            </w:tcBorders>
          </w:tcPr>
          <w:p w14:paraId="10E48F7F">
            <w:pPr>
              <w:pStyle w:val="32"/>
              <w:rPr>
                <w:rFonts w:hint="eastAsia" w:hAnsi="宋体" w:cs="宋体"/>
                <w:color w:val="auto"/>
                <w:kern w:val="2"/>
                <w:highlight w:val="none"/>
              </w:rPr>
            </w:pPr>
          </w:p>
        </w:tc>
        <w:tc>
          <w:tcPr>
            <w:tcW w:w="2180" w:type="dxa"/>
            <w:tcBorders>
              <w:top w:val="single" w:color="auto" w:sz="4" w:space="0"/>
              <w:left w:val="single" w:color="auto" w:sz="4" w:space="0"/>
              <w:bottom w:val="single" w:color="auto" w:sz="4" w:space="0"/>
              <w:right w:val="single" w:color="auto" w:sz="4" w:space="0"/>
            </w:tcBorders>
          </w:tcPr>
          <w:p w14:paraId="11452943">
            <w:pPr>
              <w:pStyle w:val="32"/>
              <w:rPr>
                <w:rFonts w:hint="eastAsia" w:hAnsi="宋体" w:cs="宋体"/>
                <w:color w:val="auto"/>
                <w:kern w:val="2"/>
                <w:highlight w:val="none"/>
              </w:rPr>
            </w:pPr>
          </w:p>
        </w:tc>
        <w:tc>
          <w:tcPr>
            <w:tcW w:w="1933" w:type="dxa"/>
            <w:tcBorders>
              <w:top w:val="single" w:color="auto" w:sz="4" w:space="0"/>
              <w:left w:val="single" w:color="auto" w:sz="4" w:space="0"/>
              <w:bottom w:val="single" w:color="auto" w:sz="4" w:space="0"/>
              <w:right w:val="single" w:color="auto" w:sz="4" w:space="0"/>
            </w:tcBorders>
          </w:tcPr>
          <w:p w14:paraId="0C7D6677">
            <w:pPr>
              <w:pStyle w:val="32"/>
              <w:rPr>
                <w:rFonts w:hint="eastAsia" w:hAnsi="宋体" w:cs="宋体"/>
                <w:color w:val="auto"/>
                <w:kern w:val="2"/>
                <w:highlight w:val="none"/>
              </w:rPr>
            </w:pPr>
          </w:p>
        </w:tc>
      </w:tr>
      <w:tr w14:paraId="1ED9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1A8E908F">
            <w:pPr>
              <w:pStyle w:val="32"/>
              <w:rPr>
                <w:rFonts w:hint="eastAsia" w:hAnsi="宋体" w:cs="宋体"/>
                <w:color w:val="auto"/>
                <w:kern w:val="2"/>
                <w:highlight w:val="none"/>
              </w:rPr>
            </w:pPr>
          </w:p>
        </w:tc>
        <w:tc>
          <w:tcPr>
            <w:tcW w:w="2142" w:type="dxa"/>
            <w:tcBorders>
              <w:top w:val="single" w:color="auto" w:sz="4" w:space="0"/>
              <w:left w:val="single" w:color="auto" w:sz="4" w:space="0"/>
              <w:bottom w:val="single" w:color="auto" w:sz="4" w:space="0"/>
              <w:right w:val="single" w:color="auto" w:sz="4" w:space="0"/>
            </w:tcBorders>
          </w:tcPr>
          <w:p w14:paraId="3AE0543D">
            <w:pPr>
              <w:pStyle w:val="32"/>
              <w:rPr>
                <w:rFonts w:hint="eastAsia" w:hAnsi="宋体" w:cs="宋体"/>
                <w:color w:val="auto"/>
                <w:kern w:val="2"/>
                <w:highlight w:val="none"/>
              </w:rPr>
            </w:pPr>
          </w:p>
        </w:tc>
        <w:tc>
          <w:tcPr>
            <w:tcW w:w="1833" w:type="dxa"/>
            <w:tcBorders>
              <w:top w:val="single" w:color="auto" w:sz="4" w:space="0"/>
              <w:left w:val="single" w:color="auto" w:sz="4" w:space="0"/>
              <w:bottom w:val="single" w:color="auto" w:sz="4" w:space="0"/>
              <w:right w:val="single" w:color="auto" w:sz="4" w:space="0"/>
            </w:tcBorders>
          </w:tcPr>
          <w:p w14:paraId="7942DBE2">
            <w:pPr>
              <w:pStyle w:val="32"/>
              <w:rPr>
                <w:rFonts w:hint="eastAsia" w:hAnsi="宋体" w:cs="宋体"/>
                <w:color w:val="auto"/>
                <w:kern w:val="2"/>
                <w:highlight w:val="none"/>
              </w:rPr>
            </w:pPr>
          </w:p>
        </w:tc>
        <w:tc>
          <w:tcPr>
            <w:tcW w:w="2180" w:type="dxa"/>
            <w:tcBorders>
              <w:top w:val="single" w:color="auto" w:sz="4" w:space="0"/>
              <w:left w:val="single" w:color="auto" w:sz="4" w:space="0"/>
              <w:bottom w:val="single" w:color="auto" w:sz="4" w:space="0"/>
              <w:right w:val="single" w:color="auto" w:sz="4" w:space="0"/>
            </w:tcBorders>
          </w:tcPr>
          <w:p w14:paraId="2FA51716">
            <w:pPr>
              <w:pStyle w:val="32"/>
              <w:rPr>
                <w:rFonts w:hint="eastAsia" w:hAnsi="宋体" w:cs="宋体"/>
                <w:color w:val="auto"/>
                <w:kern w:val="2"/>
                <w:highlight w:val="none"/>
              </w:rPr>
            </w:pPr>
          </w:p>
        </w:tc>
        <w:tc>
          <w:tcPr>
            <w:tcW w:w="1933" w:type="dxa"/>
            <w:tcBorders>
              <w:top w:val="single" w:color="auto" w:sz="4" w:space="0"/>
              <w:left w:val="single" w:color="auto" w:sz="4" w:space="0"/>
              <w:bottom w:val="single" w:color="auto" w:sz="4" w:space="0"/>
              <w:right w:val="single" w:color="auto" w:sz="4" w:space="0"/>
            </w:tcBorders>
          </w:tcPr>
          <w:p w14:paraId="7FA034B8">
            <w:pPr>
              <w:pStyle w:val="32"/>
              <w:rPr>
                <w:rFonts w:hint="eastAsia" w:hAnsi="宋体" w:cs="宋体"/>
                <w:color w:val="auto"/>
                <w:kern w:val="2"/>
                <w:highlight w:val="none"/>
              </w:rPr>
            </w:pPr>
          </w:p>
        </w:tc>
      </w:tr>
      <w:tr w14:paraId="1B18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47BAB10F">
            <w:pPr>
              <w:pStyle w:val="32"/>
              <w:rPr>
                <w:rFonts w:hint="eastAsia" w:hAnsi="宋体" w:cs="宋体"/>
                <w:color w:val="auto"/>
                <w:kern w:val="2"/>
                <w:highlight w:val="none"/>
              </w:rPr>
            </w:pPr>
          </w:p>
        </w:tc>
        <w:tc>
          <w:tcPr>
            <w:tcW w:w="2142" w:type="dxa"/>
            <w:tcBorders>
              <w:top w:val="single" w:color="auto" w:sz="4" w:space="0"/>
              <w:left w:val="single" w:color="auto" w:sz="4" w:space="0"/>
              <w:bottom w:val="single" w:color="auto" w:sz="4" w:space="0"/>
              <w:right w:val="single" w:color="auto" w:sz="4" w:space="0"/>
            </w:tcBorders>
          </w:tcPr>
          <w:p w14:paraId="5DEBFE71">
            <w:pPr>
              <w:pStyle w:val="32"/>
              <w:rPr>
                <w:rFonts w:hint="eastAsia" w:hAnsi="宋体" w:cs="宋体"/>
                <w:color w:val="auto"/>
                <w:kern w:val="2"/>
                <w:highlight w:val="none"/>
              </w:rPr>
            </w:pPr>
          </w:p>
        </w:tc>
        <w:tc>
          <w:tcPr>
            <w:tcW w:w="1833" w:type="dxa"/>
            <w:tcBorders>
              <w:top w:val="single" w:color="auto" w:sz="4" w:space="0"/>
              <w:left w:val="single" w:color="auto" w:sz="4" w:space="0"/>
              <w:bottom w:val="single" w:color="auto" w:sz="4" w:space="0"/>
              <w:right w:val="single" w:color="auto" w:sz="4" w:space="0"/>
            </w:tcBorders>
          </w:tcPr>
          <w:p w14:paraId="106A6959">
            <w:pPr>
              <w:pStyle w:val="32"/>
              <w:rPr>
                <w:rFonts w:hint="eastAsia" w:hAnsi="宋体" w:cs="宋体"/>
                <w:color w:val="auto"/>
                <w:kern w:val="2"/>
                <w:highlight w:val="none"/>
              </w:rPr>
            </w:pPr>
          </w:p>
        </w:tc>
        <w:tc>
          <w:tcPr>
            <w:tcW w:w="2180" w:type="dxa"/>
            <w:tcBorders>
              <w:top w:val="single" w:color="auto" w:sz="4" w:space="0"/>
              <w:left w:val="single" w:color="auto" w:sz="4" w:space="0"/>
              <w:bottom w:val="single" w:color="auto" w:sz="4" w:space="0"/>
              <w:right w:val="single" w:color="auto" w:sz="4" w:space="0"/>
            </w:tcBorders>
          </w:tcPr>
          <w:p w14:paraId="5DD62B61">
            <w:pPr>
              <w:pStyle w:val="32"/>
              <w:rPr>
                <w:rFonts w:hint="eastAsia" w:hAnsi="宋体" w:cs="宋体"/>
                <w:color w:val="auto"/>
                <w:kern w:val="2"/>
                <w:highlight w:val="none"/>
              </w:rPr>
            </w:pPr>
          </w:p>
        </w:tc>
        <w:tc>
          <w:tcPr>
            <w:tcW w:w="1933" w:type="dxa"/>
            <w:tcBorders>
              <w:top w:val="single" w:color="auto" w:sz="4" w:space="0"/>
              <w:left w:val="single" w:color="auto" w:sz="4" w:space="0"/>
              <w:bottom w:val="single" w:color="auto" w:sz="4" w:space="0"/>
              <w:right w:val="single" w:color="auto" w:sz="4" w:space="0"/>
            </w:tcBorders>
          </w:tcPr>
          <w:p w14:paraId="18443014">
            <w:pPr>
              <w:pStyle w:val="32"/>
              <w:rPr>
                <w:rFonts w:hint="eastAsia" w:hAnsi="宋体" w:cs="宋体"/>
                <w:color w:val="auto"/>
                <w:kern w:val="2"/>
                <w:highlight w:val="none"/>
              </w:rPr>
            </w:pPr>
          </w:p>
        </w:tc>
      </w:tr>
    </w:tbl>
    <w:p w14:paraId="23DDEEB4">
      <w:pPr>
        <w:pStyle w:val="21"/>
        <w:spacing w:line="360" w:lineRule="auto"/>
        <w:rPr>
          <w:rFonts w:hint="eastAsia" w:ascii="宋体" w:hAnsi="宋体" w:cs="宋体"/>
          <w:color w:val="auto"/>
          <w:highlight w:val="none"/>
        </w:rPr>
      </w:pPr>
      <w:r>
        <w:rPr>
          <w:rFonts w:hint="eastAsia" w:ascii="宋体" w:hAnsi="宋体" w:cs="宋体"/>
          <w:color w:val="auto"/>
          <w:highlight w:val="none"/>
        </w:rPr>
        <w:t>注：</w:t>
      </w:r>
    </w:p>
    <w:p w14:paraId="2362630A">
      <w:pPr>
        <w:pStyle w:val="25"/>
        <w:spacing w:line="360" w:lineRule="auto"/>
        <w:ind w:firstLine="0" w:firstLineChars="0"/>
        <w:rPr>
          <w:rFonts w:hint="eastAsia"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采购需求”中的采购需求、技术要求逐条作明确的投标响应，并作出偏离说明。</w:t>
      </w:r>
    </w:p>
    <w:p w14:paraId="4F88B982">
      <w:pPr>
        <w:pStyle w:val="21"/>
        <w:spacing w:line="360" w:lineRule="auto"/>
        <w:rPr>
          <w:rFonts w:hint="eastAsia" w:ascii="宋体" w:hAnsi="宋体" w:cs="宋体"/>
          <w:color w:val="auto"/>
          <w:highlight w:val="none"/>
        </w:rPr>
      </w:pPr>
      <w:r>
        <w:rPr>
          <w:rFonts w:hint="eastAsia" w:ascii="宋体" w:hAnsi="宋体" w:cs="宋体"/>
          <w:b w:val="0"/>
          <w:bCs w:val="0"/>
          <w:color w:val="auto"/>
          <w:highlight w:val="none"/>
        </w:rPr>
        <w:t>2.投标人应根据自身的承诺，对照招标文件要求，在“偏离说明”中注明“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22032342">
      <w:pPr>
        <w:pStyle w:val="21"/>
        <w:spacing w:line="360" w:lineRule="auto"/>
        <w:rPr>
          <w:rFonts w:hint="eastAsia" w:ascii="宋体" w:hAnsi="宋体" w:cs="宋体"/>
          <w:color w:val="auto"/>
          <w:spacing w:val="20"/>
          <w:highlight w:val="none"/>
        </w:rPr>
      </w:pPr>
    </w:p>
    <w:p w14:paraId="260A134E">
      <w:pPr>
        <w:spacing w:line="360" w:lineRule="auto"/>
        <w:rPr>
          <w:rFonts w:hint="eastAsia"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r>
        <w:rPr>
          <w:rFonts w:hint="eastAsia" w:ascii="宋体" w:hAnsi="宋体" w:cs="宋体"/>
          <w:color w:val="auto"/>
          <w:spacing w:val="20"/>
          <w:sz w:val="24"/>
          <w:highlight w:val="none"/>
          <w:u w:val="single"/>
        </w:rPr>
        <w:t xml:space="preserve">        </w:t>
      </w:r>
    </w:p>
    <w:p w14:paraId="0AB1AF05">
      <w:pPr>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7A687E94">
      <w:pPr>
        <w:spacing w:line="360" w:lineRule="auto"/>
        <w:rPr>
          <w:rFonts w:hint="eastAsia" w:ascii="宋体" w:hAnsi="宋体" w:cs="宋体"/>
          <w:color w:val="auto"/>
          <w:sz w:val="24"/>
          <w:szCs w:val="20"/>
          <w:highlight w:val="none"/>
        </w:rPr>
      </w:pPr>
      <w:r>
        <w:rPr>
          <w:rFonts w:hint="eastAsia" w:ascii="宋体" w:hAnsi="宋体" w:cs="宋体"/>
          <w:color w:val="auto"/>
          <w:spacing w:val="20"/>
          <w:sz w:val="24"/>
          <w:highlight w:val="none"/>
        </w:rPr>
        <w:t xml:space="preserve">日  期：    </w:t>
      </w:r>
      <w:r>
        <w:rPr>
          <w:rFonts w:hint="eastAsia" w:ascii="宋体" w:hAnsi="宋体" w:cs="宋体"/>
          <w:color w:val="auto"/>
          <w:sz w:val="24"/>
          <w:highlight w:val="none"/>
        </w:rPr>
        <w:t>年    月    日</w:t>
      </w:r>
    </w:p>
    <w:p w14:paraId="318F76EC">
      <w:pPr>
        <w:spacing w:line="360" w:lineRule="auto"/>
        <w:rPr>
          <w:rFonts w:hint="eastAsia" w:ascii="宋体" w:hAnsi="宋体" w:cs="宋体"/>
          <w:color w:val="auto"/>
          <w:spacing w:val="20"/>
          <w:sz w:val="24"/>
          <w:highlight w:val="none"/>
          <w:u w:val="single"/>
        </w:rPr>
      </w:pPr>
    </w:p>
    <w:p w14:paraId="18587B81">
      <w:pPr>
        <w:spacing w:line="360" w:lineRule="auto"/>
        <w:rPr>
          <w:rFonts w:hint="eastAsia" w:ascii="宋体" w:hAnsi="宋体" w:cs="宋体"/>
          <w:color w:val="auto"/>
          <w:sz w:val="24"/>
          <w:szCs w:val="20"/>
          <w:highlight w:val="none"/>
        </w:rPr>
      </w:pPr>
    </w:p>
    <w:p w14:paraId="2F2E61BA">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9.项目实施人员一览表格式</w:t>
      </w:r>
    </w:p>
    <w:p w14:paraId="35307B95">
      <w:pPr>
        <w:snapToGrid w:val="0"/>
        <w:spacing w:before="120" w:beforeLines="50" w:after="50"/>
        <w:ind w:left="142"/>
        <w:jc w:val="left"/>
        <w:rPr>
          <w:rFonts w:hint="eastAsia" w:ascii="宋体" w:hAnsi="宋体" w:cs="宋体"/>
          <w:b/>
          <w:color w:val="auto"/>
          <w:sz w:val="24"/>
          <w:highlight w:val="none"/>
        </w:rPr>
      </w:pPr>
    </w:p>
    <w:p w14:paraId="37E01D32">
      <w:pPr>
        <w:snapToGrid w:val="0"/>
        <w:spacing w:before="120"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BA63E52">
      <w:pPr>
        <w:pStyle w:val="32"/>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62"/>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796"/>
        <w:gridCol w:w="1911"/>
        <w:gridCol w:w="1595"/>
        <w:gridCol w:w="1907"/>
        <w:gridCol w:w="2070"/>
      </w:tblGrid>
      <w:tr w14:paraId="0C6C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917" w:type="dxa"/>
            <w:tcBorders>
              <w:top w:val="single" w:color="auto" w:sz="4" w:space="0"/>
              <w:left w:val="single" w:color="auto" w:sz="4" w:space="0"/>
              <w:bottom w:val="single" w:color="auto" w:sz="4" w:space="0"/>
              <w:right w:val="single" w:color="auto" w:sz="4" w:space="0"/>
            </w:tcBorders>
            <w:vAlign w:val="center"/>
          </w:tcPr>
          <w:p w14:paraId="738A9AB8">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姓名</w:t>
            </w:r>
          </w:p>
        </w:tc>
        <w:tc>
          <w:tcPr>
            <w:tcW w:w="796" w:type="dxa"/>
            <w:tcBorders>
              <w:top w:val="single" w:color="auto" w:sz="4" w:space="0"/>
              <w:left w:val="single" w:color="auto" w:sz="4" w:space="0"/>
              <w:bottom w:val="single" w:color="auto" w:sz="4" w:space="0"/>
              <w:right w:val="single" w:color="auto" w:sz="4" w:space="0"/>
            </w:tcBorders>
            <w:vAlign w:val="center"/>
          </w:tcPr>
          <w:p w14:paraId="4014D0E1">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职务</w:t>
            </w:r>
          </w:p>
        </w:tc>
        <w:tc>
          <w:tcPr>
            <w:tcW w:w="1911" w:type="dxa"/>
            <w:tcBorders>
              <w:top w:val="single" w:color="auto" w:sz="4" w:space="0"/>
              <w:left w:val="single" w:color="auto" w:sz="4" w:space="0"/>
              <w:bottom w:val="single" w:color="auto" w:sz="4" w:space="0"/>
              <w:right w:val="single" w:color="auto" w:sz="4" w:space="0"/>
            </w:tcBorders>
            <w:vAlign w:val="center"/>
          </w:tcPr>
          <w:p w14:paraId="750E4970">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595" w:type="dxa"/>
            <w:tcBorders>
              <w:top w:val="single" w:color="auto" w:sz="4" w:space="0"/>
              <w:left w:val="single" w:color="auto" w:sz="4" w:space="0"/>
              <w:bottom w:val="single" w:color="auto" w:sz="4" w:space="0"/>
              <w:right w:val="single" w:color="auto" w:sz="4" w:space="0"/>
            </w:tcBorders>
            <w:vAlign w:val="center"/>
          </w:tcPr>
          <w:p w14:paraId="023CB6D0">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907" w:type="dxa"/>
            <w:tcBorders>
              <w:top w:val="single" w:color="auto" w:sz="4" w:space="0"/>
              <w:left w:val="single" w:color="auto" w:sz="4" w:space="0"/>
              <w:bottom w:val="single" w:color="auto" w:sz="4" w:space="0"/>
              <w:right w:val="single" w:color="auto" w:sz="4" w:space="0"/>
            </w:tcBorders>
            <w:vAlign w:val="center"/>
          </w:tcPr>
          <w:p w14:paraId="3A408FE3">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参加本单位</w:t>
            </w:r>
          </w:p>
          <w:p w14:paraId="69392910">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2070" w:type="dxa"/>
            <w:tcBorders>
              <w:top w:val="single" w:color="auto" w:sz="4" w:space="0"/>
              <w:left w:val="single" w:color="auto" w:sz="4" w:space="0"/>
              <w:bottom w:val="single" w:color="auto" w:sz="4" w:space="0"/>
              <w:right w:val="single" w:color="auto" w:sz="4" w:space="0"/>
            </w:tcBorders>
            <w:vAlign w:val="center"/>
          </w:tcPr>
          <w:p w14:paraId="260780CC">
            <w:pPr>
              <w:snapToGrid w:val="0"/>
              <w:spacing w:before="50" w:after="120" w:afterLines="50"/>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78D7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17" w:type="dxa"/>
            <w:tcBorders>
              <w:top w:val="single" w:color="auto" w:sz="4" w:space="0"/>
              <w:left w:val="single" w:color="auto" w:sz="4" w:space="0"/>
              <w:bottom w:val="single" w:color="auto" w:sz="4" w:space="0"/>
              <w:right w:val="single" w:color="auto" w:sz="4" w:space="0"/>
            </w:tcBorders>
            <w:vAlign w:val="center"/>
          </w:tcPr>
          <w:p w14:paraId="4C9587B8">
            <w:pPr>
              <w:snapToGrid w:val="0"/>
              <w:spacing w:before="50" w:after="120" w:afterLines="50"/>
              <w:jc w:val="center"/>
              <w:rPr>
                <w:rFonts w:hint="eastAsia" w:ascii="宋体" w:hAnsi="宋体" w:cs="宋体"/>
                <w:color w:val="auto"/>
                <w:sz w:val="24"/>
                <w:szCs w:val="20"/>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33DD2E30">
            <w:pPr>
              <w:snapToGrid w:val="0"/>
              <w:spacing w:before="50" w:after="120" w:afterLines="50"/>
              <w:jc w:val="center"/>
              <w:rPr>
                <w:rFonts w:hint="eastAsia" w:ascii="宋体" w:hAnsi="宋体" w:cs="宋体"/>
                <w:color w:val="auto"/>
                <w:sz w:val="24"/>
                <w:szCs w:val="20"/>
                <w:highlight w:val="none"/>
              </w:rPr>
            </w:pPr>
          </w:p>
        </w:tc>
        <w:tc>
          <w:tcPr>
            <w:tcW w:w="1911" w:type="dxa"/>
            <w:tcBorders>
              <w:top w:val="single" w:color="auto" w:sz="4" w:space="0"/>
              <w:left w:val="single" w:color="auto" w:sz="4" w:space="0"/>
              <w:bottom w:val="single" w:color="auto" w:sz="4" w:space="0"/>
              <w:right w:val="single" w:color="auto" w:sz="4" w:space="0"/>
            </w:tcBorders>
            <w:vAlign w:val="center"/>
          </w:tcPr>
          <w:p w14:paraId="30360C2A">
            <w:pPr>
              <w:snapToGrid w:val="0"/>
              <w:spacing w:before="50" w:after="120" w:afterLines="50"/>
              <w:jc w:val="center"/>
              <w:rPr>
                <w:rFonts w:hint="eastAsia" w:ascii="宋体" w:hAnsi="宋体" w:cs="宋体"/>
                <w:color w:val="auto"/>
                <w:sz w:val="24"/>
                <w:szCs w:val="20"/>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6F5A7CC0">
            <w:pPr>
              <w:snapToGrid w:val="0"/>
              <w:spacing w:before="50" w:after="120" w:afterLines="50"/>
              <w:jc w:val="center"/>
              <w:rPr>
                <w:rFonts w:hint="eastAsia" w:ascii="宋体" w:hAnsi="宋体" w:cs="宋体"/>
                <w:color w:val="auto"/>
                <w:sz w:val="24"/>
                <w:szCs w:val="20"/>
                <w:highlight w: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7B5F9025">
            <w:pPr>
              <w:snapToGrid w:val="0"/>
              <w:spacing w:before="50" w:after="120" w:afterLines="50"/>
              <w:jc w:val="center"/>
              <w:rPr>
                <w:rFonts w:hint="eastAsia" w:ascii="宋体" w:hAnsi="宋体" w:cs="宋体"/>
                <w:color w:val="auto"/>
                <w:sz w:val="24"/>
                <w:szCs w:val="20"/>
                <w:highlight w:val="none"/>
              </w:rPr>
            </w:pPr>
          </w:p>
        </w:tc>
        <w:tc>
          <w:tcPr>
            <w:tcW w:w="2070" w:type="dxa"/>
            <w:tcBorders>
              <w:top w:val="single" w:color="auto" w:sz="4" w:space="0"/>
              <w:left w:val="single" w:color="auto" w:sz="4" w:space="0"/>
              <w:bottom w:val="single" w:color="auto" w:sz="4" w:space="0"/>
              <w:right w:val="single" w:color="auto" w:sz="4" w:space="0"/>
            </w:tcBorders>
            <w:vAlign w:val="center"/>
          </w:tcPr>
          <w:p w14:paraId="7FD25A95">
            <w:pPr>
              <w:snapToGrid w:val="0"/>
              <w:spacing w:before="50" w:after="120" w:afterLines="50"/>
              <w:jc w:val="center"/>
              <w:rPr>
                <w:rFonts w:hint="eastAsia" w:ascii="宋体" w:hAnsi="宋体" w:cs="宋体"/>
                <w:color w:val="auto"/>
                <w:sz w:val="24"/>
                <w:szCs w:val="20"/>
                <w:highlight w:val="none"/>
              </w:rPr>
            </w:pPr>
          </w:p>
        </w:tc>
      </w:tr>
      <w:tr w14:paraId="6AAE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17" w:type="dxa"/>
            <w:tcBorders>
              <w:top w:val="single" w:color="auto" w:sz="4" w:space="0"/>
              <w:left w:val="single" w:color="auto" w:sz="4" w:space="0"/>
              <w:bottom w:val="single" w:color="auto" w:sz="4" w:space="0"/>
              <w:right w:val="single" w:color="auto" w:sz="4" w:space="0"/>
            </w:tcBorders>
            <w:vAlign w:val="center"/>
          </w:tcPr>
          <w:p w14:paraId="6EB83063">
            <w:pPr>
              <w:snapToGrid w:val="0"/>
              <w:spacing w:before="50" w:after="120" w:afterLines="50"/>
              <w:jc w:val="center"/>
              <w:rPr>
                <w:rFonts w:hint="eastAsia" w:ascii="宋体" w:hAnsi="宋体" w:cs="宋体"/>
                <w:color w:val="auto"/>
                <w:sz w:val="24"/>
                <w:szCs w:val="20"/>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4FB8E538">
            <w:pPr>
              <w:snapToGrid w:val="0"/>
              <w:spacing w:before="50" w:after="120" w:afterLines="50"/>
              <w:jc w:val="center"/>
              <w:rPr>
                <w:rFonts w:hint="eastAsia" w:ascii="宋体" w:hAnsi="宋体" w:cs="宋体"/>
                <w:color w:val="auto"/>
                <w:sz w:val="24"/>
                <w:szCs w:val="20"/>
                <w:highlight w:val="none"/>
              </w:rPr>
            </w:pPr>
          </w:p>
        </w:tc>
        <w:tc>
          <w:tcPr>
            <w:tcW w:w="1911" w:type="dxa"/>
            <w:tcBorders>
              <w:top w:val="single" w:color="auto" w:sz="4" w:space="0"/>
              <w:left w:val="single" w:color="auto" w:sz="4" w:space="0"/>
              <w:bottom w:val="single" w:color="auto" w:sz="4" w:space="0"/>
              <w:right w:val="single" w:color="auto" w:sz="4" w:space="0"/>
            </w:tcBorders>
            <w:vAlign w:val="center"/>
          </w:tcPr>
          <w:p w14:paraId="2FBB761A">
            <w:pPr>
              <w:snapToGrid w:val="0"/>
              <w:spacing w:before="50" w:after="120" w:afterLines="50"/>
              <w:jc w:val="center"/>
              <w:rPr>
                <w:rFonts w:hint="eastAsia" w:ascii="宋体" w:hAnsi="宋体" w:cs="宋体"/>
                <w:color w:val="auto"/>
                <w:sz w:val="24"/>
                <w:szCs w:val="20"/>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728D4211">
            <w:pPr>
              <w:snapToGrid w:val="0"/>
              <w:spacing w:before="50" w:after="120" w:afterLines="50"/>
              <w:jc w:val="center"/>
              <w:rPr>
                <w:rFonts w:hint="eastAsia" w:ascii="宋体" w:hAnsi="宋体" w:cs="宋体"/>
                <w:color w:val="auto"/>
                <w:sz w:val="24"/>
                <w:szCs w:val="20"/>
                <w:highlight w: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7FB4627B">
            <w:pPr>
              <w:snapToGrid w:val="0"/>
              <w:spacing w:before="50" w:after="120" w:afterLines="50"/>
              <w:jc w:val="center"/>
              <w:rPr>
                <w:rFonts w:hint="eastAsia" w:ascii="宋体" w:hAnsi="宋体" w:cs="宋体"/>
                <w:color w:val="auto"/>
                <w:sz w:val="24"/>
                <w:szCs w:val="20"/>
                <w:highlight w:val="none"/>
              </w:rPr>
            </w:pPr>
          </w:p>
        </w:tc>
        <w:tc>
          <w:tcPr>
            <w:tcW w:w="2070" w:type="dxa"/>
            <w:tcBorders>
              <w:top w:val="single" w:color="auto" w:sz="4" w:space="0"/>
              <w:left w:val="single" w:color="auto" w:sz="4" w:space="0"/>
              <w:bottom w:val="single" w:color="auto" w:sz="4" w:space="0"/>
              <w:right w:val="single" w:color="auto" w:sz="4" w:space="0"/>
            </w:tcBorders>
            <w:vAlign w:val="center"/>
          </w:tcPr>
          <w:p w14:paraId="181ABA77">
            <w:pPr>
              <w:snapToGrid w:val="0"/>
              <w:spacing w:before="50" w:after="120" w:afterLines="50"/>
              <w:jc w:val="center"/>
              <w:rPr>
                <w:rFonts w:hint="eastAsia" w:ascii="宋体" w:hAnsi="宋体" w:cs="宋体"/>
                <w:color w:val="auto"/>
                <w:sz w:val="24"/>
                <w:szCs w:val="20"/>
                <w:highlight w:val="none"/>
              </w:rPr>
            </w:pPr>
          </w:p>
        </w:tc>
      </w:tr>
      <w:tr w14:paraId="7B06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17" w:type="dxa"/>
            <w:tcBorders>
              <w:top w:val="single" w:color="auto" w:sz="4" w:space="0"/>
              <w:left w:val="single" w:color="auto" w:sz="4" w:space="0"/>
              <w:bottom w:val="single" w:color="auto" w:sz="4" w:space="0"/>
              <w:right w:val="single" w:color="auto" w:sz="4" w:space="0"/>
            </w:tcBorders>
            <w:vAlign w:val="center"/>
          </w:tcPr>
          <w:p w14:paraId="34355FF7">
            <w:pPr>
              <w:snapToGrid w:val="0"/>
              <w:spacing w:before="50" w:after="120" w:afterLines="50"/>
              <w:jc w:val="center"/>
              <w:rPr>
                <w:rFonts w:hint="eastAsia" w:ascii="宋体" w:hAnsi="宋体" w:cs="宋体"/>
                <w:color w:val="auto"/>
                <w:sz w:val="24"/>
                <w:szCs w:val="20"/>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56CCBDD4">
            <w:pPr>
              <w:snapToGrid w:val="0"/>
              <w:spacing w:before="50" w:after="120" w:afterLines="50"/>
              <w:jc w:val="center"/>
              <w:rPr>
                <w:rFonts w:hint="eastAsia" w:ascii="宋体" w:hAnsi="宋体" w:cs="宋体"/>
                <w:color w:val="auto"/>
                <w:sz w:val="24"/>
                <w:szCs w:val="20"/>
                <w:highlight w:val="none"/>
              </w:rPr>
            </w:pPr>
          </w:p>
        </w:tc>
        <w:tc>
          <w:tcPr>
            <w:tcW w:w="1911" w:type="dxa"/>
            <w:tcBorders>
              <w:top w:val="single" w:color="auto" w:sz="4" w:space="0"/>
              <w:left w:val="single" w:color="auto" w:sz="4" w:space="0"/>
              <w:bottom w:val="single" w:color="auto" w:sz="4" w:space="0"/>
              <w:right w:val="single" w:color="auto" w:sz="4" w:space="0"/>
            </w:tcBorders>
            <w:vAlign w:val="center"/>
          </w:tcPr>
          <w:p w14:paraId="20DCDF48">
            <w:pPr>
              <w:snapToGrid w:val="0"/>
              <w:spacing w:before="50" w:after="120" w:afterLines="50"/>
              <w:jc w:val="center"/>
              <w:rPr>
                <w:rFonts w:hint="eastAsia" w:ascii="宋体" w:hAnsi="宋体" w:cs="宋体"/>
                <w:color w:val="auto"/>
                <w:sz w:val="24"/>
                <w:szCs w:val="20"/>
                <w:highlight w:val="none"/>
              </w:rPr>
            </w:pPr>
          </w:p>
        </w:tc>
        <w:tc>
          <w:tcPr>
            <w:tcW w:w="1595" w:type="dxa"/>
            <w:tcBorders>
              <w:top w:val="single" w:color="auto" w:sz="4" w:space="0"/>
              <w:left w:val="single" w:color="auto" w:sz="4" w:space="0"/>
              <w:bottom w:val="single" w:color="auto" w:sz="4" w:space="0"/>
              <w:right w:val="single" w:color="auto" w:sz="4" w:space="0"/>
            </w:tcBorders>
            <w:vAlign w:val="center"/>
          </w:tcPr>
          <w:p w14:paraId="75BBA4D0">
            <w:pPr>
              <w:snapToGrid w:val="0"/>
              <w:spacing w:before="50" w:after="120" w:afterLines="50"/>
              <w:jc w:val="center"/>
              <w:rPr>
                <w:rFonts w:hint="eastAsia" w:ascii="宋体" w:hAnsi="宋体" w:cs="宋体"/>
                <w:color w:val="auto"/>
                <w:sz w:val="24"/>
                <w:szCs w:val="20"/>
                <w:highlight w: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420CF6C1">
            <w:pPr>
              <w:snapToGrid w:val="0"/>
              <w:spacing w:before="50" w:after="120" w:afterLines="50"/>
              <w:jc w:val="center"/>
              <w:rPr>
                <w:rFonts w:hint="eastAsia" w:ascii="宋体" w:hAnsi="宋体" w:cs="宋体"/>
                <w:color w:val="auto"/>
                <w:sz w:val="24"/>
                <w:szCs w:val="20"/>
                <w:highlight w:val="none"/>
              </w:rPr>
            </w:pPr>
          </w:p>
        </w:tc>
        <w:tc>
          <w:tcPr>
            <w:tcW w:w="2070" w:type="dxa"/>
            <w:tcBorders>
              <w:top w:val="single" w:color="auto" w:sz="4" w:space="0"/>
              <w:left w:val="single" w:color="auto" w:sz="4" w:space="0"/>
              <w:bottom w:val="single" w:color="auto" w:sz="4" w:space="0"/>
              <w:right w:val="single" w:color="auto" w:sz="4" w:space="0"/>
            </w:tcBorders>
            <w:vAlign w:val="center"/>
          </w:tcPr>
          <w:p w14:paraId="5FDAA50F">
            <w:pPr>
              <w:snapToGrid w:val="0"/>
              <w:spacing w:before="50" w:after="120" w:afterLines="50"/>
              <w:jc w:val="center"/>
              <w:rPr>
                <w:rFonts w:hint="eastAsia" w:ascii="宋体" w:hAnsi="宋体" w:cs="宋体"/>
                <w:color w:val="auto"/>
                <w:sz w:val="24"/>
                <w:szCs w:val="20"/>
                <w:highlight w:val="none"/>
              </w:rPr>
            </w:pPr>
          </w:p>
        </w:tc>
      </w:tr>
    </w:tbl>
    <w:p w14:paraId="5737AFA0">
      <w:pPr>
        <w:snapToGrid w:val="0"/>
        <w:spacing w:before="50" w:after="120" w:afterLines="50"/>
        <w:jc w:val="left"/>
        <w:rPr>
          <w:rFonts w:hint="eastAsia" w:ascii="宋体" w:hAnsi="宋体" w:cs="宋体"/>
          <w:color w:val="auto"/>
          <w:sz w:val="24"/>
          <w:szCs w:val="20"/>
          <w:highlight w:val="none"/>
        </w:rPr>
      </w:pPr>
    </w:p>
    <w:p w14:paraId="4CC77FD4">
      <w:pPr>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注：</w:t>
      </w:r>
    </w:p>
    <w:p w14:paraId="305C384E">
      <w:pPr>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205D7A86">
      <w:pPr>
        <w:spacing w:line="360" w:lineRule="auto"/>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2.投标人应当附本表所列证书的复印件并加盖投标人电子签章。</w:t>
      </w:r>
    </w:p>
    <w:p w14:paraId="7DBFF29E">
      <w:pPr>
        <w:spacing w:line="360" w:lineRule="auto"/>
        <w:jc w:val="left"/>
        <w:rPr>
          <w:rFonts w:hint="eastAsia" w:ascii="宋体" w:hAnsi="宋体" w:cs="宋体"/>
          <w:color w:val="auto"/>
          <w:sz w:val="24"/>
          <w:szCs w:val="20"/>
          <w:highlight w:val="none"/>
        </w:rPr>
      </w:pPr>
    </w:p>
    <w:p w14:paraId="7DC50020">
      <w:pPr>
        <w:spacing w:line="360" w:lineRule="auto"/>
        <w:rPr>
          <w:rFonts w:hint="eastAsia"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（签字或者电子签名）：</w:t>
      </w:r>
      <w:r>
        <w:rPr>
          <w:rFonts w:hint="eastAsia" w:ascii="宋体" w:hAnsi="宋体" w:cs="宋体"/>
          <w:color w:val="auto"/>
          <w:spacing w:val="20"/>
          <w:sz w:val="24"/>
          <w:highlight w:val="none"/>
          <w:u w:val="single"/>
        </w:rPr>
        <w:t xml:space="preserve">        </w:t>
      </w:r>
    </w:p>
    <w:p w14:paraId="7B186DE1">
      <w:pPr>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0E58D98D">
      <w:pPr>
        <w:spacing w:line="360" w:lineRule="auto"/>
        <w:jc w:val="left"/>
        <w:rPr>
          <w:rFonts w:hint="eastAsia" w:ascii="宋体" w:hAnsi="宋体" w:cs="宋体"/>
          <w:color w:val="auto"/>
          <w:sz w:val="24"/>
          <w:szCs w:val="20"/>
          <w:highlight w:val="none"/>
        </w:rPr>
      </w:pPr>
      <w:r>
        <w:rPr>
          <w:rFonts w:hint="eastAsia" w:ascii="宋体" w:hAnsi="宋体" w:cs="宋体"/>
          <w:color w:val="auto"/>
          <w:spacing w:val="20"/>
          <w:sz w:val="24"/>
          <w:highlight w:val="none"/>
        </w:rPr>
        <w:t xml:space="preserve">日 期：     </w:t>
      </w:r>
      <w:r>
        <w:rPr>
          <w:rFonts w:hint="eastAsia" w:ascii="宋体" w:hAnsi="宋体" w:cs="宋体"/>
          <w:color w:val="auto"/>
          <w:sz w:val="24"/>
          <w:highlight w:val="none"/>
        </w:rPr>
        <w:t>年    月    日</w:t>
      </w:r>
    </w:p>
    <w:p w14:paraId="1362330B">
      <w:pPr>
        <w:rPr>
          <w:rFonts w:hint="eastAsia" w:ascii="宋体" w:hAnsi="宋体" w:cs="宋体"/>
          <w:b/>
          <w:color w:val="auto"/>
          <w:sz w:val="28"/>
          <w:szCs w:val="28"/>
          <w:highlight w:val="none"/>
        </w:rPr>
      </w:pPr>
    </w:p>
    <w:p w14:paraId="17194F02">
      <w:pPr>
        <w:pStyle w:val="44"/>
        <w:ind w:firstLine="422"/>
        <w:rPr>
          <w:rFonts w:hint="eastAsia" w:hAnsi="宋体" w:cs="宋体"/>
          <w:color w:val="auto"/>
          <w:highlight w:val="none"/>
        </w:rPr>
      </w:pPr>
    </w:p>
    <w:p w14:paraId="44C7A45B">
      <w:pPr>
        <w:rPr>
          <w:rFonts w:hint="eastAsia" w:ascii="宋体" w:hAnsi="宋体" w:cs="宋体"/>
          <w:color w:val="auto"/>
          <w:highlight w:val="none"/>
        </w:rPr>
      </w:pPr>
    </w:p>
    <w:p w14:paraId="6E4B5720">
      <w:pPr>
        <w:pStyle w:val="44"/>
        <w:ind w:firstLine="422"/>
        <w:rPr>
          <w:rFonts w:hint="eastAsia" w:hAnsi="宋体" w:cs="宋体"/>
          <w:color w:val="auto"/>
          <w:highlight w:val="none"/>
        </w:rPr>
      </w:pPr>
    </w:p>
    <w:p w14:paraId="7EA17487">
      <w:pPr>
        <w:rPr>
          <w:rFonts w:hint="eastAsia" w:ascii="宋体" w:hAnsi="宋体" w:cs="宋体"/>
          <w:color w:val="auto"/>
          <w:highlight w:val="none"/>
        </w:rPr>
      </w:pPr>
    </w:p>
    <w:p w14:paraId="754427BB">
      <w:pPr>
        <w:pStyle w:val="44"/>
        <w:ind w:firstLine="422"/>
        <w:rPr>
          <w:rFonts w:hint="eastAsia" w:hAnsi="宋体" w:cs="宋体"/>
          <w:color w:val="auto"/>
          <w:highlight w:val="none"/>
        </w:rPr>
      </w:pPr>
    </w:p>
    <w:p w14:paraId="44E00028">
      <w:pPr>
        <w:rPr>
          <w:rFonts w:hint="eastAsia" w:ascii="宋体" w:hAnsi="宋体" w:cs="宋体"/>
          <w:b/>
          <w:color w:val="auto"/>
          <w:sz w:val="28"/>
          <w:szCs w:val="28"/>
          <w:highlight w:val="none"/>
        </w:rPr>
      </w:pPr>
    </w:p>
    <w:p w14:paraId="5A0FCD55">
      <w:pPr>
        <w:rPr>
          <w:rFonts w:hint="eastAsia" w:ascii="宋体" w:hAnsi="宋体" w:cs="宋体"/>
          <w:b/>
          <w:color w:val="auto"/>
          <w:sz w:val="28"/>
          <w:szCs w:val="28"/>
          <w:highlight w:val="none"/>
        </w:rPr>
      </w:pPr>
    </w:p>
    <w:bookmarkEnd w:id="147"/>
    <w:p w14:paraId="1483A08E">
      <w:pPr>
        <w:snapToGrid w:val="0"/>
        <w:spacing w:before="50" w:after="120" w:afterLines="50"/>
        <w:jc w:val="left"/>
        <w:rPr>
          <w:rFonts w:hint="eastAsia" w:ascii="宋体" w:hAnsi="宋体" w:cs="宋体"/>
          <w:color w:val="auto"/>
          <w:sz w:val="24"/>
          <w:szCs w:val="20"/>
          <w:highlight w:val="none"/>
        </w:rPr>
      </w:pPr>
    </w:p>
    <w:p w14:paraId="4293EEEC">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148" w:name="_Toc19686840"/>
      <w:r>
        <w:rPr>
          <w:rFonts w:hint="eastAsia" w:ascii="宋体" w:hAnsi="宋体" w:cs="宋体"/>
          <w:b/>
          <w:bCs/>
          <w:color w:val="auto"/>
          <w:sz w:val="24"/>
          <w:highlight w:val="none"/>
        </w:rPr>
        <w:t>四</w:t>
      </w:r>
      <w:r>
        <w:rPr>
          <w:rFonts w:hint="eastAsia" w:ascii="宋体" w:hAnsi="宋体" w:cs="宋体"/>
          <w:b/>
          <w:color w:val="auto"/>
          <w:sz w:val="28"/>
          <w:szCs w:val="28"/>
          <w:highlight w:val="none"/>
        </w:rPr>
        <w:t>、其他文书、文件格式</w:t>
      </w:r>
      <w:bookmarkEnd w:id="148"/>
    </w:p>
    <w:p w14:paraId="6D0303E0">
      <w:pPr>
        <w:spacing w:before="120" w:beforeLines="50" w:after="120" w:afterLines="50" w:line="400" w:lineRule="exact"/>
        <w:jc w:val="center"/>
        <w:rPr>
          <w:rFonts w:hint="eastAsia" w:ascii="宋体" w:hAnsi="宋体" w:cs="宋体"/>
          <w:b/>
          <w:color w:val="auto"/>
          <w:sz w:val="24"/>
          <w:highlight w:val="none"/>
        </w:rPr>
      </w:pPr>
    </w:p>
    <w:p w14:paraId="7E86AA3C">
      <w:pPr>
        <w:spacing w:before="120" w:beforeLines="50" w:after="120" w:afterLines="50"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知识产权合规性声明</w:t>
      </w:r>
    </w:p>
    <w:p w14:paraId="0FC83850">
      <w:pPr>
        <w:spacing w:before="120" w:beforeLines="50" w:after="120" w:afterLines="5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本企业自愿参与政府投资政府采购的__________________________项目，</w:t>
      </w:r>
    </w:p>
    <w:p w14:paraId="43FBD758">
      <w:pPr>
        <w:spacing w:before="120" w:beforeLines="50" w:after="120" w:afterLines="50" w:line="400" w:lineRule="exact"/>
        <w:rPr>
          <w:rFonts w:hint="eastAsia" w:ascii="宋体" w:hAnsi="宋体" w:cs="宋体"/>
          <w:color w:val="auto"/>
          <w:sz w:val="24"/>
          <w:highlight w:val="none"/>
        </w:rPr>
      </w:pPr>
      <w:r>
        <w:rPr>
          <w:rFonts w:hint="eastAsia" w:ascii="宋体" w:hAnsi="宋体" w:cs="宋体"/>
          <w:color w:val="auto"/>
          <w:sz w:val="24"/>
          <w:highlight w:val="none"/>
        </w:rPr>
        <w:t>在此郑重承诺：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7FA84B41">
      <w:pPr>
        <w:spacing w:before="120" w:beforeLines="50" w:after="120" w:afterLines="50" w:line="400" w:lineRule="exact"/>
        <w:rPr>
          <w:rFonts w:hint="eastAsia" w:ascii="宋体" w:hAnsi="宋体" w:cs="宋体"/>
          <w:color w:val="auto"/>
          <w:sz w:val="24"/>
          <w:highlight w:val="none"/>
        </w:rPr>
      </w:pPr>
    </w:p>
    <w:p w14:paraId="7F469FEE">
      <w:pPr>
        <w:spacing w:before="120" w:beforeLines="50" w:after="120" w:afterLines="50" w:line="400" w:lineRule="exact"/>
        <w:rPr>
          <w:rFonts w:hint="eastAsia" w:ascii="宋体" w:hAnsi="宋体" w:cs="宋体"/>
          <w:color w:val="auto"/>
          <w:sz w:val="24"/>
          <w:highlight w:val="none"/>
        </w:rPr>
      </w:pPr>
    </w:p>
    <w:p w14:paraId="66C7F9A7">
      <w:pPr>
        <w:spacing w:before="120" w:beforeLines="50" w:after="120" w:afterLines="50" w:line="400" w:lineRule="exact"/>
        <w:rPr>
          <w:rFonts w:hint="eastAsia" w:ascii="宋体" w:hAnsi="宋体" w:cs="宋体"/>
          <w:color w:val="auto"/>
          <w:sz w:val="24"/>
          <w:highlight w:val="none"/>
        </w:rPr>
      </w:pPr>
      <w:r>
        <w:rPr>
          <w:rFonts w:hint="eastAsia" w:ascii="宋体" w:hAnsi="宋体" w:cs="宋体"/>
          <w:color w:val="auto"/>
          <w:sz w:val="24"/>
          <w:highlight w:val="none"/>
        </w:rPr>
        <w:t>投标人名称(电子签章)：</w:t>
      </w:r>
    </w:p>
    <w:p w14:paraId="2938C5EA">
      <w:pPr>
        <w:spacing w:before="120" w:beforeLines="50" w:after="120" w:afterLines="50" w:line="400" w:lineRule="exact"/>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D58A5F6">
      <w:pPr>
        <w:widowControl/>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14:paraId="41D76B2F">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质疑函（格式）</w:t>
      </w:r>
    </w:p>
    <w:p w14:paraId="7057B945">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质疑函（格式）</w:t>
      </w:r>
    </w:p>
    <w:p w14:paraId="3D6A3956">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一、质疑供应商基本信息：</w:t>
      </w:r>
    </w:p>
    <w:p w14:paraId="7E222BF8">
      <w:pPr>
        <w:pStyle w:val="32"/>
        <w:spacing w:before="0" w:after="0" w:line="288" w:lineRule="auto"/>
        <w:rPr>
          <w:rFonts w:hint="eastAsia" w:hAnsi="宋体" w:cs="宋体"/>
          <w:color w:val="auto"/>
          <w:w w:val="100"/>
          <w:highlight w:val="none"/>
          <w:u w:val="single"/>
        </w:rPr>
      </w:pPr>
      <w:r>
        <w:rPr>
          <w:rFonts w:hint="eastAsia" w:hAnsi="宋体" w:cs="宋体"/>
          <w:color w:val="auto"/>
          <w:w w:val="100"/>
          <w:highlight w:val="none"/>
        </w:rPr>
        <w:t>质疑供应商：</w:t>
      </w:r>
    </w:p>
    <w:p w14:paraId="72D78558">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地址：邮编：</w:t>
      </w:r>
    </w:p>
    <w:p w14:paraId="5BC3BB29">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联系人：联系电话：</w:t>
      </w:r>
    </w:p>
    <w:p w14:paraId="52F07A0D">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授权代表：</w:t>
      </w:r>
    </w:p>
    <w:p w14:paraId="006C58BC">
      <w:pPr>
        <w:pStyle w:val="32"/>
        <w:spacing w:before="0" w:after="0" w:line="288" w:lineRule="auto"/>
        <w:rPr>
          <w:rFonts w:hint="eastAsia" w:hAnsi="宋体" w:cs="宋体"/>
          <w:color w:val="auto"/>
          <w:w w:val="100"/>
          <w:highlight w:val="none"/>
          <w:u w:val="single"/>
        </w:rPr>
      </w:pPr>
      <w:r>
        <w:rPr>
          <w:rFonts w:hint="eastAsia" w:hAnsi="宋体" w:cs="宋体"/>
          <w:color w:val="auto"/>
          <w:w w:val="100"/>
          <w:highlight w:val="none"/>
        </w:rPr>
        <w:t>联系电话：</w:t>
      </w:r>
    </w:p>
    <w:p w14:paraId="20326178">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地址：邮编：</w:t>
      </w:r>
    </w:p>
    <w:p w14:paraId="587A8913">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二、质疑项目基本情况：</w:t>
      </w:r>
    </w:p>
    <w:p w14:paraId="27C4B331">
      <w:pPr>
        <w:pStyle w:val="32"/>
        <w:spacing w:before="0" w:after="0" w:line="288" w:lineRule="auto"/>
        <w:rPr>
          <w:rFonts w:hint="eastAsia" w:hAnsi="宋体" w:cs="宋体"/>
          <w:color w:val="auto"/>
          <w:w w:val="100"/>
          <w:highlight w:val="none"/>
        </w:rPr>
      </w:pPr>
      <w:r>
        <w:rPr>
          <w:rFonts w:hint="eastAsia" w:hAnsi="宋体" w:cs="宋体"/>
          <w:bCs/>
          <w:color w:val="auto"/>
          <w:w w:val="100"/>
          <w:highlight w:val="none"/>
        </w:rPr>
        <w:t>质疑</w:t>
      </w:r>
      <w:r>
        <w:rPr>
          <w:rFonts w:hint="eastAsia" w:hAnsi="宋体" w:cs="宋体"/>
          <w:color w:val="auto"/>
          <w:w w:val="100"/>
          <w:highlight w:val="none"/>
        </w:rPr>
        <w:t>项目的名称：</w:t>
      </w:r>
    </w:p>
    <w:p w14:paraId="03533A04">
      <w:pPr>
        <w:pStyle w:val="32"/>
        <w:spacing w:before="0" w:after="0" w:line="288" w:lineRule="auto"/>
        <w:rPr>
          <w:rFonts w:hint="eastAsia" w:hAnsi="宋体" w:cs="宋体"/>
          <w:color w:val="auto"/>
          <w:w w:val="100"/>
          <w:highlight w:val="none"/>
        </w:rPr>
      </w:pPr>
      <w:r>
        <w:rPr>
          <w:rFonts w:hint="eastAsia" w:hAnsi="宋体" w:cs="宋体"/>
          <w:bCs/>
          <w:color w:val="auto"/>
          <w:w w:val="100"/>
          <w:highlight w:val="none"/>
        </w:rPr>
        <w:t>质疑</w:t>
      </w:r>
      <w:r>
        <w:rPr>
          <w:rFonts w:hint="eastAsia" w:hAnsi="宋体" w:cs="宋体"/>
          <w:color w:val="auto"/>
          <w:w w:val="100"/>
          <w:highlight w:val="none"/>
        </w:rPr>
        <w:t>项目的编号：</w:t>
      </w:r>
    </w:p>
    <w:p w14:paraId="1293A979">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采购人名称：</w:t>
      </w:r>
    </w:p>
    <w:p w14:paraId="6CFF1663">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质疑事项：</w:t>
      </w:r>
    </w:p>
    <w:p w14:paraId="12E6AEDD">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□采购文件   采购文件获取日期：</w:t>
      </w:r>
    </w:p>
    <w:p w14:paraId="61F79D58">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 xml:space="preserve">□采购过程   </w:t>
      </w:r>
    </w:p>
    <w:p w14:paraId="21AE068B">
      <w:pPr>
        <w:pStyle w:val="32"/>
        <w:spacing w:before="0" w:after="0" w:line="288" w:lineRule="auto"/>
        <w:rPr>
          <w:rFonts w:hint="eastAsia" w:hAnsi="宋体" w:cs="宋体"/>
          <w:bCs/>
          <w:color w:val="auto"/>
          <w:w w:val="100"/>
          <w:highlight w:val="none"/>
          <w:u w:val="single"/>
        </w:rPr>
      </w:pPr>
      <w:r>
        <w:rPr>
          <w:rFonts w:hint="eastAsia" w:hAnsi="宋体" w:cs="宋体"/>
          <w:color w:val="auto"/>
          <w:w w:val="100"/>
          <w:highlight w:val="none"/>
        </w:rPr>
        <w:t xml:space="preserve">□采购结果   </w:t>
      </w:r>
    </w:p>
    <w:p w14:paraId="1335950B">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三、质疑事项具体内容</w:t>
      </w:r>
    </w:p>
    <w:p w14:paraId="6C42F7CC">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质疑事项1：</w:t>
      </w:r>
    </w:p>
    <w:p w14:paraId="71AEE699">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事实依据：</w:t>
      </w:r>
    </w:p>
    <w:p w14:paraId="44D34668">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法律依据：</w:t>
      </w:r>
    </w:p>
    <w:p w14:paraId="0BA23F9A">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质疑事项2</w:t>
      </w:r>
    </w:p>
    <w:p w14:paraId="0F5FDFFF">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w:t>
      </w:r>
    </w:p>
    <w:p w14:paraId="19C49286">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四、与质疑事项相关的质疑请求：</w:t>
      </w:r>
    </w:p>
    <w:p w14:paraId="37AF6434">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请求：</w:t>
      </w:r>
    </w:p>
    <w:p w14:paraId="2DB45262">
      <w:pPr>
        <w:pStyle w:val="32"/>
        <w:spacing w:before="0" w:after="0" w:line="288" w:lineRule="auto"/>
        <w:rPr>
          <w:rFonts w:hint="eastAsia" w:hAnsi="宋体" w:cs="宋体"/>
          <w:color w:val="auto"/>
          <w:w w:val="100"/>
          <w:highlight w:val="none"/>
        </w:rPr>
      </w:pPr>
    </w:p>
    <w:p w14:paraId="355F5796">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签字（签章）：                                       公章：</w:t>
      </w:r>
    </w:p>
    <w:p w14:paraId="7E8C4DCE">
      <w:pPr>
        <w:pStyle w:val="32"/>
        <w:spacing w:before="0" w:after="0" w:line="288" w:lineRule="auto"/>
        <w:rPr>
          <w:rFonts w:hint="eastAsia" w:hAnsi="宋体" w:cs="宋体"/>
          <w:color w:val="auto"/>
          <w:w w:val="100"/>
          <w:highlight w:val="none"/>
        </w:rPr>
      </w:pPr>
    </w:p>
    <w:p w14:paraId="1D46025C">
      <w:pPr>
        <w:pStyle w:val="32"/>
        <w:spacing w:before="0" w:after="0" w:line="288" w:lineRule="auto"/>
        <w:rPr>
          <w:rFonts w:hint="eastAsia" w:hAnsi="宋体" w:cs="宋体"/>
          <w:color w:val="auto"/>
          <w:highlight w:val="none"/>
        </w:rPr>
      </w:pPr>
      <w:r>
        <w:rPr>
          <w:rFonts w:hint="eastAsia" w:hAnsi="宋体" w:cs="宋体"/>
          <w:color w:val="auto"/>
          <w:highlight w:val="none"/>
        </w:rPr>
        <w:t>日期：</w:t>
      </w:r>
    </w:p>
    <w:p w14:paraId="699E4EDD">
      <w:pPr>
        <w:pStyle w:val="32"/>
        <w:spacing w:before="0" w:after="0" w:line="288" w:lineRule="auto"/>
        <w:rPr>
          <w:rFonts w:hint="eastAsia" w:hAnsi="宋体" w:cs="宋体"/>
          <w:color w:val="auto"/>
          <w:highlight w:val="none"/>
        </w:rPr>
      </w:pPr>
    </w:p>
    <w:p w14:paraId="6AF55303">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说明：</w:t>
      </w:r>
    </w:p>
    <w:p w14:paraId="691AB0DF">
      <w:pPr>
        <w:pStyle w:val="32"/>
        <w:spacing w:before="0" w:after="0" w:line="288" w:lineRule="auto"/>
        <w:rPr>
          <w:rFonts w:hint="eastAsia" w:hAnsi="宋体" w:cs="宋体"/>
          <w:bCs/>
          <w:color w:val="auto"/>
          <w:w w:val="100"/>
          <w:highlight w:val="none"/>
        </w:rPr>
      </w:pPr>
      <w:r>
        <w:rPr>
          <w:rFonts w:hint="eastAsia" w:hAnsi="宋体" w:cs="宋体"/>
          <w:color w:val="auto"/>
          <w:w w:val="100"/>
          <w:highlight w:val="none"/>
        </w:rPr>
        <w:t>1.供应商提出质疑时，应提交质疑函和必要的证明材料</w:t>
      </w:r>
      <w:r>
        <w:rPr>
          <w:rFonts w:hint="eastAsia" w:hAnsi="宋体" w:cs="宋体"/>
          <w:bCs/>
          <w:color w:val="auto"/>
          <w:w w:val="100"/>
          <w:highlight w:val="none"/>
        </w:rPr>
        <w:t>。</w:t>
      </w:r>
    </w:p>
    <w:p w14:paraId="11BD0997">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74303E8">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3.质疑函的质疑事项应具体、明确，并有必要的事实依据和法律依据。</w:t>
      </w:r>
    </w:p>
    <w:p w14:paraId="35EEF8D7">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4.质疑函的质疑请求应与质疑事项相关。</w:t>
      </w:r>
    </w:p>
    <w:p w14:paraId="5F3C5D2A">
      <w:pPr>
        <w:pStyle w:val="32"/>
        <w:spacing w:before="0" w:after="0" w:line="288" w:lineRule="auto"/>
        <w:rPr>
          <w:rFonts w:hint="eastAsia" w:hAnsi="宋体" w:cs="宋体"/>
          <w:color w:val="auto"/>
          <w:w w:val="100"/>
          <w:highlight w:val="none"/>
        </w:rPr>
      </w:pPr>
      <w:r>
        <w:rPr>
          <w:rFonts w:hint="eastAsia" w:hAnsi="宋体" w:cs="宋体"/>
          <w:color w:val="auto"/>
          <w:w w:val="100"/>
          <w:highlight w:val="none"/>
        </w:rPr>
        <w:t>5.质疑供应商为法人或者其他组织的，质疑函应由法定代表人、主要负责人，或者其授权代表签字或者盖章，并加盖公章。</w:t>
      </w:r>
    </w:p>
    <w:p w14:paraId="39346956">
      <w:pPr>
        <w:spacing w:line="460" w:lineRule="exact"/>
        <w:rPr>
          <w:rFonts w:hint="eastAsia" w:ascii="宋体" w:hAnsi="宋体" w:cs="宋体"/>
          <w:color w:val="auto"/>
          <w:sz w:val="44"/>
          <w:highlight w:val="none"/>
        </w:rPr>
      </w:pPr>
    </w:p>
    <w:p w14:paraId="68449A77">
      <w:pPr>
        <w:spacing w:line="360" w:lineRule="auto"/>
        <w:jc w:val="left"/>
        <w:rPr>
          <w:rFonts w:hint="eastAsia" w:ascii="宋体" w:hAnsi="宋体" w:cs="宋体"/>
          <w:b/>
          <w:color w:val="auto"/>
          <w:highlight w:val="none"/>
        </w:rPr>
      </w:pPr>
    </w:p>
    <w:sectPr>
      <w:footerReference r:id="rId16" w:type="first"/>
      <w:headerReference r:id="rId13" w:type="default"/>
      <w:footerReference r:id="rId14" w:type="default"/>
      <w:footerReference r:id="rId15" w:type="even"/>
      <w:pgSz w:w="11906" w:h="16838"/>
      <w:pgMar w:top="1134" w:right="1134" w:bottom="1134" w:left="113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Book Antiqua">
    <w:panose1 w:val="02040602050305030304"/>
    <w:charset w:val="00"/>
    <w:family w:val="roman"/>
    <w:pitch w:val="default"/>
    <w:sig w:usb0="00000287" w:usb1="00000000" w:usb2="00000000" w:usb3="00000000" w:csb0="2000009F" w:csb1="DFD7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_x000B__x000C_">
    <w:altName w:val="宋体"/>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embedRegular r:id="rId1" w:fontKey="{A7DB739A-E770-4172-A7DE-C1DC76588E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0948C">
    <w:pPr>
      <w:pStyle w:val="3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7A07">
    <w:pPr>
      <w:pStyle w:val="39"/>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100" name="文本框 1030"/>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a:effectLst/>
                    </wps:spPr>
                    <wps:txbx>
                      <w:txbxContent>
                        <w:p w14:paraId="4ACAA716">
                          <w:pPr>
                            <w:pStyle w:val="39"/>
                          </w:pPr>
                          <w:r>
                            <w:fldChar w:fldCharType="begin"/>
                          </w:r>
                          <w:r>
                            <w:instrText xml:space="preserve"> PAGE  \* MERGEFORMAT </w:instrText>
                          </w:r>
                          <w:r>
                            <w:fldChar w:fldCharType="separate"/>
                          </w:r>
                          <w:r>
                            <w:t>76</w:t>
                          </w:r>
                          <w:r>
                            <w:fldChar w:fldCharType="end"/>
                          </w:r>
                        </w:p>
                      </w:txbxContent>
                    </wps:txbx>
                    <wps:bodyPr wrap="none" lIns="0" tIns="0" rIns="0" bIns="0">
                      <a:spAutoFit/>
                    </wps:bodyPr>
                  </wps:wsp>
                </a:graphicData>
              </a:graphic>
            </wp:anchor>
          </w:drawing>
        </mc:Choice>
        <mc:Fallback>
          <w:pict>
            <v:rect id="文本框 1030" o:spid="_x0000_s1026" o:spt="1"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RY/VtEAAAACAQAADwAAAAAAAAABACAAAAAiAAAAZHJzL2Rvd25yZXYu&#10;eG1sUEsBAhQAFAAAAAgAh07iQA67z/fJAQAAlAMAAA4AAAAAAAAAAQAgAAAAIAEAAGRycy9lMm9E&#10;b2MueG1sUEsFBgAAAAAGAAYAWQEAAFsFAAAAAA==&#10;">
              <v:fill on="f" focussize="0,0"/>
              <v:stroke on="f"/>
              <v:imagedata o:title=""/>
              <o:lock v:ext="edit" aspectratio="f"/>
              <v:textbox inset="0mm,0mm,0mm,0mm" style="mso-fit-shape-to-text:t;">
                <w:txbxContent>
                  <w:p w14:paraId="4ACAA716">
                    <w:pPr>
                      <w:pStyle w:val="39"/>
                    </w:pPr>
                    <w:r>
                      <w:fldChar w:fldCharType="begin"/>
                    </w:r>
                    <w:r>
                      <w:instrText xml:space="preserve"> PAGE  \* MERGEFORMAT </w:instrText>
                    </w:r>
                    <w:r>
                      <w:fldChar w:fldCharType="separate"/>
                    </w:r>
                    <w:r>
                      <w:t>76</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7BE82">
    <w:pPr>
      <w:pStyle w:val="39"/>
      <w:framePr w:wrap="around" w:vAnchor="text" w:hAnchor="margin" w:xAlign="center" w:y="1"/>
      <w:rPr>
        <w:rStyle w:val="67"/>
        <w:sz w:val="21"/>
      </w:rPr>
    </w:pPr>
    <w:r>
      <w:rPr>
        <w:sz w:val="21"/>
      </w:rPr>
      <w:fldChar w:fldCharType="begin"/>
    </w:r>
    <w:r>
      <w:rPr>
        <w:rStyle w:val="67"/>
        <w:sz w:val="21"/>
      </w:rPr>
      <w:instrText xml:space="preserve">PAGE  </w:instrText>
    </w:r>
    <w:r>
      <w:rPr>
        <w:sz w:val="21"/>
      </w:rPr>
      <w:fldChar w:fldCharType="separate"/>
    </w:r>
    <w:r>
      <w:rPr>
        <w:rStyle w:val="67"/>
        <w:sz w:val="21"/>
      </w:rPr>
      <w:t>0</w:t>
    </w:r>
    <w:r>
      <w:rPr>
        <w:sz w:val="21"/>
      </w:rPr>
      <w:fldChar w:fldCharType="end"/>
    </w:r>
  </w:p>
  <w:p w14:paraId="4D2E497C">
    <w:pPr>
      <w:pStyle w:val="39"/>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6506">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097" name="文本框 1025"/>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a:effectLst/>
                    </wps:spPr>
                    <wps:txbx>
                      <w:txbxContent>
                        <w:p w14:paraId="21426103">
                          <w:pPr>
                            <w:pStyle w:val="39"/>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rect id="文本框 1025"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Fj9W0QAAAAIBAAAPAAAAAAAAAAEAIAAAACIAAABkcnMvZG93bnJl&#10;di54bWxQSwECFAAUAAAACACHTuJAITcx08sBAACUAwAADgAAAAAAAAABACAAAAAgAQAAZHJzL2Uy&#10;b0RvYy54bWxQSwUGAAAAAAYABgBZAQAAXQUAAAAA&#10;">
              <v:fill on="f" focussize="0,0"/>
              <v:stroke on="f"/>
              <v:imagedata o:title=""/>
              <o:lock v:ext="edit" aspectratio="f"/>
              <v:textbox inset="0mm,0mm,0mm,0mm" style="mso-fit-shape-to-text:t;">
                <w:txbxContent>
                  <w:p w14:paraId="21426103">
                    <w:pPr>
                      <w:pStyle w:val="39"/>
                    </w:pPr>
                    <w:r>
                      <w:fldChar w:fldCharType="begin"/>
                    </w:r>
                    <w:r>
                      <w:instrText xml:space="preserve"> PAGE  \* MERGEFORMAT </w:instrText>
                    </w:r>
                    <w:r>
                      <w:fldChar w:fldCharType="separate"/>
                    </w:r>
                    <w:r>
                      <w:t>8</w:t>
                    </w:r>
                    <w:r>
                      <w:fldChar w:fldCharType="end"/>
                    </w:r>
                  </w:p>
                </w:txbxContent>
              </v:textbox>
            </v:rect>
          </w:pict>
        </mc:Fallback>
      </mc:AlternateContent>
    </w:r>
  </w:p>
  <w:p w14:paraId="2E7E9B96">
    <w:pPr>
      <w:pStyle w:val="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164DD">
    <w:pPr>
      <w:pStyle w:val="39"/>
      <w:jc w:val="center"/>
    </w:pPr>
  </w:p>
  <w:p w14:paraId="19A514AA">
    <w:pPr>
      <w:pStyle w:val="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C800D">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098" name="文本框 1028"/>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a:effectLst/>
                    </wps:spPr>
                    <wps:txbx>
                      <w:txbxContent>
                        <w:p w14:paraId="601C3EA8">
                          <w:pPr>
                            <w:pStyle w:val="39"/>
                          </w:pPr>
                          <w:r>
                            <w:fldChar w:fldCharType="begin"/>
                          </w:r>
                          <w:r>
                            <w:instrText xml:space="preserve"> PAGE  \* MERGEFORMAT </w:instrText>
                          </w:r>
                          <w:r>
                            <w:fldChar w:fldCharType="separate"/>
                          </w:r>
                          <w:r>
                            <w:t>47</w:t>
                          </w:r>
                          <w:r>
                            <w:fldChar w:fldCharType="end"/>
                          </w:r>
                        </w:p>
                      </w:txbxContent>
                    </wps:txbx>
                    <wps:bodyPr wrap="none" lIns="0" tIns="0" rIns="0" bIns="0">
                      <a:spAutoFit/>
                    </wps:bodyPr>
                  </wps:wsp>
                </a:graphicData>
              </a:graphic>
            </wp:anchor>
          </w:drawing>
        </mc:Choice>
        <mc:Fallback>
          <w:pict>
            <v:rect id="文本框 1028" o:spid="_x0000_s1026" o:spt="1"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Fj9W0QAAAAIBAAAPAAAAAAAAAAEAIAAAACIAAABkcnMvZG93bnJl&#10;di54bWxQSwECFAAUAAAACACHTuJA0/BbJssBAACUAwAADgAAAAAAAAABACAAAAAgAQAAZHJzL2Uy&#10;b0RvYy54bWxQSwUGAAAAAAYABgBZAQAAXQUAAAAA&#10;">
              <v:fill on="f" focussize="0,0"/>
              <v:stroke on="f"/>
              <v:imagedata o:title=""/>
              <o:lock v:ext="edit" aspectratio="f"/>
              <v:textbox inset="0mm,0mm,0mm,0mm" style="mso-fit-shape-to-text:t;">
                <w:txbxContent>
                  <w:p w14:paraId="601C3EA8">
                    <w:pPr>
                      <w:pStyle w:val="39"/>
                    </w:pPr>
                    <w:r>
                      <w:fldChar w:fldCharType="begin"/>
                    </w:r>
                    <w:r>
                      <w:instrText xml:space="preserve"> PAGE  \* MERGEFORMAT </w:instrText>
                    </w:r>
                    <w:r>
                      <w:fldChar w:fldCharType="separate"/>
                    </w:r>
                    <w:r>
                      <w:t>47</w:t>
                    </w:r>
                    <w:r>
                      <w:fldChar w:fldCharType="end"/>
                    </w:r>
                  </w:p>
                </w:txbxContent>
              </v:textbox>
            </v:rect>
          </w:pict>
        </mc:Fallback>
      </mc:AlternateContent>
    </w:r>
  </w:p>
  <w:p w14:paraId="700902FE">
    <w:pPr>
      <w:pStyle w:val="3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CAD1A">
    <w:pPr>
      <w:pStyle w:val="39"/>
      <w:framePr w:wrap="around" w:vAnchor="text" w:hAnchor="margin" w:xAlign="center" w:y="1"/>
      <w:rPr>
        <w:rStyle w:val="67"/>
      </w:rPr>
    </w:pPr>
    <w:r>
      <w:fldChar w:fldCharType="begin"/>
    </w:r>
    <w:r>
      <w:rPr>
        <w:rStyle w:val="67"/>
      </w:rPr>
      <w:instrText xml:space="preserve">PAGE  </w:instrText>
    </w:r>
    <w:r>
      <w:fldChar w:fldCharType="end"/>
    </w:r>
  </w:p>
  <w:p w14:paraId="458AD6B8">
    <w:pPr>
      <w:pStyle w:val="3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DCB3">
    <w:pPr>
      <w:pStyle w:val="39"/>
      <w:framePr w:wrap="around" w:vAnchor="text" w:hAnchor="margin" w:xAlign="right" w:y="1"/>
      <w:rPr>
        <w:rStyle w:val="67"/>
      </w:rPr>
    </w:pPr>
    <w:r>
      <w:fldChar w:fldCharType="begin"/>
    </w:r>
    <w:r>
      <w:rPr>
        <w:rStyle w:val="67"/>
      </w:rPr>
      <w:instrText xml:space="preserve">PAGE  </w:instrText>
    </w:r>
    <w:r>
      <w:fldChar w:fldCharType="separate"/>
    </w:r>
    <w:r>
      <w:rPr>
        <w:rStyle w:val="67"/>
      </w:rPr>
      <w:t>122</w:t>
    </w:r>
    <w:r>
      <w:fldChar w:fldCharType="end"/>
    </w:r>
  </w:p>
  <w:p w14:paraId="4400B01D">
    <w:pPr>
      <w:pStyle w:val="39"/>
      <w:ind w:right="360"/>
      <w:jc w:val="both"/>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D6F12">
    <w:pPr>
      <w:pStyle w:val="3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4099" name="文本框 1029"/>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a:effectLst/>
                    </wps:spPr>
                    <wps:txbx>
                      <w:txbxContent>
                        <w:p w14:paraId="73B365F8">
                          <w:pPr>
                            <w:pStyle w:val="39"/>
                          </w:pPr>
                          <w:r>
                            <w:fldChar w:fldCharType="begin"/>
                          </w:r>
                          <w:r>
                            <w:instrText xml:space="preserve"> PAGE  \* MERGEFORMAT </w:instrText>
                          </w:r>
                          <w:r>
                            <w:fldChar w:fldCharType="separate"/>
                          </w:r>
                          <w:r>
                            <w:t>79</w:t>
                          </w:r>
                          <w:r>
                            <w:fldChar w:fldCharType="end"/>
                          </w:r>
                        </w:p>
                      </w:txbxContent>
                    </wps:txbx>
                    <wps:bodyPr wrap="none" lIns="0" tIns="0" rIns="0" bIns="0">
                      <a:spAutoFit/>
                    </wps:bodyPr>
                  </wps:wsp>
                </a:graphicData>
              </a:graphic>
            </wp:anchor>
          </w:drawing>
        </mc:Choice>
        <mc:Fallback>
          <w:pict>
            <v:rect id="文本框 1029" o:spid="_x0000_s1026" o:spt="1"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RY/VtEAAAACAQAADwAAAAAAAAABACAAAAAiAAAAZHJzL2Rvd25y&#10;ZXYueG1sUEsBAhQAFAAAAAgAh07iQPMUHenMAQAAlAMAAA4AAAAAAAAAAQAgAAAAIAEAAGRycy9l&#10;Mm9Eb2MueG1sUEsFBgAAAAAGAAYAWQEAAF4FAAAAAA==&#10;">
              <v:fill on="f" focussize="0,0"/>
              <v:stroke on="f"/>
              <v:imagedata o:title=""/>
              <o:lock v:ext="edit" aspectratio="f"/>
              <v:textbox inset="0mm,0mm,0mm,0mm" style="mso-fit-shape-to-text:t;">
                <w:txbxContent>
                  <w:p w14:paraId="73B365F8">
                    <w:pPr>
                      <w:pStyle w:val="39"/>
                    </w:pPr>
                    <w:r>
                      <w:fldChar w:fldCharType="begin"/>
                    </w:r>
                    <w:r>
                      <w:instrText xml:space="preserve"> PAGE  \* MERGEFORMAT </w:instrText>
                    </w:r>
                    <w:r>
                      <w:fldChar w:fldCharType="separate"/>
                    </w:r>
                    <w:r>
                      <w:t>79</w:t>
                    </w:r>
                    <w:r>
                      <w:fldChar w:fldCharType="end"/>
                    </w:r>
                  </w:p>
                </w:txbxContent>
              </v:textbox>
            </v:rect>
          </w:pict>
        </mc:Fallback>
      </mc:AlternateContent>
    </w:r>
  </w:p>
  <w:p w14:paraId="0EF9E35E">
    <w:pPr>
      <w:pStyle w:val="3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942CB">
    <w:pPr>
      <w:pStyle w:val="39"/>
      <w:framePr w:wrap="around" w:vAnchor="text" w:hAnchor="margin" w:xAlign="center" w:y="1"/>
      <w:rPr>
        <w:rStyle w:val="67"/>
      </w:rPr>
    </w:pPr>
    <w:r>
      <w:fldChar w:fldCharType="begin"/>
    </w:r>
    <w:r>
      <w:rPr>
        <w:rStyle w:val="67"/>
      </w:rPr>
      <w:instrText xml:space="preserve">PAGE  </w:instrText>
    </w:r>
    <w:r>
      <w:fldChar w:fldCharType="end"/>
    </w:r>
  </w:p>
  <w:p w14:paraId="7780CB01">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65A43">
    <w:pPr>
      <w:pStyle w:val="40"/>
      <w:pBdr>
        <w:bottom w:val="none" w:color="auto" w:sz="0" w:space="1"/>
      </w:pBdr>
      <w:tabs>
        <w:tab w:val="center" w:pos="4153"/>
        <w:tab w:val="right" w:pos="8306"/>
        <w:tab w:val="clear" w:pos="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C030">
    <w:pPr>
      <w:pStyle w:val="4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B5069">
    <w:pPr>
      <w:pStyle w:val="4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24CD">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85"/>
      <w:lvlText w:val="%1、"/>
      <w:lvlJc w:val="left"/>
      <w:pPr>
        <w:tabs>
          <w:tab w:val="left" w:pos="675"/>
        </w:tabs>
        <w:ind w:left="675" w:hanging="675"/>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multilevel"/>
    <w:tmpl w:val="00000002"/>
    <w:lvl w:ilvl="0" w:tentative="0">
      <w:start w:val="1"/>
      <w:numFmt w:val="decimal"/>
      <w:pStyle w:val="167"/>
      <w:lvlText w:val="%1."/>
      <w:lvlJc w:val="left"/>
      <w:pPr>
        <w:tabs>
          <w:tab w:val="left" w:pos="425"/>
        </w:tabs>
        <w:ind w:left="425" w:hanging="425"/>
      </w:pPr>
    </w:lvl>
    <w:lvl w:ilvl="1" w:tentative="0">
      <w:start w:val="1"/>
      <w:numFmt w:val="decimal"/>
      <w:pStyle w:val="100"/>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0000003"/>
    <w:multiLevelType w:val="multilevel"/>
    <w:tmpl w:val="00000003"/>
    <w:lvl w:ilvl="0" w:tentative="0">
      <w:start w:val="1"/>
      <w:numFmt w:val="lowerLetter"/>
      <w:pStyle w:val="202"/>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lvlText w:val="%2)"/>
      <w:lvlJc w:val="left"/>
      <w:pPr>
        <w:tabs>
          <w:tab w:val="left" w:pos="1260"/>
        </w:tabs>
        <w:ind w:left="1259" w:hanging="419"/>
      </w:pPr>
    </w:lvl>
    <w:lvl w:ilvl="2" w:tentative="0">
      <w:start w:val="1"/>
      <w:numFmt w:val="decimal"/>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3">
    <w:nsid w:val="00000004"/>
    <w:multiLevelType w:val="multilevel"/>
    <w:tmpl w:val="00000004"/>
    <w:lvl w:ilvl="0" w:tentative="0">
      <w:start w:val="1"/>
      <w:numFmt w:val="decimal"/>
      <w:pStyle w:val="217"/>
      <w:lvlText w:val="%1."/>
      <w:lvlJc w:val="left"/>
      <w:pPr>
        <w:tabs>
          <w:tab w:val="left" w:pos="840"/>
        </w:tabs>
        <w:ind w:left="840" w:hanging="420"/>
      </w:pPr>
    </w:lvl>
    <w:lvl w:ilvl="1" w:tentative="0">
      <w:start w:val="1"/>
      <w:numFmt w:val="lowerLetter"/>
      <w:pStyle w:val="110"/>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5"/>
    <w:multiLevelType w:val="multilevel"/>
    <w:tmpl w:val="00000005"/>
    <w:lvl w:ilvl="0" w:tentative="0">
      <w:start w:val="1"/>
      <w:numFmt w:val="decimal"/>
      <w:pStyle w:val="16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1"/>
      </w:rPr>
    </w:lvl>
    <w:lvl w:ilvl="5" w:tentative="0">
      <w:start w:val="1"/>
      <w:numFmt w:val="decimal"/>
      <w:suff w:val="nothing"/>
      <w:lvlText w:val="%1%2.%3.%4.%5.%6　"/>
      <w:lvlJc w:val="left"/>
      <w:pPr>
        <w:ind w:left="0" w:firstLine="0"/>
      </w:pPr>
      <w:rPr>
        <w:rFonts w:hint="default" w:ascii="Times New Roman" w:hAnsi="Times New Roman" w:eastAsia="黑体" w:cs="Times New Roman"/>
        <w:b w:val="0"/>
        <w:i w:val="0"/>
        <w:sz w:val="21"/>
      </w:rPr>
    </w:lvl>
    <w:lvl w:ilvl="6" w:tentative="0">
      <w:start w:val="1"/>
      <w:numFmt w:val="decimal"/>
      <w:suff w:val="nothing"/>
      <w:lvlText w:val="%1%2.%3.%4.%5.%6.%7　"/>
      <w:lvlJc w:val="left"/>
      <w:pPr>
        <w:ind w:left="0" w:firstLine="0"/>
      </w:pPr>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5">
    <w:nsid w:val="00000006"/>
    <w:multiLevelType w:val="multilevel"/>
    <w:tmpl w:val="00000006"/>
    <w:lvl w:ilvl="0" w:tentative="0">
      <w:start w:val="1"/>
      <w:numFmt w:val="decimal"/>
      <w:pStyle w:val="141"/>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pStyle w:val="127"/>
      <w:lvlText w:val="%3."/>
      <w:lvlJc w:val="right"/>
      <w:pPr>
        <w:tabs>
          <w:tab w:val="left" w:pos="1680"/>
        </w:tabs>
        <w:ind w:left="1680" w:hanging="420"/>
      </w:pPr>
    </w:lvl>
    <w:lvl w:ilvl="3" w:tentative="0">
      <w:start w:val="1"/>
      <w:numFmt w:val="decimal"/>
      <w:pStyle w:val="159"/>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7"/>
    <w:multiLevelType w:val="multilevel"/>
    <w:tmpl w:val="00000007"/>
    <w:lvl w:ilvl="0" w:tentative="0">
      <w:start w:val="1"/>
      <w:numFmt w:val="decimal"/>
      <w:pStyle w:val="115"/>
      <w:suff w:val="nothing"/>
      <w:lvlText w:val="注%1："/>
      <w:lvlJc w:val="left"/>
      <w:pPr>
        <w:ind w:left="811" w:hanging="448"/>
      </w:pPr>
      <w:rPr>
        <w:rFonts w:hint="eastAsia" w:ascii="黑体" w:hAnsi="Times New Roman" w:eastAsia="黑体"/>
        <w:b w:val="0"/>
        <w:i w:val="0"/>
        <w:sz w:val="18"/>
        <w:szCs w:val="18"/>
        <w:vertAlign w:val="baseline"/>
      </w:rPr>
    </w:lvl>
    <w:lvl w:ilvl="1" w:tentative="0">
      <w:start w:val="1"/>
      <w:numFmt w:val="lowerLetter"/>
      <w:lvlText w:val="%2)"/>
      <w:lvlJc w:val="left"/>
      <w:pPr>
        <w:tabs>
          <w:tab w:val="left" w:pos="180"/>
        </w:tabs>
        <w:ind w:left="1172" w:hanging="629"/>
      </w:pPr>
      <w:rPr>
        <w:vertAlign w:val="baseline"/>
      </w:rPr>
    </w:lvl>
    <w:lvl w:ilvl="2" w:tentative="0">
      <w:start w:val="1"/>
      <w:numFmt w:val="lowerRoman"/>
      <w:lvlText w:val="%3."/>
      <w:lvlJc w:val="right"/>
      <w:pPr>
        <w:tabs>
          <w:tab w:val="left" w:pos="180"/>
        </w:tabs>
        <w:ind w:left="1172" w:hanging="629"/>
      </w:pPr>
      <w:rPr>
        <w:vertAlign w:val="baseline"/>
      </w:rPr>
    </w:lvl>
    <w:lvl w:ilvl="3" w:tentative="0">
      <w:start w:val="1"/>
      <w:numFmt w:val="decimal"/>
      <w:lvlText w:val="%4."/>
      <w:lvlJc w:val="left"/>
      <w:pPr>
        <w:tabs>
          <w:tab w:val="left" w:pos="180"/>
        </w:tabs>
        <w:ind w:left="1172" w:hanging="629"/>
      </w:pPr>
      <w:rPr>
        <w:vertAlign w:val="baseline"/>
      </w:rPr>
    </w:lvl>
    <w:lvl w:ilvl="4" w:tentative="0">
      <w:start w:val="1"/>
      <w:numFmt w:val="lowerLetter"/>
      <w:lvlText w:val="%5)"/>
      <w:lvlJc w:val="left"/>
      <w:pPr>
        <w:tabs>
          <w:tab w:val="left" w:pos="180"/>
        </w:tabs>
        <w:ind w:left="1172" w:hanging="629"/>
      </w:pPr>
      <w:rPr>
        <w:vertAlign w:val="baseline"/>
      </w:rPr>
    </w:lvl>
    <w:lvl w:ilvl="5" w:tentative="0">
      <w:start w:val="1"/>
      <w:numFmt w:val="lowerRoman"/>
      <w:lvlText w:val="%6."/>
      <w:lvlJc w:val="right"/>
      <w:pPr>
        <w:tabs>
          <w:tab w:val="left" w:pos="180"/>
        </w:tabs>
        <w:ind w:left="1172" w:hanging="629"/>
      </w:pPr>
      <w:rPr>
        <w:vertAlign w:val="baseline"/>
      </w:rPr>
    </w:lvl>
    <w:lvl w:ilvl="6" w:tentative="0">
      <w:start w:val="1"/>
      <w:numFmt w:val="decimal"/>
      <w:lvlText w:val="%7."/>
      <w:lvlJc w:val="left"/>
      <w:pPr>
        <w:tabs>
          <w:tab w:val="left" w:pos="180"/>
        </w:tabs>
        <w:ind w:left="1172" w:hanging="629"/>
      </w:pPr>
      <w:rPr>
        <w:vertAlign w:val="baseline"/>
      </w:rPr>
    </w:lvl>
    <w:lvl w:ilvl="7" w:tentative="0">
      <w:start w:val="1"/>
      <w:numFmt w:val="lowerLetter"/>
      <w:lvlText w:val="%8)"/>
      <w:lvlJc w:val="left"/>
      <w:pPr>
        <w:tabs>
          <w:tab w:val="left" w:pos="180"/>
        </w:tabs>
        <w:ind w:left="1172" w:hanging="629"/>
      </w:pPr>
      <w:rPr>
        <w:vertAlign w:val="baseline"/>
      </w:rPr>
    </w:lvl>
    <w:lvl w:ilvl="8" w:tentative="0">
      <w:start w:val="1"/>
      <w:numFmt w:val="lowerRoman"/>
      <w:lvlText w:val="%9."/>
      <w:lvlJc w:val="right"/>
      <w:pPr>
        <w:tabs>
          <w:tab w:val="left" w:pos="180"/>
        </w:tabs>
        <w:ind w:left="1172" w:hanging="629"/>
      </w:pPr>
      <w:rPr>
        <w:vertAlign w:val="baseline"/>
      </w:rPr>
    </w:lvl>
  </w:abstractNum>
  <w:abstractNum w:abstractNumId="7">
    <w:nsid w:val="00000008"/>
    <w:multiLevelType w:val="multilevel"/>
    <w:tmpl w:val="00000008"/>
    <w:lvl w:ilvl="0" w:tentative="0">
      <w:start w:val="1"/>
      <w:numFmt w:val="decimal"/>
      <w:pStyle w:val="86"/>
      <w:suff w:val="nothing"/>
      <w:lvlText w:val="%1　"/>
      <w:lvlJc w:val="left"/>
      <w:pPr>
        <w:ind w:left="426" w:firstLine="0"/>
      </w:pPr>
      <w:rPr>
        <w:rFonts w:hint="eastAsia" w:ascii="黑体" w:hAnsi="Times New Roman" w:eastAsia="黑体"/>
        <w:b w:val="0"/>
        <w:i w:val="0"/>
        <w:sz w:val="21"/>
        <w:szCs w:val="21"/>
      </w:rPr>
    </w:lvl>
    <w:lvl w:ilvl="1" w:tentative="0">
      <w:start w:val="1"/>
      <w:numFmt w:val="decimal"/>
      <w:pStyle w:val="88"/>
      <w:suff w:val="nothing"/>
      <w:lvlText w:val="%1.%2　"/>
      <w:lvlJc w:val="left"/>
      <w:pPr>
        <w:ind w:left="0" w:firstLine="0"/>
      </w:pPr>
      <w:rPr>
        <w:rFonts w:hint="eastAsia" w:ascii="黑体" w:hAnsi="Times New Roman" w:eastAsia="黑体" w:cs="Times New Roman"/>
        <w:b w:val="0"/>
        <w:bCs w:val="0"/>
        <w:i w:val="0"/>
        <w:iCs w:val="0"/>
        <w:caps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8">
    <w:nsid w:val="00000009"/>
    <w:multiLevelType w:val="multilevel"/>
    <w:tmpl w:val="00000009"/>
    <w:lvl w:ilvl="0" w:tentative="0">
      <w:start w:val="1"/>
      <w:numFmt w:val="decimal"/>
      <w:pStyle w:val="105"/>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0000000A"/>
    <w:multiLevelType w:val="multilevel"/>
    <w:tmpl w:val="0000000A"/>
    <w:lvl w:ilvl="0" w:tentative="0">
      <w:start w:val="1"/>
      <w:numFmt w:val="bullet"/>
      <w:pStyle w:val="9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0B"/>
    <w:multiLevelType w:val="multilevel"/>
    <w:tmpl w:val="0000000B"/>
    <w:lvl w:ilvl="0" w:tentative="0">
      <w:start w:val="1"/>
      <w:numFmt w:val="decimal"/>
      <w:pStyle w:val="93"/>
      <w:suff w:val="nothing"/>
      <w:lvlText w:val="注%1："/>
      <w:lvlJc w:val="left"/>
      <w:pPr>
        <w:ind w:left="579" w:hanging="448"/>
      </w:pPr>
      <w:rPr>
        <w:rFonts w:hint="eastAsia" w:ascii="黑体" w:hAnsi="Times New Roman" w:eastAsia="黑体"/>
        <w:b w:val="0"/>
        <w:i w:val="0"/>
        <w:sz w:val="18"/>
        <w:lang w:val="en-US"/>
      </w:rPr>
    </w:lvl>
    <w:lvl w:ilvl="1" w:tentative="0">
      <w:start w:val="1"/>
      <w:numFmt w:val="lowerLetter"/>
      <w:lvlText w:val="%2)"/>
      <w:lvlJc w:val="left"/>
      <w:pPr>
        <w:tabs>
          <w:tab w:val="left" w:pos="-79"/>
        </w:tabs>
        <w:ind w:left="913" w:hanging="629"/>
      </w:pPr>
    </w:lvl>
    <w:lvl w:ilvl="2" w:tentative="0">
      <w:start w:val="1"/>
      <w:numFmt w:val="lowerRoman"/>
      <w:lvlText w:val="%3."/>
      <w:lvlJc w:val="right"/>
      <w:pPr>
        <w:tabs>
          <w:tab w:val="left" w:pos="-79"/>
        </w:tabs>
        <w:ind w:left="913" w:hanging="629"/>
      </w:pPr>
    </w:lvl>
    <w:lvl w:ilvl="3" w:tentative="0">
      <w:start w:val="1"/>
      <w:numFmt w:val="decimal"/>
      <w:lvlText w:val="%4."/>
      <w:lvlJc w:val="left"/>
      <w:pPr>
        <w:tabs>
          <w:tab w:val="left" w:pos="-79"/>
        </w:tabs>
        <w:ind w:left="913" w:hanging="629"/>
      </w:pPr>
    </w:lvl>
    <w:lvl w:ilvl="4" w:tentative="0">
      <w:start w:val="1"/>
      <w:numFmt w:val="lowerLetter"/>
      <w:lvlText w:val="%5)"/>
      <w:lvlJc w:val="left"/>
      <w:pPr>
        <w:tabs>
          <w:tab w:val="left" w:pos="-79"/>
        </w:tabs>
        <w:ind w:left="913" w:hanging="629"/>
      </w:pPr>
    </w:lvl>
    <w:lvl w:ilvl="5" w:tentative="0">
      <w:start w:val="1"/>
      <w:numFmt w:val="lowerRoman"/>
      <w:lvlText w:val="%6."/>
      <w:lvlJc w:val="right"/>
      <w:pPr>
        <w:tabs>
          <w:tab w:val="left" w:pos="-79"/>
        </w:tabs>
        <w:ind w:left="913" w:hanging="629"/>
      </w:pPr>
    </w:lvl>
    <w:lvl w:ilvl="6" w:tentative="0">
      <w:start w:val="1"/>
      <w:numFmt w:val="decimal"/>
      <w:lvlText w:val="%7."/>
      <w:lvlJc w:val="left"/>
      <w:pPr>
        <w:tabs>
          <w:tab w:val="left" w:pos="-79"/>
        </w:tabs>
        <w:ind w:left="913" w:hanging="629"/>
      </w:pPr>
    </w:lvl>
    <w:lvl w:ilvl="7" w:tentative="0">
      <w:start w:val="1"/>
      <w:numFmt w:val="lowerLetter"/>
      <w:lvlText w:val="%8)"/>
      <w:lvlJc w:val="left"/>
      <w:pPr>
        <w:tabs>
          <w:tab w:val="left" w:pos="-79"/>
        </w:tabs>
        <w:ind w:left="913" w:hanging="629"/>
      </w:pPr>
    </w:lvl>
    <w:lvl w:ilvl="8" w:tentative="0">
      <w:start w:val="1"/>
      <w:numFmt w:val="lowerRoman"/>
      <w:lvlText w:val="%9."/>
      <w:lvlJc w:val="right"/>
      <w:pPr>
        <w:tabs>
          <w:tab w:val="left" w:pos="-79"/>
        </w:tabs>
        <w:ind w:left="913" w:hanging="629"/>
      </w:pPr>
    </w:lvl>
  </w:abstractNum>
  <w:abstractNum w:abstractNumId="11">
    <w:nsid w:val="0000000C"/>
    <w:multiLevelType w:val="multilevel"/>
    <w:tmpl w:val="0000000C"/>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2">
    <w:nsid w:val="0000000D"/>
    <w:multiLevelType w:val="multilevel"/>
    <w:tmpl w:val="0000000D"/>
    <w:lvl w:ilvl="0" w:tentative="0">
      <w:start w:val="1"/>
      <w:numFmt w:val="decimal"/>
      <w:pStyle w:val="20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0E"/>
    <w:multiLevelType w:val="singleLevel"/>
    <w:tmpl w:val="0000000E"/>
    <w:lvl w:ilvl="0" w:tentative="0">
      <w:start w:val="1"/>
      <w:numFmt w:val="decimal"/>
      <w:suff w:val="nothing"/>
      <w:lvlText w:val="（%1）"/>
      <w:lvlJc w:val="left"/>
    </w:lvl>
  </w:abstractNum>
  <w:abstractNum w:abstractNumId="14">
    <w:nsid w:val="0000000F"/>
    <w:multiLevelType w:val="multilevel"/>
    <w:tmpl w:val="0000000F"/>
    <w:lvl w:ilvl="0" w:tentative="0">
      <w:start w:val="1"/>
      <w:numFmt w:val="decimal"/>
      <w:pStyle w:val="191"/>
      <w:lvlText w:val="%1、"/>
      <w:lvlJc w:val="left"/>
      <w:pPr>
        <w:tabs>
          <w:tab w:val="left" w:pos="675"/>
        </w:tabs>
        <w:ind w:left="675" w:hanging="675"/>
      </w:pPr>
    </w:lvl>
    <w:lvl w:ilvl="1" w:tentative="0">
      <w:start w:val="1"/>
      <w:numFmt w:val="lowerLetter"/>
      <w:pStyle w:val="189"/>
      <w:lvlText w:val="%2)"/>
      <w:lvlJc w:val="left"/>
      <w:pPr>
        <w:tabs>
          <w:tab w:val="left" w:pos="840"/>
        </w:tabs>
        <w:ind w:left="840" w:hanging="420"/>
      </w:pPr>
    </w:lvl>
    <w:lvl w:ilvl="2" w:tentative="0">
      <w:start w:val="1"/>
      <w:numFmt w:val="lowerRoman"/>
      <w:pStyle w:val="201"/>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0"/>
    <w:multiLevelType w:val="multilevel"/>
    <w:tmpl w:val="00000010"/>
    <w:lvl w:ilvl="0" w:tentative="0">
      <w:start w:val="1"/>
      <w:numFmt w:val="decimal"/>
      <w:pStyle w:val="193"/>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6">
    <w:nsid w:val="00000011"/>
    <w:multiLevelType w:val="multilevel"/>
    <w:tmpl w:val="00000011"/>
    <w:lvl w:ilvl="0" w:tentative="0">
      <w:start w:val="1"/>
      <w:numFmt w:val="decimal"/>
      <w:pStyle w:val="223"/>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7">
    <w:nsid w:val="00000012"/>
    <w:multiLevelType w:val="multilevel"/>
    <w:tmpl w:val="00000012"/>
    <w:lvl w:ilvl="0" w:tentative="0">
      <w:start w:val="3"/>
      <w:numFmt w:val="decimal"/>
      <w:pStyle w:val="80"/>
      <w:lvlText w:val="%1、"/>
      <w:lvlJc w:val="left"/>
      <w:pPr>
        <w:tabs>
          <w:tab w:val="left" w:pos="720"/>
        </w:tabs>
        <w:ind w:left="720" w:hanging="720"/>
      </w:pPr>
    </w:lvl>
    <w:lvl w:ilvl="1" w:tentative="0">
      <w:start w:val="1"/>
      <w:numFmt w:val="lowerLetter"/>
      <w:pStyle w:val="84"/>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4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4"/>
    <w:multiLevelType w:val="multilevel"/>
    <w:tmpl w:val="00000014"/>
    <w:lvl w:ilvl="0" w:tentative="0">
      <w:start w:val="1"/>
      <w:numFmt w:val="decimal"/>
      <w:pStyle w:val="222"/>
      <w:lvlText w:val="%1."/>
      <w:lvlJc w:val="left"/>
      <w:pPr>
        <w:tabs>
          <w:tab w:val="left" w:pos="425"/>
        </w:tabs>
        <w:ind w:left="425" w:hanging="425"/>
      </w:pPr>
    </w:lvl>
    <w:lvl w:ilvl="1" w:tentative="0">
      <w:start w:val="1"/>
      <w:numFmt w:val="decimal"/>
      <w:pStyle w:val="205"/>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9">
    <w:nsid w:val="00000015"/>
    <w:multiLevelType w:val="multilevel"/>
    <w:tmpl w:val="00000015"/>
    <w:lvl w:ilvl="0" w:tentative="0">
      <w:start w:val="1"/>
      <w:numFmt w:val="none"/>
      <w:pStyle w:val="9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abstractNum w:abstractNumId="20">
    <w:nsid w:val="00000016"/>
    <w:multiLevelType w:val="multilevel"/>
    <w:tmpl w:val="00000016"/>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1">
    <w:nsid w:val="00000017"/>
    <w:multiLevelType w:val="multilevel"/>
    <w:tmpl w:val="00000017"/>
    <w:lvl w:ilvl="0" w:tentative="0">
      <w:start w:val="1"/>
      <w:numFmt w:val="decimal"/>
      <w:pStyle w:val="150"/>
      <w:lvlText w:val="%1、"/>
      <w:lvlJc w:val="left"/>
      <w:pPr>
        <w:tabs>
          <w:tab w:val="left" w:pos="675"/>
        </w:tabs>
        <w:ind w:left="675" w:hanging="675"/>
      </w:pPr>
    </w:lvl>
    <w:lvl w:ilvl="1" w:tentative="0">
      <w:start w:val="1"/>
      <w:numFmt w:val="decimal"/>
      <w:pStyle w:val="9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14540A9E"/>
    <w:multiLevelType w:val="multilevel"/>
    <w:tmpl w:val="14540A9E"/>
    <w:lvl w:ilvl="0" w:tentative="0">
      <w:start w:val="3"/>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4">
    <w:nsid w:val="5FABD14B"/>
    <w:multiLevelType w:val="singleLevel"/>
    <w:tmpl w:val="5FABD14B"/>
    <w:lvl w:ilvl="0" w:tentative="0">
      <w:start w:val="1"/>
      <w:numFmt w:val="decimal"/>
      <w:suff w:val="nothing"/>
      <w:lvlText w:val="（%1）"/>
      <w:lvlJc w:val="left"/>
      <w:pPr>
        <w:ind w:left="0" w:firstLine="0"/>
      </w:pPr>
    </w:lvl>
  </w:abstractNum>
  <w:abstractNum w:abstractNumId="25">
    <w:nsid w:val="65FD57BA"/>
    <w:multiLevelType w:val="singleLevel"/>
    <w:tmpl w:val="65FD57BA"/>
    <w:lvl w:ilvl="0" w:tentative="0">
      <w:start w:val="1"/>
      <w:numFmt w:val="decimal"/>
      <w:pStyle w:val="26"/>
      <w:lvlText w:val="%1."/>
      <w:lvlJc w:val="left"/>
      <w:pPr>
        <w:tabs>
          <w:tab w:val="left" w:pos="1200"/>
        </w:tabs>
        <w:ind w:left="1200" w:hanging="360"/>
      </w:pPr>
    </w:lvl>
  </w:abstractNum>
  <w:abstractNum w:abstractNumId="26">
    <w:nsid w:val="7CEC0272"/>
    <w:multiLevelType w:val="singleLevel"/>
    <w:tmpl w:val="7CEC0272"/>
    <w:lvl w:ilvl="0" w:tentative="0">
      <w:start w:val="1"/>
      <w:numFmt w:val="decimal"/>
      <w:suff w:val="nothing"/>
      <w:lvlText w:val="%1、"/>
      <w:lvlJc w:val="left"/>
    </w:lvl>
  </w:abstractNum>
  <w:num w:numId="1">
    <w:abstractNumId w:val="11"/>
  </w:num>
  <w:num w:numId="2">
    <w:abstractNumId w:val="25"/>
  </w:num>
  <w:num w:numId="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3"/>
  </w:num>
  <w:num w:numId="24">
    <w:abstractNumId w:val="1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num>
  <w:num w:numId="27">
    <w:abstractNumId w:val="26"/>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mVhNGE2YzEyNzE4YzY0Y2I1OGQ4NTBmYzE4MzUifQ=="/>
    <w:docVar w:name="KSO_WPS_MARK_KEY" w:val="17cc6d77-7662-45d4-9ef1-34681603a6b2"/>
  </w:docVars>
  <w:rsids>
    <w:rsidRoot w:val="008E5728"/>
    <w:rsid w:val="00005402"/>
    <w:rsid w:val="00007325"/>
    <w:rsid w:val="00007D79"/>
    <w:rsid w:val="0001794D"/>
    <w:rsid w:val="00021747"/>
    <w:rsid w:val="00022374"/>
    <w:rsid w:val="0004355A"/>
    <w:rsid w:val="00050EF4"/>
    <w:rsid w:val="00056F81"/>
    <w:rsid w:val="0006643C"/>
    <w:rsid w:val="0008237F"/>
    <w:rsid w:val="0008264E"/>
    <w:rsid w:val="00084CDF"/>
    <w:rsid w:val="000878A2"/>
    <w:rsid w:val="000935F1"/>
    <w:rsid w:val="00094D56"/>
    <w:rsid w:val="000954CD"/>
    <w:rsid w:val="00096662"/>
    <w:rsid w:val="000A291A"/>
    <w:rsid w:val="000A2A47"/>
    <w:rsid w:val="000A2B03"/>
    <w:rsid w:val="000B06AB"/>
    <w:rsid w:val="000B6611"/>
    <w:rsid w:val="000B7733"/>
    <w:rsid w:val="000C5389"/>
    <w:rsid w:val="000D2D15"/>
    <w:rsid w:val="000E2B0A"/>
    <w:rsid w:val="000E60E7"/>
    <w:rsid w:val="000E685C"/>
    <w:rsid w:val="000F0512"/>
    <w:rsid w:val="000F60C3"/>
    <w:rsid w:val="000F6D8C"/>
    <w:rsid w:val="000F6F49"/>
    <w:rsid w:val="0011060E"/>
    <w:rsid w:val="0011520C"/>
    <w:rsid w:val="00115EF9"/>
    <w:rsid w:val="00120B0C"/>
    <w:rsid w:val="001217FE"/>
    <w:rsid w:val="00136633"/>
    <w:rsid w:val="00155701"/>
    <w:rsid w:val="001772D1"/>
    <w:rsid w:val="0018061B"/>
    <w:rsid w:val="001904C5"/>
    <w:rsid w:val="0019288F"/>
    <w:rsid w:val="001A3BDA"/>
    <w:rsid w:val="001B2C5E"/>
    <w:rsid w:val="001B569A"/>
    <w:rsid w:val="001B7DB8"/>
    <w:rsid w:val="001F0FB3"/>
    <w:rsid w:val="001F6779"/>
    <w:rsid w:val="00205433"/>
    <w:rsid w:val="00206EC6"/>
    <w:rsid w:val="0021081B"/>
    <w:rsid w:val="0021449E"/>
    <w:rsid w:val="0021560A"/>
    <w:rsid w:val="00216394"/>
    <w:rsid w:val="00216E3E"/>
    <w:rsid w:val="00224CD8"/>
    <w:rsid w:val="00235974"/>
    <w:rsid w:val="0024071C"/>
    <w:rsid w:val="00262CD0"/>
    <w:rsid w:val="00276A95"/>
    <w:rsid w:val="00283ADC"/>
    <w:rsid w:val="002967A0"/>
    <w:rsid w:val="002A484B"/>
    <w:rsid w:val="002A529C"/>
    <w:rsid w:val="002C0EB2"/>
    <w:rsid w:val="002D112F"/>
    <w:rsid w:val="002D27DA"/>
    <w:rsid w:val="002E6730"/>
    <w:rsid w:val="002F5E5F"/>
    <w:rsid w:val="00302A7D"/>
    <w:rsid w:val="00304EE3"/>
    <w:rsid w:val="00310300"/>
    <w:rsid w:val="003212B0"/>
    <w:rsid w:val="00330103"/>
    <w:rsid w:val="00336912"/>
    <w:rsid w:val="0034217B"/>
    <w:rsid w:val="00345312"/>
    <w:rsid w:val="00347F20"/>
    <w:rsid w:val="00354217"/>
    <w:rsid w:val="00357511"/>
    <w:rsid w:val="00361065"/>
    <w:rsid w:val="003839A6"/>
    <w:rsid w:val="00390B3E"/>
    <w:rsid w:val="00397838"/>
    <w:rsid w:val="003A5B77"/>
    <w:rsid w:val="003C518B"/>
    <w:rsid w:val="003D155F"/>
    <w:rsid w:val="003F737A"/>
    <w:rsid w:val="00401EB6"/>
    <w:rsid w:val="00403650"/>
    <w:rsid w:val="0040453C"/>
    <w:rsid w:val="00423C22"/>
    <w:rsid w:val="00425E5E"/>
    <w:rsid w:val="00430F06"/>
    <w:rsid w:val="00450803"/>
    <w:rsid w:val="0045312E"/>
    <w:rsid w:val="00455993"/>
    <w:rsid w:val="00457CDB"/>
    <w:rsid w:val="00462352"/>
    <w:rsid w:val="00464B9A"/>
    <w:rsid w:val="004714C6"/>
    <w:rsid w:val="00482A9F"/>
    <w:rsid w:val="004875F4"/>
    <w:rsid w:val="00495440"/>
    <w:rsid w:val="00497D2C"/>
    <w:rsid w:val="004A26E5"/>
    <w:rsid w:val="004A6773"/>
    <w:rsid w:val="004B4E1D"/>
    <w:rsid w:val="004C3266"/>
    <w:rsid w:val="004D2D6F"/>
    <w:rsid w:val="004E3DB7"/>
    <w:rsid w:val="00501557"/>
    <w:rsid w:val="00502370"/>
    <w:rsid w:val="00502ECF"/>
    <w:rsid w:val="00504E60"/>
    <w:rsid w:val="00512A08"/>
    <w:rsid w:val="00525C91"/>
    <w:rsid w:val="00531B6A"/>
    <w:rsid w:val="00534854"/>
    <w:rsid w:val="00537B71"/>
    <w:rsid w:val="00540153"/>
    <w:rsid w:val="00546BBF"/>
    <w:rsid w:val="00547A74"/>
    <w:rsid w:val="0055011F"/>
    <w:rsid w:val="00560A40"/>
    <w:rsid w:val="00582A22"/>
    <w:rsid w:val="00595BF2"/>
    <w:rsid w:val="005A7403"/>
    <w:rsid w:val="005C1C64"/>
    <w:rsid w:val="005D6689"/>
    <w:rsid w:val="00602C24"/>
    <w:rsid w:val="00612189"/>
    <w:rsid w:val="006206F5"/>
    <w:rsid w:val="00622E80"/>
    <w:rsid w:val="006243B6"/>
    <w:rsid w:val="00624F18"/>
    <w:rsid w:val="00631D06"/>
    <w:rsid w:val="006358D6"/>
    <w:rsid w:val="0064287E"/>
    <w:rsid w:val="00643463"/>
    <w:rsid w:val="00644B5D"/>
    <w:rsid w:val="00651866"/>
    <w:rsid w:val="00654ADE"/>
    <w:rsid w:val="006853F2"/>
    <w:rsid w:val="00690020"/>
    <w:rsid w:val="0069526A"/>
    <w:rsid w:val="006A3FD1"/>
    <w:rsid w:val="006A4196"/>
    <w:rsid w:val="006A6BAB"/>
    <w:rsid w:val="006A78C5"/>
    <w:rsid w:val="006B0685"/>
    <w:rsid w:val="006C0151"/>
    <w:rsid w:val="006C1539"/>
    <w:rsid w:val="006E3A32"/>
    <w:rsid w:val="006F07F6"/>
    <w:rsid w:val="006F5118"/>
    <w:rsid w:val="00711E69"/>
    <w:rsid w:val="00716D3C"/>
    <w:rsid w:val="00720C1B"/>
    <w:rsid w:val="0072256B"/>
    <w:rsid w:val="0072399D"/>
    <w:rsid w:val="00732EA5"/>
    <w:rsid w:val="007443B7"/>
    <w:rsid w:val="00761C6B"/>
    <w:rsid w:val="00765518"/>
    <w:rsid w:val="00773724"/>
    <w:rsid w:val="00774434"/>
    <w:rsid w:val="0078094E"/>
    <w:rsid w:val="0078439E"/>
    <w:rsid w:val="0078746E"/>
    <w:rsid w:val="007877EE"/>
    <w:rsid w:val="00794069"/>
    <w:rsid w:val="00795A54"/>
    <w:rsid w:val="007B16E9"/>
    <w:rsid w:val="007B57B5"/>
    <w:rsid w:val="007C224D"/>
    <w:rsid w:val="007C635A"/>
    <w:rsid w:val="007D138E"/>
    <w:rsid w:val="007D2217"/>
    <w:rsid w:val="007D4A21"/>
    <w:rsid w:val="007E397A"/>
    <w:rsid w:val="007F6708"/>
    <w:rsid w:val="0080002E"/>
    <w:rsid w:val="008157AF"/>
    <w:rsid w:val="00815C0F"/>
    <w:rsid w:val="008202F1"/>
    <w:rsid w:val="00820DA5"/>
    <w:rsid w:val="0083606F"/>
    <w:rsid w:val="00845247"/>
    <w:rsid w:val="00852652"/>
    <w:rsid w:val="00852FE1"/>
    <w:rsid w:val="0085662E"/>
    <w:rsid w:val="008726BE"/>
    <w:rsid w:val="00890525"/>
    <w:rsid w:val="00894D99"/>
    <w:rsid w:val="00895336"/>
    <w:rsid w:val="008A2DDA"/>
    <w:rsid w:val="008A380A"/>
    <w:rsid w:val="008A5472"/>
    <w:rsid w:val="008C2CAF"/>
    <w:rsid w:val="008D7F57"/>
    <w:rsid w:val="008E280C"/>
    <w:rsid w:val="008E5728"/>
    <w:rsid w:val="008F477E"/>
    <w:rsid w:val="00904FA4"/>
    <w:rsid w:val="0090540D"/>
    <w:rsid w:val="009134C3"/>
    <w:rsid w:val="00926593"/>
    <w:rsid w:val="00931D58"/>
    <w:rsid w:val="0094083D"/>
    <w:rsid w:val="00942FB6"/>
    <w:rsid w:val="00953BD8"/>
    <w:rsid w:val="00961486"/>
    <w:rsid w:val="00962350"/>
    <w:rsid w:val="00963BF2"/>
    <w:rsid w:val="00964D00"/>
    <w:rsid w:val="00971BBE"/>
    <w:rsid w:val="00972979"/>
    <w:rsid w:val="009729A2"/>
    <w:rsid w:val="009748F0"/>
    <w:rsid w:val="00984579"/>
    <w:rsid w:val="00985F40"/>
    <w:rsid w:val="00986B4C"/>
    <w:rsid w:val="00991314"/>
    <w:rsid w:val="00991B3F"/>
    <w:rsid w:val="009963CF"/>
    <w:rsid w:val="009A0E26"/>
    <w:rsid w:val="009B3113"/>
    <w:rsid w:val="009C2CC9"/>
    <w:rsid w:val="009D0562"/>
    <w:rsid w:val="009E2159"/>
    <w:rsid w:val="009F0CE3"/>
    <w:rsid w:val="00A001D6"/>
    <w:rsid w:val="00A03D50"/>
    <w:rsid w:val="00A043CC"/>
    <w:rsid w:val="00A07F05"/>
    <w:rsid w:val="00A1342A"/>
    <w:rsid w:val="00A15B13"/>
    <w:rsid w:val="00A24792"/>
    <w:rsid w:val="00A4300F"/>
    <w:rsid w:val="00A43C1B"/>
    <w:rsid w:val="00A51694"/>
    <w:rsid w:val="00A6275C"/>
    <w:rsid w:val="00A70DB3"/>
    <w:rsid w:val="00A73BE4"/>
    <w:rsid w:val="00A754F3"/>
    <w:rsid w:val="00A83EEB"/>
    <w:rsid w:val="00AA0A3D"/>
    <w:rsid w:val="00AA1A91"/>
    <w:rsid w:val="00AA2EF4"/>
    <w:rsid w:val="00AB4799"/>
    <w:rsid w:val="00AB6A6C"/>
    <w:rsid w:val="00AC0C87"/>
    <w:rsid w:val="00AF107F"/>
    <w:rsid w:val="00AF3844"/>
    <w:rsid w:val="00B00061"/>
    <w:rsid w:val="00B27E22"/>
    <w:rsid w:val="00B3353F"/>
    <w:rsid w:val="00B35FA3"/>
    <w:rsid w:val="00B3650A"/>
    <w:rsid w:val="00B4498A"/>
    <w:rsid w:val="00B54599"/>
    <w:rsid w:val="00B606AD"/>
    <w:rsid w:val="00B7574C"/>
    <w:rsid w:val="00B80EFF"/>
    <w:rsid w:val="00B81ACE"/>
    <w:rsid w:val="00B97BD3"/>
    <w:rsid w:val="00BB7A10"/>
    <w:rsid w:val="00BD7994"/>
    <w:rsid w:val="00BD7C7C"/>
    <w:rsid w:val="00BE1272"/>
    <w:rsid w:val="00BE6D4D"/>
    <w:rsid w:val="00BF4D9D"/>
    <w:rsid w:val="00BF7CF2"/>
    <w:rsid w:val="00C10181"/>
    <w:rsid w:val="00C21469"/>
    <w:rsid w:val="00C21811"/>
    <w:rsid w:val="00C23A37"/>
    <w:rsid w:val="00C37055"/>
    <w:rsid w:val="00C41108"/>
    <w:rsid w:val="00C5201A"/>
    <w:rsid w:val="00C64DC7"/>
    <w:rsid w:val="00C668A1"/>
    <w:rsid w:val="00C700C5"/>
    <w:rsid w:val="00C80DBB"/>
    <w:rsid w:val="00C96ED8"/>
    <w:rsid w:val="00CA0DD3"/>
    <w:rsid w:val="00CA25C6"/>
    <w:rsid w:val="00CB2476"/>
    <w:rsid w:val="00CC15A3"/>
    <w:rsid w:val="00CC76C5"/>
    <w:rsid w:val="00CD54FB"/>
    <w:rsid w:val="00CF56FF"/>
    <w:rsid w:val="00CF5790"/>
    <w:rsid w:val="00CF6539"/>
    <w:rsid w:val="00CF7257"/>
    <w:rsid w:val="00D019BC"/>
    <w:rsid w:val="00D02B2D"/>
    <w:rsid w:val="00D05528"/>
    <w:rsid w:val="00D12088"/>
    <w:rsid w:val="00D162A9"/>
    <w:rsid w:val="00D21A32"/>
    <w:rsid w:val="00D33E75"/>
    <w:rsid w:val="00D562C3"/>
    <w:rsid w:val="00D604F4"/>
    <w:rsid w:val="00D612B1"/>
    <w:rsid w:val="00D824F9"/>
    <w:rsid w:val="00D90885"/>
    <w:rsid w:val="00D97311"/>
    <w:rsid w:val="00DA56FB"/>
    <w:rsid w:val="00DB2B17"/>
    <w:rsid w:val="00DB3265"/>
    <w:rsid w:val="00DD411C"/>
    <w:rsid w:val="00DD489E"/>
    <w:rsid w:val="00DE6ECF"/>
    <w:rsid w:val="00DF6009"/>
    <w:rsid w:val="00DF637D"/>
    <w:rsid w:val="00DF6F14"/>
    <w:rsid w:val="00E075D6"/>
    <w:rsid w:val="00E10420"/>
    <w:rsid w:val="00E14869"/>
    <w:rsid w:val="00E2459D"/>
    <w:rsid w:val="00E26925"/>
    <w:rsid w:val="00E3179D"/>
    <w:rsid w:val="00E353EC"/>
    <w:rsid w:val="00E62997"/>
    <w:rsid w:val="00E65C21"/>
    <w:rsid w:val="00E67DA9"/>
    <w:rsid w:val="00E70152"/>
    <w:rsid w:val="00E74044"/>
    <w:rsid w:val="00E96F80"/>
    <w:rsid w:val="00EA1776"/>
    <w:rsid w:val="00EB59EE"/>
    <w:rsid w:val="00EC3842"/>
    <w:rsid w:val="00EE13D2"/>
    <w:rsid w:val="00EE4B90"/>
    <w:rsid w:val="00EE6581"/>
    <w:rsid w:val="00F0145D"/>
    <w:rsid w:val="00F0605F"/>
    <w:rsid w:val="00F0793B"/>
    <w:rsid w:val="00F07958"/>
    <w:rsid w:val="00F11571"/>
    <w:rsid w:val="00F13023"/>
    <w:rsid w:val="00F14F45"/>
    <w:rsid w:val="00F35545"/>
    <w:rsid w:val="00F3708C"/>
    <w:rsid w:val="00F404E9"/>
    <w:rsid w:val="00F41215"/>
    <w:rsid w:val="00F41BB0"/>
    <w:rsid w:val="00F4386B"/>
    <w:rsid w:val="00F45612"/>
    <w:rsid w:val="00F61A75"/>
    <w:rsid w:val="00F90D8C"/>
    <w:rsid w:val="00F96DC1"/>
    <w:rsid w:val="00FA4D0F"/>
    <w:rsid w:val="00FA76B1"/>
    <w:rsid w:val="00FB2E18"/>
    <w:rsid w:val="00FD0F31"/>
    <w:rsid w:val="00FE3E3B"/>
    <w:rsid w:val="00FE4776"/>
    <w:rsid w:val="00FF45D1"/>
    <w:rsid w:val="01172A03"/>
    <w:rsid w:val="0145478B"/>
    <w:rsid w:val="014632E9"/>
    <w:rsid w:val="0149039A"/>
    <w:rsid w:val="02AC2EF3"/>
    <w:rsid w:val="02BF7500"/>
    <w:rsid w:val="035C5045"/>
    <w:rsid w:val="038B7265"/>
    <w:rsid w:val="03EE0393"/>
    <w:rsid w:val="04333875"/>
    <w:rsid w:val="04425BD4"/>
    <w:rsid w:val="046C2E4B"/>
    <w:rsid w:val="04B50C64"/>
    <w:rsid w:val="04EB042F"/>
    <w:rsid w:val="0563090D"/>
    <w:rsid w:val="06161D2A"/>
    <w:rsid w:val="066E30C6"/>
    <w:rsid w:val="067508F8"/>
    <w:rsid w:val="06E17D3B"/>
    <w:rsid w:val="070F27A4"/>
    <w:rsid w:val="07964184"/>
    <w:rsid w:val="07B453F6"/>
    <w:rsid w:val="08065580"/>
    <w:rsid w:val="08BF4690"/>
    <w:rsid w:val="098D4073"/>
    <w:rsid w:val="09CC0016"/>
    <w:rsid w:val="0A051F93"/>
    <w:rsid w:val="0A7669ED"/>
    <w:rsid w:val="0ACC0CAD"/>
    <w:rsid w:val="0AD61857"/>
    <w:rsid w:val="0B422D73"/>
    <w:rsid w:val="0B570B84"/>
    <w:rsid w:val="0B6B22C9"/>
    <w:rsid w:val="0B6D4294"/>
    <w:rsid w:val="0BA63367"/>
    <w:rsid w:val="0BE04A65"/>
    <w:rsid w:val="0BE36304"/>
    <w:rsid w:val="0BE915F8"/>
    <w:rsid w:val="0C2150AB"/>
    <w:rsid w:val="0C460455"/>
    <w:rsid w:val="0C574256"/>
    <w:rsid w:val="0CFD2EDC"/>
    <w:rsid w:val="0D63718F"/>
    <w:rsid w:val="0E0B1B42"/>
    <w:rsid w:val="0E2D00EE"/>
    <w:rsid w:val="0E2E16B2"/>
    <w:rsid w:val="0E3C72EA"/>
    <w:rsid w:val="0E3F222E"/>
    <w:rsid w:val="0EF3685E"/>
    <w:rsid w:val="0F2700A3"/>
    <w:rsid w:val="0F474DFC"/>
    <w:rsid w:val="0F7F4595"/>
    <w:rsid w:val="101A0CAD"/>
    <w:rsid w:val="104C7B02"/>
    <w:rsid w:val="10817E99"/>
    <w:rsid w:val="108F73C6"/>
    <w:rsid w:val="1096728F"/>
    <w:rsid w:val="10A6347B"/>
    <w:rsid w:val="10D75BFD"/>
    <w:rsid w:val="11894147"/>
    <w:rsid w:val="11A014DC"/>
    <w:rsid w:val="12186419"/>
    <w:rsid w:val="126E269F"/>
    <w:rsid w:val="12BD0513"/>
    <w:rsid w:val="134D0507"/>
    <w:rsid w:val="139D21CB"/>
    <w:rsid w:val="13DF6D57"/>
    <w:rsid w:val="14217AD4"/>
    <w:rsid w:val="142E3FAB"/>
    <w:rsid w:val="14483D9C"/>
    <w:rsid w:val="14537D9F"/>
    <w:rsid w:val="146B333A"/>
    <w:rsid w:val="1481188B"/>
    <w:rsid w:val="148937C0"/>
    <w:rsid w:val="1492384F"/>
    <w:rsid w:val="14A354D4"/>
    <w:rsid w:val="14B309D0"/>
    <w:rsid w:val="15052FEC"/>
    <w:rsid w:val="151B08BC"/>
    <w:rsid w:val="15273D43"/>
    <w:rsid w:val="155528CB"/>
    <w:rsid w:val="157B75AD"/>
    <w:rsid w:val="159A6FF2"/>
    <w:rsid w:val="16007AB2"/>
    <w:rsid w:val="16021A7C"/>
    <w:rsid w:val="16065ED4"/>
    <w:rsid w:val="161552E4"/>
    <w:rsid w:val="164A21BA"/>
    <w:rsid w:val="170951B5"/>
    <w:rsid w:val="171F29AD"/>
    <w:rsid w:val="17454196"/>
    <w:rsid w:val="17863BCC"/>
    <w:rsid w:val="182268FA"/>
    <w:rsid w:val="18A94DC9"/>
    <w:rsid w:val="18B76B4E"/>
    <w:rsid w:val="18CB36B1"/>
    <w:rsid w:val="18DA283C"/>
    <w:rsid w:val="1912647A"/>
    <w:rsid w:val="19650358"/>
    <w:rsid w:val="19947E51"/>
    <w:rsid w:val="19AC242B"/>
    <w:rsid w:val="19BE7134"/>
    <w:rsid w:val="19F45B80"/>
    <w:rsid w:val="1A1B310D"/>
    <w:rsid w:val="1A846A64"/>
    <w:rsid w:val="1AAC6E2E"/>
    <w:rsid w:val="1B0A4FC1"/>
    <w:rsid w:val="1B0A5E35"/>
    <w:rsid w:val="1B743824"/>
    <w:rsid w:val="1BAC6E38"/>
    <w:rsid w:val="1BD9502D"/>
    <w:rsid w:val="1BE51C24"/>
    <w:rsid w:val="1C2C7853"/>
    <w:rsid w:val="1CCC60BD"/>
    <w:rsid w:val="1CDB6B83"/>
    <w:rsid w:val="1D44178B"/>
    <w:rsid w:val="1D5F5C29"/>
    <w:rsid w:val="1D943902"/>
    <w:rsid w:val="1DD23634"/>
    <w:rsid w:val="1DD435CF"/>
    <w:rsid w:val="1E31557C"/>
    <w:rsid w:val="1E846734"/>
    <w:rsid w:val="1E8F5E77"/>
    <w:rsid w:val="1E91399D"/>
    <w:rsid w:val="1EB3600A"/>
    <w:rsid w:val="1F38206B"/>
    <w:rsid w:val="1FAD0CAB"/>
    <w:rsid w:val="1FF3258F"/>
    <w:rsid w:val="2000702C"/>
    <w:rsid w:val="200D724C"/>
    <w:rsid w:val="20855784"/>
    <w:rsid w:val="20A025BE"/>
    <w:rsid w:val="20E361CF"/>
    <w:rsid w:val="21723F5A"/>
    <w:rsid w:val="21916844"/>
    <w:rsid w:val="21B42B82"/>
    <w:rsid w:val="21BA76AF"/>
    <w:rsid w:val="21F8263A"/>
    <w:rsid w:val="222528F3"/>
    <w:rsid w:val="22603DB2"/>
    <w:rsid w:val="22F34C27"/>
    <w:rsid w:val="234C6186"/>
    <w:rsid w:val="238D463C"/>
    <w:rsid w:val="239D5E64"/>
    <w:rsid w:val="2413474C"/>
    <w:rsid w:val="24186FDB"/>
    <w:rsid w:val="241E1C51"/>
    <w:rsid w:val="241F1421"/>
    <w:rsid w:val="24AB0174"/>
    <w:rsid w:val="24AE4667"/>
    <w:rsid w:val="24B84374"/>
    <w:rsid w:val="24CD1374"/>
    <w:rsid w:val="2503777C"/>
    <w:rsid w:val="2518296A"/>
    <w:rsid w:val="251946ED"/>
    <w:rsid w:val="252F3079"/>
    <w:rsid w:val="261D23F6"/>
    <w:rsid w:val="263C0693"/>
    <w:rsid w:val="26616852"/>
    <w:rsid w:val="266876DA"/>
    <w:rsid w:val="267E14C1"/>
    <w:rsid w:val="284E0B51"/>
    <w:rsid w:val="28A846DD"/>
    <w:rsid w:val="29086F52"/>
    <w:rsid w:val="29323FCF"/>
    <w:rsid w:val="2A3F4BF5"/>
    <w:rsid w:val="2A5074BE"/>
    <w:rsid w:val="2A866380"/>
    <w:rsid w:val="2AAF1D7B"/>
    <w:rsid w:val="2AD638F7"/>
    <w:rsid w:val="2B361E90"/>
    <w:rsid w:val="2B846604"/>
    <w:rsid w:val="2BC76478"/>
    <w:rsid w:val="2C061E34"/>
    <w:rsid w:val="2C074A29"/>
    <w:rsid w:val="2C3541EC"/>
    <w:rsid w:val="2C504E98"/>
    <w:rsid w:val="2CA13D39"/>
    <w:rsid w:val="2CC37991"/>
    <w:rsid w:val="2CDD7968"/>
    <w:rsid w:val="2CEB40BD"/>
    <w:rsid w:val="2D76092E"/>
    <w:rsid w:val="2D965504"/>
    <w:rsid w:val="2DB713F7"/>
    <w:rsid w:val="2E05693E"/>
    <w:rsid w:val="2E3511E0"/>
    <w:rsid w:val="2EAE23EB"/>
    <w:rsid w:val="2EB72C1B"/>
    <w:rsid w:val="2FD66FEA"/>
    <w:rsid w:val="2FFC5CE0"/>
    <w:rsid w:val="300C37CC"/>
    <w:rsid w:val="30146116"/>
    <w:rsid w:val="303845C1"/>
    <w:rsid w:val="30DA11D4"/>
    <w:rsid w:val="31865853"/>
    <w:rsid w:val="31A23F91"/>
    <w:rsid w:val="31AD4B3A"/>
    <w:rsid w:val="31D51822"/>
    <w:rsid w:val="32164F3B"/>
    <w:rsid w:val="324F08BC"/>
    <w:rsid w:val="32A96B65"/>
    <w:rsid w:val="3314723B"/>
    <w:rsid w:val="3334156E"/>
    <w:rsid w:val="33844BAD"/>
    <w:rsid w:val="33B10912"/>
    <w:rsid w:val="34876319"/>
    <w:rsid w:val="34921E01"/>
    <w:rsid w:val="34A84A69"/>
    <w:rsid w:val="35610116"/>
    <w:rsid w:val="356E3AF8"/>
    <w:rsid w:val="36826596"/>
    <w:rsid w:val="36A505C8"/>
    <w:rsid w:val="370927D7"/>
    <w:rsid w:val="373B602E"/>
    <w:rsid w:val="375A3E92"/>
    <w:rsid w:val="37665DA9"/>
    <w:rsid w:val="37B00EE0"/>
    <w:rsid w:val="37BC6E0D"/>
    <w:rsid w:val="37C711A3"/>
    <w:rsid w:val="38082ACA"/>
    <w:rsid w:val="383C09C6"/>
    <w:rsid w:val="38637D01"/>
    <w:rsid w:val="38AF67C3"/>
    <w:rsid w:val="38B81807"/>
    <w:rsid w:val="38BB39B0"/>
    <w:rsid w:val="38F842C6"/>
    <w:rsid w:val="38FE7A29"/>
    <w:rsid w:val="391E459E"/>
    <w:rsid w:val="393D67A4"/>
    <w:rsid w:val="39497CC5"/>
    <w:rsid w:val="39E46903"/>
    <w:rsid w:val="3A0C0CA1"/>
    <w:rsid w:val="3A233C76"/>
    <w:rsid w:val="3A920D71"/>
    <w:rsid w:val="3A9C574C"/>
    <w:rsid w:val="3AD62A0C"/>
    <w:rsid w:val="3AF86E26"/>
    <w:rsid w:val="3B9A0DCC"/>
    <w:rsid w:val="3BAAF55C"/>
    <w:rsid w:val="3BC225B5"/>
    <w:rsid w:val="3BC64E5E"/>
    <w:rsid w:val="3C16141A"/>
    <w:rsid w:val="3C4B742A"/>
    <w:rsid w:val="3C954F54"/>
    <w:rsid w:val="3C9F32D2"/>
    <w:rsid w:val="3D1605C3"/>
    <w:rsid w:val="3D5B544A"/>
    <w:rsid w:val="3D8F3F83"/>
    <w:rsid w:val="3DDF3DD1"/>
    <w:rsid w:val="3E1000FA"/>
    <w:rsid w:val="3E481854"/>
    <w:rsid w:val="3E802908"/>
    <w:rsid w:val="3F433CAF"/>
    <w:rsid w:val="3F5C54AA"/>
    <w:rsid w:val="3FD768CC"/>
    <w:rsid w:val="3FE931E1"/>
    <w:rsid w:val="3FFD4CCE"/>
    <w:rsid w:val="40110EF1"/>
    <w:rsid w:val="4070746C"/>
    <w:rsid w:val="40861AED"/>
    <w:rsid w:val="40BF3F42"/>
    <w:rsid w:val="41A13D3C"/>
    <w:rsid w:val="421325E2"/>
    <w:rsid w:val="4230334A"/>
    <w:rsid w:val="423A301B"/>
    <w:rsid w:val="423D00AA"/>
    <w:rsid w:val="425C1855"/>
    <w:rsid w:val="42A653BA"/>
    <w:rsid w:val="438F40A0"/>
    <w:rsid w:val="4390408F"/>
    <w:rsid w:val="43DA7BB1"/>
    <w:rsid w:val="43EB1656"/>
    <w:rsid w:val="44241D46"/>
    <w:rsid w:val="444B446B"/>
    <w:rsid w:val="44CE3917"/>
    <w:rsid w:val="45334B27"/>
    <w:rsid w:val="45FA13BF"/>
    <w:rsid w:val="4659411C"/>
    <w:rsid w:val="468E063F"/>
    <w:rsid w:val="46CE1383"/>
    <w:rsid w:val="47637D1D"/>
    <w:rsid w:val="47AB59CE"/>
    <w:rsid w:val="481B05F8"/>
    <w:rsid w:val="48324730"/>
    <w:rsid w:val="48BD27FC"/>
    <w:rsid w:val="48D64ED6"/>
    <w:rsid w:val="491104C5"/>
    <w:rsid w:val="491A4E9A"/>
    <w:rsid w:val="49256404"/>
    <w:rsid w:val="494E1E77"/>
    <w:rsid w:val="496D09DF"/>
    <w:rsid w:val="49746212"/>
    <w:rsid w:val="49A30F2F"/>
    <w:rsid w:val="49AE2B5B"/>
    <w:rsid w:val="4A01737A"/>
    <w:rsid w:val="4A8E1021"/>
    <w:rsid w:val="4AB1705A"/>
    <w:rsid w:val="4B257D58"/>
    <w:rsid w:val="4B86058C"/>
    <w:rsid w:val="4BB5666E"/>
    <w:rsid w:val="4BDB2578"/>
    <w:rsid w:val="4BDC6FA0"/>
    <w:rsid w:val="4BF77019"/>
    <w:rsid w:val="4CFB6302"/>
    <w:rsid w:val="4D0B1D33"/>
    <w:rsid w:val="4D720B9D"/>
    <w:rsid w:val="4D794C90"/>
    <w:rsid w:val="4D8B138C"/>
    <w:rsid w:val="4E28581D"/>
    <w:rsid w:val="4E444D67"/>
    <w:rsid w:val="4E854E2E"/>
    <w:rsid w:val="4EC41512"/>
    <w:rsid w:val="4EE664FB"/>
    <w:rsid w:val="4F0040A4"/>
    <w:rsid w:val="4F047238"/>
    <w:rsid w:val="4F7C169E"/>
    <w:rsid w:val="4F8E3C9C"/>
    <w:rsid w:val="4FA055EF"/>
    <w:rsid w:val="4FA8615B"/>
    <w:rsid w:val="4FE87012"/>
    <w:rsid w:val="50205979"/>
    <w:rsid w:val="50C10D15"/>
    <w:rsid w:val="50C4378A"/>
    <w:rsid w:val="50E720C7"/>
    <w:rsid w:val="511603BC"/>
    <w:rsid w:val="514A5AAA"/>
    <w:rsid w:val="519B00B4"/>
    <w:rsid w:val="520F0216"/>
    <w:rsid w:val="522307D5"/>
    <w:rsid w:val="52326C6A"/>
    <w:rsid w:val="52C04276"/>
    <w:rsid w:val="52CC1B65"/>
    <w:rsid w:val="532B4FCF"/>
    <w:rsid w:val="53B51901"/>
    <w:rsid w:val="53F3675D"/>
    <w:rsid w:val="546926EB"/>
    <w:rsid w:val="54C75AC3"/>
    <w:rsid w:val="54D47B64"/>
    <w:rsid w:val="54ED6E78"/>
    <w:rsid w:val="550A56AF"/>
    <w:rsid w:val="554A1B79"/>
    <w:rsid w:val="556A2277"/>
    <w:rsid w:val="557B0928"/>
    <w:rsid w:val="55CC1183"/>
    <w:rsid w:val="562C39D0"/>
    <w:rsid w:val="56365C53"/>
    <w:rsid w:val="573E4B9B"/>
    <w:rsid w:val="574F64D5"/>
    <w:rsid w:val="57AD15B5"/>
    <w:rsid w:val="57BE4AFC"/>
    <w:rsid w:val="57C9597B"/>
    <w:rsid w:val="57FB0567"/>
    <w:rsid w:val="582207E2"/>
    <w:rsid w:val="584D6E4D"/>
    <w:rsid w:val="5856711A"/>
    <w:rsid w:val="58817B7F"/>
    <w:rsid w:val="58A27F7A"/>
    <w:rsid w:val="59182D00"/>
    <w:rsid w:val="5947124D"/>
    <w:rsid w:val="59AF294E"/>
    <w:rsid w:val="5A753DA0"/>
    <w:rsid w:val="5B0942E0"/>
    <w:rsid w:val="5B2859AE"/>
    <w:rsid w:val="5B4850E1"/>
    <w:rsid w:val="5B4D6C51"/>
    <w:rsid w:val="5BEB8729"/>
    <w:rsid w:val="5C4E4A57"/>
    <w:rsid w:val="5D1256CE"/>
    <w:rsid w:val="5D5645FC"/>
    <w:rsid w:val="5D9407D9"/>
    <w:rsid w:val="5D9C143B"/>
    <w:rsid w:val="5E9071F2"/>
    <w:rsid w:val="5F44309B"/>
    <w:rsid w:val="5F445BE9"/>
    <w:rsid w:val="5FF77A93"/>
    <w:rsid w:val="600F4552"/>
    <w:rsid w:val="605A034C"/>
    <w:rsid w:val="613F280A"/>
    <w:rsid w:val="614B7400"/>
    <w:rsid w:val="614D76C6"/>
    <w:rsid w:val="61616C24"/>
    <w:rsid w:val="617C3A5E"/>
    <w:rsid w:val="618648DC"/>
    <w:rsid w:val="61902534"/>
    <w:rsid w:val="61F93380"/>
    <w:rsid w:val="620C3034"/>
    <w:rsid w:val="620E7D07"/>
    <w:rsid w:val="62D438AB"/>
    <w:rsid w:val="6341642D"/>
    <w:rsid w:val="634C56B2"/>
    <w:rsid w:val="636530F4"/>
    <w:rsid w:val="63B219B9"/>
    <w:rsid w:val="640C05C3"/>
    <w:rsid w:val="64281C7B"/>
    <w:rsid w:val="643979E4"/>
    <w:rsid w:val="64487A2E"/>
    <w:rsid w:val="647D59F7"/>
    <w:rsid w:val="648F33BC"/>
    <w:rsid w:val="64EC6D0D"/>
    <w:rsid w:val="64F5184A"/>
    <w:rsid w:val="65505937"/>
    <w:rsid w:val="658B0713"/>
    <w:rsid w:val="65B06250"/>
    <w:rsid w:val="65F22540"/>
    <w:rsid w:val="661834F1"/>
    <w:rsid w:val="66862C89"/>
    <w:rsid w:val="669F16A9"/>
    <w:rsid w:val="66B55EF1"/>
    <w:rsid w:val="66CF2882"/>
    <w:rsid w:val="674F751F"/>
    <w:rsid w:val="683618B2"/>
    <w:rsid w:val="685F7C35"/>
    <w:rsid w:val="689C69F1"/>
    <w:rsid w:val="68E36170"/>
    <w:rsid w:val="68ED6FEF"/>
    <w:rsid w:val="6958090C"/>
    <w:rsid w:val="696978DD"/>
    <w:rsid w:val="69AF1350"/>
    <w:rsid w:val="6A0171F6"/>
    <w:rsid w:val="6A021646"/>
    <w:rsid w:val="6A102F95"/>
    <w:rsid w:val="6A20425E"/>
    <w:rsid w:val="6A2E1B69"/>
    <w:rsid w:val="6A374135"/>
    <w:rsid w:val="6A513983"/>
    <w:rsid w:val="6A6B2E84"/>
    <w:rsid w:val="6B59396D"/>
    <w:rsid w:val="6B721A2E"/>
    <w:rsid w:val="6B9F6CA0"/>
    <w:rsid w:val="6BBB5F54"/>
    <w:rsid w:val="6BC82EDF"/>
    <w:rsid w:val="6BFA3EFD"/>
    <w:rsid w:val="6C270A6A"/>
    <w:rsid w:val="6C723BC9"/>
    <w:rsid w:val="6C783974"/>
    <w:rsid w:val="6D535D61"/>
    <w:rsid w:val="6DBB1A9B"/>
    <w:rsid w:val="6DCC3138"/>
    <w:rsid w:val="6DF306BB"/>
    <w:rsid w:val="6DFD7CD4"/>
    <w:rsid w:val="6E364482"/>
    <w:rsid w:val="6E704852"/>
    <w:rsid w:val="6EB4604E"/>
    <w:rsid w:val="6EF40615"/>
    <w:rsid w:val="6F120007"/>
    <w:rsid w:val="6F5953DE"/>
    <w:rsid w:val="6FB23319"/>
    <w:rsid w:val="701D465E"/>
    <w:rsid w:val="70656F3D"/>
    <w:rsid w:val="70666005"/>
    <w:rsid w:val="706C2EEF"/>
    <w:rsid w:val="70BB79D3"/>
    <w:rsid w:val="70D97FA7"/>
    <w:rsid w:val="716418D2"/>
    <w:rsid w:val="718D75C1"/>
    <w:rsid w:val="72267847"/>
    <w:rsid w:val="72292BC2"/>
    <w:rsid w:val="7258197D"/>
    <w:rsid w:val="72780A82"/>
    <w:rsid w:val="727D0249"/>
    <w:rsid w:val="73092C1E"/>
    <w:rsid w:val="731A7BDB"/>
    <w:rsid w:val="733028FA"/>
    <w:rsid w:val="74387230"/>
    <w:rsid w:val="755F39BE"/>
    <w:rsid w:val="756465D2"/>
    <w:rsid w:val="757F4E35"/>
    <w:rsid w:val="75B72E5F"/>
    <w:rsid w:val="75E30078"/>
    <w:rsid w:val="76197675"/>
    <w:rsid w:val="76562678"/>
    <w:rsid w:val="76B23590"/>
    <w:rsid w:val="77642B72"/>
    <w:rsid w:val="779A47E6"/>
    <w:rsid w:val="779A6594"/>
    <w:rsid w:val="77A6360E"/>
    <w:rsid w:val="77C5141D"/>
    <w:rsid w:val="77E36E82"/>
    <w:rsid w:val="77F959B0"/>
    <w:rsid w:val="781E0F73"/>
    <w:rsid w:val="78502742"/>
    <w:rsid w:val="787B0173"/>
    <w:rsid w:val="78870B75"/>
    <w:rsid w:val="78A3591C"/>
    <w:rsid w:val="78E730C6"/>
    <w:rsid w:val="7939729E"/>
    <w:rsid w:val="79BD47BC"/>
    <w:rsid w:val="7A0C6749"/>
    <w:rsid w:val="7A7E3063"/>
    <w:rsid w:val="7AA1561D"/>
    <w:rsid w:val="7B0B6947"/>
    <w:rsid w:val="7B136D89"/>
    <w:rsid w:val="7B783090"/>
    <w:rsid w:val="7BA3183D"/>
    <w:rsid w:val="7BC77B74"/>
    <w:rsid w:val="7BCF19F9"/>
    <w:rsid w:val="7BEEF20D"/>
    <w:rsid w:val="7BFC5C78"/>
    <w:rsid w:val="7C091F3A"/>
    <w:rsid w:val="7C2C027F"/>
    <w:rsid w:val="7C3D3FF9"/>
    <w:rsid w:val="7CA852AF"/>
    <w:rsid w:val="7CAD4A24"/>
    <w:rsid w:val="7D0522BD"/>
    <w:rsid w:val="7D1D58A4"/>
    <w:rsid w:val="7D3B088B"/>
    <w:rsid w:val="7D594A83"/>
    <w:rsid w:val="7DEF4AEA"/>
    <w:rsid w:val="7DF764EE"/>
    <w:rsid w:val="7E53749D"/>
    <w:rsid w:val="7EA30C55"/>
    <w:rsid w:val="7F007624"/>
    <w:rsid w:val="7F7F6FE8"/>
    <w:rsid w:val="7F867122"/>
    <w:rsid w:val="7F89761A"/>
    <w:rsid w:val="7FA73F44"/>
    <w:rsid w:val="CEC5A8CA"/>
    <w:rsid w:val="CFEF02AF"/>
    <w:rsid w:val="DA5F6331"/>
    <w:rsid w:val="E7E88DBC"/>
    <w:rsid w:val="EBE71639"/>
    <w:rsid w:val="EBFD096B"/>
    <w:rsid w:val="F7E57C21"/>
    <w:rsid w:val="F7FFA0C5"/>
    <w:rsid w:val="FBB772BB"/>
    <w:rsid w:val="FDEFCAE2"/>
    <w:rsid w:val="FF4A79A4"/>
    <w:rsid w:val="FFB74445"/>
    <w:rsid w:val="FFD83D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uiPriority="99" w:name="macro"/>
    <w:lsdException w:uiPriority="99"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99" w:semiHidden="0"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qFormat="1" w:unhideWhenUsed="0" w:uiPriority="0" w:semiHidden="0" w:name="HTML Code"/>
    <w:lsdException w:uiPriority="99"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77"/>
    <w:qFormat/>
    <w:uiPriority w:val="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238"/>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239"/>
    <w:qFormat/>
    <w:uiPriority w:val="0"/>
    <w:pPr>
      <w:keepNext/>
      <w:keepLines/>
      <w:spacing w:before="280" w:after="290" w:line="376" w:lineRule="auto"/>
      <w:outlineLvl w:val="3"/>
    </w:pPr>
    <w:rPr>
      <w:rFonts w:ascii="等线 Light" w:hAnsi="等线 Light" w:eastAsia="等线 Light"/>
      <w:b/>
      <w:bCs/>
      <w:sz w:val="28"/>
      <w:szCs w:val="28"/>
    </w:rPr>
  </w:style>
  <w:style w:type="paragraph" w:styleId="6">
    <w:name w:val="heading 5"/>
    <w:basedOn w:val="1"/>
    <w:next w:val="1"/>
    <w:link w:val="373"/>
    <w:qFormat/>
    <w:uiPriority w:val="0"/>
    <w:pPr>
      <w:keepNext/>
      <w:keepLines/>
      <w:numPr>
        <w:ilvl w:val="4"/>
        <w:numId w:val="1"/>
      </w:numPr>
      <w:spacing w:before="280" w:after="290" w:line="376" w:lineRule="auto"/>
      <w:outlineLvl w:val="4"/>
    </w:pPr>
    <w:rPr>
      <w:b/>
      <w:sz w:val="28"/>
    </w:rPr>
  </w:style>
  <w:style w:type="paragraph" w:styleId="7">
    <w:name w:val="heading 6"/>
    <w:basedOn w:val="1"/>
    <w:next w:val="8"/>
    <w:link w:val="241"/>
    <w:qFormat/>
    <w:uiPriority w:val="9"/>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242"/>
    <w:qFormat/>
    <w:uiPriority w:val="9"/>
    <w:pPr>
      <w:keepNext/>
      <w:keepLines/>
      <w:numPr>
        <w:ilvl w:val="6"/>
        <w:numId w:val="1"/>
      </w:numPr>
      <w:spacing w:before="240" w:after="64" w:line="320" w:lineRule="auto"/>
      <w:outlineLvl w:val="6"/>
    </w:pPr>
    <w:rPr>
      <w:b/>
      <w:sz w:val="24"/>
    </w:rPr>
  </w:style>
  <w:style w:type="paragraph" w:styleId="10">
    <w:name w:val="heading 8"/>
    <w:basedOn w:val="1"/>
    <w:next w:val="8"/>
    <w:link w:val="243"/>
    <w:qFormat/>
    <w:uiPriority w:val="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244"/>
    <w:qFormat/>
    <w:uiPriority w:val="9"/>
    <w:pPr>
      <w:keepNext/>
      <w:keepLines/>
      <w:numPr>
        <w:ilvl w:val="8"/>
        <w:numId w:val="1"/>
      </w:numPr>
      <w:spacing w:before="240" w:after="64" w:line="320" w:lineRule="auto"/>
      <w:outlineLvl w:val="8"/>
    </w:pPr>
    <w:rPr>
      <w:rFonts w:ascii="Arial" w:hAnsi="Arial" w:eastAsia="黑体"/>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toc 7"/>
    <w:basedOn w:val="1"/>
    <w:next w:val="1"/>
    <w:qFormat/>
    <w:uiPriority w:val="39"/>
    <w:pPr>
      <w:ind w:left="2520" w:leftChars="1200"/>
    </w:pPr>
    <w:rPr>
      <w:rFonts w:ascii="Calibri" w:hAnsi="Calibri"/>
      <w:szCs w:val="22"/>
    </w:rPr>
  </w:style>
  <w:style w:type="paragraph" w:styleId="13">
    <w:name w:val="table of authorities"/>
    <w:basedOn w:val="1"/>
    <w:next w:val="1"/>
    <w:qFormat/>
    <w:uiPriority w:val="99"/>
    <w:pPr>
      <w:ind w:left="420" w:leftChars="200"/>
    </w:pPr>
  </w:style>
  <w:style w:type="paragraph" w:styleId="14">
    <w:name w:val="index 8"/>
    <w:basedOn w:val="1"/>
    <w:next w:val="1"/>
    <w:qFormat/>
    <w:uiPriority w:val="99"/>
    <w:pPr>
      <w:widowControl/>
      <w:spacing w:before="100" w:after="200" w:line="276" w:lineRule="auto"/>
      <w:ind w:left="1680" w:hanging="210"/>
      <w:jc w:val="left"/>
    </w:pPr>
    <w:rPr>
      <w:rFonts w:ascii="Calibri" w:hAnsi="Calibri" w:eastAsia="楷体_GB2312"/>
      <w:kern w:val="0"/>
      <w:sz w:val="24"/>
      <w:szCs w:val="20"/>
    </w:rPr>
  </w:style>
  <w:style w:type="paragraph" w:styleId="15">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35"/>
    <w:pPr>
      <w:spacing w:before="152" w:after="160"/>
    </w:pPr>
    <w:rPr>
      <w:rFonts w:ascii="Arial" w:hAnsi="Arial" w:eastAsia="黑体" w:cs="Arial"/>
      <w:sz w:val="20"/>
      <w:szCs w:val="20"/>
    </w:rPr>
  </w:style>
  <w:style w:type="paragraph" w:styleId="17">
    <w:name w:val="index 5"/>
    <w:basedOn w:val="1"/>
    <w:next w:val="1"/>
    <w:qFormat/>
    <w:uiPriority w:val="99"/>
    <w:pPr>
      <w:widowControl/>
      <w:spacing w:before="100" w:after="200" w:line="276" w:lineRule="auto"/>
      <w:ind w:left="1050" w:hanging="210"/>
      <w:jc w:val="left"/>
    </w:pPr>
    <w:rPr>
      <w:rFonts w:ascii="Calibri" w:hAnsi="Calibri" w:eastAsia="楷体_GB2312"/>
      <w:kern w:val="0"/>
      <w:sz w:val="24"/>
      <w:szCs w:val="20"/>
    </w:rPr>
  </w:style>
  <w:style w:type="paragraph" w:styleId="18">
    <w:name w:val="Document Map"/>
    <w:basedOn w:val="1"/>
    <w:link w:val="245"/>
    <w:qFormat/>
    <w:uiPriority w:val="99"/>
    <w:pPr>
      <w:shd w:val="clear" w:color="auto" w:fill="000080"/>
    </w:pPr>
    <w:rPr>
      <w:rFonts w:ascii="宋体" w:hAnsi="宋体"/>
      <w:kern w:val="0"/>
      <w:sz w:val="20"/>
      <w:szCs w:val="20"/>
    </w:rPr>
  </w:style>
  <w:style w:type="paragraph" w:styleId="19">
    <w:name w:val="annotation text"/>
    <w:basedOn w:val="1"/>
    <w:link w:val="246"/>
    <w:qFormat/>
    <w:uiPriority w:val="99"/>
    <w:pPr>
      <w:jc w:val="left"/>
    </w:pPr>
  </w:style>
  <w:style w:type="paragraph" w:styleId="20">
    <w:name w:val="index 6"/>
    <w:basedOn w:val="1"/>
    <w:next w:val="1"/>
    <w:qFormat/>
    <w:uiPriority w:val="99"/>
    <w:pPr>
      <w:widowControl/>
      <w:spacing w:before="100" w:after="200" w:line="276" w:lineRule="auto"/>
      <w:ind w:left="1260" w:hanging="210"/>
      <w:jc w:val="left"/>
    </w:pPr>
    <w:rPr>
      <w:rFonts w:ascii="Calibri" w:hAnsi="Calibri" w:eastAsia="楷体_GB2312"/>
      <w:kern w:val="0"/>
      <w:sz w:val="24"/>
      <w:szCs w:val="20"/>
    </w:rPr>
  </w:style>
  <w:style w:type="paragraph" w:styleId="21">
    <w:name w:val="Body Text 3"/>
    <w:basedOn w:val="1"/>
    <w:link w:val="247"/>
    <w:qFormat/>
    <w:uiPriority w:val="0"/>
    <w:pPr>
      <w:spacing w:line="500" w:lineRule="exact"/>
    </w:pPr>
    <w:rPr>
      <w:b/>
      <w:bCs/>
      <w:kern w:val="0"/>
      <w:sz w:val="24"/>
    </w:rPr>
  </w:style>
  <w:style w:type="paragraph" w:styleId="22">
    <w:name w:val="Body Text"/>
    <w:basedOn w:val="1"/>
    <w:next w:val="23"/>
    <w:link w:val="248"/>
    <w:qFormat/>
    <w:uiPriority w:val="99"/>
    <w:pPr>
      <w:spacing w:line="380" w:lineRule="exact"/>
    </w:pPr>
    <w:rPr>
      <w:kern w:val="0"/>
      <w:sz w:val="24"/>
    </w:rPr>
  </w:style>
  <w:style w:type="paragraph" w:customStyle="1" w:styleId="23">
    <w:name w:val="Default"/>
    <w:next w:val="24"/>
    <w:qFormat/>
    <w:uiPriority w:val="99"/>
    <w:pPr>
      <w:widowControl w:val="0"/>
      <w:autoSpaceDE w:val="0"/>
      <w:autoSpaceDN w:val="0"/>
      <w:adjustRightInd w:val="0"/>
      <w:spacing w:before="100" w:after="200" w:line="276" w:lineRule="auto"/>
    </w:pPr>
    <w:rPr>
      <w:rFonts w:ascii="宋体" w:hAnsi="Calibri" w:eastAsia="宋体" w:cs="宋体"/>
      <w:color w:val="000000"/>
      <w:sz w:val="24"/>
      <w:szCs w:val="24"/>
      <w:lang w:val="en-US" w:eastAsia="zh-CN" w:bidi="ar-SA"/>
    </w:rPr>
  </w:style>
  <w:style w:type="paragraph" w:customStyle="1" w:styleId="24">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styleId="25">
    <w:name w:val="Body Text Indent"/>
    <w:basedOn w:val="1"/>
    <w:next w:val="1"/>
    <w:link w:val="250"/>
    <w:qFormat/>
    <w:uiPriority w:val="0"/>
    <w:pPr>
      <w:ind w:firstLine="830" w:firstLineChars="352"/>
    </w:pPr>
    <w:rPr>
      <w:rFonts w:ascii="仿宋_GB2312" w:eastAsia="仿宋_GB2312"/>
      <w:kern w:val="0"/>
      <w:sz w:val="32"/>
      <w:szCs w:val="20"/>
    </w:rPr>
  </w:style>
  <w:style w:type="paragraph" w:styleId="26">
    <w:name w:val="List Number 3"/>
    <w:basedOn w:val="1"/>
    <w:qFormat/>
    <w:uiPriority w:val="99"/>
    <w:pPr>
      <w:numPr>
        <w:ilvl w:val="0"/>
        <w:numId w:val="2"/>
      </w:numPr>
    </w:pPr>
  </w:style>
  <w:style w:type="paragraph" w:styleId="27">
    <w:name w:val="List 2"/>
    <w:basedOn w:val="1"/>
    <w:qFormat/>
    <w:uiPriority w:val="99"/>
    <w:pPr>
      <w:ind w:left="100" w:leftChars="200" w:hanging="200" w:hangingChars="200"/>
    </w:pPr>
    <w:rPr>
      <w:sz w:val="28"/>
    </w:rPr>
  </w:style>
  <w:style w:type="paragraph" w:styleId="28">
    <w:name w:val="HTML Address"/>
    <w:basedOn w:val="1"/>
    <w:link w:val="251"/>
    <w:qFormat/>
    <w:uiPriority w:val="0"/>
    <w:pPr>
      <w:widowControl/>
      <w:spacing w:before="100" w:after="200" w:line="276" w:lineRule="auto"/>
      <w:jc w:val="left"/>
    </w:pPr>
    <w:rPr>
      <w:rFonts w:ascii="Calibri" w:hAnsi="Calibri" w:eastAsia="楷体_GB2312"/>
      <w:i/>
      <w:iCs/>
      <w:kern w:val="0"/>
      <w:sz w:val="24"/>
      <w:szCs w:val="20"/>
    </w:rPr>
  </w:style>
  <w:style w:type="paragraph" w:styleId="29">
    <w:name w:val="index 4"/>
    <w:basedOn w:val="1"/>
    <w:next w:val="1"/>
    <w:qFormat/>
    <w:uiPriority w:val="99"/>
    <w:pPr>
      <w:widowControl/>
      <w:spacing w:before="100" w:after="200" w:line="276" w:lineRule="auto"/>
      <w:ind w:left="840" w:hanging="210"/>
      <w:jc w:val="left"/>
    </w:pPr>
    <w:rPr>
      <w:rFonts w:ascii="Calibri" w:hAnsi="Calibri" w:eastAsia="楷体_GB2312"/>
      <w:kern w:val="0"/>
      <w:sz w:val="24"/>
      <w:szCs w:val="20"/>
    </w:rPr>
  </w:style>
  <w:style w:type="paragraph" w:styleId="30">
    <w:name w:val="toc 5"/>
    <w:basedOn w:val="1"/>
    <w:next w:val="1"/>
    <w:qFormat/>
    <w:uiPriority w:val="39"/>
    <w:pPr>
      <w:ind w:left="1680" w:leftChars="800"/>
    </w:pPr>
    <w:rPr>
      <w:rFonts w:ascii="Calibri" w:hAnsi="Calibri"/>
      <w:szCs w:val="22"/>
    </w:rPr>
  </w:style>
  <w:style w:type="paragraph" w:styleId="31">
    <w:name w:val="toc 3"/>
    <w:basedOn w:val="1"/>
    <w:next w:val="1"/>
    <w:qFormat/>
    <w:uiPriority w:val="39"/>
    <w:pPr>
      <w:ind w:left="840" w:leftChars="400"/>
    </w:pPr>
    <w:rPr>
      <w:rFonts w:ascii="Calibri" w:hAnsi="Calibri"/>
      <w:szCs w:val="22"/>
    </w:rPr>
  </w:style>
  <w:style w:type="paragraph" w:styleId="32">
    <w:name w:val="Plain Text"/>
    <w:basedOn w:val="1"/>
    <w:next w:val="1"/>
    <w:link w:val="252"/>
    <w:qFormat/>
    <w:uiPriority w:val="0"/>
    <w:pPr>
      <w:snapToGrid w:val="0"/>
      <w:spacing w:before="120" w:after="120"/>
      <w:jc w:val="left"/>
    </w:pPr>
    <w:rPr>
      <w:rFonts w:ascii="宋体" w:hAnsi="Courier New"/>
      <w:w w:val="95"/>
      <w:kern w:val="0"/>
      <w:szCs w:val="21"/>
    </w:rPr>
  </w:style>
  <w:style w:type="paragraph" w:styleId="33">
    <w:name w:val="toc 8"/>
    <w:basedOn w:val="1"/>
    <w:next w:val="1"/>
    <w:qFormat/>
    <w:uiPriority w:val="39"/>
    <w:pPr>
      <w:ind w:left="2940" w:leftChars="1400"/>
    </w:pPr>
    <w:rPr>
      <w:rFonts w:ascii="Calibri" w:hAnsi="Calibri"/>
      <w:szCs w:val="22"/>
    </w:rPr>
  </w:style>
  <w:style w:type="paragraph" w:styleId="34">
    <w:name w:val="index 3"/>
    <w:basedOn w:val="1"/>
    <w:next w:val="1"/>
    <w:qFormat/>
    <w:uiPriority w:val="99"/>
    <w:pPr>
      <w:widowControl/>
      <w:spacing w:before="100" w:after="200" w:line="276" w:lineRule="auto"/>
      <w:ind w:left="630" w:hanging="210"/>
      <w:jc w:val="left"/>
    </w:pPr>
    <w:rPr>
      <w:rFonts w:ascii="Calibri" w:hAnsi="Calibri" w:eastAsia="楷体_GB2312"/>
      <w:kern w:val="0"/>
      <w:sz w:val="24"/>
      <w:szCs w:val="20"/>
    </w:rPr>
  </w:style>
  <w:style w:type="paragraph" w:styleId="35">
    <w:name w:val="Date"/>
    <w:basedOn w:val="1"/>
    <w:next w:val="1"/>
    <w:link w:val="253"/>
    <w:qFormat/>
    <w:uiPriority w:val="99"/>
    <w:pPr>
      <w:ind w:left="100" w:leftChars="2500"/>
    </w:pPr>
    <w:rPr>
      <w:rFonts w:ascii="宋体" w:hAnsi="Courier New"/>
      <w:kern w:val="0"/>
      <w:sz w:val="20"/>
      <w:szCs w:val="21"/>
    </w:rPr>
  </w:style>
  <w:style w:type="paragraph" w:styleId="36">
    <w:name w:val="Body Text Indent 2"/>
    <w:basedOn w:val="1"/>
    <w:link w:val="254"/>
    <w:qFormat/>
    <w:uiPriority w:val="99"/>
    <w:pPr>
      <w:ind w:firstLine="630"/>
    </w:pPr>
    <w:rPr>
      <w:kern w:val="0"/>
      <w:sz w:val="32"/>
      <w:szCs w:val="20"/>
    </w:rPr>
  </w:style>
  <w:style w:type="paragraph" w:styleId="37">
    <w:name w:val="endnote text"/>
    <w:basedOn w:val="1"/>
    <w:link w:val="255"/>
    <w:qFormat/>
    <w:uiPriority w:val="99"/>
    <w:pPr>
      <w:snapToGrid w:val="0"/>
      <w:jc w:val="left"/>
    </w:pPr>
  </w:style>
  <w:style w:type="paragraph" w:styleId="38">
    <w:name w:val="Balloon Text"/>
    <w:basedOn w:val="1"/>
    <w:link w:val="256"/>
    <w:qFormat/>
    <w:uiPriority w:val="99"/>
    <w:rPr>
      <w:kern w:val="0"/>
      <w:sz w:val="18"/>
      <w:szCs w:val="18"/>
    </w:rPr>
  </w:style>
  <w:style w:type="paragraph" w:styleId="39">
    <w:name w:val="footer"/>
    <w:basedOn w:val="1"/>
    <w:link w:val="257"/>
    <w:qFormat/>
    <w:uiPriority w:val="99"/>
    <w:pPr>
      <w:tabs>
        <w:tab w:val="center" w:pos="4153"/>
        <w:tab w:val="right" w:pos="8306"/>
      </w:tabs>
      <w:snapToGrid w:val="0"/>
      <w:jc w:val="left"/>
    </w:pPr>
    <w:rPr>
      <w:kern w:val="0"/>
      <w:sz w:val="18"/>
      <w:szCs w:val="18"/>
    </w:rPr>
  </w:style>
  <w:style w:type="paragraph" w:styleId="40">
    <w:name w:val="header"/>
    <w:basedOn w:val="1"/>
    <w:link w:val="249"/>
    <w:qFormat/>
    <w:uiPriority w:val="99"/>
    <w:pPr>
      <w:pBdr>
        <w:bottom w:val="single" w:color="auto" w:sz="6" w:space="1"/>
      </w:pBdr>
      <w:tabs>
        <w:tab w:val="center" w:pos="0"/>
        <w:tab w:val="left" w:pos="8306"/>
      </w:tabs>
      <w:snapToGrid w:val="0"/>
      <w:jc w:val="center"/>
    </w:pPr>
    <w:rPr>
      <w:sz w:val="18"/>
      <w:szCs w:val="18"/>
    </w:rPr>
  </w:style>
  <w:style w:type="paragraph" w:styleId="41">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42">
    <w:name w:val="toc 4"/>
    <w:basedOn w:val="1"/>
    <w:next w:val="1"/>
    <w:qFormat/>
    <w:uiPriority w:val="99"/>
    <w:pPr>
      <w:ind w:left="1260" w:leftChars="600"/>
    </w:pPr>
    <w:rPr>
      <w:rFonts w:ascii="Calibri" w:hAnsi="Calibri"/>
      <w:szCs w:val="22"/>
    </w:rPr>
  </w:style>
  <w:style w:type="paragraph" w:styleId="43">
    <w:name w:val="index heading"/>
    <w:basedOn w:val="1"/>
    <w:next w:val="44"/>
    <w:qFormat/>
    <w:uiPriority w:val="99"/>
    <w:pPr>
      <w:widowControl/>
      <w:spacing w:before="120" w:after="120" w:line="276" w:lineRule="auto"/>
      <w:jc w:val="center"/>
    </w:pPr>
    <w:rPr>
      <w:rFonts w:ascii="Calibri" w:hAnsi="Calibri" w:eastAsia="楷体_GB2312"/>
      <w:b/>
      <w:bCs/>
      <w:iCs/>
      <w:kern w:val="0"/>
      <w:sz w:val="24"/>
      <w:szCs w:val="20"/>
    </w:rPr>
  </w:style>
  <w:style w:type="paragraph" w:styleId="44">
    <w:name w:val="index 1"/>
    <w:basedOn w:val="1"/>
    <w:next w:val="1"/>
    <w:qFormat/>
    <w:uiPriority w:val="99"/>
    <w:pPr>
      <w:spacing w:line="400" w:lineRule="exact"/>
      <w:ind w:firstLine="420" w:firstLineChars="200"/>
    </w:pPr>
    <w:rPr>
      <w:rFonts w:ascii="宋体" w:hAnsi="Courier New"/>
      <w:b/>
      <w:szCs w:val="20"/>
    </w:rPr>
  </w:style>
  <w:style w:type="paragraph" w:styleId="45">
    <w:name w:val="Subtitle"/>
    <w:basedOn w:val="1"/>
    <w:next w:val="1"/>
    <w:link w:val="258"/>
    <w:qFormat/>
    <w:uiPriority w:val="11"/>
    <w:pPr>
      <w:widowControl/>
      <w:spacing w:after="500"/>
      <w:jc w:val="left"/>
    </w:pPr>
    <w:rPr>
      <w:rFonts w:ascii="Calibri" w:hAnsi="Calibri" w:eastAsia="楷体_GB2312"/>
      <w:caps/>
      <w:color w:val="595959"/>
      <w:spacing w:val="10"/>
      <w:kern w:val="0"/>
      <w:szCs w:val="21"/>
    </w:rPr>
  </w:style>
  <w:style w:type="paragraph" w:styleId="46">
    <w:name w:val="List"/>
    <w:basedOn w:val="1"/>
    <w:qFormat/>
    <w:uiPriority w:val="99"/>
    <w:pPr>
      <w:ind w:left="200" w:hanging="200" w:hangingChars="200"/>
    </w:pPr>
    <w:rPr>
      <w:sz w:val="28"/>
    </w:rPr>
  </w:style>
  <w:style w:type="paragraph" w:styleId="47">
    <w:name w:val="footnote text"/>
    <w:basedOn w:val="1"/>
    <w:link w:val="259"/>
    <w:qFormat/>
    <w:uiPriority w:val="99"/>
    <w:pPr>
      <w:snapToGrid w:val="0"/>
      <w:jc w:val="left"/>
    </w:pPr>
    <w:rPr>
      <w:sz w:val="18"/>
      <w:szCs w:val="18"/>
    </w:rPr>
  </w:style>
  <w:style w:type="paragraph" w:styleId="48">
    <w:name w:val="toc 6"/>
    <w:basedOn w:val="1"/>
    <w:next w:val="1"/>
    <w:qFormat/>
    <w:uiPriority w:val="39"/>
    <w:pPr>
      <w:ind w:left="2100" w:leftChars="1000"/>
    </w:pPr>
    <w:rPr>
      <w:rFonts w:ascii="Calibri" w:hAnsi="Calibri"/>
      <w:szCs w:val="22"/>
    </w:rPr>
  </w:style>
  <w:style w:type="paragraph" w:styleId="49">
    <w:name w:val="Body Text Indent 3"/>
    <w:basedOn w:val="1"/>
    <w:link w:val="260"/>
    <w:qFormat/>
    <w:uiPriority w:val="99"/>
    <w:pPr>
      <w:spacing w:after="120"/>
      <w:ind w:left="420" w:leftChars="200"/>
    </w:pPr>
    <w:rPr>
      <w:kern w:val="0"/>
      <w:sz w:val="16"/>
      <w:szCs w:val="16"/>
    </w:rPr>
  </w:style>
  <w:style w:type="paragraph" w:styleId="50">
    <w:name w:val="index 7"/>
    <w:basedOn w:val="1"/>
    <w:next w:val="1"/>
    <w:qFormat/>
    <w:uiPriority w:val="99"/>
    <w:pPr>
      <w:widowControl/>
      <w:spacing w:before="100" w:after="200" w:line="276" w:lineRule="auto"/>
      <w:ind w:left="1470" w:hanging="210"/>
      <w:jc w:val="left"/>
    </w:pPr>
    <w:rPr>
      <w:rFonts w:ascii="Calibri" w:hAnsi="Calibri" w:eastAsia="楷体_GB2312"/>
      <w:kern w:val="0"/>
      <w:sz w:val="24"/>
      <w:szCs w:val="20"/>
    </w:rPr>
  </w:style>
  <w:style w:type="paragraph" w:styleId="51">
    <w:name w:val="index 9"/>
    <w:basedOn w:val="1"/>
    <w:next w:val="1"/>
    <w:qFormat/>
    <w:uiPriority w:val="99"/>
    <w:pPr>
      <w:widowControl/>
      <w:spacing w:before="100" w:after="200" w:line="276" w:lineRule="auto"/>
      <w:ind w:left="1890" w:hanging="210"/>
      <w:jc w:val="left"/>
    </w:pPr>
    <w:rPr>
      <w:rFonts w:ascii="Calibri" w:hAnsi="Calibri" w:eastAsia="楷体_GB2312"/>
      <w:kern w:val="0"/>
      <w:sz w:val="24"/>
      <w:szCs w:val="20"/>
    </w:rPr>
  </w:style>
  <w:style w:type="paragraph" w:styleId="52">
    <w:name w:val="toc 2"/>
    <w:basedOn w:val="1"/>
    <w:next w:val="1"/>
    <w:qFormat/>
    <w:uiPriority w:val="39"/>
    <w:pPr>
      <w:ind w:left="420" w:leftChars="200"/>
    </w:pPr>
  </w:style>
  <w:style w:type="paragraph" w:styleId="53">
    <w:name w:val="toc 9"/>
    <w:basedOn w:val="1"/>
    <w:next w:val="1"/>
    <w:qFormat/>
    <w:uiPriority w:val="39"/>
    <w:pPr>
      <w:ind w:left="3360" w:leftChars="1600"/>
    </w:pPr>
    <w:rPr>
      <w:rFonts w:ascii="Calibri" w:hAnsi="Calibri"/>
      <w:szCs w:val="22"/>
    </w:rPr>
  </w:style>
  <w:style w:type="paragraph" w:styleId="54">
    <w:name w:val="Body Text 2"/>
    <w:basedOn w:val="1"/>
    <w:link w:val="261"/>
    <w:qFormat/>
    <w:uiPriority w:val="99"/>
    <w:pPr>
      <w:spacing w:after="120" w:line="480" w:lineRule="auto"/>
    </w:pPr>
    <w:rPr>
      <w:kern w:val="0"/>
      <w:sz w:val="20"/>
    </w:rPr>
  </w:style>
  <w:style w:type="paragraph" w:styleId="55">
    <w:name w:val="HTML Preformatted"/>
    <w:basedOn w:val="1"/>
    <w:link w:val="2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200" w:line="276" w:lineRule="auto"/>
      <w:jc w:val="left"/>
    </w:pPr>
    <w:rPr>
      <w:rFonts w:ascii="Courier New" w:hAnsi="Courier New" w:eastAsia="楷体_GB2312"/>
      <w:kern w:val="0"/>
      <w:sz w:val="24"/>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index 2"/>
    <w:basedOn w:val="1"/>
    <w:next w:val="1"/>
    <w:qFormat/>
    <w:uiPriority w:val="99"/>
    <w:pPr>
      <w:widowControl/>
      <w:spacing w:before="100" w:after="200" w:line="276" w:lineRule="auto"/>
      <w:ind w:left="420" w:hanging="210"/>
      <w:jc w:val="left"/>
    </w:pPr>
    <w:rPr>
      <w:rFonts w:ascii="Calibri" w:hAnsi="Calibri" w:eastAsia="楷体_GB2312"/>
      <w:kern w:val="0"/>
      <w:sz w:val="24"/>
      <w:szCs w:val="20"/>
    </w:rPr>
  </w:style>
  <w:style w:type="paragraph" w:styleId="58">
    <w:name w:val="Title"/>
    <w:basedOn w:val="1"/>
    <w:next w:val="1"/>
    <w:link w:val="263"/>
    <w:qFormat/>
    <w:uiPriority w:val="99"/>
    <w:pPr>
      <w:spacing w:before="240" w:after="60"/>
      <w:jc w:val="center"/>
      <w:outlineLvl w:val="0"/>
    </w:pPr>
    <w:rPr>
      <w:rFonts w:ascii="Cambria" w:hAnsi="Cambria"/>
      <w:b/>
      <w:bCs/>
      <w:sz w:val="32"/>
      <w:szCs w:val="32"/>
    </w:rPr>
  </w:style>
  <w:style w:type="paragraph" w:styleId="59">
    <w:name w:val="annotation subject"/>
    <w:basedOn w:val="19"/>
    <w:next w:val="19"/>
    <w:link w:val="264"/>
    <w:qFormat/>
    <w:uiPriority w:val="99"/>
    <w:rPr>
      <w:b/>
      <w:bCs/>
    </w:rPr>
  </w:style>
  <w:style w:type="paragraph" w:styleId="60">
    <w:name w:val="Body Text First Indent"/>
    <w:basedOn w:val="22"/>
    <w:next w:val="1"/>
    <w:link w:val="265"/>
    <w:qFormat/>
    <w:uiPriority w:val="99"/>
    <w:pPr>
      <w:ind w:firstLine="420" w:firstLineChars="100"/>
    </w:pPr>
    <w:rPr>
      <w:rFonts w:ascii="微软雅黑" w:hAnsi="微软雅黑" w:eastAsia="微软雅黑"/>
      <w:szCs w:val="21"/>
    </w:rPr>
  </w:style>
  <w:style w:type="paragraph" w:styleId="61">
    <w:name w:val="Body Text First Indent 2"/>
    <w:basedOn w:val="25"/>
    <w:next w:val="60"/>
    <w:link w:val="266"/>
    <w:qFormat/>
    <w:uiPriority w:val="99"/>
    <w:pPr>
      <w:shd w:val="clear" w:color="auto" w:fill="FFFFFF"/>
      <w:spacing w:after="120"/>
      <w:ind w:left="420" w:firstLine="420" w:firstLineChars="0"/>
    </w:pPr>
    <w:rPr>
      <w:sz w:val="21"/>
      <w:szCs w:val="24"/>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99"/>
    <w:rPr>
      <w:vertAlign w:val="superscript"/>
    </w:rPr>
  </w:style>
  <w:style w:type="character" w:styleId="67">
    <w:name w:val="page number"/>
    <w:qFormat/>
    <w:uiPriority w:val="0"/>
  </w:style>
  <w:style w:type="character" w:styleId="68">
    <w:name w:val="FollowedHyperlink"/>
    <w:qFormat/>
    <w:uiPriority w:val="0"/>
    <w:rPr>
      <w:color w:val="800080"/>
      <w:u w:val="single"/>
    </w:rPr>
  </w:style>
  <w:style w:type="character" w:styleId="69">
    <w:name w:val="Emphasis"/>
    <w:qFormat/>
    <w:uiPriority w:val="20"/>
    <w:rPr>
      <w:caps/>
      <w:color w:val="1F4D78"/>
      <w:spacing w:val="5"/>
    </w:rPr>
  </w:style>
  <w:style w:type="character" w:styleId="70">
    <w:name w:val="HTML Typewriter"/>
    <w:qFormat/>
    <w:uiPriority w:val="0"/>
    <w:rPr>
      <w:rFonts w:hint="default" w:ascii="Courier New" w:hAnsi="Courier New" w:eastAsia="Times New Roman" w:cs="Times New Roman"/>
      <w:sz w:val="24"/>
      <w:szCs w:val="24"/>
    </w:rPr>
  </w:style>
  <w:style w:type="character" w:styleId="71">
    <w:name w:val="Hyperlink"/>
    <w:qFormat/>
    <w:uiPriority w:val="99"/>
    <w:rPr>
      <w:color w:val="0000FF"/>
      <w:u w:val="single"/>
    </w:rPr>
  </w:style>
  <w:style w:type="character" w:styleId="72">
    <w:name w:val="HTML Code"/>
    <w:qFormat/>
    <w:uiPriority w:val="0"/>
    <w:rPr>
      <w:rFonts w:hint="default" w:ascii="Courier New" w:hAnsi="Courier New" w:eastAsia="Times New Roman" w:cs="Times New Roman"/>
      <w:sz w:val="24"/>
      <w:szCs w:val="24"/>
    </w:rPr>
  </w:style>
  <w:style w:type="character" w:styleId="73">
    <w:name w:val="annotation reference"/>
    <w:qFormat/>
    <w:uiPriority w:val="99"/>
    <w:rPr>
      <w:sz w:val="21"/>
      <w:szCs w:val="21"/>
    </w:rPr>
  </w:style>
  <w:style w:type="character" w:styleId="74">
    <w:name w:val="footnote reference"/>
    <w:qFormat/>
    <w:uiPriority w:val="99"/>
    <w:rPr>
      <w:vertAlign w:val="superscript"/>
    </w:rPr>
  </w:style>
  <w:style w:type="character" w:styleId="75">
    <w:name w:val="HTML Keyboard"/>
    <w:qFormat/>
    <w:uiPriority w:val="0"/>
    <w:rPr>
      <w:rFonts w:hint="default" w:ascii="Courier New" w:hAnsi="Courier New" w:eastAsia="Times New Roman" w:cs="Times New Roman"/>
      <w:sz w:val="24"/>
      <w:szCs w:val="24"/>
    </w:rPr>
  </w:style>
  <w:style w:type="character" w:styleId="76">
    <w:name w:val="HTML Sample"/>
    <w:qFormat/>
    <w:uiPriority w:val="0"/>
    <w:rPr>
      <w:rFonts w:hint="default" w:ascii="Courier New" w:hAnsi="Courier New" w:eastAsia="Times New Roman" w:cs="Times New Roman"/>
    </w:rPr>
  </w:style>
  <w:style w:type="character" w:customStyle="1" w:styleId="77">
    <w:name w:val="标题 2 字符"/>
    <w:link w:val="3"/>
    <w:qFormat/>
    <w:uiPriority w:val="9"/>
    <w:rPr>
      <w:rFonts w:ascii="Arial" w:hAnsi="Arial" w:eastAsia="黑体" w:cs="Times New Roman"/>
      <w:b/>
      <w:bCs/>
      <w:sz w:val="32"/>
      <w:szCs w:val="32"/>
    </w:rPr>
  </w:style>
  <w:style w:type="paragraph" w:customStyle="1" w:styleId="78">
    <w:name w:val="前言、引言标题"/>
    <w:next w:val="79"/>
    <w:link w:val="270"/>
    <w:qFormat/>
    <w:uiPriority w:val="0"/>
    <w:pPr>
      <w:keepNext/>
      <w:pageBreakBefore/>
      <w:shd w:val="clear" w:color="auto" w:fill="FFFFFF"/>
      <w:spacing w:before="640" w:after="560" w:line="276" w:lineRule="auto"/>
      <w:jc w:val="center"/>
      <w:outlineLvl w:val="0"/>
    </w:pPr>
    <w:rPr>
      <w:rFonts w:ascii="黑体" w:hAnsi="黑体" w:eastAsia="黑体" w:cs="Times New Roman"/>
      <w:sz w:val="32"/>
      <w:lang w:val="en-US" w:eastAsia="zh-CN" w:bidi="ar-SA"/>
    </w:rPr>
  </w:style>
  <w:style w:type="paragraph" w:customStyle="1" w:styleId="79">
    <w:name w:val="段"/>
    <w:link w:val="27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80">
    <w:name w:val="附录标识"/>
    <w:basedOn w:val="1"/>
    <w:next w:val="79"/>
    <w:link w:val="287"/>
    <w:qFormat/>
    <w:uiPriority w:val="99"/>
    <w:pPr>
      <w:keepNext/>
      <w:widowControl/>
      <w:numPr>
        <w:ilvl w:val="0"/>
        <w:numId w:val="3"/>
      </w:numPr>
      <w:shd w:val="clear" w:color="auto" w:fill="FFFFFF"/>
      <w:tabs>
        <w:tab w:val="left" w:pos="360"/>
        <w:tab w:val="left" w:pos="6405"/>
      </w:tabs>
      <w:spacing w:before="640" w:after="280" w:line="276" w:lineRule="auto"/>
      <w:jc w:val="center"/>
      <w:outlineLvl w:val="0"/>
    </w:pPr>
    <w:rPr>
      <w:rFonts w:ascii="黑体" w:eastAsia="黑体"/>
      <w:kern w:val="0"/>
      <w:szCs w:val="20"/>
    </w:rPr>
  </w:style>
  <w:style w:type="paragraph" w:customStyle="1" w:styleId="81">
    <w:name w:val="正文2"/>
    <w:basedOn w:val="1"/>
    <w:link w:val="294"/>
    <w:qFormat/>
    <w:uiPriority w:val="0"/>
    <w:pPr>
      <w:adjustRightInd w:val="0"/>
      <w:spacing w:before="156" w:line="360" w:lineRule="auto"/>
      <w:ind w:firstLine="510" w:firstLineChars="200"/>
    </w:pPr>
    <w:rPr>
      <w:sz w:val="24"/>
      <w:szCs w:val="20"/>
    </w:rPr>
  </w:style>
  <w:style w:type="paragraph" w:customStyle="1" w:styleId="82">
    <w:name w:val="明显引用1"/>
    <w:basedOn w:val="1"/>
    <w:next w:val="1"/>
    <w:link w:val="296"/>
    <w:qFormat/>
    <w:uiPriority w:val="30"/>
    <w:pPr>
      <w:widowControl/>
      <w:spacing w:before="240" w:after="240"/>
      <w:ind w:left="1080" w:right="1080"/>
      <w:jc w:val="center"/>
    </w:pPr>
    <w:rPr>
      <w:rFonts w:ascii="Calibri" w:hAnsi="Calibri" w:eastAsia="楷体_GB2312"/>
      <w:color w:val="5B9BD5"/>
      <w:kern w:val="0"/>
      <w:sz w:val="24"/>
    </w:rPr>
  </w:style>
  <w:style w:type="paragraph" w:customStyle="1" w:styleId="83">
    <w:name w:val="附录公式"/>
    <w:basedOn w:val="79"/>
    <w:next w:val="79"/>
    <w:link w:val="297"/>
    <w:qFormat/>
    <w:uiPriority w:val="0"/>
    <w:pPr>
      <w:tabs>
        <w:tab w:val="center" w:pos="4201"/>
        <w:tab w:val="right" w:leader="dot" w:pos="9298"/>
      </w:tabs>
      <w:spacing w:before="100" w:after="200" w:line="276" w:lineRule="auto"/>
      <w:ind w:firstLine="420"/>
    </w:pPr>
    <w:rPr>
      <w:rFonts w:ascii="Times New Roman" w:hAnsi="Times New Roman"/>
      <w:sz w:val="20"/>
    </w:rPr>
  </w:style>
  <w:style w:type="paragraph" w:customStyle="1" w:styleId="84">
    <w:name w:val="附录章标题"/>
    <w:next w:val="79"/>
    <w:link w:val="300"/>
    <w:qFormat/>
    <w:uiPriority w:val="99"/>
    <w:pPr>
      <w:numPr>
        <w:ilvl w:val="1"/>
        <w:numId w:val="3"/>
      </w:numPr>
      <w:tabs>
        <w:tab w:val="left" w:pos="360"/>
      </w:tabs>
      <w:wordWrap w:val="0"/>
      <w:overflowPunct w:val="0"/>
      <w:autoSpaceDE w:val="0"/>
      <w:spacing w:beforeLines="100" w:line="276" w:lineRule="auto"/>
      <w:jc w:val="both"/>
      <w:outlineLvl w:val="1"/>
    </w:pPr>
    <w:rPr>
      <w:rFonts w:ascii="黑体" w:hAnsi="Times New Roman" w:eastAsia="黑体" w:cs="Times New Roman"/>
      <w:kern w:val="21"/>
      <w:sz w:val="21"/>
      <w:lang w:val="en-US" w:eastAsia="zh-CN" w:bidi="ar-SA"/>
    </w:rPr>
  </w:style>
  <w:style w:type="paragraph" w:customStyle="1" w:styleId="85">
    <w:name w:val="首示例"/>
    <w:next w:val="79"/>
    <w:link w:val="307"/>
    <w:qFormat/>
    <w:uiPriority w:val="99"/>
    <w:pPr>
      <w:numPr>
        <w:ilvl w:val="0"/>
        <w:numId w:val="4"/>
      </w:numPr>
      <w:tabs>
        <w:tab w:val="left" w:pos="360"/>
      </w:tabs>
      <w:spacing w:before="100" w:after="200" w:line="276" w:lineRule="auto"/>
      <w:ind w:firstLine="0"/>
    </w:pPr>
    <w:rPr>
      <w:rFonts w:ascii="宋体" w:hAnsi="宋体" w:eastAsia="宋体" w:cs="Times New Roman"/>
      <w:kern w:val="2"/>
      <w:sz w:val="18"/>
      <w:szCs w:val="18"/>
      <w:lang w:val="en-US" w:eastAsia="zh-CN" w:bidi="ar-SA"/>
    </w:rPr>
  </w:style>
  <w:style w:type="paragraph" w:customStyle="1" w:styleId="86">
    <w:name w:val="章标题"/>
    <w:next w:val="79"/>
    <w:link w:val="314"/>
    <w:qFormat/>
    <w:uiPriority w:val="99"/>
    <w:pPr>
      <w:numPr>
        <w:ilvl w:val="0"/>
        <w:numId w:val="5"/>
      </w:numPr>
      <w:spacing w:beforeLines="100"/>
      <w:jc w:val="both"/>
      <w:outlineLvl w:val="1"/>
    </w:pPr>
    <w:rPr>
      <w:rFonts w:ascii="黑体" w:hAnsi="Times New Roman" w:eastAsia="黑体" w:cs="Times New Roman"/>
      <w:sz w:val="21"/>
      <w:lang w:val="en-US" w:eastAsia="zh-CN" w:bidi="ar-SA"/>
    </w:rPr>
  </w:style>
  <w:style w:type="paragraph" w:customStyle="1" w:styleId="87">
    <w:name w:val="二级条标题"/>
    <w:basedOn w:val="88"/>
    <w:next w:val="79"/>
    <w:link w:val="323"/>
    <w:qFormat/>
    <w:uiPriority w:val="0"/>
    <w:pPr>
      <w:numPr>
        <w:ilvl w:val="0"/>
        <w:numId w:val="0"/>
      </w:numPr>
      <w:tabs>
        <w:tab w:val="left" w:pos="1260"/>
      </w:tabs>
      <w:spacing w:line="276" w:lineRule="auto"/>
      <w:ind w:left="1260" w:hanging="420"/>
      <w:outlineLvl w:val="3"/>
    </w:pPr>
    <w:rPr>
      <w:rFonts w:hAnsi="Calibri"/>
    </w:rPr>
  </w:style>
  <w:style w:type="paragraph" w:customStyle="1" w:styleId="88">
    <w:name w:val="一级条标题"/>
    <w:next w:val="79"/>
    <w:link w:val="324"/>
    <w:qFormat/>
    <w:uiPriority w:val="99"/>
    <w:pPr>
      <w:numPr>
        <w:ilvl w:val="1"/>
        <w:numId w:val="5"/>
      </w:numPr>
      <w:spacing w:beforeLines="50"/>
      <w:outlineLvl w:val="2"/>
    </w:pPr>
    <w:rPr>
      <w:rFonts w:ascii="黑体" w:hAnsi="Times New Roman" w:eastAsia="黑体" w:cs="Times New Roman"/>
      <w:sz w:val="21"/>
      <w:szCs w:val="21"/>
      <w:lang w:val="en-US" w:eastAsia="zh-CN" w:bidi="ar-SA"/>
    </w:rPr>
  </w:style>
  <w:style w:type="paragraph" w:customStyle="1" w:styleId="89">
    <w:name w:val="引用1"/>
    <w:basedOn w:val="1"/>
    <w:next w:val="1"/>
    <w:link w:val="333"/>
    <w:qFormat/>
    <w:uiPriority w:val="29"/>
    <w:pPr>
      <w:widowControl/>
      <w:spacing w:before="100" w:after="200" w:line="276" w:lineRule="auto"/>
      <w:jc w:val="left"/>
    </w:pPr>
    <w:rPr>
      <w:rFonts w:ascii="Calibri" w:hAnsi="Calibri" w:eastAsia="楷体_GB2312"/>
      <w:i/>
      <w:iCs/>
      <w:kern w:val="0"/>
      <w:sz w:val="24"/>
    </w:rPr>
  </w:style>
  <w:style w:type="paragraph" w:customStyle="1" w:styleId="90">
    <w:name w:val="附录数字编号列项（二级）"/>
    <w:qFormat/>
    <w:uiPriority w:val="99"/>
    <w:pPr>
      <w:numPr>
        <w:ilvl w:val="1"/>
        <w:numId w:val="6"/>
      </w:numPr>
      <w:spacing w:before="100" w:after="200" w:line="276" w:lineRule="auto"/>
    </w:pPr>
    <w:rPr>
      <w:rFonts w:ascii="宋体" w:hAnsi="Calibri" w:eastAsia="宋体" w:cs="Times New Roman"/>
      <w:sz w:val="21"/>
      <w:lang w:val="en-US" w:eastAsia="zh-CN" w:bidi="ar-SA"/>
    </w:rPr>
  </w:style>
  <w:style w:type="paragraph" w:customStyle="1" w:styleId="91">
    <w:name w:val="一级无"/>
    <w:basedOn w:val="88"/>
    <w:qFormat/>
    <w:uiPriority w:val="99"/>
    <w:pPr>
      <w:numPr>
        <w:ilvl w:val="0"/>
        <w:numId w:val="0"/>
      </w:numPr>
      <w:tabs>
        <w:tab w:val="left" w:pos="1140"/>
      </w:tabs>
      <w:spacing w:line="276" w:lineRule="auto"/>
      <w:ind w:hanging="420"/>
    </w:pPr>
    <w:rPr>
      <w:rFonts w:ascii="宋体" w:hAnsi="Calibri" w:eastAsia="宋体"/>
    </w:rPr>
  </w:style>
  <w:style w:type="paragraph" w:customStyle="1" w:styleId="92">
    <w:name w:val="et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b/>
      <w:bCs/>
      <w:kern w:val="0"/>
      <w:sz w:val="24"/>
    </w:rPr>
  </w:style>
  <w:style w:type="paragraph" w:customStyle="1" w:styleId="93">
    <w:name w:val="注×："/>
    <w:qFormat/>
    <w:uiPriority w:val="99"/>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94">
    <w:name w:val="标准书脚_偶数页"/>
    <w:qFormat/>
    <w:uiPriority w:val="99"/>
    <w:pPr>
      <w:spacing w:before="120" w:after="200" w:line="276" w:lineRule="auto"/>
      <w:ind w:left="221"/>
    </w:pPr>
    <w:rPr>
      <w:rFonts w:ascii="宋体" w:hAnsi="Calibri" w:eastAsia="宋体" w:cs="Times New Roman"/>
      <w:sz w:val="18"/>
      <w:szCs w:val="18"/>
      <w:lang w:val="en-US" w:eastAsia="zh-CN" w:bidi="ar-SA"/>
    </w:rPr>
  </w:style>
  <w:style w:type="paragraph" w:customStyle="1" w:styleId="95">
    <w:name w:val="注：（正文）"/>
    <w:basedOn w:val="96"/>
    <w:next w:val="79"/>
    <w:qFormat/>
    <w:uiPriority w:val="99"/>
    <w:pPr>
      <w:numPr>
        <w:ilvl w:val="0"/>
        <w:numId w:val="8"/>
      </w:numPr>
      <w:tabs>
        <w:tab w:val="clear" w:pos="420"/>
      </w:tabs>
      <w:spacing w:before="100" w:after="200" w:line="276" w:lineRule="auto"/>
      <w:ind w:left="360" w:hanging="360"/>
    </w:pPr>
    <w:rPr>
      <w:rFonts w:hAnsi="Calibri"/>
    </w:rPr>
  </w:style>
  <w:style w:type="paragraph" w:customStyle="1" w:styleId="96">
    <w:name w:val="注："/>
    <w:next w:val="79"/>
    <w:qFormat/>
    <w:uiPriority w:val="99"/>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97">
    <w:name w:val="xl71"/>
    <w:basedOn w:val="1"/>
    <w:qFormat/>
    <w:uiPriority w:val="99"/>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Cs w:val="21"/>
    </w:rPr>
  </w:style>
  <w:style w:type="paragraph" w:customStyle="1" w:styleId="98">
    <w:name w:val="条文脚注"/>
    <w:basedOn w:val="47"/>
    <w:qFormat/>
    <w:uiPriority w:val="99"/>
    <w:pPr>
      <w:widowControl/>
      <w:tabs>
        <w:tab w:val="left" w:pos="0"/>
        <w:tab w:val="left" w:pos="840"/>
      </w:tabs>
      <w:spacing w:before="100" w:after="200" w:line="276" w:lineRule="auto"/>
      <w:jc w:val="both"/>
    </w:pPr>
    <w:rPr>
      <w:rFonts w:ascii="宋体" w:hAnsi="Calibri" w:eastAsia="楷体_GB2312"/>
      <w:kern w:val="0"/>
    </w:rPr>
  </w:style>
  <w:style w:type="paragraph" w:customStyle="1" w:styleId="99">
    <w:name w:val="列表段落1"/>
    <w:basedOn w:val="1"/>
    <w:qFormat/>
    <w:uiPriority w:val="34"/>
    <w:pPr>
      <w:ind w:firstLine="420" w:firstLineChars="200"/>
    </w:pPr>
    <w:rPr>
      <w:rFonts w:ascii="Calibri" w:hAnsi="Calibri"/>
    </w:rPr>
  </w:style>
  <w:style w:type="paragraph" w:customStyle="1" w:styleId="100">
    <w:name w:val="附录图标题"/>
    <w:basedOn w:val="1"/>
    <w:next w:val="79"/>
    <w:qFormat/>
    <w:uiPriority w:val="99"/>
    <w:pPr>
      <w:widowControl/>
      <w:numPr>
        <w:ilvl w:val="1"/>
        <w:numId w:val="10"/>
      </w:numPr>
      <w:tabs>
        <w:tab w:val="left" w:pos="363"/>
      </w:tabs>
      <w:spacing w:beforeLines="50" w:line="276" w:lineRule="auto"/>
      <w:ind w:left="0" w:firstLine="0"/>
      <w:jc w:val="center"/>
    </w:pPr>
    <w:rPr>
      <w:rFonts w:ascii="黑体" w:hAnsi="Calibri" w:eastAsia="黑体"/>
      <w:kern w:val="0"/>
      <w:sz w:val="24"/>
      <w:szCs w:val="21"/>
    </w:rPr>
  </w:style>
  <w:style w:type="paragraph" w:customStyle="1" w:styleId="101">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102">
    <w:name w:val="石墨文档标题 2"/>
    <w:next w:val="103"/>
    <w:qFormat/>
    <w:uiPriority w:val="9"/>
    <w:pPr>
      <w:spacing w:before="260" w:after="260"/>
      <w:outlineLvl w:val="1"/>
    </w:pPr>
    <w:rPr>
      <w:rFonts w:ascii="微软雅黑" w:hAnsi="微软雅黑" w:eastAsia="微软雅黑" w:cs="微软雅黑"/>
      <w:b/>
      <w:bCs/>
      <w:sz w:val="28"/>
      <w:szCs w:val="28"/>
      <w:lang w:val="en-US" w:eastAsia="zh-CN" w:bidi="ar-SA"/>
    </w:rPr>
  </w:style>
  <w:style w:type="paragraph" w:customStyle="1" w:styleId="103">
    <w:name w:val="石墨文档正文"/>
    <w:qFormat/>
    <w:uiPriority w:val="99"/>
    <w:rPr>
      <w:rFonts w:ascii="微软雅黑" w:hAnsi="微软雅黑" w:eastAsia="微软雅黑" w:cs="微软雅黑"/>
      <w:sz w:val="22"/>
      <w:szCs w:val="22"/>
      <w:lang w:val="en-US" w:eastAsia="zh-CN" w:bidi="ar-SA"/>
    </w:rPr>
  </w:style>
  <w:style w:type="paragraph" w:customStyle="1" w:styleId="104">
    <w:name w:val="标准标志"/>
    <w:next w:val="1"/>
    <w:qFormat/>
    <w:uiPriority w:val="99"/>
    <w:pPr>
      <w:framePr w:w="2546" w:h="1389" w:hSpace="181" w:vSpace="181" w:wrap="around" w:vAnchor="margin" w:hAnchor="margin" w:x="6522" w:y="398" w:anchorLock="1"/>
      <w:shd w:val="solid" w:color="FFFFFF" w:fill="FFFFFF"/>
      <w:spacing w:before="100" w:after="200" w:line="0" w:lineRule="atLeast"/>
      <w:jc w:val="right"/>
    </w:pPr>
    <w:rPr>
      <w:rFonts w:ascii="Calibri" w:hAnsi="Calibri" w:eastAsia="宋体" w:cs="Times New Roman"/>
      <w:b/>
      <w:w w:val="170"/>
      <w:sz w:val="96"/>
      <w:szCs w:val="96"/>
      <w:lang w:val="en-US" w:eastAsia="zh-CN" w:bidi="ar-SA"/>
    </w:rPr>
  </w:style>
  <w:style w:type="paragraph" w:customStyle="1" w:styleId="105">
    <w:name w:val="列项·"/>
    <w:qFormat/>
    <w:uiPriority w:val="99"/>
    <w:pPr>
      <w:numPr>
        <w:ilvl w:val="0"/>
        <w:numId w:val="11"/>
      </w:numPr>
      <w:tabs>
        <w:tab w:val="clear" w:pos="425"/>
      </w:tabs>
      <w:spacing w:before="100" w:after="200" w:line="276" w:lineRule="auto"/>
      <w:ind w:left="0" w:firstLine="0"/>
      <w:jc w:val="both"/>
    </w:pPr>
    <w:rPr>
      <w:rFonts w:ascii="宋体" w:hAnsi="Calibri" w:eastAsia="宋体" w:cs="Times New Roman"/>
      <w:sz w:val="21"/>
      <w:lang w:val="en-US" w:eastAsia="zh-CN" w:bidi="ar-SA"/>
    </w:rPr>
  </w:style>
  <w:style w:type="paragraph" w:customStyle="1" w:styleId="106">
    <w:name w:val="标准书眉一"/>
    <w:qFormat/>
    <w:uiPriority w:val="99"/>
    <w:pPr>
      <w:spacing w:before="100" w:after="200" w:line="276" w:lineRule="auto"/>
      <w:jc w:val="both"/>
    </w:pPr>
    <w:rPr>
      <w:rFonts w:ascii="Calibri" w:hAnsi="Calibri" w:eastAsia="宋体" w:cs="Times New Roman"/>
      <w:lang w:val="en-US" w:eastAsia="zh-CN" w:bidi="ar-SA"/>
    </w:rPr>
  </w:style>
  <w:style w:type="paragraph" w:customStyle="1" w:styleId="107">
    <w:name w:val="附录标题"/>
    <w:basedOn w:val="79"/>
    <w:next w:val="79"/>
    <w:qFormat/>
    <w:uiPriority w:val="99"/>
    <w:pPr>
      <w:tabs>
        <w:tab w:val="center" w:pos="4201"/>
        <w:tab w:val="right" w:leader="dot" w:pos="9298"/>
      </w:tabs>
      <w:spacing w:before="100" w:after="200" w:line="276" w:lineRule="auto"/>
      <w:ind w:firstLine="0" w:firstLineChars="0"/>
      <w:jc w:val="center"/>
    </w:pPr>
    <w:rPr>
      <w:rFonts w:ascii="黑体" w:eastAsia="黑体"/>
    </w:rPr>
  </w:style>
  <w:style w:type="paragraph" w:customStyle="1" w:styleId="108">
    <w:name w:val="附录一级无"/>
    <w:basedOn w:val="109"/>
    <w:qFormat/>
    <w:uiPriority w:val="99"/>
    <w:pPr>
      <w:tabs>
        <w:tab w:val="left" w:pos="-79"/>
        <w:tab w:val="left" w:pos="360"/>
        <w:tab w:val="left" w:pos="840"/>
        <w:tab w:val="left" w:pos="1260"/>
      </w:tabs>
    </w:pPr>
    <w:rPr>
      <w:rFonts w:ascii="宋体" w:eastAsia="宋体"/>
      <w:szCs w:val="21"/>
    </w:rPr>
  </w:style>
  <w:style w:type="paragraph" w:customStyle="1" w:styleId="109">
    <w:name w:val="附录一级条标题"/>
    <w:basedOn w:val="84"/>
    <w:next w:val="79"/>
    <w:qFormat/>
    <w:uiPriority w:val="99"/>
    <w:pPr>
      <w:numPr>
        <w:ilvl w:val="0"/>
        <w:numId w:val="0"/>
      </w:numPr>
      <w:tabs>
        <w:tab w:val="left" w:pos="-79"/>
        <w:tab w:val="left" w:pos="1260"/>
      </w:tabs>
      <w:autoSpaceDN w:val="0"/>
      <w:spacing w:beforeLines="50"/>
      <w:ind w:left="913" w:hanging="629"/>
      <w:outlineLvl w:val="2"/>
    </w:pPr>
  </w:style>
  <w:style w:type="paragraph" w:customStyle="1" w:styleId="110">
    <w:name w:val="附录表标题"/>
    <w:basedOn w:val="1"/>
    <w:next w:val="79"/>
    <w:qFormat/>
    <w:uiPriority w:val="99"/>
    <w:pPr>
      <w:widowControl/>
      <w:numPr>
        <w:ilvl w:val="1"/>
        <w:numId w:val="12"/>
      </w:numPr>
      <w:tabs>
        <w:tab w:val="left" w:pos="180"/>
      </w:tabs>
      <w:spacing w:beforeLines="50" w:line="276" w:lineRule="auto"/>
      <w:ind w:left="0" w:firstLine="0"/>
      <w:jc w:val="center"/>
    </w:pPr>
    <w:rPr>
      <w:rFonts w:ascii="黑体" w:hAnsi="Calibri" w:eastAsia="黑体"/>
      <w:kern w:val="0"/>
      <w:sz w:val="24"/>
      <w:szCs w:val="21"/>
    </w:rPr>
  </w:style>
  <w:style w:type="paragraph" w:customStyle="1" w:styleId="111">
    <w:name w:val="封面标准名称2"/>
    <w:basedOn w:val="112"/>
    <w:qFormat/>
    <w:uiPriority w:val="99"/>
    <w:pPr>
      <w:framePr w:y="4469"/>
      <w:spacing w:beforeLines="630"/>
    </w:pPr>
  </w:style>
  <w:style w:type="paragraph" w:customStyle="1" w:styleId="112">
    <w:name w:val="封面标准名称"/>
    <w:qFormat/>
    <w:uiPriority w:val="99"/>
    <w:pPr>
      <w:framePr w:w="9639" w:h="6917" w:wrap="around" w:vAnchor="page" w:hAnchor="page" w:xAlign="center" w:y="6408" w:anchorLock="1"/>
      <w:widowControl w:val="0"/>
      <w:spacing w:before="100" w:after="200" w:line="680" w:lineRule="exact"/>
      <w:jc w:val="center"/>
    </w:pPr>
    <w:rPr>
      <w:rFonts w:ascii="黑体" w:hAnsi="Calibri" w:eastAsia="黑体" w:cs="Times New Roman"/>
      <w:sz w:val="52"/>
      <w:lang w:val="en-US" w:eastAsia="zh-CN" w:bidi="ar-SA"/>
    </w:rPr>
  </w:style>
  <w:style w:type="paragraph" w:customStyle="1" w:styleId="113">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14">
    <w:name w:val="xl22"/>
    <w:basedOn w:val="1"/>
    <w:qFormat/>
    <w:uiPriority w:val="99"/>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5">
    <w:name w:val="注×：（正文）"/>
    <w:qFormat/>
    <w:uiPriority w:val="99"/>
    <w:pPr>
      <w:numPr>
        <w:ilvl w:val="0"/>
        <w:numId w:val="13"/>
      </w:numPr>
      <w:jc w:val="both"/>
    </w:pPr>
    <w:rPr>
      <w:rFonts w:ascii="宋体" w:hAnsi="Times New Roman" w:eastAsia="宋体" w:cs="Times New Roman"/>
      <w:sz w:val="18"/>
      <w:szCs w:val="18"/>
      <w:lang w:val="en-US" w:eastAsia="zh-CN" w:bidi="ar-SA"/>
    </w:rPr>
  </w:style>
  <w:style w:type="paragraph" w:customStyle="1" w:styleId="116">
    <w:name w:val="附录公式编号制表符"/>
    <w:basedOn w:val="1"/>
    <w:next w:val="79"/>
    <w:qFormat/>
    <w:uiPriority w:val="99"/>
    <w:pPr>
      <w:widowControl/>
      <w:tabs>
        <w:tab w:val="center" w:pos="4201"/>
        <w:tab w:val="right" w:leader="dot" w:pos="9298"/>
      </w:tabs>
      <w:autoSpaceDE w:val="0"/>
      <w:autoSpaceDN w:val="0"/>
      <w:spacing w:before="100" w:after="200" w:line="276" w:lineRule="auto"/>
      <w:jc w:val="left"/>
    </w:pPr>
    <w:rPr>
      <w:rFonts w:ascii="宋体" w:hAnsi="Calibri" w:eastAsia="楷体_GB2312"/>
      <w:kern w:val="0"/>
      <w:sz w:val="24"/>
      <w:szCs w:val="20"/>
    </w:rPr>
  </w:style>
  <w:style w:type="paragraph" w:customStyle="1" w:styleId="117">
    <w:name w:val="xl6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4"/>
    </w:rPr>
  </w:style>
  <w:style w:type="paragraph" w:customStyle="1" w:styleId="118">
    <w:name w:val="五级无"/>
    <w:basedOn w:val="119"/>
    <w:qFormat/>
    <w:uiPriority w:val="99"/>
    <w:pPr>
      <w:tabs>
        <w:tab w:val="left" w:pos="2100"/>
        <w:tab w:val="left" w:pos="2520"/>
      </w:tabs>
      <w:spacing w:before="50" w:after="50"/>
    </w:pPr>
    <w:rPr>
      <w:rFonts w:ascii="宋体" w:eastAsia="宋体"/>
    </w:rPr>
  </w:style>
  <w:style w:type="paragraph" w:customStyle="1" w:styleId="119">
    <w:name w:val="五级条标题"/>
    <w:basedOn w:val="120"/>
    <w:next w:val="79"/>
    <w:qFormat/>
    <w:uiPriority w:val="99"/>
    <w:pPr>
      <w:tabs>
        <w:tab w:val="left" w:pos="2100"/>
        <w:tab w:val="left" w:pos="2520"/>
      </w:tabs>
      <w:ind w:left="2520"/>
      <w:outlineLvl w:val="6"/>
    </w:pPr>
  </w:style>
  <w:style w:type="paragraph" w:customStyle="1" w:styleId="120">
    <w:name w:val="四级条标题"/>
    <w:basedOn w:val="121"/>
    <w:next w:val="79"/>
    <w:qFormat/>
    <w:uiPriority w:val="99"/>
    <w:pPr>
      <w:tabs>
        <w:tab w:val="left" w:pos="2100"/>
      </w:tabs>
      <w:ind w:left="2100" w:hanging="420"/>
      <w:outlineLvl w:val="5"/>
    </w:pPr>
  </w:style>
  <w:style w:type="paragraph" w:customStyle="1" w:styleId="121">
    <w:name w:val="三级条标题"/>
    <w:basedOn w:val="87"/>
    <w:next w:val="79"/>
    <w:qFormat/>
    <w:uiPriority w:val="99"/>
    <w:pPr>
      <w:tabs>
        <w:tab w:val="clear" w:pos="1260"/>
      </w:tabs>
      <w:ind w:left="0" w:firstLine="0"/>
      <w:outlineLvl w:val="4"/>
    </w:pPr>
  </w:style>
  <w:style w:type="paragraph" w:customStyle="1" w:styleId="122">
    <w:name w:val="封面标准英文名称2"/>
    <w:basedOn w:val="123"/>
    <w:qFormat/>
    <w:uiPriority w:val="99"/>
    <w:pPr>
      <w:framePr w:y="4469"/>
    </w:pPr>
  </w:style>
  <w:style w:type="paragraph" w:customStyle="1" w:styleId="123">
    <w:name w:val="封面标准英文名称"/>
    <w:basedOn w:val="112"/>
    <w:qFormat/>
    <w:uiPriority w:val="99"/>
    <w:pPr>
      <w:spacing w:before="370" w:line="400" w:lineRule="exact"/>
    </w:pPr>
    <w:rPr>
      <w:rFonts w:ascii="Times New Roman"/>
      <w:sz w:val="28"/>
      <w:szCs w:val="28"/>
    </w:rPr>
  </w:style>
  <w:style w:type="paragraph" w:customStyle="1" w:styleId="124">
    <w:name w:val="font2"/>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25">
    <w:name w:val="图标脚注说明"/>
    <w:basedOn w:val="79"/>
    <w:qFormat/>
    <w:uiPriority w:val="99"/>
    <w:pPr>
      <w:tabs>
        <w:tab w:val="center" w:pos="4201"/>
        <w:tab w:val="right" w:leader="dot" w:pos="9298"/>
      </w:tabs>
      <w:spacing w:before="100" w:after="200" w:line="276" w:lineRule="auto"/>
      <w:ind w:left="840" w:hanging="420" w:firstLineChars="0"/>
    </w:pPr>
    <w:rPr>
      <w:rFonts w:eastAsia="Times New Roman"/>
      <w:sz w:val="18"/>
      <w:szCs w:val="18"/>
    </w:rPr>
  </w:style>
  <w:style w:type="paragraph" w:customStyle="1" w:styleId="126">
    <w:name w:val="修订3"/>
    <w:qFormat/>
    <w:uiPriority w:val="99"/>
    <w:rPr>
      <w:rFonts w:ascii="Times New Roman" w:hAnsi="Times New Roman" w:eastAsia="微软雅黑" w:cs="Times New Roman"/>
      <w:kern w:val="44"/>
      <w:sz w:val="24"/>
      <w:lang w:val="en-US" w:eastAsia="en-US" w:bidi="ar-SA"/>
    </w:rPr>
  </w:style>
  <w:style w:type="paragraph" w:customStyle="1" w:styleId="127">
    <w:name w:val="一级无标题条"/>
    <w:basedOn w:val="1"/>
    <w:qFormat/>
    <w:uiPriority w:val="99"/>
    <w:pPr>
      <w:widowControl/>
      <w:numPr>
        <w:ilvl w:val="2"/>
        <w:numId w:val="14"/>
      </w:numPr>
      <w:tabs>
        <w:tab w:val="left" w:pos="1260"/>
      </w:tabs>
      <w:spacing w:before="100" w:after="200" w:line="276" w:lineRule="auto"/>
      <w:ind w:left="1260"/>
      <w:jc w:val="left"/>
    </w:pPr>
    <w:rPr>
      <w:rFonts w:ascii="Calibri" w:hAnsi="Calibri" w:eastAsia="楷体_GB2312"/>
      <w:kern w:val="0"/>
      <w:sz w:val="24"/>
      <w:szCs w:val="20"/>
    </w:rPr>
  </w:style>
  <w:style w:type="paragraph" w:customStyle="1" w:styleId="12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29">
    <w:name w:val="正文段"/>
    <w:basedOn w:val="1"/>
    <w:qFormat/>
    <w:uiPriority w:val="99"/>
    <w:pPr>
      <w:widowControl/>
      <w:snapToGrid w:val="0"/>
      <w:spacing w:afterLines="50"/>
      <w:ind w:firstLine="200" w:firstLineChars="200"/>
    </w:pPr>
    <w:rPr>
      <w:kern w:val="0"/>
      <w:sz w:val="24"/>
      <w:szCs w:val="20"/>
    </w:rPr>
  </w:style>
  <w:style w:type="paragraph" w:customStyle="1" w:styleId="130">
    <w:name w:val="封面标准文稿编辑信息"/>
    <w:basedOn w:val="131"/>
    <w:qFormat/>
    <w:uiPriority w:val="99"/>
    <w:pPr>
      <w:spacing w:before="180" w:line="180" w:lineRule="exact"/>
    </w:pPr>
    <w:rPr>
      <w:sz w:val="21"/>
    </w:rPr>
  </w:style>
  <w:style w:type="paragraph" w:customStyle="1" w:styleId="131">
    <w:name w:val="封面标准文稿类别"/>
    <w:basedOn w:val="132"/>
    <w:qFormat/>
    <w:uiPriority w:val="99"/>
    <w:pPr>
      <w:spacing w:after="160" w:line="240" w:lineRule="auto"/>
    </w:pPr>
    <w:rPr>
      <w:sz w:val="24"/>
    </w:rPr>
  </w:style>
  <w:style w:type="paragraph" w:customStyle="1" w:styleId="132">
    <w:name w:val="封面一致性程度标识"/>
    <w:basedOn w:val="123"/>
    <w:qFormat/>
    <w:uiPriority w:val="99"/>
    <w:pPr>
      <w:spacing w:before="440"/>
    </w:pPr>
    <w:rPr>
      <w:rFonts w:ascii="宋体" w:eastAsia="宋体"/>
    </w:rPr>
  </w:style>
  <w:style w:type="paragraph" w:customStyle="1" w:styleId="133">
    <w:name w:val="Table Paragraph"/>
    <w:basedOn w:val="1"/>
    <w:qFormat/>
    <w:uiPriority w:val="1"/>
    <w:pPr>
      <w:jc w:val="left"/>
    </w:pPr>
    <w:rPr>
      <w:rFonts w:ascii="Calibri" w:hAnsi="Calibri"/>
      <w:kern w:val="0"/>
      <w:sz w:val="22"/>
      <w:szCs w:val="22"/>
      <w:lang w:eastAsia="en-US"/>
    </w:rPr>
  </w:style>
  <w:style w:type="paragraph" w:customStyle="1" w:styleId="134">
    <w:name w:val="其他发布日期"/>
    <w:basedOn w:val="135"/>
    <w:qFormat/>
    <w:uiPriority w:val="99"/>
    <w:pPr>
      <w:framePr w:vAnchor="page" w:hAnchor="text" w:x="1419"/>
    </w:pPr>
  </w:style>
  <w:style w:type="paragraph" w:customStyle="1" w:styleId="135">
    <w:name w:val="发布日期"/>
    <w:qFormat/>
    <w:uiPriority w:val="99"/>
    <w:pPr>
      <w:framePr w:w="3997" w:h="471" w:vSpace="181" w:wrap="around" w:vAnchor="margin" w:hAnchor="page" w:x="7089" w:y="14097" w:anchorLock="1"/>
      <w:spacing w:before="100" w:after="200" w:line="276" w:lineRule="auto"/>
    </w:pPr>
    <w:rPr>
      <w:rFonts w:ascii="Calibri" w:hAnsi="Calibri" w:eastAsia="黑体" w:cs="Times New Roman"/>
      <w:sz w:val="28"/>
      <w:lang w:val="en-US" w:eastAsia="zh-CN" w:bidi="ar-SA"/>
    </w:rPr>
  </w:style>
  <w:style w:type="paragraph" w:customStyle="1" w:styleId="136">
    <w:name w:val="终结线"/>
    <w:basedOn w:val="1"/>
    <w:qFormat/>
    <w:uiPriority w:val="99"/>
    <w:pPr>
      <w:framePr w:hSpace="181" w:vSpace="181" w:wrap="around" w:vAnchor="text" w:hAnchor="margin" w:xAlign="center" w:y="285"/>
      <w:widowControl/>
      <w:spacing w:before="100" w:after="200" w:line="276" w:lineRule="auto"/>
      <w:jc w:val="left"/>
    </w:pPr>
    <w:rPr>
      <w:rFonts w:ascii="Calibri" w:hAnsi="Calibri" w:eastAsia="楷体_GB2312"/>
      <w:kern w:val="0"/>
      <w:sz w:val="24"/>
      <w:szCs w:val="20"/>
    </w:rPr>
  </w:style>
  <w:style w:type="paragraph" w:customStyle="1" w:styleId="137">
    <w:name w:val="xl70"/>
    <w:basedOn w:val="1"/>
    <w:qFormat/>
    <w:uiPriority w:val="99"/>
    <w:pPr>
      <w:widowControl/>
      <w:pBdr>
        <w:top w:val="single" w:color="000000" w:sz="8" w:space="0"/>
        <w:bottom w:val="single" w:color="000000" w:sz="8" w:space="0"/>
        <w:right w:val="single" w:color="000000" w:sz="8" w:space="0"/>
      </w:pBdr>
      <w:shd w:val="clear" w:color="auto" w:fill="FFFFFF"/>
      <w:spacing w:before="100" w:beforeAutospacing="1" w:after="100" w:afterAutospacing="1"/>
      <w:jc w:val="center"/>
    </w:pPr>
    <w:rPr>
      <w:rFonts w:ascii="宋体" w:hAnsi="宋体" w:cs="宋体"/>
      <w:b/>
      <w:bCs/>
      <w:color w:val="000000"/>
      <w:kern w:val="0"/>
      <w:szCs w:val="21"/>
    </w:rPr>
  </w:style>
  <w:style w:type="paragraph" w:customStyle="1" w:styleId="138">
    <w:name w:val="标准称谓"/>
    <w:next w:val="1"/>
    <w:qFormat/>
    <w:uiPriority w:val="99"/>
    <w:pPr>
      <w:framePr w:w="9639" w:h="624" w:hSpace="181" w:vSpace="181" w:wrap="around" w:vAnchor="page" w:hAnchor="page" w:x="1419" w:y="2286" w:anchorLock="1"/>
      <w:widowControl w:val="0"/>
      <w:kinsoku w:val="0"/>
      <w:overflowPunct w:val="0"/>
      <w:autoSpaceDE w:val="0"/>
      <w:autoSpaceDN w:val="0"/>
      <w:spacing w:before="100" w:after="200" w:line="0" w:lineRule="atLeast"/>
      <w:jc w:val="distribute"/>
    </w:pPr>
    <w:rPr>
      <w:rFonts w:ascii="宋体" w:hAnsi="Calibri" w:eastAsia="宋体" w:cs="Times New Roman"/>
      <w:b/>
      <w:bCs/>
      <w:spacing w:val="20"/>
      <w:w w:val="148"/>
      <w:sz w:val="48"/>
      <w:lang w:val="en-US" w:eastAsia="zh-CN" w:bidi="ar-SA"/>
    </w:rPr>
  </w:style>
  <w:style w:type="paragraph" w:customStyle="1" w:styleId="139">
    <w:name w:val="修订1"/>
    <w:qFormat/>
    <w:uiPriority w:val="99"/>
    <w:rPr>
      <w:rFonts w:ascii="Times New Roman" w:hAnsi="Times New Roman" w:eastAsia="宋体" w:cs="Times New Roman"/>
      <w:kern w:val="2"/>
      <w:sz w:val="21"/>
      <w:szCs w:val="24"/>
      <w:lang w:val="en-US" w:eastAsia="zh-CN" w:bidi="ar-SA"/>
    </w:rPr>
  </w:style>
  <w:style w:type="paragraph" w:customStyle="1" w:styleId="140">
    <w:name w:val="xl65"/>
    <w:basedOn w:val="1"/>
    <w:qFormat/>
    <w:uiPriority w:val="99"/>
    <w:pPr>
      <w:widowControl/>
      <w:shd w:val="clear" w:color="auto" w:fill="FFFFFF"/>
      <w:spacing w:before="100" w:beforeAutospacing="1" w:after="100" w:afterAutospacing="1"/>
      <w:jc w:val="left"/>
    </w:pPr>
    <w:rPr>
      <w:rFonts w:ascii="宋体" w:hAnsi="宋体" w:cs="宋体"/>
      <w:kern w:val="0"/>
      <w:sz w:val="24"/>
    </w:rPr>
  </w:style>
  <w:style w:type="paragraph" w:customStyle="1" w:styleId="141">
    <w:name w:val="列项——"/>
    <w:qFormat/>
    <w:uiPriority w:val="99"/>
    <w:pPr>
      <w:widowControl w:val="0"/>
      <w:numPr>
        <w:ilvl w:val="0"/>
        <w:numId w:val="14"/>
      </w:numPr>
      <w:tabs>
        <w:tab w:val="left" w:pos="360"/>
      </w:tabs>
      <w:spacing w:before="100" w:after="200" w:line="276" w:lineRule="auto"/>
      <w:ind w:left="0" w:firstLine="0"/>
      <w:jc w:val="both"/>
    </w:pPr>
    <w:rPr>
      <w:rFonts w:ascii="宋体" w:hAnsi="Calibri" w:eastAsia="宋体" w:cs="Times New Roman"/>
      <w:sz w:val="21"/>
      <w:lang w:val="en-US" w:eastAsia="zh-CN" w:bidi="ar-SA"/>
    </w:rPr>
  </w:style>
  <w:style w:type="paragraph" w:customStyle="1" w:styleId="142">
    <w:name w:val="附录四级无"/>
    <w:basedOn w:val="143"/>
    <w:qFormat/>
    <w:uiPriority w:val="99"/>
    <w:pPr>
      <w:tabs>
        <w:tab w:val="left" w:pos="360"/>
        <w:tab w:val="left" w:pos="1680"/>
        <w:tab w:val="left" w:pos="2520"/>
      </w:tabs>
    </w:pPr>
    <w:rPr>
      <w:rFonts w:ascii="宋体" w:eastAsia="宋体"/>
      <w:szCs w:val="21"/>
    </w:rPr>
  </w:style>
  <w:style w:type="paragraph" w:customStyle="1" w:styleId="143">
    <w:name w:val="附录四级条标题"/>
    <w:basedOn w:val="144"/>
    <w:next w:val="79"/>
    <w:qFormat/>
    <w:uiPriority w:val="99"/>
    <w:pPr>
      <w:numPr>
        <w:ilvl w:val="0"/>
      </w:numPr>
      <w:tabs>
        <w:tab w:val="left" w:pos="360"/>
        <w:tab w:val="left" w:pos="1680"/>
        <w:tab w:val="left" w:pos="2520"/>
      </w:tabs>
      <w:ind w:left="2520" w:hanging="420"/>
      <w:outlineLvl w:val="5"/>
    </w:pPr>
  </w:style>
  <w:style w:type="paragraph" w:customStyle="1" w:styleId="144">
    <w:name w:val="附录三级条标题"/>
    <w:basedOn w:val="145"/>
    <w:next w:val="79"/>
    <w:qFormat/>
    <w:uiPriority w:val="99"/>
    <w:pPr>
      <w:numPr>
        <w:ilvl w:val="4"/>
        <w:numId w:val="0"/>
      </w:numPr>
      <w:tabs>
        <w:tab w:val="left" w:pos="360"/>
        <w:tab w:val="left" w:pos="1680"/>
      </w:tabs>
      <w:outlineLvl w:val="4"/>
    </w:pPr>
  </w:style>
  <w:style w:type="paragraph" w:customStyle="1" w:styleId="145">
    <w:name w:val="附录二级条标题"/>
    <w:basedOn w:val="1"/>
    <w:next w:val="79"/>
    <w:qFormat/>
    <w:uiPriority w:val="99"/>
    <w:pPr>
      <w:widowControl/>
      <w:numPr>
        <w:ilvl w:val="3"/>
        <w:numId w:val="3"/>
      </w:numPr>
      <w:tabs>
        <w:tab w:val="left" w:pos="360"/>
      </w:tabs>
      <w:wordWrap w:val="0"/>
      <w:overflowPunct w:val="0"/>
      <w:autoSpaceDE w:val="0"/>
      <w:autoSpaceDN w:val="0"/>
      <w:spacing w:beforeLines="50" w:line="276" w:lineRule="auto"/>
      <w:jc w:val="left"/>
      <w:outlineLvl w:val="3"/>
    </w:pPr>
    <w:rPr>
      <w:rFonts w:ascii="黑体" w:hAnsi="Calibri" w:eastAsia="黑体"/>
      <w:kern w:val="21"/>
      <w:sz w:val="24"/>
      <w:szCs w:val="20"/>
    </w:rPr>
  </w:style>
  <w:style w:type="paragraph" w:customStyle="1" w:styleId="146">
    <w:name w:val="四级无标题条"/>
    <w:basedOn w:val="1"/>
    <w:qFormat/>
    <w:uiPriority w:val="99"/>
    <w:pPr>
      <w:widowControl/>
      <w:spacing w:before="100" w:after="200" w:line="276" w:lineRule="auto"/>
      <w:jc w:val="left"/>
    </w:pPr>
    <w:rPr>
      <w:rFonts w:ascii="Calibri" w:hAnsi="Calibri" w:eastAsia="楷体_GB2312"/>
      <w:kern w:val="0"/>
      <w:sz w:val="24"/>
      <w:szCs w:val="20"/>
    </w:rPr>
  </w:style>
  <w:style w:type="paragraph" w:customStyle="1" w:styleId="147">
    <w:name w:val="示例后文字"/>
    <w:basedOn w:val="79"/>
    <w:next w:val="79"/>
    <w:qFormat/>
    <w:uiPriority w:val="99"/>
    <w:pPr>
      <w:tabs>
        <w:tab w:val="center" w:pos="4201"/>
        <w:tab w:val="right" w:leader="dot" w:pos="9298"/>
      </w:tabs>
      <w:spacing w:before="100" w:after="200" w:line="276" w:lineRule="auto"/>
      <w:ind w:firstLine="360"/>
    </w:pPr>
    <w:rPr>
      <w:rFonts w:eastAsia="Times New Roman"/>
      <w:sz w:val="18"/>
    </w:rPr>
  </w:style>
  <w:style w:type="paragraph" w:customStyle="1" w:styleId="148">
    <w:name w:val="示例内容"/>
    <w:qFormat/>
    <w:uiPriority w:val="99"/>
    <w:pPr>
      <w:spacing w:before="100" w:after="200" w:line="276" w:lineRule="auto"/>
      <w:ind w:firstLine="200" w:firstLineChars="200"/>
    </w:pPr>
    <w:rPr>
      <w:rFonts w:ascii="宋体" w:hAnsi="Calibri" w:eastAsia="宋体" w:cs="Times New Roman"/>
      <w:sz w:val="18"/>
      <w:szCs w:val="18"/>
      <w:lang w:val="en-US" w:eastAsia="zh-CN" w:bidi="ar-SA"/>
    </w:rPr>
  </w:style>
  <w:style w:type="paragraph" w:customStyle="1" w:styleId="149">
    <w:name w:val="封面正文"/>
    <w:qFormat/>
    <w:uiPriority w:val="99"/>
    <w:pPr>
      <w:spacing w:before="100" w:after="200" w:line="276" w:lineRule="auto"/>
      <w:jc w:val="both"/>
    </w:pPr>
    <w:rPr>
      <w:rFonts w:ascii="Calibri" w:hAnsi="Calibri" w:eastAsia="宋体" w:cs="Times New Roman"/>
      <w:lang w:val="en-US" w:eastAsia="zh-CN" w:bidi="ar-SA"/>
    </w:rPr>
  </w:style>
  <w:style w:type="paragraph" w:customStyle="1" w:styleId="150">
    <w:name w:val="附录字母编号列项（一级）"/>
    <w:qFormat/>
    <w:uiPriority w:val="99"/>
    <w:pPr>
      <w:numPr>
        <w:ilvl w:val="0"/>
        <w:numId w:val="6"/>
      </w:numPr>
      <w:tabs>
        <w:tab w:val="clear" w:pos="675"/>
      </w:tabs>
      <w:spacing w:before="100" w:after="200" w:line="276" w:lineRule="auto"/>
      <w:ind w:left="360" w:hanging="360"/>
    </w:pPr>
    <w:rPr>
      <w:rFonts w:ascii="宋体" w:hAnsi="Calibri" w:eastAsia="宋体" w:cs="Times New Roman"/>
      <w:sz w:val="21"/>
      <w:lang w:val="en-US" w:eastAsia="zh-CN" w:bidi="ar-SA"/>
    </w:rPr>
  </w:style>
  <w:style w:type="paragraph" w:customStyle="1" w:styleId="151">
    <w:name w:val="其他标准称谓"/>
    <w:next w:val="1"/>
    <w:qFormat/>
    <w:uiPriority w:val="99"/>
    <w:pPr>
      <w:framePr w:hSpace="181" w:vSpace="181" w:wrap="around" w:vAnchor="page" w:hAnchor="page" w:x="1419" w:y="2286" w:anchorLock="1"/>
      <w:spacing w:before="100" w:after="200" w:line="0" w:lineRule="atLeast"/>
      <w:jc w:val="distribute"/>
    </w:pPr>
    <w:rPr>
      <w:rFonts w:ascii="黑体" w:hAnsi="宋体" w:eastAsia="黑体" w:cs="Times New Roman"/>
      <w:spacing w:val="-40"/>
      <w:sz w:val="48"/>
      <w:szCs w:val="52"/>
      <w:lang w:val="en-US" w:eastAsia="zh-CN" w:bidi="ar-SA"/>
    </w:rPr>
  </w:style>
  <w:style w:type="paragraph" w:customStyle="1" w:styleId="152">
    <w:name w:val="发布部门"/>
    <w:next w:val="79"/>
    <w:qFormat/>
    <w:uiPriority w:val="99"/>
    <w:pPr>
      <w:framePr w:w="7938" w:h="1134" w:hSpace="125" w:vSpace="181" w:wrap="around" w:vAnchor="page" w:hAnchor="page" w:x="2150" w:y="14630" w:anchorLock="1"/>
      <w:spacing w:before="100" w:after="200" w:line="276" w:lineRule="auto"/>
      <w:jc w:val="center"/>
    </w:pPr>
    <w:rPr>
      <w:rFonts w:ascii="宋体" w:hAnsi="Calibri" w:eastAsia="宋体" w:cs="Times New Roman"/>
      <w:b/>
      <w:spacing w:val="20"/>
      <w:w w:val="135"/>
      <w:sz w:val="28"/>
      <w:lang w:val="en-US" w:eastAsia="zh-CN" w:bidi="ar-SA"/>
    </w:rPr>
  </w:style>
  <w:style w:type="paragraph" w:customStyle="1" w:styleId="153">
    <w:name w:val="附录五级无"/>
    <w:basedOn w:val="154"/>
    <w:qFormat/>
    <w:uiPriority w:val="99"/>
    <w:pPr>
      <w:tabs>
        <w:tab w:val="left" w:pos="360"/>
        <w:tab w:val="left" w:pos="1680"/>
        <w:tab w:val="left" w:pos="2520"/>
        <w:tab w:val="left" w:pos="2940"/>
      </w:tabs>
    </w:pPr>
    <w:rPr>
      <w:rFonts w:ascii="宋体" w:eastAsia="宋体"/>
      <w:szCs w:val="21"/>
    </w:rPr>
  </w:style>
  <w:style w:type="paragraph" w:customStyle="1" w:styleId="154">
    <w:name w:val="附录五级条标题"/>
    <w:basedOn w:val="143"/>
    <w:next w:val="79"/>
    <w:qFormat/>
    <w:uiPriority w:val="99"/>
    <w:pPr>
      <w:tabs>
        <w:tab w:val="left" w:pos="2940"/>
      </w:tabs>
      <w:ind w:left="2940"/>
      <w:outlineLvl w:val="6"/>
    </w:pPr>
  </w:style>
  <w:style w:type="paragraph" w:customStyle="1" w:styleId="155">
    <w:name w:val="实施日期"/>
    <w:basedOn w:val="135"/>
    <w:qFormat/>
    <w:uiPriority w:val="99"/>
    <w:pPr>
      <w:framePr w:vAnchor="page" w:hAnchor="text"/>
      <w:jc w:val="right"/>
    </w:pPr>
  </w:style>
  <w:style w:type="paragraph" w:customStyle="1" w:styleId="156">
    <w:name w:val="五级无标题条"/>
    <w:basedOn w:val="1"/>
    <w:qFormat/>
    <w:uiPriority w:val="99"/>
    <w:pPr>
      <w:widowControl/>
      <w:spacing w:before="100" w:after="200" w:line="276" w:lineRule="auto"/>
      <w:jc w:val="left"/>
    </w:pPr>
    <w:rPr>
      <w:rFonts w:ascii="Calibri" w:hAnsi="Calibri" w:eastAsia="楷体_GB2312"/>
      <w:kern w:val="0"/>
      <w:sz w:val="24"/>
      <w:szCs w:val="20"/>
    </w:rPr>
  </w:style>
  <w:style w:type="paragraph" w:customStyle="1" w:styleId="157">
    <w:name w:val="参考文献"/>
    <w:basedOn w:val="1"/>
    <w:next w:val="79"/>
    <w:qFormat/>
    <w:uiPriority w:val="99"/>
    <w:pPr>
      <w:keepNext/>
      <w:pageBreakBefore/>
      <w:widowControl/>
      <w:shd w:val="clear" w:color="auto" w:fill="FFFFFF"/>
      <w:spacing w:before="640" w:after="200" w:line="276" w:lineRule="auto"/>
      <w:jc w:val="center"/>
      <w:outlineLvl w:val="0"/>
    </w:pPr>
    <w:rPr>
      <w:rFonts w:ascii="黑体" w:hAnsi="Calibri" w:eastAsia="黑体"/>
      <w:kern w:val="0"/>
      <w:sz w:val="24"/>
      <w:szCs w:val="20"/>
    </w:rPr>
  </w:style>
  <w:style w:type="paragraph" w:customStyle="1" w:styleId="158">
    <w:name w:val="参考文献、索引标题"/>
    <w:basedOn w:val="1"/>
    <w:next w:val="79"/>
    <w:qFormat/>
    <w:uiPriority w:val="99"/>
    <w:pPr>
      <w:keepNext/>
      <w:pageBreakBefore/>
      <w:widowControl/>
      <w:shd w:val="clear" w:color="auto" w:fill="FFFFFF"/>
      <w:spacing w:before="640" w:after="200" w:line="276" w:lineRule="auto"/>
      <w:jc w:val="center"/>
      <w:outlineLvl w:val="0"/>
    </w:pPr>
    <w:rPr>
      <w:rFonts w:ascii="黑体" w:hAnsi="Calibri" w:eastAsia="黑体"/>
      <w:kern w:val="0"/>
      <w:sz w:val="24"/>
      <w:szCs w:val="20"/>
    </w:rPr>
  </w:style>
  <w:style w:type="paragraph" w:customStyle="1" w:styleId="159">
    <w:name w:val="二级无标题条"/>
    <w:basedOn w:val="1"/>
    <w:qFormat/>
    <w:uiPriority w:val="99"/>
    <w:pPr>
      <w:widowControl/>
      <w:numPr>
        <w:ilvl w:val="3"/>
        <w:numId w:val="14"/>
      </w:numPr>
      <w:tabs>
        <w:tab w:val="left" w:pos="1680"/>
      </w:tabs>
      <w:spacing w:before="100" w:after="200" w:line="276" w:lineRule="auto"/>
      <w:ind w:left="1680"/>
      <w:jc w:val="left"/>
    </w:pPr>
    <w:rPr>
      <w:rFonts w:ascii="Calibri" w:hAnsi="Calibri" w:eastAsia="楷体_GB2312"/>
      <w:kern w:val="0"/>
      <w:sz w:val="24"/>
      <w:szCs w:val="20"/>
    </w:rPr>
  </w:style>
  <w:style w:type="paragraph" w:customStyle="1" w:styleId="160">
    <w:name w:val="封面标准文稿编辑信息2"/>
    <w:basedOn w:val="130"/>
    <w:qFormat/>
    <w:uiPriority w:val="99"/>
    <w:pPr>
      <w:framePr w:y="4469"/>
    </w:pPr>
  </w:style>
  <w:style w:type="paragraph" w:customStyle="1" w:styleId="161">
    <w:name w:val="表格文字"/>
    <w:basedOn w:val="1"/>
    <w:qFormat/>
    <w:uiPriority w:val="0"/>
    <w:pPr>
      <w:spacing w:before="25" w:after="25"/>
      <w:jc w:val="center"/>
    </w:pPr>
    <w:rPr>
      <w:bCs/>
      <w:spacing w:val="10"/>
      <w:kern w:val="0"/>
      <w:sz w:val="24"/>
      <w:szCs w:val="20"/>
    </w:rPr>
  </w:style>
  <w:style w:type="paragraph" w:customStyle="1" w:styleId="162">
    <w:name w:val="正文图标题"/>
    <w:next w:val="79"/>
    <w:qFormat/>
    <w:uiPriority w:val="99"/>
    <w:pPr>
      <w:numPr>
        <w:ilvl w:val="0"/>
        <w:numId w:val="15"/>
      </w:numPr>
      <w:spacing w:beforeLines="50"/>
      <w:jc w:val="center"/>
    </w:pPr>
    <w:rPr>
      <w:rFonts w:ascii="黑体" w:hAnsi="Times New Roman" w:eastAsia="黑体" w:cs="Times New Roman"/>
      <w:sz w:val="21"/>
      <w:lang w:val="en-US" w:eastAsia="zh-CN" w:bidi="ar-SA"/>
    </w:rPr>
  </w:style>
  <w:style w:type="paragraph" w:customStyle="1" w:styleId="163">
    <w:name w:val="font4"/>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164">
    <w:name w:val="正文1"/>
    <w:basedOn w:val="8"/>
    <w:qFormat/>
    <w:uiPriority w:val="99"/>
    <w:rPr>
      <w:szCs w:val="21"/>
    </w:rPr>
  </w:style>
  <w:style w:type="paragraph" w:customStyle="1" w:styleId="165">
    <w:name w:val="附录三级无"/>
    <w:basedOn w:val="144"/>
    <w:qFormat/>
    <w:uiPriority w:val="99"/>
    <w:pPr>
      <w:tabs>
        <w:tab w:val="clear" w:pos="360"/>
      </w:tabs>
    </w:pPr>
    <w:rPr>
      <w:rFonts w:ascii="宋体" w:eastAsia="宋体"/>
      <w:szCs w:val="21"/>
    </w:rPr>
  </w:style>
  <w:style w:type="paragraph" w:customStyle="1" w:styleId="166">
    <w:name w:val="表格"/>
    <w:basedOn w:val="1"/>
    <w:qFormat/>
    <w:uiPriority w:val="99"/>
    <w:pPr>
      <w:spacing w:line="400" w:lineRule="exact"/>
    </w:pPr>
    <w:rPr>
      <w:sz w:val="24"/>
    </w:rPr>
  </w:style>
  <w:style w:type="paragraph" w:customStyle="1" w:styleId="167">
    <w:name w:val="附录图标号"/>
    <w:basedOn w:val="1"/>
    <w:qFormat/>
    <w:uiPriority w:val="99"/>
    <w:pPr>
      <w:keepNext/>
      <w:pageBreakBefore/>
      <w:widowControl/>
      <w:numPr>
        <w:ilvl w:val="0"/>
        <w:numId w:val="10"/>
      </w:numPr>
      <w:spacing w:before="100" w:after="200" w:line="14" w:lineRule="exact"/>
      <w:ind w:left="0" w:firstLine="363"/>
      <w:jc w:val="center"/>
      <w:outlineLvl w:val="0"/>
    </w:pPr>
    <w:rPr>
      <w:rFonts w:ascii="Calibri" w:hAnsi="Calibri" w:eastAsia="楷体_GB2312"/>
      <w:color w:val="FFFFFF"/>
      <w:kern w:val="0"/>
      <w:sz w:val="24"/>
      <w:szCs w:val="20"/>
    </w:rPr>
  </w:style>
  <w:style w:type="paragraph" w:customStyle="1" w:styleId="168">
    <w:name w:val="图表脚注"/>
    <w:next w:val="79"/>
    <w:qFormat/>
    <w:uiPriority w:val="99"/>
    <w:pPr>
      <w:spacing w:before="100" w:after="200" w:line="276" w:lineRule="auto"/>
      <w:ind w:left="300" w:leftChars="200" w:hanging="100" w:hangingChars="100"/>
      <w:jc w:val="both"/>
    </w:pPr>
    <w:rPr>
      <w:rFonts w:ascii="宋体" w:hAnsi="Calibri" w:eastAsia="宋体" w:cs="Times New Roman"/>
      <w:sz w:val="18"/>
      <w:lang w:val="en-US" w:eastAsia="zh-CN" w:bidi="ar-SA"/>
    </w:rPr>
  </w:style>
  <w:style w:type="paragraph" w:customStyle="1" w:styleId="169">
    <w:name w:val="附录二级无"/>
    <w:basedOn w:val="145"/>
    <w:qFormat/>
    <w:uiPriority w:val="99"/>
    <w:pPr>
      <w:tabs>
        <w:tab w:val="clear" w:pos="360"/>
      </w:tabs>
    </w:pPr>
    <w:rPr>
      <w:rFonts w:ascii="宋体" w:eastAsia="宋体"/>
      <w:szCs w:val="21"/>
    </w:rPr>
  </w:style>
  <w:style w:type="paragraph" w:customStyle="1" w:styleId="170">
    <w:name w:val="封面一致性程度标识2"/>
    <w:basedOn w:val="132"/>
    <w:qFormat/>
    <w:uiPriority w:val="99"/>
    <w:pPr>
      <w:framePr w:y="4469"/>
    </w:pPr>
  </w:style>
  <w:style w:type="paragraph" w:customStyle="1" w:styleId="171">
    <w:name w:val="abstract"/>
    <w:basedOn w:val="1"/>
    <w:next w:val="1"/>
    <w:qFormat/>
    <w:uiPriority w:val="99"/>
    <w:pPr>
      <w:spacing w:before="120" w:after="120"/>
      <w:ind w:left="1440" w:right="1440"/>
    </w:pPr>
    <w:rPr>
      <w:rFonts w:ascii="Book Antiqua" w:hAnsi="Book Antiqua"/>
      <w:i/>
      <w:sz w:val="20"/>
      <w:lang w:eastAsia="en-US"/>
    </w:rPr>
  </w:style>
  <w:style w:type="paragraph" w:customStyle="1" w:styleId="172">
    <w:name w:val="二级无"/>
    <w:basedOn w:val="87"/>
    <w:qFormat/>
    <w:uiPriority w:val="99"/>
    <w:pPr>
      <w:spacing w:before="50" w:after="50"/>
    </w:pPr>
    <w:rPr>
      <w:rFonts w:ascii="宋体" w:eastAsia="宋体"/>
    </w:rPr>
  </w:style>
  <w:style w:type="paragraph" w:customStyle="1" w:styleId="173">
    <w:name w:val="et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b/>
      <w:bCs/>
      <w:kern w:val="0"/>
      <w:sz w:val="24"/>
    </w:rPr>
  </w:style>
  <w:style w:type="paragraph" w:customStyle="1" w:styleId="174">
    <w:name w:val="其他发布部门"/>
    <w:basedOn w:val="152"/>
    <w:qFormat/>
    <w:uiPriority w:val="99"/>
    <w:pPr>
      <w:framePr w:y="15310"/>
      <w:spacing w:line="0" w:lineRule="atLeast"/>
    </w:pPr>
    <w:rPr>
      <w:rFonts w:ascii="黑体" w:eastAsia="黑体"/>
      <w:b w:val="0"/>
    </w:rPr>
  </w:style>
  <w:style w:type="paragraph" w:customStyle="1" w:styleId="175">
    <w:name w:val="样式 标题 1_A"/>
    <w:basedOn w:val="2"/>
    <w:qFormat/>
    <w:uiPriority w:val="99"/>
    <w:pPr>
      <w:keepNext w:val="0"/>
      <w:keepLines w:val="0"/>
      <w:pBdr>
        <w:top w:val="single" w:color="5B9BD5" w:sz="24" w:space="0"/>
        <w:left w:val="single" w:color="5B9BD5" w:sz="24" w:space="0"/>
        <w:bottom w:val="single" w:color="5B9BD5" w:sz="24" w:space="0"/>
        <w:right w:val="single" w:color="5B9BD5" w:sz="24" w:space="0"/>
      </w:pBdr>
      <w:shd w:val="clear" w:color="auto" w:fill="5B9BD5"/>
      <w:spacing w:before="0" w:after="0" w:line="240" w:lineRule="auto"/>
    </w:pPr>
    <w:rPr>
      <w:rFonts w:ascii="楷体_GB2312" w:hAnsi="楷体_GB2312" w:eastAsia="楷体_GB2312"/>
      <w:bCs w:val="0"/>
      <w:caps/>
      <w:color w:val="FFFFFF"/>
      <w:spacing w:val="-2"/>
      <w:kern w:val="2"/>
      <w:szCs w:val="22"/>
    </w:rPr>
  </w:style>
  <w:style w:type="paragraph" w:customStyle="1" w:styleId="176">
    <w:name w:val="封面标准代替信息"/>
    <w:qFormat/>
    <w:uiPriority w:val="99"/>
    <w:pPr>
      <w:framePr w:w="9140" w:h="1242" w:hSpace="284" w:wrap="around" w:vAnchor="page" w:hAnchor="page" w:x="1645" w:y="2910" w:anchorLock="1"/>
      <w:spacing w:before="57" w:after="200" w:line="280" w:lineRule="exact"/>
      <w:jc w:val="right"/>
    </w:pPr>
    <w:rPr>
      <w:rFonts w:ascii="宋体" w:hAnsi="Calibri" w:eastAsia="宋体" w:cs="Times New Roman"/>
      <w:sz w:val="21"/>
      <w:szCs w:val="21"/>
      <w:lang w:val="en-US" w:eastAsia="zh-CN" w:bidi="ar-SA"/>
    </w:rPr>
  </w:style>
  <w:style w:type="paragraph" w:customStyle="1" w:styleId="177">
    <w:name w:val="样式"/>
    <w:qFormat/>
    <w:uiPriority w:val="99"/>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78">
    <w:name w:val="列项说明数字编号"/>
    <w:qFormat/>
    <w:uiPriority w:val="99"/>
    <w:pPr>
      <w:spacing w:before="100" w:after="200" w:line="276" w:lineRule="auto"/>
      <w:ind w:left="600" w:leftChars="400" w:hanging="200" w:hangingChars="200"/>
    </w:pPr>
    <w:rPr>
      <w:rFonts w:ascii="宋体" w:hAnsi="Calibri" w:eastAsia="宋体" w:cs="Times New Roman"/>
      <w:sz w:val="21"/>
      <w:lang w:val="en-US" w:eastAsia="zh-CN" w:bidi="ar-SA"/>
    </w:rPr>
  </w:style>
  <w:style w:type="paragraph" w:customStyle="1" w:styleId="179">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paragraph" w:customStyle="1" w:styleId="180">
    <w:name w:val="font3"/>
    <w:basedOn w:val="1"/>
    <w:qFormat/>
    <w:uiPriority w:val="99"/>
    <w:pPr>
      <w:widowControl/>
      <w:spacing w:before="100" w:beforeAutospacing="1" w:after="100" w:afterAutospacing="1"/>
      <w:jc w:val="left"/>
    </w:pPr>
    <w:rPr>
      <w:rFonts w:ascii="宋体" w:hAnsi="宋体" w:cs="宋体"/>
      <w:b/>
      <w:bCs/>
      <w:color w:val="000000"/>
      <w:kern w:val="0"/>
      <w:sz w:val="20"/>
      <w:szCs w:val="20"/>
    </w:rPr>
  </w:style>
  <w:style w:type="paragraph" w:customStyle="1" w:styleId="181">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82">
    <w:name w:val="正文公式编号制表符"/>
    <w:basedOn w:val="79"/>
    <w:next w:val="79"/>
    <w:qFormat/>
    <w:uiPriority w:val="99"/>
    <w:pPr>
      <w:tabs>
        <w:tab w:val="center" w:pos="4201"/>
        <w:tab w:val="right" w:leader="dot" w:pos="9298"/>
      </w:tabs>
      <w:spacing w:before="100" w:after="200" w:line="276" w:lineRule="auto"/>
      <w:ind w:firstLine="0" w:firstLineChars="0"/>
    </w:pPr>
    <w:rPr>
      <w:rFonts w:eastAsia="Times New Roman"/>
    </w:rPr>
  </w:style>
  <w:style w:type="paragraph" w:customStyle="1" w:styleId="183">
    <w:name w:val="封面标准文稿类别2"/>
    <w:basedOn w:val="131"/>
    <w:qFormat/>
    <w:uiPriority w:val="99"/>
    <w:pPr>
      <w:framePr w:y="4469"/>
    </w:pPr>
  </w:style>
  <w:style w:type="paragraph" w:customStyle="1" w:styleId="184">
    <w:name w:val="封面标准号1"/>
    <w:qFormat/>
    <w:uiPriority w:val="99"/>
    <w:pPr>
      <w:widowControl w:val="0"/>
      <w:kinsoku w:val="0"/>
      <w:overflowPunct w:val="0"/>
      <w:autoSpaceDE w:val="0"/>
      <w:autoSpaceDN w:val="0"/>
      <w:spacing w:before="308" w:after="200" w:line="276" w:lineRule="auto"/>
      <w:jc w:val="right"/>
    </w:pPr>
    <w:rPr>
      <w:rFonts w:ascii="Calibri" w:hAnsi="Calibri" w:eastAsia="宋体" w:cs="Times New Roman"/>
      <w:sz w:val="28"/>
      <w:lang w:val="en-US" w:eastAsia="zh-CN" w:bidi="ar-SA"/>
    </w:rPr>
  </w:style>
  <w:style w:type="paragraph" w:customStyle="1" w:styleId="185">
    <w:name w:val="et2"/>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b/>
      <w:bCs/>
      <w:kern w:val="0"/>
      <w:sz w:val="24"/>
    </w:rPr>
  </w:style>
  <w:style w:type="paragraph" w:customStyle="1" w:styleId="186">
    <w:name w:val="无间隔1"/>
    <w:qFormat/>
    <w:uiPriority w:val="1"/>
    <w:pPr>
      <w:spacing w:before="100"/>
    </w:pPr>
    <w:rPr>
      <w:rFonts w:ascii="Calibri" w:hAnsi="Calibri" w:eastAsia="宋体" w:cs="Times New Roman"/>
      <w:lang w:val="en-US" w:eastAsia="zh-CN" w:bidi="ar-SA"/>
    </w:rPr>
  </w:style>
  <w:style w:type="paragraph" w:customStyle="1" w:styleId="187">
    <w:name w:val="标准书脚_奇数页"/>
    <w:qFormat/>
    <w:uiPriority w:val="99"/>
    <w:pPr>
      <w:spacing w:before="120" w:after="200" w:line="276" w:lineRule="auto"/>
      <w:ind w:right="198"/>
      <w:jc w:val="right"/>
    </w:pPr>
    <w:rPr>
      <w:rFonts w:ascii="宋体" w:hAnsi="Calibri" w:eastAsia="宋体" w:cs="Times New Roman"/>
      <w:sz w:val="18"/>
      <w:szCs w:val="18"/>
      <w:lang w:val="en-US" w:eastAsia="zh-CN" w:bidi="ar-SA"/>
    </w:rPr>
  </w:style>
  <w:style w:type="paragraph" w:customStyle="1" w:styleId="188">
    <w:name w:val="样式 首行缩进:  2 字符"/>
    <w:basedOn w:val="1"/>
    <w:qFormat/>
    <w:uiPriority w:val="99"/>
    <w:pPr>
      <w:spacing w:line="400" w:lineRule="exact"/>
      <w:ind w:firstLine="200" w:firstLineChars="200"/>
    </w:pPr>
    <w:rPr>
      <w:rFonts w:cs="宋体"/>
      <w:sz w:val="24"/>
    </w:rPr>
  </w:style>
  <w:style w:type="paragraph" w:customStyle="1" w:styleId="189">
    <w:name w:val="列项●（二级）"/>
    <w:qFormat/>
    <w:uiPriority w:val="99"/>
    <w:pPr>
      <w:numPr>
        <w:ilvl w:val="1"/>
        <w:numId w:val="16"/>
      </w:numPr>
      <w:spacing w:before="100" w:after="200" w:line="276" w:lineRule="auto"/>
      <w:jc w:val="both"/>
    </w:pPr>
    <w:rPr>
      <w:rFonts w:ascii="宋体" w:hAnsi="Calibri" w:eastAsia="宋体" w:cs="Times New Roman"/>
      <w:sz w:val="21"/>
      <w:lang w:val="en-US" w:eastAsia="zh-CN" w:bidi="ar-SA"/>
    </w:rPr>
  </w:style>
  <w:style w:type="paragraph" w:customStyle="1" w:styleId="190">
    <w:name w:val="et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4"/>
    </w:rPr>
  </w:style>
  <w:style w:type="paragraph" w:customStyle="1" w:styleId="191">
    <w:name w:val="列项——（一级）"/>
    <w:qFormat/>
    <w:uiPriority w:val="99"/>
    <w:pPr>
      <w:widowControl w:val="0"/>
      <w:numPr>
        <w:ilvl w:val="0"/>
        <w:numId w:val="16"/>
      </w:numPr>
      <w:spacing w:before="100" w:after="200" w:line="276" w:lineRule="auto"/>
      <w:ind w:left="360" w:hanging="360"/>
      <w:jc w:val="both"/>
    </w:pPr>
    <w:rPr>
      <w:rFonts w:ascii="宋体" w:hAnsi="Calibri" w:eastAsia="宋体" w:cs="Times New Roman"/>
      <w:sz w:val="21"/>
      <w:lang w:val="en-US" w:eastAsia="zh-CN" w:bidi="ar-SA"/>
    </w:rPr>
  </w:style>
  <w:style w:type="paragraph" w:customStyle="1" w:styleId="192">
    <w:name w:val="正文首行缩进两字符"/>
    <w:basedOn w:val="1"/>
    <w:qFormat/>
    <w:uiPriority w:val="99"/>
    <w:pPr>
      <w:spacing w:line="360" w:lineRule="auto"/>
      <w:ind w:firstLine="200" w:firstLineChars="200"/>
    </w:pPr>
  </w:style>
  <w:style w:type="paragraph" w:customStyle="1" w:styleId="193">
    <w:name w:val="示例×："/>
    <w:basedOn w:val="86"/>
    <w:qFormat/>
    <w:uiPriority w:val="99"/>
    <w:pPr>
      <w:numPr>
        <w:numId w:val="17"/>
      </w:numPr>
      <w:tabs>
        <w:tab w:val="left" w:pos="420"/>
        <w:tab w:val="left" w:pos="425"/>
      </w:tabs>
      <w:spacing w:line="276" w:lineRule="auto"/>
      <w:ind w:left="360" w:hanging="360"/>
      <w:outlineLvl w:val="9"/>
    </w:pPr>
    <w:rPr>
      <w:rFonts w:ascii="宋体" w:hAnsi="Calibri" w:eastAsia="宋体"/>
      <w:sz w:val="18"/>
      <w:szCs w:val="18"/>
    </w:rPr>
  </w:style>
  <w:style w:type="paragraph" w:customStyle="1" w:styleId="194">
    <w:name w:val="正文首行缩进 21"/>
    <w:basedOn w:val="195"/>
    <w:qFormat/>
    <w:uiPriority w:val="99"/>
    <w:pPr>
      <w:widowControl/>
      <w:adjustRightInd w:val="0"/>
      <w:snapToGrid w:val="0"/>
      <w:ind w:firstLine="420" w:firstLineChars="200"/>
    </w:pPr>
    <w:rPr>
      <w:rFonts w:ascii="Calibri" w:hAnsi="Calibri" w:eastAsia="仿宋"/>
      <w:kern w:val="44"/>
      <w:sz w:val="24"/>
      <w:szCs w:val="22"/>
      <w:lang w:val="zh-CN" w:eastAsia="en-US"/>
    </w:rPr>
  </w:style>
  <w:style w:type="paragraph" w:customStyle="1" w:styleId="195">
    <w:name w:val="Body Text Indent1"/>
    <w:basedOn w:val="1"/>
    <w:qFormat/>
    <w:uiPriority w:val="0"/>
    <w:pPr>
      <w:spacing w:after="120"/>
      <w:ind w:left="420" w:leftChars="200"/>
    </w:pPr>
  </w:style>
  <w:style w:type="paragraph" w:customStyle="1" w:styleId="196">
    <w:name w:val="xl6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197">
    <w:name w:val="封面标准号2"/>
    <w:qFormat/>
    <w:uiPriority w:val="99"/>
    <w:pPr>
      <w:framePr w:w="9140" w:h="1242" w:hSpace="284" w:wrap="around" w:vAnchor="page" w:hAnchor="page" w:x="1645" w:y="2910" w:anchorLock="1"/>
      <w:spacing w:before="357" w:after="200" w:line="280" w:lineRule="exact"/>
      <w:jc w:val="right"/>
    </w:pPr>
    <w:rPr>
      <w:rFonts w:ascii="黑体" w:hAnsi="Calibri" w:eastAsia="黑体" w:cs="Times New Roman"/>
      <w:sz w:val="28"/>
      <w:szCs w:val="28"/>
      <w:lang w:val="en-US" w:eastAsia="zh-CN" w:bidi="ar-SA"/>
    </w:rPr>
  </w:style>
  <w:style w:type="paragraph" w:customStyle="1" w:styleId="198">
    <w:name w:val="其他标准标志"/>
    <w:basedOn w:val="104"/>
    <w:qFormat/>
    <w:uiPriority w:val="99"/>
    <w:pPr>
      <w:framePr w:w="6101" w:vAnchor="page" w:hAnchor="page" w:x="4673" w:y="942"/>
    </w:pPr>
    <w:rPr>
      <w:w w:val="130"/>
    </w:rPr>
  </w:style>
  <w:style w:type="paragraph" w:customStyle="1" w:styleId="199">
    <w:name w:val="三级无"/>
    <w:basedOn w:val="121"/>
    <w:qFormat/>
    <w:uiPriority w:val="99"/>
    <w:pPr>
      <w:spacing w:before="50" w:after="50"/>
    </w:pPr>
    <w:rPr>
      <w:rFonts w:ascii="宋体" w:eastAsia="宋体"/>
    </w:rPr>
  </w:style>
  <w:style w:type="paragraph" w:customStyle="1" w:styleId="200">
    <w:name w:val="编号列项（三级）"/>
    <w:qFormat/>
    <w:uiPriority w:val="99"/>
    <w:pPr>
      <w:spacing w:before="100" w:after="200" w:line="276" w:lineRule="auto"/>
    </w:pPr>
    <w:rPr>
      <w:rFonts w:ascii="宋体" w:hAnsi="Calibri" w:eastAsia="宋体" w:cs="Times New Roman"/>
      <w:sz w:val="21"/>
      <w:lang w:val="en-US" w:eastAsia="zh-CN" w:bidi="ar-SA"/>
    </w:rPr>
  </w:style>
  <w:style w:type="paragraph" w:customStyle="1" w:styleId="201">
    <w:name w:val="列项◆（三级）"/>
    <w:basedOn w:val="1"/>
    <w:qFormat/>
    <w:uiPriority w:val="99"/>
    <w:pPr>
      <w:widowControl/>
      <w:numPr>
        <w:ilvl w:val="2"/>
        <w:numId w:val="16"/>
      </w:numPr>
      <w:tabs>
        <w:tab w:val="clear" w:pos="1260"/>
      </w:tabs>
      <w:spacing w:before="100" w:after="200" w:line="276" w:lineRule="auto"/>
      <w:jc w:val="left"/>
    </w:pPr>
    <w:rPr>
      <w:rFonts w:ascii="宋体" w:hAnsi="Calibri" w:eastAsia="楷体_GB2312"/>
      <w:kern w:val="0"/>
      <w:sz w:val="24"/>
      <w:szCs w:val="21"/>
    </w:rPr>
  </w:style>
  <w:style w:type="paragraph" w:customStyle="1" w:styleId="202">
    <w:name w:val="字母编号列项（一级）"/>
    <w:qFormat/>
    <w:uiPriority w:val="99"/>
    <w:pPr>
      <w:numPr>
        <w:ilvl w:val="0"/>
        <w:numId w:val="18"/>
      </w:numPr>
      <w:jc w:val="both"/>
    </w:pPr>
    <w:rPr>
      <w:rFonts w:ascii="宋体" w:hAnsi="Times New Roman" w:eastAsia="宋体" w:cs="Times New Roman"/>
      <w:sz w:val="21"/>
      <w:lang w:val="en-US" w:eastAsia="zh-CN" w:bidi="ar-SA"/>
    </w:rPr>
  </w:style>
  <w:style w:type="paragraph" w:customStyle="1" w:styleId="203">
    <w:name w:val="图表脚注说明"/>
    <w:basedOn w:val="1"/>
    <w:qFormat/>
    <w:uiPriority w:val="99"/>
    <w:pPr>
      <w:widowControl/>
      <w:numPr>
        <w:ilvl w:val="0"/>
        <w:numId w:val="19"/>
      </w:numPr>
      <w:spacing w:before="100" w:after="200" w:line="276" w:lineRule="auto"/>
      <w:ind w:left="360" w:hanging="360"/>
      <w:jc w:val="left"/>
    </w:pPr>
    <w:rPr>
      <w:rFonts w:ascii="宋体" w:hAnsi="Calibri" w:eastAsia="楷体_GB2312"/>
      <w:kern w:val="0"/>
      <w:sz w:val="18"/>
      <w:szCs w:val="18"/>
    </w:rPr>
  </w:style>
  <w:style w:type="paragraph" w:customStyle="1" w:styleId="204">
    <w:name w:val="TOC 标题1"/>
    <w:basedOn w:val="2"/>
    <w:next w:val="1"/>
    <w:qFormat/>
    <w:uiPriority w:val="39"/>
    <w:pPr>
      <w:keepNext w:val="0"/>
      <w:keepLines w:val="0"/>
      <w:widowControl/>
      <w:pBdr>
        <w:top w:val="single" w:color="5B9BD5" w:sz="24" w:space="0"/>
        <w:left w:val="single" w:color="5B9BD5" w:sz="24" w:space="0"/>
        <w:bottom w:val="single" w:color="5B9BD5" w:sz="24" w:space="0"/>
        <w:right w:val="single" w:color="5B9BD5" w:sz="24" w:space="0"/>
      </w:pBdr>
      <w:shd w:val="clear" w:color="auto" w:fill="5B9BD5"/>
      <w:spacing w:before="100" w:after="0" w:line="276" w:lineRule="auto"/>
      <w:jc w:val="left"/>
      <w:outlineLvl w:val="9"/>
    </w:pPr>
    <w:rPr>
      <w:rFonts w:ascii="Calibri" w:hAnsi="Calibri"/>
      <w:bCs w:val="0"/>
      <w:caps/>
      <w:color w:val="FFFFFF"/>
      <w:spacing w:val="-2"/>
      <w:kern w:val="0"/>
      <w:szCs w:val="22"/>
    </w:rPr>
  </w:style>
  <w:style w:type="paragraph" w:customStyle="1" w:styleId="205">
    <w:name w:val="样式 标题 2 _A"/>
    <w:basedOn w:val="3"/>
    <w:qFormat/>
    <w:uiPriority w:val="99"/>
    <w:pPr>
      <w:numPr>
        <w:ilvl w:val="1"/>
        <w:numId w:val="20"/>
      </w:numPr>
      <w:spacing w:after="20" w:line="410" w:lineRule="auto"/>
    </w:pPr>
    <w:rPr>
      <w:rFonts w:ascii="楷体_GB2312" w:hAnsi="楷体_GB2312" w:eastAsia="楷体_GB2312" w:cs="宋体"/>
      <w:kern w:val="44"/>
    </w:rPr>
  </w:style>
  <w:style w:type="paragraph" w:customStyle="1" w:styleId="206">
    <w:name w:val="修订2"/>
    <w:qFormat/>
    <w:uiPriority w:val="99"/>
    <w:rPr>
      <w:rFonts w:ascii="Times New Roman" w:hAnsi="Times New Roman" w:eastAsia="微软雅黑" w:cs="Times New Roman"/>
      <w:kern w:val="44"/>
      <w:sz w:val="24"/>
      <w:lang w:val="en-US" w:eastAsia="en-US" w:bidi="ar-SA"/>
    </w:rPr>
  </w:style>
  <w:style w:type="paragraph" w:customStyle="1" w:styleId="207">
    <w:name w:val="et5"/>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4"/>
    </w:rPr>
  </w:style>
  <w:style w:type="paragraph" w:customStyle="1" w:styleId="208">
    <w:name w:val="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9">
    <w:name w:val="正文表标题"/>
    <w:next w:val="79"/>
    <w:qFormat/>
    <w:uiPriority w:val="99"/>
    <w:pPr>
      <w:tabs>
        <w:tab w:val="left" w:pos="1620"/>
      </w:tabs>
      <w:ind w:left="1620" w:hanging="348"/>
      <w:jc w:val="center"/>
    </w:pPr>
    <w:rPr>
      <w:rFonts w:ascii="黑体" w:hAnsi="Times New Roman" w:eastAsia="黑体" w:cs="Times New Roman"/>
      <w:sz w:val="21"/>
      <w:lang w:val="en-US" w:eastAsia="zh-CN" w:bidi="ar-SA"/>
    </w:rPr>
  </w:style>
  <w:style w:type="paragraph" w:customStyle="1" w:styleId="210">
    <w:name w:val="标准书眉_偶数页"/>
    <w:basedOn w:val="211"/>
    <w:next w:val="1"/>
    <w:qFormat/>
    <w:uiPriority w:val="99"/>
    <w:pPr>
      <w:tabs>
        <w:tab w:val="center" w:pos="4154"/>
        <w:tab w:val="right" w:pos="8306"/>
      </w:tabs>
      <w:jc w:val="left"/>
    </w:pPr>
  </w:style>
  <w:style w:type="paragraph" w:customStyle="1" w:styleId="211">
    <w:name w:val="标准书眉_奇数页"/>
    <w:next w:val="1"/>
    <w:qFormat/>
    <w:uiPriority w:val="99"/>
    <w:pPr>
      <w:tabs>
        <w:tab w:val="center" w:pos="4154"/>
        <w:tab w:val="right" w:pos="8306"/>
      </w:tabs>
      <w:spacing w:before="100" w:after="220" w:line="276" w:lineRule="auto"/>
      <w:jc w:val="right"/>
    </w:pPr>
    <w:rPr>
      <w:rFonts w:ascii="黑体" w:hAnsi="Calibri" w:eastAsia="黑体" w:cs="Times New Roman"/>
      <w:sz w:val="21"/>
      <w:szCs w:val="21"/>
      <w:lang w:val="en-US" w:eastAsia="zh-CN" w:bidi="ar-SA"/>
    </w:rPr>
  </w:style>
  <w:style w:type="paragraph" w:customStyle="1" w:styleId="212">
    <w:name w:val="无标题条"/>
    <w:next w:val="79"/>
    <w:qFormat/>
    <w:uiPriority w:val="99"/>
    <w:pPr>
      <w:spacing w:before="100" w:after="200" w:line="276" w:lineRule="auto"/>
      <w:jc w:val="both"/>
    </w:pPr>
    <w:rPr>
      <w:rFonts w:ascii="Calibri" w:hAnsi="Calibri" w:eastAsia="宋体" w:cs="Times New Roman"/>
      <w:sz w:val="21"/>
      <w:lang w:val="en-US" w:eastAsia="zh-CN" w:bidi="ar-SA"/>
    </w:rPr>
  </w:style>
  <w:style w:type="paragraph" w:customStyle="1" w:styleId="213">
    <w:name w:val="Char1"/>
    <w:basedOn w:val="1"/>
    <w:qFormat/>
    <w:uiPriority w:val="99"/>
    <w:rPr>
      <w:szCs w:val="21"/>
    </w:rPr>
  </w:style>
  <w:style w:type="paragraph" w:customStyle="1" w:styleId="214">
    <w:name w:val="目次、索引正文"/>
    <w:qFormat/>
    <w:uiPriority w:val="99"/>
    <w:pPr>
      <w:spacing w:before="100" w:after="200" w:line="320" w:lineRule="exact"/>
      <w:jc w:val="both"/>
    </w:pPr>
    <w:rPr>
      <w:rFonts w:ascii="宋体" w:hAnsi="Calibri" w:eastAsia="宋体" w:cs="Times New Roman"/>
      <w:sz w:val="21"/>
      <w:lang w:val="en-US" w:eastAsia="zh-CN" w:bidi="ar-SA"/>
    </w:rPr>
  </w:style>
  <w:style w:type="paragraph" w:customStyle="1" w:styleId="215">
    <w:name w:val="图的脚注"/>
    <w:next w:val="79"/>
    <w:qFormat/>
    <w:uiPriority w:val="99"/>
    <w:pPr>
      <w:widowControl w:val="0"/>
      <w:spacing w:before="100" w:after="200" w:line="276" w:lineRule="auto"/>
      <w:ind w:left="840" w:leftChars="200" w:hanging="420" w:hangingChars="200"/>
      <w:jc w:val="both"/>
    </w:pPr>
    <w:rPr>
      <w:rFonts w:ascii="宋体" w:hAnsi="Calibri" w:eastAsia="宋体" w:cs="Times New Roman"/>
      <w:sz w:val="18"/>
      <w:lang w:val="en-US" w:eastAsia="zh-CN" w:bidi="ar-SA"/>
    </w:rPr>
  </w:style>
  <w:style w:type="paragraph" w:customStyle="1" w:styleId="216">
    <w:name w:val="纯文本1"/>
    <w:basedOn w:val="1"/>
    <w:qFormat/>
    <w:uiPriority w:val="99"/>
    <w:rPr>
      <w:rFonts w:ascii="宋体" w:hAnsi="Courier New" w:cs="Century"/>
      <w:szCs w:val="21"/>
    </w:rPr>
  </w:style>
  <w:style w:type="paragraph" w:customStyle="1" w:styleId="217">
    <w:name w:val="附录表标号"/>
    <w:basedOn w:val="1"/>
    <w:next w:val="79"/>
    <w:qFormat/>
    <w:uiPriority w:val="99"/>
    <w:pPr>
      <w:widowControl/>
      <w:numPr>
        <w:ilvl w:val="0"/>
        <w:numId w:val="12"/>
      </w:numPr>
      <w:spacing w:before="100" w:after="200" w:line="14" w:lineRule="exact"/>
      <w:ind w:left="811" w:hanging="448"/>
      <w:jc w:val="center"/>
      <w:outlineLvl w:val="0"/>
    </w:pPr>
    <w:rPr>
      <w:rFonts w:ascii="Calibri" w:hAnsi="Calibri" w:eastAsia="楷体_GB2312"/>
      <w:color w:val="FFFFFF"/>
      <w:kern w:val="0"/>
      <w:sz w:val="24"/>
      <w:szCs w:val="20"/>
    </w:rPr>
  </w:style>
  <w:style w:type="paragraph" w:customStyle="1" w:styleId="218">
    <w:name w:val="_Style 214"/>
    <w:qFormat/>
    <w:uiPriority w:val="99"/>
    <w:rPr>
      <w:rFonts w:ascii="Times New Roman" w:hAnsi="Times New Roman" w:eastAsia="宋体" w:cs="Times New Roman"/>
      <w:kern w:val="2"/>
      <w:sz w:val="21"/>
      <w:szCs w:val="24"/>
      <w:lang w:val="en-US" w:eastAsia="zh-CN" w:bidi="ar-SA"/>
    </w:rPr>
  </w:style>
  <w:style w:type="paragraph" w:customStyle="1" w:styleId="219">
    <w:name w:val="其他实施日期"/>
    <w:basedOn w:val="155"/>
    <w:qFormat/>
    <w:uiPriority w:val="99"/>
  </w:style>
  <w:style w:type="paragraph" w:styleId="220">
    <w:name w:val="List Paragraph"/>
    <w:basedOn w:val="1"/>
    <w:qFormat/>
    <w:uiPriority w:val="99"/>
    <w:pPr>
      <w:ind w:firstLine="420" w:firstLineChars="200"/>
    </w:pPr>
  </w:style>
  <w:style w:type="paragraph" w:customStyle="1" w:styleId="221">
    <w:name w:val="默认段落字体 Para Char Char Char Char Char Char Char Char Char1 Char Char Char Char"/>
    <w:basedOn w:val="1"/>
    <w:qFormat/>
    <w:uiPriority w:val="99"/>
    <w:rPr>
      <w:rFonts w:ascii="Tahoma" w:hAnsi="Tahoma"/>
      <w:sz w:val="24"/>
      <w:szCs w:val="20"/>
    </w:rPr>
  </w:style>
  <w:style w:type="paragraph" w:customStyle="1" w:styleId="222">
    <w:name w:val="样式 样式 标题 1_A + 右侧:  0.37 厘米"/>
    <w:basedOn w:val="175"/>
    <w:qFormat/>
    <w:uiPriority w:val="99"/>
    <w:pPr>
      <w:numPr>
        <w:ilvl w:val="0"/>
        <w:numId w:val="20"/>
      </w:numPr>
      <w:ind w:left="-2" w:right="210" w:firstLine="0"/>
    </w:pPr>
    <w:rPr>
      <w:rFonts w:cs="宋体"/>
      <w:szCs w:val="20"/>
    </w:rPr>
  </w:style>
  <w:style w:type="paragraph" w:customStyle="1" w:styleId="223">
    <w:name w:val="示例"/>
    <w:next w:val="148"/>
    <w:qFormat/>
    <w:uiPriority w:val="99"/>
    <w:pPr>
      <w:widowControl w:val="0"/>
      <w:numPr>
        <w:ilvl w:val="0"/>
        <w:numId w:val="21"/>
      </w:numPr>
      <w:tabs>
        <w:tab w:val="clear" w:pos="425"/>
      </w:tabs>
      <w:spacing w:before="100" w:after="200" w:line="276" w:lineRule="auto"/>
      <w:ind w:left="840" w:hanging="420"/>
      <w:jc w:val="both"/>
    </w:pPr>
    <w:rPr>
      <w:rFonts w:ascii="宋体" w:hAnsi="Calibri" w:eastAsia="宋体" w:cs="Times New Roman"/>
      <w:sz w:val="18"/>
      <w:szCs w:val="18"/>
      <w:lang w:val="en-US" w:eastAsia="zh-CN" w:bidi="ar-SA"/>
    </w:rPr>
  </w:style>
  <w:style w:type="paragraph" w:customStyle="1" w:styleId="224">
    <w:name w:val="et9"/>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4"/>
    </w:rPr>
  </w:style>
  <w:style w:type="paragraph" w:customStyle="1" w:styleId="225">
    <w:name w:val="表头"/>
    <w:qFormat/>
    <w:uiPriority w:val="99"/>
    <w:pPr>
      <w:jc w:val="center"/>
    </w:pPr>
    <w:rPr>
      <w:rFonts w:ascii="Times New Roman" w:hAnsi="Times New Roman" w:eastAsia="宋体" w:cs="Times New Roman"/>
      <w:b/>
      <w:kern w:val="2"/>
      <w:sz w:val="21"/>
      <w:szCs w:val="21"/>
      <w:lang w:val="en-US" w:eastAsia="zh-CN" w:bidi="ar-SA"/>
    </w:rPr>
  </w:style>
  <w:style w:type="paragraph" w:customStyle="1" w:styleId="226">
    <w:name w:val="font1"/>
    <w:basedOn w:val="1"/>
    <w:qFormat/>
    <w:uiPriority w:val="99"/>
    <w:pPr>
      <w:widowControl/>
      <w:spacing w:before="100" w:beforeAutospacing="1" w:after="100" w:afterAutospacing="1"/>
      <w:jc w:val="left"/>
    </w:pPr>
    <w:rPr>
      <w:rFonts w:ascii="宋体" w:hAnsi="宋体" w:cs="宋体"/>
      <w:b/>
      <w:bCs/>
      <w:color w:val="000000"/>
      <w:kern w:val="0"/>
      <w:sz w:val="22"/>
      <w:szCs w:val="22"/>
    </w:rPr>
  </w:style>
  <w:style w:type="paragraph" w:customStyle="1" w:styleId="227">
    <w:name w:val="文献分类号"/>
    <w:qFormat/>
    <w:uiPriority w:val="99"/>
    <w:pPr>
      <w:framePr w:hSpace="180" w:vSpace="180" w:wrap="around" w:vAnchor="margin" w:hAnchor="margin" w:y="1" w:anchorLock="1"/>
      <w:widowControl w:val="0"/>
      <w:spacing w:before="100" w:after="200" w:line="276" w:lineRule="auto"/>
    </w:pPr>
    <w:rPr>
      <w:rFonts w:ascii="黑体" w:hAnsi="Calibri" w:eastAsia="黑体" w:cs="Times New Roman"/>
      <w:sz w:val="21"/>
      <w:szCs w:val="21"/>
      <w:lang w:val="en-US" w:eastAsia="zh-CN" w:bidi="ar-SA"/>
    </w:rPr>
  </w:style>
  <w:style w:type="paragraph" w:customStyle="1" w:styleId="228">
    <w:name w:val="xl6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4"/>
    </w:rPr>
  </w:style>
  <w:style w:type="paragraph" w:customStyle="1" w:styleId="229">
    <w:name w:val="xl6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4"/>
    </w:rPr>
  </w:style>
  <w:style w:type="paragraph" w:customStyle="1" w:styleId="230">
    <w:name w:val="et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4"/>
    </w:rPr>
  </w:style>
  <w:style w:type="paragraph" w:customStyle="1" w:styleId="231">
    <w:name w:val="三级无标题条"/>
    <w:basedOn w:val="1"/>
    <w:qFormat/>
    <w:uiPriority w:val="99"/>
    <w:pPr>
      <w:widowControl/>
      <w:spacing w:before="100" w:after="200" w:line="276" w:lineRule="auto"/>
      <w:jc w:val="left"/>
    </w:pPr>
    <w:rPr>
      <w:rFonts w:ascii="Calibri" w:hAnsi="Calibri" w:eastAsia="楷体_GB2312"/>
      <w:kern w:val="0"/>
      <w:sz w:val="24"/>
      <w:szCs w:val="20"/>
    </w:rPr>
  </w:style>
  <w:style w:type="paragraph" w:customStyle="1" w:styleId="232">
    <w:name w:val="四级无"/>
    <w:basedOn w:val="120"/>
    <w:qFormat/>
    <w:uiPriority w:val="99"/>
    <w:pPr>
      <w:numPr>
        <w:ilvl w:val="4"/>
        <w:numId w:val="5"/>
      </w:numPr>
      <w:tabs>
        <w:tab w:val="left" w:pos="1200"/>
      </w:tabs>
      <w:spacing w:before="50" w:after="50"/>
      <w:ind w:left="2100" w:hanging="420"/>
    </w:pPr>
    <w:rPr>
      <w:rFonts w:ascii="宋体" w:eastAsia="宋体"/>
    </w:rPr>
  </w:style>
  <w:style w:type="paragraph" w:customStyle="1" w:styleId="233">
    <w:name w:val="列项说明"/>
    <w:basedOn w:val="1"/>
    <w:qFormat/>
    <w:uiPriority w:val="99"/>
    <w:pPr>
      <w:widowControl/>
      <w:adjustRightInd w:val="0"/>
      <w:spacing w:before="100" w:after="200" w:line="320" w:lineRule="exact"/>
      <w:ind w:left="400" w:leftChars="200" w:hanging="200" w:hangingChars="200"/>
      <w:jc w:val="left"/>
    </w:pPr>
    <w:rPr>
      <w:rFonts w:ascii="宋体" w:hAnsi="Calibri" w:eastAsia="楷体_GB2312"/>
      <w:kern w:val="0"/>
      <w:sz w:val="24"/>
      <w:szCs w:val="20"/>
    </w:rPr>
  </w:style>
  <w:style w:type="paragraph" w:customStyle="1" w:styleId="234">
    <w:name w:val="目次、标准名称标题"/>
    <w:basedOn w:val="1"/>
    <w:next w:val="79"/>
    <w:qFormat/>
    <w:uiPriority w:val="99"/>
    <w:pPr>
      <w:keepNext/>
      <w:pageBreakBefore/>
      <w:widowControl/>
      <w:shd w:val="clear" w:color="auto" w:fill="FFFFFF"/>
      <w:spacing w:before="640" w:after="560" w:line="460" w:lineRule="exact"/>
      <w:jc w:val="center"/>
      <w:outlineLvl w:val="0"/>
    </w:pPr>
    <w:rPr>
      <w:rFonts w:ascii="黑体" w:eastAsia="黑体"/>
      <w:kern w:val="0"/>
      <w:sz w:val="32"/>
      <w:szCs w:val="20"/>
    </w:rPr>
  </w:style>
  <w:style w:type="paragraph" w:customStyle="1" w:styleId="235">
    <w:name w:val="数字编号列项（二级）"/>
    <w:qFormat/>
    <w:uiPriority w:val="99"/>
    <w:pPr>
      <w:tabs>
        <w:tab w:val="left" w:pos="1260"/>
      </w:tabs>
      <w:spacing w:before="100" w:after="200" w:line="276" w:lineRule="auto"/>
      <w:ind w:left="567" w:hanging="567"/>
      <w:jc w:val="both"/>
    </w:pPr>
    <w:rPr>
      <w:rFonts w:ascii="宋体" w:hAnsi="Calibri" w:eastAsia="宋体" w:cs="Times New Roman"/>
      <w:sz w:val="21"/>
      <w:lang w:val="en-US" w:eastAsia="zh-CN" w:bidi="ar-SA"/>
    </w:rPr>
  </w:style>
  <w:style w:type="paragraph" w:customStyle="1" w:styleId="236">
    <w:name w:val="修订21"/>
    <w:qFormat/>
    <w:uiPriority w:val="99"/>
    <w:rPr>
      <w:rFonts w:ascii="Times New Roman" w:hAnsi="Times New Roman" w:eastAsia="宋体" w:cs="Times New Roman"/>
      <w:kern w:val="2"/>
      <w:sz w:val="21"/>
      <w:szCs w:val="24"/>
      <w:lang w:val="en-US" w:eastAsia="zh-CN" w:bidi="ar-SA"/>
    </w:rPr>
  </w:style>
  <w:style w:type="character" w:customStyle="1" w:styleId="237">
    <w:name w:val="标题 1 字符1"/>
    <w:link w:val="2"/>
    <w:qFormat/>
    <w:uiPriority w:val="9"/>
    <w:rPr>
      <w:rFonts w:ascii="Times New Roman" w:hAnsi="Times New Roman" w:eastAsia="宋体" w:cs="Times New Roman"/>
      <w:b/>
      <w:bCs/>
      <w:kern w:val="44"/>
      <w:sz w:val="44"/>
      <w:szCs w:val="44"/>
    </w:rPr>
  </w:style>
  <w:style w:type="character" w:customStyle="1" w:styleId="238">
    <w:name w:val="标题 3 字符"/>
    <w:link w:val="4"/>
    <w:qFormat/>
    <w:uiPriority w:val="0"/>
    <w:rPr>
      <w:rFonts w:ascii="Times New Roman" w:hAnsi="Times New Roman" w:eastAsia="宋体" w:cs="Times New Roman"/>
      <w:b/>
      <w:bCs/>
      <w:sz w:val="32"/>
      <w:szCs w:val="32"/>
    </w:rPr>
  </w:style>
  <w:style w:type="character" w:customStyle="1" w:styleId="239">
    <w:name w:val="标题 4 字符"/>
    <w:link w:val="5"/>
    <w:qFormat/>
    <w:uiPriority w:val="0"/>
    <w:rPr>
      <w:rFonts w:ascii="等线 Light" w:hAnsi="等线 Light" w:eastAsia="等线 Light" w:cs="Times New Roman"/>
      <w:b/>
      <w:bCs/>
      <w:kern w:val="2"/>
      <w:sz w:val="28"/>
      <w:szCs w:val="28"/>
    </w:rPr>
  </w:style>
  <w:style w:type="character" w:customStyle="1" w:styleId="240">
    <w:name w:val="标题 5 Char2"/>
    <w:qFormat/>
    <w:uiPriority w:val="0"/>
    <w:rPr>
      <w:b/>
      <w:kern w:val="2"/>
      <w:sz w:val="28"/>
      <w:szCs w:val="24"/>
    </w:rPr>
  </w:style>
  <w:style w:type="character" w:customStyle="1" w:styleId="241">
    <w:name w:val="标题 6 字符"/>
    <w:link w:val="7"/>
    <w:qFormat/>
    <w:uiPriority w:val="9"/>
    <w:rPr>
      <w:rFonts w:ascii="Arial" w:hAnsi="Arial" w:eastAsia="黑体"/>
      <w:b/>
      <w:kern w:val="2"/>
      <w:sz w:val="24"/>
      <w:szCs w:val="24"/>
    </w:rPr>
  </w:style>
  <w:style w:type="character" w:customStyle="1" w:styleId="242">
    <w:name w:val="标题 7 字符"/>
    <w:link w:val="9"/>
    <w:qFormat/>
    <w:uiPriority w:val="9"/>
    <w:rPr>
      <w:b/>
      <w:kern w:val="2"/>
      <w:sz w:val="24"/>
      <w:szCs w:val="24"/>
    </w:rPr>
  </w:style>
  <w:style w:type="character" w:customStyle="1" w:styleId="243">
    <w:name w:val="标题 8 字符"/>
    <w:link w:val="10"/>
    <w:qFormat/>
    <w:uiPriority w:val="9"/>
    <w:rPr>
      <w:rFonts w:ascii="Arial" w:hAnsi="Arial" w:eastAsia="黑体"/>
      <w:kern w:val="2"/>
      <w:sz w:val="24"/>
      <w:szCs w:val="24"/>
    </w:rPr>
  </w:style>
  <w:style w:type="character" w:customStyle="1" w:styleId="244">
    <w:name w:val="标题 9 字符"/>
    <w:link w:val="11"/>
    <w:qFormat/>
    <w:uiPriority w:val="9"/>
    <w:rPr>
      <w:rFonts w:ascii="Arial" w:hAnsi="Arial" w:eastAsia="黑体"/>
      <w:kern w:val="2"/>
      <w:sz w:val="21"/>
      <w:szCs w:val="24"/>
    </w:rPr>
  </w:style>
  <w:style w:type="character" w:customStyle="1" w:styleId="245">
    <w:name w:val="文档结构图 字符2"/>
    <w:link w:val="18"/>
    <w:qFormat/>
    <w:uiPriority w:val="99"/>
    <w:rPr>
      <w:rFonts w:ascii="宋体" w:hAnsi="宋体"/>
      <w:shd w:val="clear" w:color="auto" w:fill="000080"/>
    </w:rPr>
  </w:style>
  <w:style w:type="character" w:customStyle="1" w:styleId="246">
    <w:name w:val="批注文字 字符1"/>
    <w:link w:val="19"/>
    <w:qFormat/>
    <w:uiPriority w:val="99"/>
    <w:rPr>
      <w:rFonts w:ascii="Times New Roman" w:hAnsi="Times New Roman"/>
      <w:kern w:val="2"/>
      <w:sz w:val="21"/>
      <w:szCs w:val="24"/>
    </w:rPr>
  </w:style>
  <w:style w:type="character" w:customStyle="1" w:styleId="247">
    <w:name w:val="正文文本 3 字符"/>
    <w:link w:val="21"/>
    <w:qFormat/>
    <w:uiPriority w:val="0"/>
    <w:rPr>
      <w:rFonts w:ascii="Times New Roman" w:hAnsi="Times New Roman" w:eastAsia="宋体" w:cs="Times New Roman"/>
      <w:b/>
      <w:bCs/>
      <w:sz w:val="24"/>
      <w:szCs w:val="24"/>
    </w:rPr>
  </w:style>
  <w:style w:type="character" w:customStyle="1" w:styleId="248">
    <w:name w:val="正文文本 字符"/>
    <w:link w:val="22"/>
    <w:qFormat/>
    <w:uiPriority w:val="99"/>
    <w:rPr>
      <w:rFonts w:ascii="Times New Roman" w:hAnsi="Times New Roman" w:eastAsia="宋体" w:cs="Times New Roman"/>
      <w:sz w:val="24"/>
      <w:szCs w:val="24"/>
    </w:rPr>
  </w:style>
  <w:style w:type="character" w:customStyle="1" w:styleId="249">
    <w:name w:val="页眉 字符"/>
    <w:link w:val="40"/>
    <w:qFormat/>
    <w:uiPriority w:val="99"/>
    <w:rPr>
      <w:rFonts w:ascii="Times New Roman" w:hAnsi="Times New Roman"/>
      <w:kern w:val="2"/>
      <w:sz w:val="18"/>
      <w:szCs w:val="18"/>
    </w:rPr>
  </w:style>
  <w:style w:type="character" w:customStyle="1" w:styleId="250">
    <w:name w:val="正文文本缩进 字符1"/>
    <w:link w:val="25"/>
    <w:qFormat/>
    <w:uiPriority w:val="0"/>
    <w:rPr>
      <w:rFonts w:ascii="仿宋_GB2312" w:hAnsi="Times New Roman" w:eastAsia="仿宋_GB2312" w:cs="Times New Roman"/>
      <w:sz w:val="32"/>
      <w:szCs w:val="20"/>
    </w:rPr>
  </w:style>
  <w:style w:type="character" w:customStyle="1" w:styleId="251">
    <w:name w:val="HTML 地址 字符"/>
    <w:link w:val="28"/>
    <w:qFormat/>
    <w:uiPriority w:val="0"/>
    <w:rPr>
      <w:rFonts w:ascii="Calibri" w:hAnsi="Calibri" w:eastAsia="楷体_GB2312"/>
      <w:i/>
      <w:iCs/>
      <w:sz w:val="24"/>
    </w:rPr>
  </w:style>
  <w:style w:type="character" w:customStyle="1" w:styleId="252">
    <w:name w:val="纯文本 字符2"/>
    <w:link w:val="32"/>
    <w:qFormat/>
    <w:uiPriority w:val="0"/>
    <w:rPr>
      <w:rFonts w:ascii="宋体" w:hAnsi="Courier New"/>
      <w:w w:val="95"/>
      <w:sz w:val="21"/>
      <w:szCs w:val="21"/>
    </w:rPr>
  </w:style>
  <w:style w:type="character" w:customStyle="1" w:styleId="253">
    <w:name w:val="日期 字符"/>
    <w:link w:val="35"/>
    <w:qFormat/>
    <w:uiPriority w:val="99"/>
    <w:rPr>
      <w:rFonts w:ascii="宋体" w:hAnsi="Courier New" w:eastAsia="宋体" w:cs="Courier New"/>
      <w:szCs w:val="21"/>
    </w:rPr>
  </w:style>
  <w:style w:type="character" w:customStyle="1" w:styleId="254">
    <w:name w:val="正文文本缩进 2 字符"/>
    <w:link w:val="36"/>
    <w:qFormat/>
    <w:uiPriority w:val="99"/>
    <w:rPr>
      <w:rFonts w:ascii="Times New Roman" w:hAnsi="Times New Roman" w:eastAsia="宋体" w:cs="Times New Roman"/>
      <w:sz w:val="32"/>
      <w:szCs w:val="20"/>
    </w:rPr>
  </w:style>
  <w:style w:type="character" w:customStyle="1" w:styleId="255">
    <w:name w:val="尾注文本 字符"/>
    <w:link w:val="37"/>
    <w:qFormat/>
    <w:uiPriority w:val="99"/>
    <w:rPr>
      <w:rFonts w:ascii="Times New Roman" w:hAnsi="Times New Roman"/>
      <w:kern w:val="2"/>
      <w:sz w:val="21"/>
      <w:szCs w:val="24"/>
    </w:rPr>
  </w:style>
  <w:style w:type="character" w:customStyle="1" w:styleId="256">
    <w:name w:val="批注框文本 字符"/>
    <w:link w:val="38"/>
    <w:qFormat/>
    <w:uiPriority w:val="99"/>
    <w:rPr>
      <w:rFonts w:ascii="Times New Roman" w:hAnsi="Times New Roman" w:eastAsia="宋体" w:cs="Times New Roman"/>
      <w:sz w:val="18"/>
      <w:szCs w:val="18"/>
    </w:rPr>
  </w:style>
  <w:style w:type="character" w:customStyle="1" w:styleId="257">
    <w:name w:val="页脚 字符"/>
    <w:link w:val="39"/>
    <w:qFormat/>
    <w:uiPriority w:val="99"/>
    <w:rPr>
      <w:sz w:val="18"/>
      <w:szCs w:val="18"/>
    </w:rPr>
  </w:style>
  <w:style w:type="character" w:customStyle="1" w:styleId="258">
    <w:name w:val="副标题 字符"/>
    <w:link w:val="45"/>
    <w:qFormat/>
    <w:uiPriority w:val="11"/>
    <w:rPr>
      <w:rFonts w:ascii="Calibri" w:hAnsi="Calibri" w:eastAsia="楷体_GB2312"/>
      <w:caps/>
      <w:color w:val="595959"/>
      <w:spacing w:val="10"/>
      <w:sz w:val="21"/>
      <w:szCs w:val="21"/>
    </w:rPr>
  </w:style>
  <w:style w:type="character" w:customStyle="1" w:styleId="259">
    <w:name w:val="脚注文本 字符"/>
    <w:link w:val="47"/>
    <w:qFormat/>
    <w:uiPriority w:val="99"/>
    <w:rPr>
      <w:rFonts w:ascii="Times New Roman" w:hAnsi="Times New Roman"/>
      <w:kern w:val="2"/>
      <w:sz w:val="18"/>
      <w:szCs w:val="18"/>
    </w:rPr>
  </w:style>
  <w:style w:type="character" w:customStyle="1" w:styleId="260">
    <w:name w:val="正文文本缩进 3 字符"/>
    <w:link w:val="49"/>
    <w:qFormat/>
    <w:uiPriority w:val="99"/>
    <w:rPr>
      <w:rFonts w:ascii="Times New Roman" w:hAnsi="Times New Roman" w:eastAsia="宋体" w:cs="Times New Roman"/>
      <w:sz w:val="16"/>
      <w:szCs w:val="16"/>
    </w:rPr>
  </w:style>
  <w:style w:type="character" w:customStyle="1" w:styleId="261">
    <w:name w:val="正文文本 2 字符"/>
    <w:link w:val="54"/>
    <w:qFormat/>
    <w:uiPriority w:val="99"/>
    <w:rPr>
      <w:rFonts w:ascii="Times New Roman" w:hAnsi="Times New Roman" w:eastAsia="宋体" w:cs="Times New Roman"/>
      <w:szCs w:val="24"/>
    </w:rPr>
  </w:style>
  <w:style w:type="character" w:customStyle="1" w:styleId="262">
    <w:name w:val="HTML 预设格式 字符"/>
    <w:link w:val="55"/>
    <w:qFormat/>
    <w:uiPriority w:val="0"/>
    <w:rPr>
      <w:rFonts w:ascii="Courier New" w:hAnsi="Courier New" w:eastAsia="楷体_GB2312"/>
      <w:sz w:val="24"/>
    </w:rPr>
  </w:style>
  <w:style w:type="character" w:customStyle="1" w:styleId="263">
    <w:name w:val="标题 字符"/>
    <w:link w:val="58"/>
    <w:qFormat/>
    <w:uiPriority w:val="99"/>
    <w:rPr>
      <w:rFonts w:ascii="Cambria" w:hAnsi="Cambria" w:cs="Times New Roman"/>
      <w:b/>
      <w:bCs/>
      <w:kern w:val="2"/>
      <w:sz w:val="32"/>
      <w:szCs w:val="32"/>
    </w:rPr>
  </w:style>
  <w:style w:type="character" w:customStyle="1" w:styleId="264">
    <w:name w:val="批注主题 字符"/>
    <w:link w:val="59"/>
    <w:qFormat/>
    <w:uiPriority w:val="99"/>
    <w:rPr>
      <w:rFonts w:ascii="Times New Roman" w:hAnsi="Times New Roman"/>
      <w:b/>
      <w:bCs/>
      <w:kern w:val="2"/>
      <w:sz w:val="21"/>
      <w:szCs w:val="24"/>
    </w:rPr>
  </w:style>
  <w:style w:type="character" w:customStyle="1" w:styleId="265">
    <w:name w:val="正文文本首行缩进 字符"/>
    <w:link w:val="60"/>
    <w:qFormat/>
    <w:uiPriority w:val="99"/>
    <w:rPr>
      <w:rFonts w:ascii="微软雅黑" w:hAnsi="微软雅黑" w:eastAsia="微软雅黑" w:cs="微软雅黑"/>
      <w:sz w:val="24"/>
      <w:szCs w:val="21"/>
    </w:rPr>
  </w:style>
  <w:style w:type="character" w:customStyle="1" w:styleId="266">
    <w:name w:val="正文文本首行缩进 2 字符"/>
    <w:link w:val="61"/>
    <w:qFormat/>
    <w:uiPriority w:val="99"/>
    <w:rPr>
      <w:rFonts w:ascii="仿宋_GB2312" w:hAnsi="Times New Roman" w:eastAsia="仿宋_GB2312" w:cs="Times New Roman"/>
      <w:sz w:val="21"/>
      <w:szCs w:val="24"/>
      <w:shd w:val="clear" w:color="auto" w:fill="FFFFFF"/>
    </w:rPr>
  </w:style>
  <w:style w:type="character" w:customStyle="1" w:styleId="267">
    <w:name w:val="标题 7 字符1"/>
    <w:qFormat/>
    <w:uiPriority w:val="9"/>
    <w:rPr>
      <w:b/>
      <w:kern w:val="2"/>
      <w:sz w:val="24"/>
      <w:szCs w:val="24"/>
    </w:rPr>
  </w:style>
  <w:style w:type="character" w:customStyle="1" w:styleId="268">
    <w:name w:val="明显参考1"/>
    <w:qFormat/>
    <w:uiPriority w:val="32"/>
    <w:rPr>
      <w:b/>
      <w:bCs/>
      <w:i/>
      <w:iCs/>
      <w:caps/>
      <w:color w:val="5B9BD5"/>
    </w:rPr>
  </w:style>
  <w:style w:type="character" w:customStyle="1" w:styleId="269">
    <w:name w:val="font51"/>
    <w:qFormat/>
    <w:uiPriority w:val="0"/>
    <w:rPr>
      <w:rFonts w:hint="eastAsia" w:ascii="宋体" w:hAnsi="宋体" w:eastAsia="宋体" w:cs="宋体"/>
      <w:color w:val="000000"/>
      <w:sz w:val="24"/>
      <w:szCs w:val="24"/>
      <w:u w:val="double"/>
    </w:rPr>
  </w:style>
  <w:style w:type="character" w:customStyle="1" w:styleId="270">
    <w:name w:val="前言、引言标题 Char"/>
    <w:link w:val="78"/>
    <w:qFormat/>
    <w:uiPriority w:val="0"/>
    <w:rPr>
      <w:rFonts w:ascii="黑体" w:hAnsi="黑体" w:eastAsia="黑体"/>
      <w:sz w:val="32"/>
      <w:shd w:val="clear" w:color="auto" w:fill="FFFFFF"/>
      <w:lang w:val="en-US" w:eastAsia="zh-CN" w:bidi="ar-SA"/>
    </w:rPr>
  </w:style>
  <w:style w:type="character" w:customStyle="1" w:styleId="271">
    <w:name w:val="段 Char"/>
    <w:link w:val="79"/>
    <w:qFormat/>
    <w:uiPriority w:val="0"/>
    <w:rPr>
      <w:rFonts w:ascii="宋体" w:hAnsi="Calibri"/>
      <w:sz w:val="21"/>
      <w:lang w:val="en-US" w:eastAsia="zh-CN" w:bidi="ar-SA"/>
    </w:rPr>
  </w:style>
  <w:style w:type="character" w:customStyle="1" w:styleId="272">
    <w:name w:val="标题 2 Char Char"/>
    <w:qFormat/>
    <w:uiPriority w:val="0"/>
    <w:rPr>
      <w:rFonts w:hint="eastAsia" w:ascii="宋体" w:hAnsi="宋体" w:eastAsia="宋体"/>
      <w:kern w:val="2"/>
    </w:rPr>
  </w:style>
  <w:style w:type="character" w:customStyle="1" w:styleId="273">
    <w:name w:val="书籍标题1"/>
    <w:qFormat/>
    <w:uiPriority w:val="33"/>
    <w:rPr>
      <w:b/>
      <w:bCs/>
      <w:i/>
      <w:iCs/>
      <w:spacing w:val="0"/>
    </w:rPr>
  </w:style>
  <w:style w:type="character" w:customStyle="1" w:styleId="274">
    <w:name w:val="正文文本缩进 2 字符1"/>
    <w:qFormat/>
    <w:uiPriority w:val="99"/>
    <w:rPr>
      <w:sz w:val="32"/>
    </w:rPr>
  </w:style>
  <w:style w:type="character" w:customStyle="1" w:styleId="275">
    <w:name w:val="标题 6 字符2"/>
    <w:qFormat/>
    <w:uiPriority w:val="9"/>
    <w:rPr>
      <w:rFonts w:ascii="Arial" w:hAnsi="Arial" w:eastAsia="黑体"/>
      <w:b/>
      <w:kern w:val="2"/>
      <w:sz w:val="24"/>
      <w:szCs w:val="24"/>
    </w:rPr>
  </w:style>
  <w:style w:type="character" w:customStyle="1" w:styleId="276">
    <w:name w:val="段 Char Char"/>
    <w:qFormat/>
    <w:uiPriority w:val="0"/>
    <w:rPr>
      <w:rFonts w:hint="eastAsia" w:ascii="宋体" w:hAnsi="宋体" w:eastAsia="宋体"/>
    </w:rPr>
  </w:style>
  <w:style w:type="character" w:customStyle="1" w:styleId="277">
    <w:name w:val="页脚 字符2"/>
    <w:qFormat/>
    <w:uiPriority w:val="99"/>
    <w:rPr>
      <w:sz w:val="18"/>
      <w:szCs w:val="18"/>
    </w:rPr>
  </w:style>
  <w:style w:type="character" w:customStyle="1" w:styleId="278">
    <w:name w:val="个人答复风格"/>
    <w:qFormat/>
    <w:uiPriority w:val="0"/>
    <w:rPr>
      <w:rFonts w:hint="default" w:ascii="Arial" w:hAnsi="Arial" w:eastAsia="宋体" w:cs="Arial"/>
      <w:color w:val="auto"/>
      <w:sz w:val="20"/>
    </w:rPr>
  </w:style>
  <w:style w:type="character" w:customStyle="1" w:styleId="279">
    <w:name w:val="标题 1 字符"/>
    <w:qFormat/>
    <w:uiPriority w:val="9"/>
    <w:rPr>
      <w:rFonts w:ascii="Times New Roman" w:hAnsi="Times New Roman" w:eastAsia="宋体" w:cs="Times New Roman"/>
      <w:b/>
      <w:bCs/>
      <w:kern w:val="44"/>
      <w:sz w:val="44"/>
      <w:szCs w:val="44"/>
    </w:rPr>
  </w:style>
  <w:style w:type="character" w:customStyle="1" w:styleId="280">
    <w:name w:val="纯文本 Char"/>
    <w:qFormat/>
    <w:uiPriority w:val="0"/>
    <w:rPr>
      <w:rFonts w:ascii="宋体" w:hAnsi="Courier New" w:eastAsia="宋体" w:cs="Courier New"/>
      <w:szCs w:val="21"/>
    </w:rPr>
  </w:style>
  <w:style w:type="character" w:customStyle="1" w:styleId="281">
    <w:name w:val="纯文本 字符"/>
    <w:qFormat/>
    <w:uiPriority w:val="0"/>
    <w:rPr>
      <w:rFonts w:ascii="宋体" w:hAnsi="Courier New" w:eastAsia="宋体" w:cs="Courier New"/>
      <w:szCs w:val="21"/>
    </w:rPr>
  </w:style>
  <w:style w:type="character" w:customStyle="1" w:styleId="282">
    <w:name w:val="标题 8 字符2"/>
    <w:qFormat/>
    <w:uiPriority w:val="9"/>
    <w:rPr>
      <w:rFonts w:ascii="Arial" w:hAnsi="Arial" w:eastAsia="黑体"/>
      <w:kern w:val="2"/>
      <w:sz w:val="24"/>
      <w:szCs w:val="24"/>
    </w:rPr>
  </w:style>
  <w:style w:type="character" w:customStyle="1" w:styleId="283">
    <w:name w:val="发布"/>
    <w:qFormat/>
    <w:uiPriority w:val="0"/>
    <w:rPr>
      <w:rFonts w:hint="eastAsia" w:ascii="黑体" w:hAnsi="黑体" w:eastAsia="黑体"/>
      <w:spacing w:val="85"/>
      <w:w w:val="100"/>
      <w:position w:val="3"/>
      <w:sz w:val="28"/>
      <w:szCs w:val="28"/>
    </w:rPr>
  </w:style>
  <w:style w:type="character" w:customStyle="1" w:styleId="284">
    <w:name w:val="正文文本缩进 字符"/>
    <w:qFormat/>
    <w:uiPriority w:val="99"/>
    <w:rPr>
      <w:rFonts w:ascii="仿宋_GB2312" w:hAnsi="Times New Roman" w:eastAsia="仿宋_GB2312" w:cs="Times New Roman"/>
      <w:sz w:val="32"/>
      <w:szCs w:val="20"/>
    </w:rPr>
  </w:style>
  <w:style w:type="character" w:customStyle="1" w:styleId="285">
    <w:name w:val="标题 3 字符2"/>
    <w:qFormat/>
    <w:uiPriority w:val="0"/>
    <w:rPr>
      <w:b/>
      <w:bCs/>
      <w:sz w:val="32"/>
      <w:szCs w:val="32"/>
    </w:rPr>
  </w:style>
  <w:style w:type="character" w:customStyle="1" w:styleId="286">
    <w:name w:val="font71"/>
    <w:qFormat/>
    <w:uiPriority w:val="0"/>
    <w:rPr>
      <w:rFonts w:hint="default" w:ascii="Times New Roman" w:hAnsi="Times New Roman" w:cs="Times New Roman"/>
      <w:color w:val="000000"/>
      <w:sz w:val="21"/>
      <w:szCs w:val="21"/>
      <w:u w:val="none"/>
    </w:rPr>
  </w:style>
  <w:style w:type="character" w:customStyle="1" w:styleId="287">
    <w:name w:val="附录标识 Char"/>
    <w:link w:val="80"/>
    <w:qFormat/>
    <w:uiPriority w:val="99"/>
    <w:rPr>
      <w:rFonts w:ascii="黑体" w:eastAsia="黑体"/>
      <w:sz w:val="21"/>
      <w:shd w:val="clear" w:color="auto" w:fill="FFFFFF"/>
    </w:rPr>
  </w:style>
  <w:style w:type="character" w:customStyle="1" w:styleId="288">
    <w:name w:val="apple-style-span"/>
    <w:qFormat/>
    <w:uiPriority w:val="0"/>
  </w:style>
  <w:style w:type="character" w:customStyle="1" w:styleId="289">
    <w:name w:val="纯文本 Char1"/>
    <w:qFormat/>
    <w:uiPriority w:val="0"/>
    <w:rPr>
      <w:rFonts w:ascii="宋体" w:hAnsi="Courier New" w:eastAsia="宋体" w:cs="Courier New"/>
      <w:szCs w:val="21"/>
    </w:rPr>
  </w:style>
  <w:style w:type="character" w:customStyle="1" w:styleId="290">
    <w:name w:val="apple-converted-space"/>
    <w:qFormat/>
    <w:uiPriority w:val="0"/>
  </w:style>
  <w:style w:type="character" w:customStyle="1" w:styleId="291">
    <w:name w:val="标题 9 字符1"/>
    <w:qFormat/>
    <w:uiPriority w:val="9"/>
    <w:rPr>
      <w:rFonts w:hint="default" w:ascii="Arial" w:hAnsi="Arial" w:eastAsia="黑体" w:cs="Arial"/>
      <w:kern w:val="2"/>
      <w:sz w:val="21"/>
      <w:szCs w:val="24"/>
    </w:rPr>
  </w:style>
  <w:style w:type="character" w:customStyle="1" w:styleId="292">
    <w:name w:val="批注文字 字符"/>
    <w:qFormat/>
    <w:uiPriority w:val="99"/>
    <w:rPr>
      <w:rFonts w:ascii="Times New Roman" w:hAnsi="Times New Roman"/>
      <w:kern w:val="2"/>
      <w:sz w:val="21"/>
      <w:szCs w:val="24"/>
    </w:rPr>
  </w:style>
  <w:style w:type="character" w:customStyle="1" w:styleId="293">
    <w:name w:val="标题 9 字符2"/>
    <w:qFormat/>
    <w:uiPriority w:val="9"/>
    <w:rPr>
      <w:rFonts w:ascii="Arial" w:hAnsi="Arial" w:eastAsia="黑体"/>
      <w:kern w:val="2"/>
      <w:sz w:val="21"/>
      <w:szCs w:val="24"/>
    </w:rPr>
  </w:style>
  <w:style w:type="character" w:customStyle="1" w:styleId="294">
    <w:name w:val="正文2 Char Char"/>
    <w:link w:val="81"/>
    <w:qFormat/>
    <w:uiPriority w:val="0"/>
    <w:rPr>
      <w:kern w:val="2"/>
      <w:sz w:val="24"/>
    </w:rPr>
  </w:style>
  <w:style w:type="character" w:customStyle="1" w:styleId="295">
    <w:name w:val="标题 6 字符1"/>
    <w:qFormat/>
    <w:uiPriority w:val="9"/>
    <w:rPr>
      <w:rFonts w:hint="default" w:ascii="Arial" w:hAnsi="Arial" w:eastAsia="黑体" w:cs="Arial"/>
      <w:b/>
      <w:kern w:val="2"/>
      <w:sz w:val="24"/>
      <w:szCs w:val="24"/>
    </w:rPr>
  </w:style>
  <w:style w:type="character" w:customStyle="1" w:styleId="296">
    <w:name w:val="明显引用 字符"/>
    <w:link w:val="82"/>
    <w:qFormat/>
    <w:uiPriority w:val="30"/>
    <w:rPr>
      <w:rFonts w:ascii="Calibri" w:hAnsi="Calibri" w:eastAsia="楷体_GB2312" w:cs="Calibri"/>
      <w:color w:val="5B9BD5"/>
      <w:sz w:val="24"/>
      <w:szCs w:val="24"/>
    </w:rPr>
  </w:style>
  <w:style w:type="character" w:customStyle="1" w:styleId="297">
    <w:name w:val="附录公式 Char"/>
    <w:link w:val="83"/>
    <w:qFormat/>
    <w:uiPriority w:val="0"/>
  </w:style>
  <w:style w:type="character" w:customStyle="1" w:styleId="298">
    <w:name w:val="headline-content4"/>
    <w:qFormat/>
    <w:uiPriority w:val="0"/>
  </w:style>
  <w:style w:type="character" w:customStyle="1" w:styleId="299">
    <w:name w:val="脚注文本 字符1"/>
    <w:qFormat/>
    <w:uiPriority w:val="99"/>
    <w:rPr>
      <w:kern w:val="2"/>
      <w:sz w:val="18"/>
      <w:szCs w:val="18"/>
    </w:rPr>
  </w:style>
  <w:style w:type="character" w:customStyle="1" w:styleId="300">
    <w:name w:val="附录章标题 Char"/>
    <w:link w:val="84"/>
    <w:qFormat/>
    <w:uiPriority w:val="99"/>
    <w:rPr>
      <w:rFonts w:ascii="黑体" w:eastAsia="黑体"/>
      <w:kern w:val="21"/>
      <w:sz w:val="21"/>
      <w:lang w:val="en-US" w:eastAsia="zh-CN" w:bidi="ar-SA"/>
    </w:rPr>
  </w:style>
  <w:style w:type="character" w:customStyle="1" w:styleId="301">
    <w:name w:val="textcontents"/>
    <w:qFormat/>
    <w:uiPriority w:val="0"/>
  </w:style>
  <w:style w:type="character" w:customStyle="1" w:styleId="302">
    <w:name w:val="font41"/>
    <w:qFormat/>
    <w:uiPriority w:val="0"/>
    <w:rPr>
      <w:rFonts w:hint="eastAsia" w:ascii="宋体" w:hAnsi="宋体" w:eastAsia="宋体" w:cs="宋体"/>
      <w:color w:val="000000"/>
      <w:sz w:val="24"/>
      <w:szCs w:val="24"/>
      <w:u w:val="none"/>
    </w:rPr>
  </w:style>
  <w:style w:type="character" w:customStyle="1" w:styleId="303">
    <w:name w:val="尾注文本 字符2"/>
    <w:qFormat/>
    <w:uiPriority w:val="99"/>
    <w:rPr>
      <w:kern w:val="2"/>
      <w:sz w:val="21"/>
      <w:szCs w:val="24"/>
    </w:rPr>
  </w:style>
  <w:style w:type="character" w:customStyle="1" w:styleId="304">
    <w:name w:val="页脚 字符1"/>
    <w:qFormat/>
    <w:uiPriority w:val="99"/>
    <w:rPr>
      <w:sz w:val="18"/>
      <w:szCs w:val="18"/>
    </w:rPr>
  </w:style>
  <w:style w:type="character" w:customStyle="1" w:styleId="305">
    <w:name w:val="正文文本缩进 3 字符2"/>
    <w:qFormat/>
    <w:uiPriority w:val="99"/>
    <w:rPr>
      <w:sz w:val="16"/>
      <w:szCs w:val="16"/>
    </w:rPr>
  </w:style>
  <w:style w:type="character" w:customStyle="1" w:styleId="306">
    <w:name w:val="case31"/>
    <w:qFormat/>
    <w:uiPriority w:val="0"/>
    <w:rPr>
      <w:rFonts w:hint="default" w:ascii="_x000B__x000C_" w:hAnsi="_x000B__x000C_"/>
      <w:sz w:val="21"/>
      <w:szCs w:val="21"/>
    </w:rPr>
  </w:style>
  <w:style w:type="character" w:customStyle="1" w:styleId="307">
    <w:name w:val="首示例 Char"/>
    <w:link w:val="85"/>
    <w:qFormat/>
    <w:uiPriority w:val="99"/>
    <w:rPr>
      <w:rFonts w:ascii="宋体" w:hAnsi="宋体"/>
      <w:kern w:val="2"/>
      <w:sz w:val="18"/>
      <w:szCs w:val="18"/>
      <w:lang w:val="en-US" w:eastAsia="zh-CN" w:bidi="ar-SA"/>
    </w:rPr>
  </w:style>
  <w:style w:type="character" w:customStyle="1" w:styleId="308">
    <w:name w:val="标题 字符2"/>
    <w:qFormat/>
    <w:uiPriority w:val="10"/>
    <w:rPr>
      <w:rFonts w:ascii="Cambria" w:hAnsi="Cambria"/>
      <w:b/>
      <w:bCs/>
      <w:kern w:val="2"/>
      <w:sz w:val="32"/>
      <w:szCs w:val="32"/>
    </w:rPr>
  </w:style>
  <w:style w:type="character" w:customStyle="1" w:styleId="309">
    <w:name w:val="页眉 字符2"/>
    <w:qFormat/>
    <w:uiPriority w:val="99"/>
    <w:rPr>
      <w:kern w:val="2"/>
      <w:sz w:val="18"/>
      <w:szCs w:val="18"/>
    </w:rPr>
  </w:style>
  <w:style w:type="character" w:customStyle="1" w:styleId="310">
    <w:name w:val="正文文本 2 字符2"/>
    <w:qFormat/>
    <w:uiPriority w:val="99"/>
    <w:rPr>
      <w:szCs w:val="24"/>
    </w:rPr>
  </w:style>
  <w:style w:type="character" w:customStyle="1" w:styleId="311">
    <w:name w:val="批注文字 字符3"/>
    <w:qFormat/>
    <w:uiPriority w:val="99"/>
    <w:rPr>
      <w:kern w:val="2"/>
      <w:sz w:val="21"/>
      <w:szCs w:val="24"/>
    </w:rPr>
  </w:style>
  <w:style w:type="character" w:customStyle="1" w:styleId="312">
    <w:name w:val="明显强调1"/>
    <w:qFormat/>
    <w:uiPriority w:val="21"/>
    <w:rPr>
      <w:b/>
      <w:bCs/>
      <w:caps/>
      <w:color w:val="1F4D78"/>
      <w:spacing w:val="10"/>
    </w:rPr>
  </w:style>
  <w:style w:type="character" w:customStyle="1" w:styleId="313">
    <w:name w:val="标题 5 字符1"/>
    <w:qFormat/>
    <w:uiPriority w:val="9"/>
    <w:rPr>
      <w:b/>
      <w:kern w:val="2"/>
      <w:sz w:val="28"/>
      <w:szCs w:val="24"/>
    </w:rPr>
  </w:style>
  <w:style w:type="character" w:customStyle="1" w:styleId="314">
    <w:name w:val="章标题 Char"/>
    <w:link w:val="86"/>
    <w:qFormat/>
    <w:uiPriority w:val="99"/>
    <w:rPr>
      <w:rFonts w:ascii="黑体" w:eastAsia="黑体"/>
      <w:sz w:val="21"/>
      <w:lang w:val="en-US" w:eastAsia="zh-CN" w:bidi="ar-SA"/>
    </w:rPr>
  </w:style>
  <w:style w:type="character" w:customStyle="1" w:styleId="315">
    <w:name w:val="个人撰写风格"/>
    <w:qFormat/>
    <w:uiPriority w:val="0"/>
    <w:rPr>
      <w:rFonts w:hint="default" w:ascii="Arial" w:hAnsi="Arial" w:eastAsia="宋体" w:cs="Arial"/>
      <w:color w:val="auto"/>
      <w:sz w:val="20"/>
    </w:rPr>
  </w:style>
  <w:style w:type="character" w:customStyle="1" w:styleId="316">
    <w:name w:val="正文文本缩进 字符2"/>
    <w:qFormat/>
    <w:uiPriority w:val="99"/>
    <w:rPr>
      <w:rFonts w:ascii="仿宋_GB2312" w:eastAsia="仿宋_GB2312"/>
      <w:sz w:val="32"/>
    </w:rPr>
  </w:style>
  <w:style w:type="character" w:customStyle="1" w:styleId="317">
    <w:name w:val="不明显强调1"/>
    <w:qFormat/>
    <w:uiPriority w:val="19"/>
    <w:rPr>
      <w:i/>
      <w:iCs/>
      <w:color w:val="1F4D78"/>
    </w:rPr>
  </w:style>
  <w:style w:type="character" w:customStyle="1" w:styleId="318">
    <w:name w:val="标题 7 字符2"/>
    <w:qFormat/>
    <w:uiPriority w:val="9"/>
    <w:rPr>
      <w:b/>
      <w:kern w:val="2"/>
      <w:sz w:val="24"/>
      <w:szCs w:val="24"/>
    </w:rPr>
  </w:style>
  <w:style w:type="character" w:customStyle="1" w:styleId="319">
    <w:name w:val="日期 字符1"/>
    <w:qFormat/>
    <w:uiPriority w:val="99"/>
    <w:rPr>
      <w:rFonts w:hint="eastAsia" w:ascii="宋体" w:hAnsi="Courier New" w:eastAsia="宋体"/>
      <w:szCs w:val="21"/>
    </w:rPr>
  </w:style>
  <w:style w:type="character" w:customStyle="1" w:styleId="320">
    <w:name w:val="正文文本 3 字符1"/>
    <w:qFormat/>
    <w:uiPriority w:val="99"/>
    <w:rPr>
      <w:b/>
      <w:bCs/>
      <w:sz w:val="24"/>
      <w:szCs w:val="24"/>
    </w:rPr>
  </w:style>
  <w:style w:type="character" w:customStyle="1" w:styleId="321">
    <w:name w:val="标题 2 字符2"/>
    <w:qFormat/>
    <w:uiPriority w:val="9"/>
    <w:rPr>
      <w:rFonts w:ascii="Arial" w:hAnsi="Arial" w:eastAsia="黑体"/>
      <w:b/>
      <w:bCs/>
      <w:sz w:val="32"/>
      <w:szCs w:val="32"/>
    </w:rPr>
  </w:style>
  <w:style w:type="character" w:customStyle="1" w:styleId="322">
    <w:name w:val="标题 1 字符2"/>
    <w:qFormat/>
    <w:uiPriority w:val="9"/>
    <w:rPr>
      <w:b/>
      <w:bCs/>
      <w:kern w:val="44"/>
      <w:sz w:val="44"/>
      <w:szCs w:val="44"/>
    </w:rPr>
  </w:style>
  <w:style w:type="character" w:customStyle="1" w:styleId="323">
    <w:name w:val="二级条标题 Char"/>
    <w:link w:val="87"/>
    <w:qFormat/>
    <w:uiPriority w:val="0"/>
    <w:rPr>
      <w:rFonts w:ascii="黑体" w:hAnsi="Calibri" w:eastAsia="黑体"/>
      <w:sz w:val="21"/>
      <w:szCs w:val="21"/>
    </w:rPr>
  </w:style>
  <w:style w:type="character" w:customStyle="1" w:styleId="324">
    <w:name w:val="一级条标题 Char1"/>
    <w:link w:val="88"/>
    <w:qFormat/>
    <w:uiPriority w:val="99"/>
    <w:rPr>
      <w:rFonts w:ascii="黑体" w:eastAsia="黑体"/>
      <w:sz w:val="21"/>
      <w:szCs w:val="21"/>
      <w:lang w:val="en-US" w:eastAsia="zh-CN" w:bidi="ar-SA"/>
    </w:rPr>
  </w:style>
  <w:style w:type="character" w:customStyle="1" w:styleId="325">
    <w:name w:val="批注主题 字符1"/>
    <w:qFormat/>
    <w:uiPriority w:val="99"/>
    <w:rPr>
      <w:b/>
      <w:bCs/>
      <w:kern w:val="2"/>
      <w:sz w:val="21"/>
      <w:szCs w:val="24"/>
    </w:rPr>
  </w:style>
  <w:style w:type="character" w:customStyle="1" w:styleId="326">
    <w:name w:val="批注文字 字符2"/>
    <w:qFormat/>
    <w:uiPriority w:val="99"/>
    <w:rPr>
      <w:rFonts w:ascii="Times New Roman" w:hAnsi="Times New Roman"/>
      <w:kern w:val="2"/>
      <w:sz w:val="21"/>
      <w:szCs w:val="24"/>
    </w:rPr>
  </w:style>
  <w:style w:type="character" w:customStyle="1" w:styleId="327">
    <w:name w:val="正文文本 Char"/>
    <w:qFormat/>
    <w:uiPriority w:val="99"/>
    <w:rPr>
      <w:rFonts w:hint="default" w:ascii="Times New Roman" w:hAnsi="Times New Roman" w:eastAsia="宋体" w:cs="Times New Roman"/>
      <w:sz w:val="24"/>
      <w:szCs w:val="24"/>
    </w:rPr>
  </w:style>
  <w:style w:type="character" w:customStyle="1" w:styleId="328">
    <w:name w:val="批注主题 字符2"/>
    <w:qFormat/>
    <w:uiPriority w:val="99"/>
    <w:rPr>
      <w:b/>
      <w:bCs/>
      <w:kern w:val="2"/>
      <w:sz w:val="21"/>
      <w:szCs w:val="24"/>
    </w:rPr>
  </w:style>
  <w:style w:type="character" w:customStyle="1" w:styleId="329">
    <w:name w:val="批注文字 Char"/>
    <w:qFormat/>
    <w:uiPriority w:val="99"/>
    <w:rPr>
      <w:rFonts w:ascii="Times New Roman" w:hAnsi="Times New Roman"/>
      <w:kern w:val="2"/>
      <w:sz w:val="21"/>
      <w:szCs w:val="24"/>
    </w:rPr>
  </w:style>
  <w:style w:type="character" w:customStyle="1" w:styleId="330">
    <w:name w:val="正文文本 2 字符1"/>
    <w:qFormat/>
    <w:uiPriority w:val="99"/>
    <w:rPr>
      <w:szCs w:val="24"/>
    </w:rPr>
  </w:style>
  <w:style w:type="character" w:customStyle="1" w:styleId="331">
    <w:name w:val="cf01"/>
    <w:qFormat/>
    <w:uiPriority w:val="0"/>
    <w:rPr>
      <w:rFonts w:hint="eastAsia" w:ascii="Microsoft YaHei UI" w:hAnsi="Microsoft YaHei UI" w:eastAsia="Microsoft YaHei UI"/>
      <w:b/>
      <w:bCs/>
      <w:sz w:val="18"/>
      <w:szCs w:val="18"/>
    </w:rPr>
  </w:style>
  <w:style w:type="character" w:customStyle="1" w:styleId="332">
    <w:name w:val="纯文本 字符3"/>
    <w:qFormat/>
    <w:uiPriority w:val="99"/>
    <w:rPr>
      <w:rFonts w:ascii="宋体" w:hAnsi="Courier New"/>
      <w:szCs w:val="21"/>
    </w:rPr>
  </w:style>
  <w:style w:type="character" w:customStyle="1" w:styleId="333">
    <w:name w:val="引用 字符"/>
    <w:link w:val="89"/>
    <w:qFormat/>
    <w:uiPriority w:val="29"/>
    <w:rPr>
      <w:rFonts w:ascii="Calibri" w:hAnsi="Calibri" w:eastAsia="楷体_GB2312" w:cs="Calibri"/>
      <w:i/>
      <w:iCs/>
      <w:sz w:val="24"/>
      <w:szCs w:val="24"/>
    </w:rPr>
  </w:style>
  <w:style w:type="character" w:customStyle="1" w:styleId="334">
    <w:name w:val="正文文本缩进 2 字符2"/>
    <w:qFormat/>
    <w:uiPriority w:val="99"/>
    <w:rPr>
      <w:sz w:val="32"/>
    </w:rPr>
  </w:style>
  <w:style w:type="character" w:customStyle="1" w:styleId="335">
    <w:name w:val="纯文本 字符1"/>
    <w:qFormat/>
    <w:uiPriority w:val="0"/>
    <w:rPr>
      <w:rFonts w:ascii="宋体" w:hAnsi="Courier New"/>
    </w:rPr>
  </w:style>
  <w:style w:type="character" w:customStyle="1" w:styleId="336">
    <w:name w:val="不明显参考1"/>
    <w:qFormat/>
    <w:uiPriority w:val="31"/>
    <w:rPr>
      <w:b/>
      <w:bCs/>
      <w:color w:val="5B9BD5"/>
    </w:rPr>
  </w:style>
  <w:style w:type="character" w:customStyle="1" w:styleId="337">
    <w:name w:val="脚注文本 字符2"/>
    <w:qFormat/>
    <w:uiPriority w:val="99"/>
    <w:rPr>
      <w:kern w:val="2"/>
      <w:sz w:val="18"/>
      <w:szCs w:val="18"/>
    </w:rPr>
  </w:style>
  <w:style w:type="character" w:customStyle="1" w:styleId="338">
    <w:name w:val="标题 8 字符1"/>
    <w:qFormat/>
    <w:uiPriority w:val="9"/>
    <w:rPr>
      <w:rFonts w:hint="default" w:ascii="Arial" w:hAnsi="Arial" w:eastAsia="黑体" w:cs="Arial"/>
      <w:kern w:val="2"/>
      <w:sz w:val="24"/>
      <w:szCs w:val="24"/>
    </w:rPr>
  </w:style>
  <w:style w:type="character" w:customStyle="1" w:styleId="339">
    <w:name w:val="正文文本 3 字符2"/>
    <w:qFormat/>
    <w:uiPriority w:val="99"/>
    <w:rPr>
      <w:b/>
      <w:bCs/>
      <w:sz w:val="24"/>
      <w:szCs w:val="24"/>
    </w:rPr>
  </w:style>
  <w:style w:type="character" w:customStyle="1" w:styleId="340">
    <w:name w:val="标题 4 Char"/>
    <w:qFormat/>
    <w:uiPriority w:val="0"/>
    <w:rPr>
      <w:rFonts w:hint="default" w:ascii="Arial" w:hAnsi="Arial" w:eastAsia="黑体" w:cs="Arial"/>
      <w:b/>
      <w:bCs/>
      <w:kern w:val="2"/>
      <w:sz w:val="28"/>
      <w:szCs w:val="28"/>
      <w:lang w:val="en-US" w:eastAsia="zh-CN" w:bidi="ar-SA"/>
    </w:rPr>
  </w:style>
  <w:style w:type="character" w:customStyle="1" w:styleId="341">
    <w:name w:val="标题 3 字符1"/>
    <w:qFormat/>
    <w:uiPriority w:val="0"/>
    <w:rPr>
      <w:b/>
      <w:bCs/>
      <w:sz w:val="32"/>
      <w:szCs w:val="32"/>
    </w:rPr>
  </w:style>
  <w:style w:type="character" w:customStyle="1" w:styleId="342">
    <w:name w:val="页脚 字符3"/>
    <w:qFormat/>
    <w:uiPriority w:val="99"/>
    <w:rPr>
      <w:sz w:val="18"/>
      <w:szCs w:val="18"/>
    </w:rPr>
  </w:style>
  <w:style w:type="character" w:customStyle="1" w:styleId="343">
    <w:name w:val="标题 5 Char1"/>
    <w:qFormat/>
    <w:uiPriority w:val="0"/>
    <w:rPr>
      <w:b/>
      <w:kern w:val="2"/>
      <w:sz w:val="28"/>
      <w:szCs w:val="24"/>
    </w:rPr>
  </w:style>
  <w:style w:type="character" w:customStyle="1" w:styleId="344">
    <w:name w:val="批注框文本 字符1"/>
    <w:qFormat/>
    <w:uiPriority w:val="99"/>
    <w:rPr>
      <w:sz w:val="18"/>
      <w:szCs w:val="18"/>
    </w:rPr>
  </w:style>
  <w:style w:type="character" w:customStyle="1" w:styleId="345">
    <w:name w:val="标题 5 Char"/>
    <w:qFormat/>
    <w:uiPriority w:val="0"/>
    <w:rPr>
      <w:b/>
      <w:kern w:val="2"/>
      <w:sz w:val="28"/>
      <w:szCs w:val="24"/>
    </w:rPr>
  </w:style>
  <w:style w:type="character" w:customStyle="1" w:styleId="346">
    <w:name w:val="普通文字 Char Char2"/>
    <w:qFormat/>
    <w:uiPriority w:val="0"/>
    <w:rPr>
      <w:rFonts w:ascii="宋体" w:hAnsi="Courier New" w:eastAsia="宋体"/>
      <w:kern w:val="2"/>
      <w:sz w:val="21"/>
      <w:lang w:val="en-US" w:eastAsia="zh-CN" w:bidi="ar-SA"/>
    </w:rPr>
  </w:style>
  <w:style w:type="character" w:customStyle="1" w:styleId="34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348">
    <w:name w:val="批注文字 Char1"/>
    <w:qFormat/>
    <w:uiPriority w:val="99"/>
    <w:rPr>
      <w:rFonts w:ascii="Times New Roman" w:hAnsi="Times New Roman"/>
      <w:kern w:val="2"/>
      <w:sz w:val="21"/>
      <w:szCs w:val="24"/>
    </w:rPr>
  </w:style>
  <w:style w:type="character" w:customStyle="1" w:styleId="349">
    <w:name w:val="正文文本 Char1"/>
    <w:qFormat/>
    <w:uiPriority w:val="99"/>
    <w:rPr>
      <w:sz w:val="24"/>
      <w:szCs w:val="24"/>
    </w:rPr>
  </w:style>
  <w:style w:type="character" w:customStyle="1" w:styleId="350">
    <w:name w:val="页眉 字符1"/>
    <w:qFormat/>
    <w:uiPriority w:val="99"/>
    <w:rPr>
      <w:kern w:val="2"/>
      <w:sz w:val="18"/>
      <w:szCs w:val="18"/>
    </w:rPr>
  </w:style>
  <w:style w:type="character" w:customStyle="1" w:styleId="351">
    <w:name w:val="日期 字符2"/>
    <w:qFormat/>
    <w:uiPriority w:val="99"/>
    <w:rPr>
      <w:rFonts w:ascii="宋体" w:hAnsi="Courier New"/>
      <w:szCs w:val="21"/>
    </w:rPr>
  </w:style>
  <w:style w:type="character" w:customStyle="1" w:styleId="352">
    <w:name w:val="文档结构图 字符"/>
    <w:qFormat/>
    <w:uiPriority w:val="99"/>
    <w:rPr>
      <w:rFonts w:ascii="Microsoft YaHei UI" w:eastAsia="Microsoft YaHei UI"/>
      <w:kern w:val="2"/>
      <w:sz w:val="18"/>
      <w:szCs w:val="18"/>
    </w:rPr>
  </w:style>
  <w:style w:type="character" w:customStyle="1" w:styleId="353">
    <w:name w:val="正文文本缩进 3 字符1"/>
    <w:qFormat/>
    <w:uiPriority w:val="99"/>
    <w:rPr>
      <w:sz w:val="16"/>
      <w:szCs w:val="16"/>
    </w:rPr>
  </w:style>
  <w:style w:type="character" w:customStyle="1" w:styleId="354">
    <w:name w:val="标题 2 字符1"/>
    <w:qFormat/>
    <w:uiPriority w:val="9"/>
    <w:rPr>
      <w:rFonts w:hint="default" w:ascii="Arial" w:hAnsi="Arial" w:eastAsia="黑体" w:cs="Arial"/>
      <w:b/>
      <w:bCs/>
      <w:sz w:val="32"/>
      <w:szCs w:val="32"/>
    </w:rPr>
  </w:style>
  <w:style w:type="character" w:customStyle="1" w:styleId="355">
    <w:name w:val="sh14"/>
    <w:qFormat/>
    <w:uiPriority w:val="0"/>
  </w:style>
  <w:style w:type="character" w:customStyle="1" w:styleId="356">
    <w:name w:val="style11"/>
    <w:qFormat/>
    <w:uiPriority w:val="0"/>
    <w:rPr>
      <w:rFonts w:hint="eastAsia" w:ascii="宋体" w:hAnsi="宋体" w:eastAsia="宋体"/>
      <w:color w:val="000000"/>
      <w:sz w:val="18"/>
      <w:szCs w:val="18"/>
    </w:rPr>
  </w:style>
  <w:style w:type="character" w:customStyle="1" w:styleId="357">
    <w:name w:val="文档结构图 字符1"/>
    <w:qFormat/>
    <w:uiPriority w:val="99"/>
    <w:rPr>
      <w:rFonts w:hint="eastAsia" w:ascii="宋体" w:hAnsi="宋体" w:eastAsia="宋体"/>
      <w:shd w:val="clear" w:color="auto" w:fill="000080"/>
    </w:rPr>
  </w:style>
  <w:style w:type="character" w:customStyle="1" w:styleId="358">
    <w:name w:val="标题 5 字符2"/>
    <w:qFormat/>
    <w:uiPriority w:val="9"/>
    <w:rPr>
      <w:b/>
      <w:kern w:val="2"/>
      <w:sz w:val="28"/>
      <w:szCs w:val="24"/>
    </w:rPr>
  </w:style>
  <w:style w:type="character" w:customStyle="1" w:styleId="359">
    <w:name w:val="尾注文本 字符1"/>
    <w:qFormat/>
    <w:uiPriority w:val="99"/>
    <w:rPr>
      <w:kern w:val="2"/>
      <w:sz w:val="21"/>
      <w:szCs w:val="24"/>
    </w:rPr>
  </w:style>
  <w:style w:type="character" w:customStyle="1" w:styleId="360">
    <w:name w:val="批注框文本 字符2"/>
    <w:qFormat/>
    <w:uiPriority w:val="99"/>
    <w:rPr>
      <w:sz w:val="18"/>
      <w:szCs w:val="18"/>
    </w:rPr>
  </w:style>
  <w:style w:type="character" w:customStyle="1" w:styleId="361">
    <w:name w:val="标题 字符1"/>
    <w:qFormat/>
    <w:uiPriority w:val="10"/>
    <w:rPr>
      <w:rFonts w:hint="default" w:ascii="Cambria" w:hAnsi="Cambria"/>
      <w:b/>
      <w:bCs/>
      <w:kern w:val="2"/>
      <w:sz w:val="32"/>
      <w:szCs w:val="32"/>
    </w:rPr>
  </w:style>
  <w:style w:type="table" w:customStyle="1" w:styleId="362">
    <w:name w:val="Table Normal"/>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363">
    <w:name w:val="NormalCharacter"/>
    <w:qFormat/>
    <w:uiPriority w:val="0"/>
  </w:style>
  <w:style w:type="paragraph" w:customStyle="1" w:styleId="364">
    <w:name w:val="正文（缩进）"/>
    <w:basedOn w:val="1"/>
    <w:qFormat/>
    <w:uiPriority w:val="0"/>
    <w:pPr>
      <w:spacing w:before="156" w:after="156"/>
      <w:ind w:firstLine="480" w:firstLineChars="200"/>
    </w:pPr>
    <w:rPr>
      <w:rFonts w:ascii="Calibri" w:hAnsi="Calibri" w:cs="Calibri"/>
      <w:sz w:val="24"/>
    </w:rPr>
  </w:style>
  <w:style w:type="paragraph" w:customStyle="1" w:styleId="365">
    <w:name w:val="列出段落1"/>
    <w:basedOn w:val="1"/>
    <w:qFormat/>
    <w:uiPriority w:val="0"/>
    <w:pPr>
      <w:ind w:firstLine="200" w:firstLineChars="200"/>
    </w:pPr>
  </w:style>
  <w:style w:type="paragraph" w:customStyle="1" w:styleId="366">
    <w:name w:val="p0"/>
    <w:basedOn w:val="1"/>
    <w:qFormat/>
    <w:uiPriority w:val="0"/>
    <w:pPr>
      <w:widowControl/>
    </w:pPr>
    <w:rPr>
      <w:kern w:val="0"/>
      <w:szCs w:val="21"/>
    </w:rPr>
  </w:style>
  <w:style w:type="paragraph" w:customStyle="1" w:styleId="367">
    <w:name w:val="List Paragraph1"/>
    <w:basedOn w:val="1"/>
    <w:qFormat/>
    <w:uiPriority w:val="0"/>
    <w:pPr>
      <w:ind w:firstLine="200" w:firstLineChars="200"/>
    </w:pPr>
    <w:rPr>
      <w:rFonts w:ascii="Calibri" w:hAnsi="Calibri"/>
      <w:szCs w:val="21"/>
    </w:rPr>
  </w:style>
  <w:style w:type="paragraph" w:customStyle="1" w:styleId="368">
    <w:name w:val="列出段落2"/>
    <w:basedOn w:val="1"/>
    <w:qFormat/>
    <w:uiPriority w:val="0"/>
    <w:pPr>
      <w:ind w:firstLine="200" w:firstLineChars="200"/>
    </w:pPr>
    <w:rPr>
      <w:rFonts w:ascii="Calibri" w:hAnsi="Calibri"/>
      <w:szCs w:val="21"/>
    </w:rPr>
  </w:style>
  <w:style w:type="paragraph" w:customStyle="1" w:styleId="369">
    <w:name w:val="List Paragraph2"/>
    <w:basedOn w:val="1"/>
    <w:qFormat/>
    <w:uiPriority w:val="0"/>
    <w:pPr>
      <w:ind w:firstLine="200" w:firstLineChars="200"/>
    </w:pPr>
    <w:rPr>
      <w:rFonts w:ascii="Calibri" w:hAnsi="Calibri"/>
      <w:szCs w:val="21"/>
    </w:rPr>
  </w:style>
  <w:style w:type="table" w:customStyle="1" w:styleId="370">
    <w:name w:val="网格型1"/>
    <w:basedOn w:val="6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1">
    <w:name w:val="Table Text"/>
    <w:basedOn w:val="1"/>
    <w:semiHidden/>
    <w:qFormat/>
    <w:uiPriority w:val="0"/>
    <w:rPr>
      <w:rFonts w:ascii="宋体" w:hAnsi="宋体" w:cs="宋体"/>
      <w:sz w:val="20"/>
      <w:szCs w:val="20"/>
      <w:lang w:eastAsia="en-US"/>
    </w:rPr>
  </w:style>
  <w:style w:type="character" w:customStyle="1" w:styleId="372">
    <w:name w:val="font21"/>
    <w:basedOn w:val="64"/>
    <w:qFormat/>
    <w:uiPriority w:val="0"/>
    <w:rPr>
      <w:rFonts w:hint="eastAsia" w:ascii="仿宋" w:hAnsi="仿宋" w:eastAsia="仿宋" w:cs="仿宋"/>
      <w:color w:val="000000"/>
      <w:sz w:val="18"/>
      <w:szCs w:val="18"/>
      <w:u w:val="none"/>
    </w:rPr>
  </w:style>
  <w:style w:type="character" w:customStyle="1" w:styleId="373">
    <w:name w:val="标题 5 字符"/>
    <w:basedOn w:val="64"/>
    <w:link w:val="6"/>
    <w:qFormat/>
    <w:uiPriority w:val="6"/>
    <w:rPr>
      <w:rFonts w:ascii="Times New Roman" w:hAnsi="Times New Roman" w:eastAsia="仿宋"/>
      <w:sz w:val="24"/>
    </w:rPr>
  </w:style>
  <w:style w:type="paragraph" w:customStyle="1" w:styleId="37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32383</Words>
  <Characters>35336</Characters>
  <Lines>385</Lines>
  <Paragraphs>108</Paragraphs>
  <TotalTime>45</TotalTime>
  <ScaleCrop>false</ScaleCrop>
  <LinksUpToDate>false</LinksUpToDate>
  <CharactersWithSpaces>36238</CharactersWithSpaces>
  <Application>WPS Office_12.1.0.21915_F1E327BC-269C-435d-A152-05C5408002CA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2024-03-18T10:34:00Z</dcterms:created>
  <dc:creator>陈潇</dc:creator>
  <cp:lastModifiedBy>那谁.</cp:lastModifiedBy>
  <cp:lastPrinted>2025-04-30T00:44:00Z</cp:lastPrinted>
  <dcterms:modified xsi:type="dcterms:W3CDTF">2025-07-10T10:39:28Z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132BC800508B462D95FDBC362B848907_13</vt:lpwstr>
  </property>
  <property fmtid="{D5CDD505-2E9C-101B-9397-08002B2CF9AE}" pid="4" name="KSOTemplateDocerSaveRecord">
    <vt:lpwstr>eyJoZGlkIjoiMGNmOGIyNTBjYmU0MjNhOThkZDU4Yzk4YmM4MjllMWMiLCJ1c2VySWQiOiI5NTk1MTE0NzIifQ==</vt:lpwstr>
  </property>
</Properties>
</file>