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99966">
      <w:pPr>
        <w:spacing w:line="720" w:lineRule="exact"/>
        <w:ind w:firstLine="0" w:firstLineChars="0"/>
        <w:jc w:val="center"/>
        <w:rPr>
          <w:rFonts w:ascii="华文新魏" w:eastAsia="华文新魏"/>
          <w:b/>
          <w:bCs/>
          <w:color w:val="auto"/>
          <w:kern w:val="0"/>
          <w:sz w:val="60"/>
          <w:szCs w:val="60"/>
          <w:highlight w:val="none"/>
        </w:rPr>
      </w:pPr>
      <w:bookmarkStart w:id="0" w:name="_Toc82016587"/>
    </w:p>
    <w:p w14:paraId="035A200E">
      <w:pPr>
        <w:spacing w:line="720" w:lineRule="exact"/>
        <w:ind w:firstLine="0" w:firstLineChars="0"/>
        <w:jc w:val="center"/>
        <w:rPr>
          <w:rFonts w:ascii="文鼎中隶简" w:eastAsia="文鼎中隶简"/>
          <w:color w:val="auto"/>
          <w:kern w:val="0"/>
          <w:sz w:val="60"/>
          <w:szCs w:val="60"/>
          <w:highlight w:val="none"/>
        </w:rPr>
      </w:pPr>
      <w:r>
        <w:rPr>
          <w:rFonts w:hint="eastAsia" w:ascii="文鼎中隶简" w:eastAsia="文鼎中隶简"/>
          <w:color w:val="auto"/>
          <w:kern w:val="0"/>
          <w:sz w:val="60"/>
          <w:szCs w:val="60"/>
          <w:highlight w:val="none"/>
          <w:lang w:eastAsia="zh-CN"/>
        </w:rPr>
        <w:t>江</w:t>
      </w:r>
      <w:bookmarkStart w:id="1893" w:name="_GoBack"/>
      <w:bookmarkEnd w:id="1893"/>
      <w:r>
        <w:rPr>
          <w:rFonts w:hint="eastAsia" w:ascii="文鼎中隶简" w:eastAsia="文鼎中隶简"/>
          <w:color w:val="auto"/>
          <w:kern w:val="0"/>
          <w:sz w:val="60"/>
          <w:szCs w:val="60"/>
          <w:highlight w:val="none"/>
          <w:lang w:eastAsia="zh-CN"/>
        </w:rPr>
        <w:t>西银信工程造价咨询有限公司</w:t>
      </w:r>
    </w:p>
    <w:p w14:paraId="12E5CF5F">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68F2FDFE">
      <w:pPr>
        <w:spacing w:line="1000" w:lineRule="exact"/>
        <w:ind w:firstLine="1440"/>
        <w:jc w:val="center"/>
        <w:rPr>
          <w:color w:val="auto"/>
          <w:kern w:val="0"/>
          <w:sz w:val="72"/>
          <w:highlight w:val="none"/>
        </w:rPr>
      </w:pPr>
    </w:p>
    <w:p w14:paraId="705CDA3E">
      <w:pPr>
        <w:spacing w:line="1000" w:lineRule="exact"/>
        <w:ind w:firstLine="1440"/>
        <w:jc w:val="center"/>
        <w:rPr>
          <w:color w:val="auto"/>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竞争性谈判文件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353AC6BC">
      <w:pPr>
        <w:ind w:left="2871" w:leftChars="527" w:hanging="1606" w:hangingChars="500"/>
        <w:rPr>
          <w:rFonts w:hint="eastAsia" w:ascii="宋体" w:hAnsi="宋体" w:cs="宋体"/>
          <w:b/>
          <w:bCs/>
          <w:color w:val="auto"/>
          <w:kern w:val="0"/>
          <w:sz w:val="32"/>
          <w:highlight w:val="none"/>
        </w:rPr>
      </w:pPr>
    </w:p>
    <w:p w14:paraId="02EB4E6B">
      <w:pPr>
        <w:ind w:left="557" w:leftChars="232" w:firstLine="0" w:firstLineChars="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桂林市叠彩实验小学功能室设备采购</w:t>
      </w:r>
    </w:p>
    <w:p w14:paraId="6F9C4834">
      <w:pPr>
        <w:ind w:firstLine="520" w:firstLineChars="162"/>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项目编</w:t>
      </w:r>
      <w:r>
        <w:rPr>
          <w:rFonts w:hint="eastAsia" w:ascii="宋体" w:hAnsi="宋体" w:cs="宋体"/>
          <w:b/>
          <w:bCs/>
          <w:color w:val="auto"/>
          <w:kern w:val="0"/>
          <w:sz w:val="32"/>
          <w:highlight w:val="none"/>
        </w:rPr>
        <w:t>号：</w:t>
      </w:r>
      <w:r>
        <w:rPr>
          <w:rFonts w:hint="eastAsia" w:ascii="宋体" w:hAnsi="宋体" w:cs="宋体"/>
          <w:b/>
          <w:bCs/>
          <w:color w:val="auto"/>
          <w:kern w:val="0"/>
          <w:sz w:val="32"/>
          <w:highlight w:val="none"/>
          <w:lang w:eastAsia="zh-CN"/>
        </w:rPr>
        <w:t>GLZC2025-J1-990603-JXYX</w:t>
      </w:r>
    </w:p>
    <w:p w14:paraId="584EA5AE">
      <w:pPr>
        <w:ind w:left="-2" w:leftChars="-1" w:firstLine="720" w:firstLineChars="300"/>
        <w:rPr>
          <w:rFonts w:hint="eastAsia" w:ascii="宋体" w:hAnsi="宋体" w:cs="宋体"/>
          <w:color w:val="auto"/>
          <w:kern w:val="0"/>
          <w:highlight w:val="none"/>
        </w:rPr>
      </w:pPr>
    </w:p>
    <w:p w14:paraId="7EE8A107">
      <w:pPr>
        <w:ind w:firstLine="1446" w:firstLineChars="450"/>
        <w:jc w:val="center"/>
        <w:rPr>
          <w:rFonts w:hint="eastAsia" w:ascii="宋体" w:hAnsi="宋体" w:cs="宋体"/>
          <w:b/>
          <w:bCs/>
          <w:color w:val="auto"/>
          <w:kern w:val="0"/>
          <w:sz w:val="32"/>
          <w:highlight w:val="none"/>
        </w:rPr>
      </w:pPr>
    </w:p>
    <w:p w14:paraId="046587D5">
      <w:pPr>
        <w:pStyle w:val="23"/>
        <w:rPr>
          <w:rFonts w:hint="eastAsia" w:ascii="宋体" w:hAnsi="宋体" w:cs="宋体"/>
          <w:b/>
          <w:bCs/>
          <w:color w:val="auto"/>
          <w:sz w:val="32"/>
          <w:highlight w:val="none"/>
        </w:rPr>
      </w:pPr>
    </w:p>
    <w:p w14:paraId="31E8E187">
      <w:pPr>
        <w:pStyle w:val="23"/>
        <w:rPr>
          <w:rFonts w:hint="eastAsia" w:ascii="宋体" w:hAnsi="宋体" w:cs="宋体"/>
          <w:b/>
          <w:bCs/>
          <w:color w:val="auto"/>
          <w:sz w:val="32"/>
          <w:highlight w:val="none"/>
        </w:rPr>
      </w:pPr>
    </w:p>
    <w:p w14:paraId="44A53AA0">
      <w:pPr>
        <w:ind w:firstLine="643"/>
        <w:jc w:val="center"/>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采购代理机构：</w:t>
      </w:r>
      <w:r>
        <w:rPr>
          <w:rFonts w:hint="eastAsia" w:ascii="宋体" w:hAnsi="宋体" w:cs="宋体"/>
          <w:b/>
          <w:bCs/>
          <w:color w:val="auto"/>
          <w:kern w:val="0"/>
          <w:sz w:val="32"/>
          <w:highlight w:val="none"/>
          <w:lang w:eastAsia="zh-CN"/>
        </w:rPr>
        <w:t>江西银信工程造价咨询有限公司</w:t>
      </w:r>
    </w:p>
    <w:p w14:paraId="6A22906A">
      <w:pPr>
        <w:ind w:firstLine="643"/>
        <w:jc w:val="center"/>
        <w:rPr>
          <w:rFonts w:hint="eastAsia" w:ascii="宋体" w:hAnsi="宋体" w:cs="宋体"/>
          <w:b/>
          <w:bCs/>
          <w:color w:val="auto"/>
          <w:kern w:val="0"/>
          <w:sz w:val="32"/>
          <w:highlight w:val="none"/>
        </w:rPr>
      </w:pPr>
      <w:r>
        <w:rPr>
          <w:rFonts w:hint="eastAsia" w:ascii="宋体" w:hAnsi="宋体" w:cs="宋体"/>
          <w:b/>
          <w:bCs/>
          <w:color w:val="auto"/>
          <w:kern w:val="0"/>
          <w:sz w:val="32"/>
          <w:highlight w:val="none"/>
        </w:rPr>
        <w:t xml:space="preserve"> 2025年</w:t>
      </w:r>
      <w:r>
        <w:rPr>
          <w:rFonts w:hint="eastAsia" w:ascii="宋体" w:hAnsi="宋体" w:cs="宋体"/>
          <w:b/>
          <w:bCs/>
          <w:color w:val="auto"/>
          <w:kern w:val="0"/>
          <w:sz w:val="32"/>
          <w:highlight w:val="none"/>
          <w:lang w:val="en-US" w:eastAsia="zh-CN"/>
        </w:rPr>
        <w:t>11</w:t>
      </w:r>
      <w:r>
        <w:rPr>
          <w:rFonts w:hint="eastAsia" w:ascii="宋体" w:hAnsi="宋体" w:cs="宋体"/>
          <w:b/>
          <w:bCs/>
          <w:color w:val="auto"/>
          <w:kern w:val="0"/>
          <w:sz w:val="32"/>
          <w:highlight w:val="none"/>
        </w:rPr>
        <w:t>月</w:t>
      </w:r>
      <w:r>
        <w:rPr>
          <w:rFonts w:hint="eastAsia" w:ascii="宋体" w:hAnsi="宋体" w:cs="宋体"/>
          <w:b/>
          <w:bCs/>
          <w:color w:val="auto"/>
          <w:kern w:val="0"/>
          <w:sz w:val="32"/>
          <w:highlight w:val="none"/>
          <w:lang w:val="en-US" w:eastAsia="zh-CN"/>
        </w:rPr>
        <w:t>14</w:t>
      </w:r>
      <w:r>
        <w:rPr>
          <w:rFonts w:hint="eastAsia" w:ascii="宋体" w:hAnsi="宋体" w:cs="宋体"/>
          <w:b/>
          <w:bCs/>
          <w:color w:val="auto"/>
          <w:kern w:val="0"/>
          <w:sz w:val="32"/>
          <w:highlight w:val="none"/>
        </w:rPr>
        <w:t>日</w:t>
      </w:r>
    </w:p>
    <w:p w14:paraId="4A72510E">
      <w:pPr>
        <w:pStyle w:val="26"/>
        <w:spacing w:line="420" w:lineRule="exact"/>
        <w:rPr>
          <w:rFonts w:hint="eastAsia" w:hAnsi="宋体" w:cs="宋体"/>
          <w:color w:val="auto"/>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fmt="decimal" w:start="0"/>
          <w:cols w:space="720" w:num="1"/>
          <w:titlePg/>
          <w:docGrid w:linePitch="331" w:charSpace="0"/>
        </w:sectPr>
      </w:pPr>
    </w:p>
    <w:p w14:paraId="7BEF786D">
      <w:pPr>
        <w:pStyle w:val="26"/>
        <w:spacing w:line="420" w:lineRule="exact"/>
        <w:jc w:val="center"/>
        <w:rPr>
          <w:rFonts w:hint="eastAsia" w:ascii="黑体" w:hAnsi="黑体" w:eastAsia="黑体" w:cs="宋体"/>
          <w:color w:val="auto"/>
          <w:sz w:val="44"/>
          <w:highlight w:val="none"/>
        </w:rPr>
      </w:pPr>
    </w:p>
    <w:p w14:paraId="3E547EDD">
      <w:pPr>
        <w:pStyle w:val="26"/>
        <w:spacing w:line="420" w:lineRule="exact"/>
        <w:jc w:val="center"/>
        <w:rPr>
          <w:rFonts w:hint="eastAsia" w:ascii="黑体" w:hAnsi="黑体" w:eastAsia="黑体" w:cs="宋体"/>
          <w:color w:val="auto"/>
          <w:sz w:val="44"/>
          <w:highlight w:val="none"/>
        </w:rPr>
      </w:pPr>
      <w:r>
        <w:rPr>
          <w:rFonts w:hint="eastAsia" w:ascii="黑体" w:hAnsi="黑体" w:eastAsia="黑体" w:cs="宋体"/>
          <w:color w:val="auto"/>
          <w:sz w:val="44"/>
          <w:highlight w:val="none"/>
        </w:rPr>
        <w:t>目     录</w:t>
      </w:r>
    </w:p>
    <w:p w14:paraId="41E2F8F7">
      <w:pPr>
        <w:pStyle w:val="26"/>
        <w:tabs>
          <w:tab w:val="left" w:pos="8860"/>
          <w:tab w:val="left" w:pos="9140"/>
        </w:tabs>
        <w:rPr>
          <w:rFonts w:hint="eastAsia" w:hAnsi="宋体" w:cs="宋体"/>
          <w:color w:val="auto"/>
          <w:sz w:val="32"/>
          <w:highlight w:val="none"/>
        </w:rPr>
      </w:pPr>
    </w:p>
    <w:p w14:paraId="4FBC2E90">
      <w:pPr>
        <w:pStyle w:val="25"/>
        <w:tabs>
          <w:tab w:val="right" w:leader="dot" w:pos="9288"/>
        </w:tabs>
        <w:ind w:left="0" w:leftChars="0"/>
        <w:rPr>
          <w:rFonts w:hint="eastAsia" w:ascii="黑体" w:hAnsi="黑体" w:eastAsia="黑体"/>
          <w:color w:val="auto"/>
          <w:sz w:val="28"/>
          <w:szCs w:val="28"/>
          <w:highlight w:val="none"/>
        </w:rPr>
      </w:pPr>
    </w:p>
    <w:p w14:paraId="6CF47FC3">
      <w:pPr>
        <w:pStyle w:val="32"/>
        <w:tabs>
          <w:tab w:val="right" w:leader="dot" w:pos="9288"/>
        </w:tabs>
        <w:rPr>
          <w:rFonts w:hint="eastAsia" w:ascii="宋体" w:hAnsi="宋体"/>
          <w:b w:val="0"/>
          <w:color w:val="auto"/>
          <w:sz w:val="28"/>
          <w:szCs w:val="28"/>
          <w:highlight w:val="none"/>
        </w:rPr>
      </w:pPr>
      <w:r>
        <w:rPr>
          <w:rFonts w:ascii="宋体" w:hAnsi="宋体" w:cs="宋体"/>
          <w:b w:val="0"/>
          <w:color w:val="auto"/>
          <w:sz w:val="28"/>
          <w:szCs w:val="28"/>
          <w:highlight w:val="none"/>
        </w:rPr>
        <w:fldChar w:fldCharType="begin"/>
      </w:r>
      <w:r>
        <w:rPr>
          <w:rFonts w:hint="eastAsia" w:ascii="宋体" w:hAnsi="宋体" w:cs="宋体"/>
          <w:b w:val="0"/>
          <w:color w:val="auto"/>
          <w:sz w:val="28"/>
          <w:szCs w:val="28"/>
          <w:highlight w:val="none"/>
        </w:rPr>
        <w:instrText xml:space="preserve">TOC \o "1-1" \h \z \u</w:instrText>
      </w:r>
      <w:r>
        <w:rPr>
          <w:rFonts w:ascii="宋体" w:hAnsi="宋体" w:cs="宋体"/>
          <w:b w:val="0"/>
          <w:color w:val="auto"/>
          <w:sz w:val="28"/>
          <w:szCs w:val="28"/>
          <w:highlight w:val="none"/>
        </w:rPr>
        <w:fldChar w:fldCharType="separate"/>
      </w:r>
      <w:r>
        <w:rPr>
          <w:color w:val="auto"/>
          <w:highlight w:val="none"/>
        </w:rPr>
        <w:fldChar w:fldCharType="begin"/>
      </w:r>
      <w:r>
        <w:rPr>
          <w:color w:val="auto"/>
          <w:highlight w:val="none"/>
        </w:rPr>
        <w:instrText xml:space="preserve"> HYPERLINK \l "_Toc155531032" </w:instrText>
      </w:r>
      <w:r>
        <w:rPr>
          <w:color w:val="auto"/>
          <w:highlight w:val="none"/>
        </w:rPr>
        <w:fldChar w:fldCharType="separate"/>
      </w:r>
      <w:r>
        <w:rPr>
          <w:rStyle w:val="53"/>
          <w:rFonts w:ascii="宋体" w:hAnsi="宋体"/>
          <w:color w:val="auto"/>
          <w:kern w:val="0"/>
          <w:sz w:val="28"/>
          <w:szCs w:val="28"/>
          <w:highlight w:val="none"/>
        </w:rPr>
        <w:t>第一章  竞争性谈判公告</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_Toc155531032 \h </w:instrText>
      </w:r>
      <w:r>
        <w:rPr>
          <w:rFonts w:ascii="宋体" w:hAnsi="宋体"/>
          <w:color w:val="auto"/>
          <w:sz w:val="28"/>
          <w:szCs w:val="28"/>
          <w:highlight w:val="none"/>
        </w:rPr>
        <w:fldChar w:fldCharType="separate"/>
      </w:r>
      <w:r>
        <w:rPr>
          <w:rFonts w:ascii="宋体" w:hAnsi="宋体"/>
          <w:color w:val="auto"/>
          <w:sz w:val="28"/>
          <w:szCs w:val="28"/>
          <w:highlight w:val="none"/>
        </w:rPr>
        <w:t>1</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544CC51C">
      <w:pPr>
        <w:pStyle w:val="32"/>
        <w:tabs>
          <w:tab w:val="right" w:leader="dot" w:pos="9288"/>
        </w:tabs>
        <w:rPr>
          <w:rFonts w:hint="eastAsia" w:ascii="宋体" w:hAnsi="宋体"/>
          <w:b w:val="0"/>
          <w:color w:val="auto"/>
          <w:sz w:val="28"/>
          <w:szCs w:val="28"/>
          <w:highlight w:val="none"/>
        </w:rPr>
      </w:pPr>
      <w:r>
        <w:rPr>
          <w:color w:val="auto"/>
          <w:highlight w:val="none"/>
        </w:rPr>
        <w:fldChar w:fldCharType="begin"/>
      </w:r>
      <w:r>
        <w:rPr>
          <w:color w:val="auto"/>
          <w:highlight w:val="none"/>
        </w:rPr>
        <w:instrText xml:space="preserve"> HYPERLINK \l "_Toc155531033" </w:instrText>
      </w:r>
      <w:r>
        <w:rPr>
          <w:color w:val="auto"/>
          <w:highlight w:val="none"/>
        </w:rPr>
        <w:fldChar w:fldCharType="separate"/>
      </w:r>
      <w:r>
        <w:rPr>
          <w:rStyle w:val="53"/>
          <w:rFonts w:ascii="宋体" w:hAnsi="宋体"/>
          <w:color w:val="auto"/>
          <w:kern w:val="0"/>
          <w:sz w:val="28"/>
          <w:szCs w:val="28"/>
          <w:highlight w:val="none"/>
        </w:rPr>
        <w:t>第二章  供应商须知</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_Toc155531033 \h </w:instrText>
      </w:r>
      <w:r>
        <w:rPr>
          <w:rFonts w:ascii="宋体" w:hAnsi="宋体"/>
          <w:color w:val="auto"/>
          <w:sz w:val="28"/>
          <w:szCs w:val="28"/>
          <w:highlight w:val="none"/>
        </w:rPr>
        <w:fldChar w:fldCharType="separate"/>
      </w:r>
      <w:r>
        <w:rPr>
          <w:rFonts w:ascii="宋体" w:hAnsi="宋体"/>
          <w:color w:val="auto"/>
          <w:sz w:val="28"/>
          <w:szCs w:val="28"/>
          <w:highlight w:val="none"/>
        </w:rPr>
        <w:t>5</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16EB2264">
      <w:pPr>
        <w:pStyle w:val="32"/>
        <w:tabs>
          <w:tab w:val="right" w:leader="dot" w:pos="9288"/>
        </w:tabs>
        <w:rPr>
          <w:rFonts w:hint="eastAsia" w:ascii="宋体" w:hAnsi="宋体"/>
          <w:b w:val="0"/>
          <w:color w:val="auto"/>
          <w:sz w:val="28"/>
          <w:szCs w:val="28"/>
          <w:highlight w:val="none"/>
        </w:rPr>
      </w:pPr>
      <w:r>
        <w:rPr>
          <w:color w:val="auto"/>
          <w:highlight w:val="none"/>
        </w:rPr>
        <w:fldChar w:fldCharType="begin"/>
      </w:r>
      <w:r>
        <w:rPr>
          <w:color w:val="auto"/>
          <w:highlight w:val="none"/>
        </w:rPr>
        <w:instrText xml:space="preserve"> HYPERLINK \l "_Toc155531034" </w:instrText>
      </w:r>
      <w:r>
        <w:rPr>
          <w:color w:val="auto"/>
          <w:highlight w:val="none"/>
        </w:rPr>
        <w:fldChar w:fldCharType="separate"/>
      </w:r>
      <w:r>
        <w:rPr>
          <w:rStyle w:val="53"/>
          <w:rFonts w:ascii="宋体" w:hAnsi="宋体"/>
          <w:color w:val="auto"/>
          <w:sz w:val="28"/>
          <w:szCs w:val="28"/>
          <w:highlight w:val="none"/>
        </w:rPr>
        <w:t>第三章  采购需求</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_Toc155531034 \h </w:instrText>
      </w:r>
      <w:r>
        <w:rPr>
          <w:rFonts w:ascii="宋体" w:hAnsi="宋体"/>
          <w:color w:val="auto"/>
          <w:sz w:val="28"/>
          <w:szCs w:val="28"/>
          <w:highlight w:val="none"/>
        </w:rPr>
        <w:fldChar w:fldCharType="separate"/>
      </w:r>
      <w:r>
        <w:rPr>
          <w:rFonts w:ascii="宋体" w:hAnsi="宋体"/>
          <w:color w:val="auto"/>
          <w:sz w:val="28"/>
          <w:szCs w:val="28"/>
          <w:highlight w:val="none"/>
        </w:rPr>
        <w:t>28</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637F6077">
      <w:pPr>
        <w:pStyle w:val="32"/>
        <w:tabs>
          <w:tab w:val="right" w:leader="dot" w:pos="9288"/>
        </w:tabs>
        <w:rPr>
          <w:rFonts w:hint="default" w:ascii="宋体" w:hAnsi="宋体" w:eastAsia="宋体"/>
          <w:b w:val="0"/>
          <w:color w:val="auto"/>
          <w:sz w:val="28"/>
          <w:szCs w:val="28"/>
          <w:highlight w:val="none"/>
          <w:lang w:val="en-US" w:eastAsia="zh-CN"/>
        </w:rPr>
      </w:pPr>
      <w:r>
        <w:rPr>
          <w:color w:val="auto"/>
          <w:highlight w:val="none"/>
        </w:rPr>
        <w:fldChar w:fldCharType="begin"/>
      </w:r>
      <w:r>
        <w:rPr>
          <w:color w:val="auto"/>
          <w:highlight w:val="none"/>
        </w:rPr>
        <w:instrText xml:space="preserve"> HYPERLINK \l "_Toc155531035" </w:instrText>
      </w:r>
      <w:r>
        <w:rPr>
          <w:color w:val="auto"/>
          <w:highlight w:val="none"/>
        </w:rPr>
        <w:fldChar w:fldCharType="separate"/>
      </w:r>
      <w:r>
        <w:rPr>
          <w:rStyle w:val="53"/>
          <w:rFonts w:ascii="宋体" w:hAnsi="宋体"/>
          <w:color w:val="auto"/>
          <w:kern w:val="0"/>
          <w:sz w:val="28"/>
          <w:szCs w:val="28"/>
          <w:highlight w:val="none"/>
        </w:rPr>
        <w:t>第四章  评审办法</w:t>
      </w:r>
      <w:r>
        <w:rPr>
          <w:rFonts w:ascii="宋体" w:hAnsi="宋体"/>
          <w:color w:val="auto"/>
          <w:sz w:val="28"/>
          <w:szCs w:val="28"/>
          <w:highlight w:val="none"/>
        </w:rPr>
        <w:tab/>
      </w:r>
      <w:r>
        <w:rPr>
          <w:rFonts w:hint="eastAsia" w:ascii="宋体" w:hAnsi="宋体"/>
          <w:color w:val="auto"/>
          <w:sz w:val="28"/>
          <w:szCs w:val="28"/>
          <w:highlight w:val="none"/>
        </w:rPr>
        <w:fldChar w:fldCharType="end"/>
      </w:r>
      <w:r>
        <w:rPr>
          <w:rStyle w:val="53"/>
          <w:rFonts w:hint="eastAsia" w:ascii="宋体" w:hAnsi="宋体"/>
          <w:color w:val="auto"/>
          <w:sz w:val="28"/>
          <w:szCs w:val="28"/>
          <w:highlight w:val="none"/>
          <w:lang w:val="en-US" w:eastAsia="zh-CN"/>
        </w:rPr>
        <w:t>175</w:t>
      </w:r>
    </w:p>
    <w:p w14:paraId="35FF6F3E">
      <w:pPr>
        <w:pStyle w:val="32"/>
        <w:tabs>
          <w:tab w:val="right" w:leader="dot" w:pos="9288"/>
        </w:tabs>
        <w:rPr>
          <w:rFonts w:hint="default" w:ascii="宋体" w:hAnsi="宋体" w:eastAsia="宋体"/>
          <w:b w:val="0"/>
          <w:color w:val="auto"/>
          <w:sz w:val="28"/>
          <w:szCs w:val="28"/>
          <w:highlight w:val="none"/>
          <w:lang w:val="en-US" w:eastAsia="zh-CN"/>
        </w:rPr>
      </w:pPr>
      <w:r>
        <w:rPr>
          <w:color w:val="auto"/>
          <w:highlight w:val="none"/>
        </w:rPr>
        <w:fldChar w:fldCharType="begin"/>
      </w:r>
      <w:r>
        <w:rPr>
          <w:color w:val="auto"/>
          <w:highlight w:val="none"/>
        </w:rPr>
        <w:instrText xml:space="preserve"> HYPERLINK \l "_Toc155531036" </w:instrText>
      </w:r>
      <w:r>
        <w:rPr>
          <w:color w:val="auto"/>
          <w:highlight w:val="none"/>
        </w:rPr>
        <w:fldChar w:fldCharType="separate"/>
      </w:r>
      <w:r>
        <w:rPr>
          <w:rStyle w:val="53"/>
          <w:rFonts w:ascii="宋体" w:hAnsi="宋体"/>
          <w:color w:val="auto"/>
          <w:kern w:val="0"/>
          <w:sz w:val="28"/>
          <w:szCs w:val="28"/>
          <w:highlight w:val="none"/>
        </w:rPr>
        <w:t xml:space="preserve">第五章  </w:t>
      </w:r>
      <w:r>
        <w:rPr>
          <w:rStyle w:val="53"/>
          <w:rFonts w:ascii="宋体" w:hAnsi="宋体"/>
          <w:color w:val="auto"/>
          <w:sz w:val="28"/>
          <w:szCs w:val="28"/>
          <w:highlight w:val="none"/>
        </w:rPr>
        <w:t>政府采购合同（合同主要条款及格式）</w:t>
      </w:r>
      <w:r>
        <w:rPr>
          <w:rFonts w:ascii="宋体" w:hAnsi="宋体"/>
          <w:color w:val="auto"/>
          <w:sz w:val="28"/>
          <w:szCs w:val="28"/>
          <w:highlight w:val="none"/>
        </w:rPr>
        <w:tab/>
      </w:r>
      <w:r>
        <w:rPr>
          <w:rFonts w:ascii="宋体" w:hAnsi="宋体"/>
          <w:color w:val="auto"/>
          <w:sz w:val="28"/>
          <w:szCs w:val="28"/>
          <w:highlight w:val="none"/>
        </w:rPr>
        <w:fldChar w:fldCharType="end"/>
      </w:r>
      <w:r>
        <w:rPr>
          <w:rStyle w:val="53"/>
          <w:rFonts w:hint="eastAsia" w:ascii="宋体" w:hAnsi="宋体"/>
          <w:color w:val="auto"/>
          <w:sz w:val="28"/>
          <w:szCs w:val="28"/>
          <w:highlight w:val="none"/>
          <w:lang w:val="en-US" w:eastAsia="zh-CN"/>
        </w:rPr>
        <w:t>179</w:t>
      </w:r>
    </w:p>
    <w:p w14:paraId="50F25C5C">
      <w:pPr>
        <w:pStyle w:val="32"/>
        <w:tabs>
          <w:tab w:val="right" w:leader="dot" w:pos="9288"/>
        </w:tabs>
        <w:rPr>
          <w:rFonts w:hint="default" w:ascii="宋体" w:hAnsi="宋体" w:eastAsia="宋体"/>
          <w:b w:val="0"/>
          <w:color w:val="auto"/>
          <w:sz w:val="28"/>
          <w:szCs w:val="28"/>
          <w:highlight w:val="none"/>
          <w:lang w:val="en-US" w:eastAsia="zh-CN"/>
        </w:rPr>
      </w:pPr>
      <w:r>
        <w:rPr>
          <w:color w:val="auto"/>
          <w:highlight w:val="none"/>
        </w:rPr>
        <w:fldChar w:fldCharType="begin"/>
      </w:r>
      <w:r>
        <w:rPr>
          <w:color w:val="auto"/>
          <w:highlight w:val="none"/>
        </w:rPr>
        <w:instrText xml:space="preserve"> HYPERLINK \l "_Toc155531037" </w:instrText>
      </w:r>
      <w:r>
        <w:rPr>
          <w:color w:val="auto"/>
          <w:highlight w:val="none"/>
        </w:rPr>
        <w:fldChar w:fldCharType="separate"/>
      </w:r>
      <w:r>
        <w:rPr>
          <w:rStyle w:val="53"/>
          <w:rFonts w:ascii="宋体" w:hAnsi="宋体"/>
          <w:color w:val="auto"/>
          <w:kern w:val="0"/>
          <w:sz w:val="28"/>
          <w:szCs w:val="28"/>
          <w:highlight w:val="none"/>
        </w:rPr>
        <w:t>第六章  响应文件（格式）</w:t>
      </w:r>
      <w:r>
        <w:rPr>
          <w:rFonts w:ascii="宋体" w:hAnsi="宋体"/>
          <w:color w:val="auto"/>
          <w:sz w:val="28"/>
          <w:szCs w:val="28"/>
          <w:highlight w:val="none"/>
        </w:rPr>
        <w:tab/>
      </w:r>
      <w:r>
        <w:rPr>
          <w:rFonts w:ascii="宋体" w:hAnsi="宋体"/>
          <w:color w:val="auto"/>
          <w:sz w:val="28"/>
          <w:szCs w:val="28"/>
          <w:highlight w:val="none"/>
        </w:rPr>
        <w:fldChar w:fldCharType="end"/>
      </w:r>
      <w:r>
        <w:rPr>
          <w:rStyle w:val="53"/>
          <w:rFonts w:hint="eastAsia" w:ascii="宋体" w:hAnsi="宋体"/>
          <w:color w:val="auto"/>
          <w:sz w:val="28"/>
          <w:szCs w:val="28"/>
          <w:highlight w:val="none"/>
          <w:lang w:val="en-US" w:eastAsia="zh-CN"/>
        </w:rPr>
        <w:t>225</w:t>
      </w:r>
    </w:p>
    <w:p w14:paraId="0C331035">
      <w:pPr>
        <w:pStyle w:val="26"/>
        <w:tabs>
          <w:tab w:val="left" w:pos="8860"/>
          <w:tab w:val="left" w:pos="9140"/>
        </w:tabs>
        <w:spacing w:line="360" w:lineRule="auto"/>
        <w:rPr>
          <w:rFonts w:hint="eastAsia" w:hAnsi="宋体" w:cs="宋体"/>
          <w:color w:val="auto"/>
          <w:sz w:val="32"/>
          <w:highlight w:val="none"/>
        </w:rPr>
      </w:pPr>
      <w:r>
        <w:rPr>
          <w:rFonts w:ascii="宋体" w:hAnsi="宋体" w:cs="宋体"/>
          <w:color w:val="auto"/>
          <w:sz w:val="28"/>
          <w:szCs w:val="28"/>
          <w:highlight w:val="none"/>
        </w:rPr>
        <w:fldChar w:fldCharType="end"/>
      </w:r>
    </w:p>
    <w:p w14:paraId="3FD89B20">
      <w:pPr>
        <w:pStyle w:val="26"/>
        <w:tabs>
          <w:tab w:val="left" w:pos="8860"/>
          <w:tab w:val="left" w:pos="9140"/>
        </w:tabs>
        <w:spacing w:line="520" w:lineRule="exact"/>
        <w:ind w:firstLine="737"/>
        <w:rPr>
          <w:rFonts w:hint="eastAsia" w:hAnsi="宋体" w:cs="宋体"/>
          <w:color w:val="auto"/>
          <w:szCs w:val="21"/>
          <w:highlight w:val="none"/>
        </w:rPr>
      </w:pPr>
    </w:p>
    <w:p w14:paraId="52C5E795">
      <w:pPr>
        <w:ind w:firstLine="3120" w:firstLineChars="1300"/>
        <w:rPr>
          <w:color w:val="auto"/>
          <w:kern w:val="0"/>
          <w:szCs w:val="21"/>
          <w:highlight w:val="none"/>
        </w:rPr>
      </w:pPr>
    </w:p>
    <w:p w14:paraId="361C4262">
      <w:pPr>
        <w:ind w:firstLine="3120" w:firstLineChars="1300"/>
        <w:rPr>
          <w:color w:val="auto"/>
          <w:kern w:val="0"/>
          <w:szCs w:val="21"/>
          <w:highlight w:val="none"/>
        </w:rPr>
      </w:pPr>
    </w:p>
    <w:p w14:paraId="7F12D607">
      <w:pPr>
        <w:ind w:firstLine="3120" w:firstLineChars="1300"/>
        <w:rPr>
          <w:color w:val="auto"/>
          <w:kern w:val="0"/>
          <w:szCs w:val="21"/>
          <w:highlight w:val="none"/>
        </w:rPr>
      </w:pPr>
    </w:p>
    <w:p w14:paraId="09E48BF0">
      <w:pPr>
        <w:ind w:firstLine="3120" w:firstLineChars="1300"/>
        <w:rPr>
          <w:color w:val="auto"/>
          <w:kern w:val="0"/>
          <w:szCs w:val="21"/>
          <w:highlight w:val="none"/>
        </w:rPr>
      </w:pPr>
    </w:p>
    <w:p w14:paraId="62FDC6EE">
      <w:pPr>
        <w:ind w:firstLine="3120" w:firstLineChars="1300"/>
        <w:rPr>
          <w:color w:val="auto"/>
          <w:kern w:val="0"/>
          <w:szCs w:val="21"/>
          <w:highlight w:val="none"/>
        </w:rPr>
      </w:pPr>
    </w:p>
    <w:p w14:paraId="5E50D367">
      <w:pPr>
        <w:ind w:firstLine="3120" w:firstLineChars="1300"/>
        <w:rPr>
          <w:color w:val="auto"/>
          <w:kern w:val="0"/>
          <w:szCs w:val="21"/>
          <w:highlight w:val="none"/>
        </w:rPr>
      </w:pPr>
    </w:p>
    <w:p w14:paraId="69414B1C">
      <w:pPr>
        <w:ind w:firstLine="3120" w:firstLineChars="1300"/>
        <w:rPr>
          <w:color w:val="auto"/>
          <w:kern w:val="0"/>
          <w:szCs w:val="21"/>
          <w:highlight w:val="none"/>
        </w:rPr>
      </w:pPr>
    </w:p>
    <w:p w14:paraId="3B9BCC62">
      <w:pPr>
        <w:ind w:firstLine="3120" w:firstLineChars="1300"/>
        <w:rPr>
          <w:color w:val="auto"/>
          <w:kern w:val="0"/>
          <w:szCs w:val="21"/>
          <w:highlight w:val="none"/>
        </w:rPr>
      </w:pPr>
    </w:p>
    <w:p w14:paraId="79CF84D4">
      <w:pPr>
        <w:ind w:firstLine="3120" w:firstLineChars="1300"/>
        <w:rPr>
          <w:color w:val="auto"/>
          <w:kern w:val="0"/>
          <w:szCs w:val="21"/>
          <w:highlight w:val="none"/>
        </w:rPr>
      </w:pPr>
    </w:p>
    <w:p w14:paraId="43FE8D17">
      <w:pPr>
        <w:ind w:firstLine="3120" w:firstLineChars="1300"/>
        <w:rPr>
          <w:color w:val="auto"/>
          <w:kern w:val="0"/>
          <w:szCs w:val="21"/>
          <w:highlight w:val="none"/>
        </w:rPr>
      </w:pPr>
    </w:p>
    <w:p w14:paraId="4621F117">
      <w:pPr>
        <w:ind w:firstLine="3120" w:firstLineChars="1300"/>
        <w:rPr>
          <w:color w:val="auto"/>
          <w:kern w:val="0"/>
          <w:szCs w:val="21"/>
          <w:highlight w:val="none"/>
        </w:rPr>
      </w:pPr>
    </w:p>
    <w:p w14:paraId="3BDE3BD9">
      <w:pPr>
        <w:ind w:firstLine="3120" w:firstLineChars="1300"/>
        <w:rPr>
          <w:color w:val="auto"/>
          <w:kern w:val="0"/>
          <w:szCs w:val="21"/>
          <w:highlight w:val="none"/>
        </w:rPr>
      </w:pPr>
    </w:p>
    <w:p w14:paraId="5EC3415C">
      <w:pPr>
        <w:ind w:firstLine="3120" w:firstLineChars="1300"/>
        <w:rPr>
          <w:color w:val="auto"/>
          <w:kern w:val="0"/>
          <w:szCs w:val="21"/>
          <w:highlight w:val="none"/>
        </w:rPr>
      </w:pPr>
    </w:p>
    <w:p w14:paraId="570A656B">
      <w:pPr>
        <w:ind w:firstLine="3120" w:firstLineChars="1300"/>
        <w:rPr>
          <w:color w:val="auto"/>
          <w:kern w:val="0"/>
          <w:szCs w:val="21"/>
          <w:highlight w:val="none"/>
        </w:rPr>
      </w:pPr>
    </w:p>
    <w:p w14:paraId="69ED662E">
      <w:pPr>
        <w:pStyle w:val="23"/>
        <w:rPr>
          <w:color w:val="auto"/>
          <w:highlight w:val="none"/>
        </w:rPr>
      </w:pPr>
    </w:p>
    <w:p w14:paraId="614F3CD1">
      <w:pPr>
        <w:ind w:firstLine="3120" w:firstLineChars="1300"/>
        <w:rPr>
          <w:color w:val="auto"/>
          <w:kern w:val="0"/>
          <w:szCs w:val="21"/>
          <w:highlight w:val="none"/>
        </w:rPr>
      </w:pPr>
    </w:p>
    <w:p w14:paraId="14CFBCCB">
      <w:pPr>
        <w:pStyle w:val="23"/>
        <w:rPr>
          <w:color w:val="auto"/>
          <w:highlight w:val="none"/>
        </w:rPr>
      </w:pPr>
    </w:p>
    <w:p w14:paraId="796F788E">
      <w:pPr>
        <w:pStyle w:val="23"/>
        <w:rPr>
          <w:color w:val="auto"/>
          <w:highlight w:val="none"/>
        </w:rPr>
      </w:pPr>
    </w:p>
    <w:p w14:paraId="1218DB26">
      <w:pPr>
        <w:pStyle w:val="23"/>
        <w:rPr>
          <w:color w:val="auto"/>
          <w:highlight w:val="none"/>
        </w:rPr>
      </w:pPr>
    </w:p>
    <w:p w14:paraId="5A7340DA">
      <w:pPr>
        <w:pStyle w:val="23"/>
        <w:rPr>
          <w:color w:val="auto"/>
          <w:highlight w:val="none"/>
        </w:rPr>
      </w:pPr>
    </w:p>
    <w:p w14:paraId="5665396A">
      <w:pPr>
        <w:pStyle w:val="42"/>
        <w:rPr>
          <w:rFonts w:hint="eastAsia"/>
          <w:color w:val="auto"/>
          <w:kern w:val="0"/>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304" w:bottom="1440" w:left="1304" w:header="720" w:footer="720" w:gutter="0"/>
          <w:pgNumType w:fmt="decimal" w:start="1"/>
          <w:cols w:space="720" w:num="1"/>
          <w:titlePg/>
          <w:docGrid w:linePitch="331" w:charSpace="0"/>
        </w:sectPr>
      </w:pPr>
      <w:bookmarkStart w:id="1" w:name="_Toc82016584"/>
      <w:bookmarkStart w:id="2" w:name="_Toc155531032"/>
      <w:bookmarkStart w:id="3" w:name="_Toc44405619"/>
      <w:bookmarkStart w:id="4" w:name="_Toc44229878"/>
    </w:p>
    <w:p w14:paraId="7246AE57">
      <w:pPr>
        <w:pStyle w:val="42"/>
        <w:rPr>
          <w:color w:val="auto"/>
          <w:kern w:val="0"/>
          <w:highlight w:val="none"/>
        </w:rPr>
      </w:pPr>
      <w:r>
        <w:rPr>
          <w:rFonts w:hint="eastAsia"/>
          <w:color w:val="auto"/>
          <w:kern w:val="0"/>
          <w:highlight w:val="none"/>
        </w:rPr>
        <w:t>第一章竞争性谈判公告</w:t>
      </w:r>
      <w:bookmarkEnd w:id="1"/>
      <w:bookmarkEnd w:id="2"/>
    </w:p>
    <w:p w14:paraId="5C7C1B84">
      <w:pPr>
        <w:spacing w:line="320" w:lineRule="exact"/>
        <w:ind w:firstLine="0" w:firstLineChars="0"/>
        <w:rPr>
          <w:rFonts w:hint="eastAsia" w:ascii="宋体" w:hAnsi="宋体" w:cs="宋体"/>
          <w:color w:val="auto"/>
          <w:sz w:val="21"/>
          <w:szCs w:val="24"/>
          <w:highlight w:val="none"/>
        </w:rPr>
      </w:pPr>
    </w:p>
    <w:p w14:paraId="0D139BA2">
      <w:pPr>
        <w:pBdr>
          <w:top w:val="single" w:color="auto" w:sz="4" w:space="1"/>
          <w:left w:val="single" w:color="auto" w:sz="4" w:space="4"/>
          <w:bottom w:val="single" w:color="auto" w:sz="4" w:space="1"/>
          <w:right w:val="single" w:color="auto" w:sz="4" w:space="4"/>
        </w:pBdr>
        <w:spacing w:line="320" w:lineRule="exact"/>
        <w:ind w:firstLine="420"/>
        <w:rPr>
          <w:rFonts w:hint="eastAsia" w:ascii="宋体" w:hAnsi="宋体" w:cs="宋体"/>
          <w:color w:val="auto"/>
          <w:sz w:val="21"/>
          <w:szCs w:val="24"/>
          <w:highlight w:val="none"/>
        </w:rPr>
      </w:pPr>
      <w:bookmarkStart w:id="5" w:name="_Hlk37430271"/>
      <w:r>
        <w:rPr>
          <w:rFonts w:hint="eastAsia" w:ascii="宋体" w:hAnsi="宋体" w:cs="宋体"/>
          <w:color w:val="auto"/>
          <w:sz w:val="21"/>
          <w:szCs w:val="24"/>
          <w:highlight w:val="none"/>
        </w:rPr>
        <w:t>项目概况</w:t>
      </w:r>
    </w:p>
    <w:p w14:paraId="47EEDBD8">
      <w:pPr>
        <w:pBdr>
          <w:top w:val="single" w:color="auto" w:sz="4" w:space="1"/>
          <w:left w:val="single" w:color="auto" w:sz="4" w:space="4"/>
          <w:bottom w:val="single" w:color="auto" w:sz="4" w:space="1"/>
          <w:right w:val="single" w:color="auto" w:sz="4" w:space="4"/>
        </w:pBdr>
        <w:spacing w:line="320" w:lineRule="exact"/>
        <w:ind w:firstLine="420"/>
        <w:rPr>
          <w:rFonts w:hint="eastAsia" w:ascii="宋体" w:hAnsi="宋体" w:cs="宋体"/>
          <w:color w:val="auto"/>
          <w:sz w:val="21"/>
          <w:szCs w:val="24"/>
          <w:highlight w:val="none"/>
        </w:rPr>
      </w:pPr>
      <w:r>
        <w:rPr>
          <w:rFonts w:hint="eastAsia" w:ascii="宋体" w:hAnsi="宋体" w:cs="宋体"/>
          <w:color w:val="auto"/>
          <w:sz w:val="21"/>
          <w:szCs w:val="24"/>
          <w:highlight w:val="none"/>
          <w:lang w:eastAsia="zh-CN"/>
        </w:rPr>
        <w:t>桂林市叠彩实验小学功能室设备采购</w:t>
      </w:r>
      <w:r>
        <w:rPr>
          <w:rFonts w:hint="eastAsia" w:ascii="宋体" w:hAnsi="宋体" w:cs="宋体"/>
          <w:color w:val="auto"/>
          <w:sz w:val="21"/>
          <w:szCs w:val="24"/>
          <w:highlight w:val="none"/>
        </w:rPr>
        <w:t>的潜在供应商应在“广西政府采购云平台”（www.gcy.zfcg.gxzf.gov.cn）获取竞争性谈判文件，并</w:t>
      </w:r>
      <w:r>
        <w:rPr>
          <w:rFonts w:hint="eastAsia" w:ascii="宋体" w:hAnsi="宋体" w:cs="宋体"/>
          <w:color w:val="auto"/>
          <w:sz w:val="21"/>
          <w:szCs w:val="24"/>
          <w:highlight w:val="none"/>
        </w:rPr>
        <w:t>于</w:t>
      </w:r>
      <w:r>
        <w:rPr>
          <w:rFonts w:hint="eastAsia" w:ascii="宋体" w:hAnsi="宋体" w:cs="宋体"/>
          <w:bCs/>
          <w:color w:val="auto"/>
          <w:sz w:val="21"/>
          <w:szCs w:val="21"/>
          <w:highlight w:val="none"/>
        </w:rPr>
        <w:t>2025年</w:t>
      </w:r>
      <w:r>
        <w:rPr>
          <w:rFonts w:hint="eastAsia" w:ascii="宋体" w:hAnsi="宋体" w:cs="宋体"/>
          <w:bCs/>
          <w:color w:val="auto"/>
          <w:sz w:val="21"/>
          <w:szCs w:val="21"/>
          <w:highlight w:val="none"/>
          <w:lang w:val="en-US" w:eastAsia="zh-CN"/>
        </w:rPr>
        <w:t>11</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lang w:val="en-US" w:eastAsia="zh-CN"/>
        </w:rPr>
        <w:t>24</w:t>
      </w:r>
      <w:r>
        <w:rPr>
          <w:rFonts w:hint="eastAsia" w:ascii="宋体" w:hAnsi="宋体" w:cs="宋体"/>
          <w:bCs/>
          <w:color w:val="auto"/>
          <w:sz w:val="21"/>
          <w:szCs w:val="21"/>
          <w:highlight w:val="none"/>
        </w:rPr>
        <w:t>日</w:t>
      </w:r>
      <w:r>
        <w:rPr>
          <w:rFonts w:hint="eastAsia" w:ascii="宋体" w:hAnsi="宋体" w:cs="宋体"/>
          <w:color w:val="auto"/>
          <w:sz w:val="21"/>
          <w:szCs w:val="24"/>
          <w:highlight w:val="none"/>
        </w:rPr>
        <w:t>上午9时30</w:t>
      </w:r>
      <w:r>
        <w:rPr>
          <w:rFonts w:hint="eastAsia" w:ascii="宋体" w:hAnsi="宋体" w:cs="宋体"/>
          <w:color w:val="auto"/>
          <w:sz w:val="21"/>
          <w:szCs w:val="24"/>
          <w:highlight w:val="none"/>
        </w:rPr>
        <w:t>分（北京时间）前提交响应文件。</w:t>
      </w:r>
    </w:p>
    <w:bookmarkEnd w:id="5"/>
    <w:p w14:paraId="4C0DE268">
      <w:pPr>
        <w:keepNext/>
        <w:keepLines/>
        <w:spacing w:before="260" w:after="260" w:line="400" w:lineRule="exact"/>
        <w:ind w:firstLine="422"/>
        <w:outlineLvl w:val="1"/>
        <w:rPr>
          <w:rFonts w:hint="eastAsia" w:ascii="宋体" w:hAnsi="宋体" w:cs="宋体"/>
          <w:b/>
          <w:color w:val="auto"/>
          <w:sz w:val="21"/>
          <w:szCs w:val="21"/>
          <w:highlight w:val="none"/>
        </w:rPr>
      </w:pPr>
      <w:bookmarkStart w:id="6" w:name="_Toc28359089"/>
      <w:bookmarkStart w:id="7" w:name="_Toc35393798"/>
      <w:bookmarkStart w:id="8" w:name="_Toc28359012"/>
      <w:bookmarkStart w:id="9" w:name="_Toc35393629"/>
      <w:bookmarkStart w:id="10" w:name="_Toc82016585"/>
      <w:r>
        <w:rPr>
          <w:rFonts w:hint="eastAsia" w:ascii="宋体" w:hAnsi="宋体" w:cs="宋体"/>
          <w:b/>
          <w:color w:val="auto"/>
          <w:sz w:val="21"/>
          <w:szCs w:val="21"/>
          <w:highlight w:val="none"/>
        </w:rPr>
        <w:t>一、项目基本情况</w:t>
      </w:r>
      <w:bookmarkEnd w:id="6"/>
      <w:bookmarkEnd w:id="7"/>
      <w:bookmarkEnd w:id="8"/>
      <w:bookmarkEnd w:id="9"/>
      <w:bookmarkEnd w:id="10"/>
    </w:p>
    <w:p w14:paraId="1C8D449B">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GLZC2025-J1-990603-JXYX</w:t>
      </w:r>
      <w:r>
        <w:rPr>
          <w:rFonts w:hint="eastAsia" w:ascii="宋体" w:hAnsi="宋体" w:cs="宋体"/>
          <w:color w:val="auto"/>
          <w:sz w:val="21"/>
          <w:szCs w:val="21"/>
          <w:highlight w:val="none"/>
        </w:rPr>
        <w:t xml:space="preserve"> </w:t>
      </w:r>
    </w:p>
    <w:p w14:paraId="11C45FEE">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项目名称：</w:t>
      </w:r>
      <w:r>
        <w:rPr>
          <w:rFonts w:hint="eastAsia" w:ascii="宋体" w:hAnsi="宋体" w:cs="宋体"/>
          <w:color w:val="auto"/>
          <w:sz w:val="21"/>
          <w:szCs w:val="24"/>
          <w:highlight w:val="none"/>
          <w:lang w:eastAsia="zh-CN"/>
        </w:rPr>
        <w:t>桂林市叠彩实验小学功能室设备采购</w:t>
      </w:r>
    </w:p>
    <w:p w14:paraId="5954C45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采购方式：竞争性谈判</w:t>
      </w:r>
    </w:p>
    <w:p w14:paraId="3E66C122">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预算</w:t>
      </w:r>
      <w:r>
        <w:rPr>
          <w:rFonts w:hint="eastAsia" w:ascii="宋体" w:hAnsi="宋体" w:cs="宋体"/>
          <w:color w:val="auto"/>
          <w:sz w:val="21"/>
          <w:szCs w:val="21"/>
          <w:highlight w:val="none"/>
        </w:rPr>
        <w:t>金额（元）：</w:t>
      </w:r>
      <w:r>
        <w:rPr>
          <w:rFonts w:hint="eastAsia" w:ascii="宋体" w:hAnsi="宋体" w:cs="宋体"/>
          <w:color w:val="auto"/>
          <w:sz w:val="21"/>
          <w:szCs w:val="21"/>
          <w:highlight w:val="none"/>
          <w:lang w:val="en-US" w:eastAsia="zh-CN"/>
        </w:rPr>
        <w:t>2159200</w:t>
      </w:r>
      <w:r>
        <w:rPr>
          <w:rFonts w:hint="eastAsia" w:ascii="宋体" w:hAnsi="宋体" w:cs="宋体"/>
          <w:color w:val="auto"/>
          <w:sz w:val="21"/>
          <w:szCs w:val="21"/>
          <w:highlight w:val="none"/>
        </w:rPr>
        <w:t>.00元</w:t>
      </w:r>
    </w:p>
    <w:p w14:paraId="14A11AE8">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最高限价（元）：无</w:t>
      </w:r>
    </w:p>
    <w:p w14:paraId="7E338FD9">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采购需求：</w:t>
      </w:r>
    </w:p>
    <w:p w14:paraId="6E36F0BD">
      <w:pPr>
        <w:numPr>
          <w:ilvl w:val="0"/>
          <w:numId w:val="0"/>
        </w:numPr>
        <w:spacing w:line="400" w:lineRule="exact"/>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标项一：</w:t>
      </w:r>
    </w:p>
    <w:p w14:paraId="42DFB8D9">
      <w:pPr>
        <w:numPr>
          <w:ilvl w:val="0"/>
          <w:numId w:val="0"/>
        </w:numPr>
        <w:spacing w:line="400" w:lineRule="exact"/>
        <w:ind w:left="418" w:leftChars="174" w:firstLine="0" w:firstLineChars="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标项名称:</w:t>
      </w:r>
      <w:r>
        <w:rPr>
          <w:rFonts w:hint="eastAsia" w:ascii="宋体" w:hAnsi="宋体" w:cs="宋体"/>
          <w:color w:val="auto"/>
          <w:sz w:val="21"/>
          <w:szCs w:val="24"/>
          <w:highlight w:val="none"/>
          <w:lang w:eastAsia="zh-CN"/>
        </w:rPr>
        <w:t>桂林市叠彩实验小学功能室设备采购</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数量:1</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预算金额（元）:</w:t>
      </w:r>
      <w:r>
        <w:rPr>
          <w:rFonts w:hint="eastAsia" w:ascii="宋体" w:hAnsi="宋体" w:cs="宋体"/>
          <w:color w:val="auto"/>
          <w:sz w:val="21"/>
          <w:szCs w:val="21"/>
          <w:highlight w:val="none"/>
          <w:lang w:val="en-US" w:eastAsia="zh-CN"/>
        </w:rPr>
        <w:t>1753335.00元</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简要规格描述或项目基本概况介绍、用途：电脑室；精品互动录播室；实验室设备；仪器室；心</w:t>
      </w:r>
    </w:p>
    <w:p w14:paraId="24BEF98E">
      <w:pPr>
        <w:numPr>
          <w:ilvl w:val="0"/>
          <w:numId w:val="0"/>
        </w:num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理咨询室；管乐队器材；图书阅览室；舞台室外led屏；录播室；体育器材室；音、美、舞蹈室设备；摄像头；科技角设备等仪器设备</w:t>
      </w:r>
      <w:r>
        <w:rPr>
          <w:rFonts w:hint="eastAsia" w:ascii="宋体" w:hAnsi="宋体" w:cs="宋体"/>
          <w:color w:val="auto"/>
          <w:sz w:val="21"/>
          <w:szCs w:val="21"/>
          <w:highlight w:val="none"/>
          <w:lang w:val="en-US" w:eastAsia="zh-CN"/>
        </w:rPr>
        <w:t>1批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按国家有关产品“三包”规定执行“三包”。具体内容详见第三章采购需求。</w:t>
      </w:r>
    </w:p>
    <w:p w14:paraId="271362E5">
      <w:pPr>
        <w:numPr>
          <w:ilvl w:val="0"/>
          <w:numId w:val="0"/>
        </w:numPr>
        <w:spacing w:line="40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eastAsia="zh-CN"/>
        </w:rPr>
        <w:t>最高限价（如有）：/</w:t>
      </w:r>
    </w:p>
    <w:p w14:paraId="3EEA1B87">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合同履行期限（交付时间）：因本项目货物交付时间紧迫，供应商须于签订合同之日起</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个日历日内交货并完成安装调试</w:t>
      </w:r>
      <w:r>
        <w:rPr>
          <w:rFonts w:hint="eastAsia" w:ascii="宋体" w:hAnsi="宋体" w:cs="宋体"/>
          <w:color w:val="auto"/>
          <w:sz w:val="21"/>
          <w:szCs w:val="21"/>
          <w:highlight w:val="none"/>
          <w:lang w:val="en-US" w:eastAsia="zh-CN"/>
        </w:rPr>
        <w:t>合格完毕</w:t>
      </w:r>
      <w:r>
        <w:rPr>
          <w:rFonts w:hint="eastAsia" w:ascii="宋体" w:hAnsi="宋体" w:cs="宋体"/>
          <w:color w:val="auto"/>
          <w:sz w:val="21"/>
          <w:szCs w:val="21"/>
          <w:highlight w:val="none"/>
        </w:rPr>
        <w:t>，如延期交付的，按违约处理。</w:t>
      </w:r>
    </w:p>
    <w:p w14:paraId="11FD8B0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本项目</w:t>
      </w:r>
      <w:r>
        <w:rPr>
          <w:rFonts w:hint="eastAsia" w:ascii="宋体" w:hAnsi="宋体" w:cs="宋体"/>
          <w:color w:val="auto"/>
          <w:sz w:val="21"/>
          <w:szCs w:val="21"/>
          <w:highlight w:val="none"/>
          <w:lang w:eastAsia="zh-CN"/>
        </w:rPr>
        <w:t>否</w:t>
      </w:r>
      <w:r>
        <w:rPr>
          <w:rFonts w:hint="eastAsia" w:ascii="宋体" w:hAnsi="宋体" w:cs="宋体"/>
          <w:color w:val="auto"/>
          <w:sz w:val="21"/>
          <w:szCs w:val="21"/>
          <w:highlight w:val="none"/>
        </w:rPr>
        <w:t>接受联合体参与谈判。</w:t>
      </w:r>
      <w:bookmarkStart w:id="11" w:name="_Toc28359090"/>
      <w:bookmarkStart w:id="12" w:name="_Toc35393630"/>
      <w:bookmarkStart w:id="13" w:name="_Toc28359013"/>
      <w:bookmarkStart w:id="14" w:name="_Toc35393799"/>
    </w:p>
    <w:p w14:paraId="4CFDA565">
      <w:pPr>
        <w:numPr>
          <w:ilvl w:val="0"/>
          <w:numId w:val="0"/>
        </w:numPr>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备注：</w:t>
      </w:r>
    </w:p>
    <w:p w14:paraId="4B00D925">
      <w:pPr>
        <w:numPr>
          <w:ilvl w:val="0"/>
          <w:numId w:val="0"/>
        </w:numPr>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本项目为线上电子采购项目，有意向参与本项目的供应商应当做好参与全流程电子招投标交易的充分准备。</w:t>
      </w:r>
    </w:p>
    <w:p w14:paraId="4BBA67F5">
      <w:pPr>
        <w:numPr>
          <w:ilvl w:val="0"/>
          <w:numId w:val="0"/>
        </w:numPr>
        <w:spacing w:line="400" w:lineRule="exact"/>
        <w:ind w:left="418" w:leftChars="174" w:firstLine="0" w:firstLineChars="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标项二：</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标项名称:</w:t>
      </w:r>
      <w:r>
        <w:rPr>
          <w:rFonts w:hint="eastAsia" w:ascii="宋体" w:hAnsi="宋体" w:cs="宋体"/>
          <w:color w:val="auto"/>
          <w:sz w:val="21"/>
          <w:szCs w:val="24"/>
          <w:highlight w:val="none"/>
          <w:lang w:eastAsia="zh-CN"/>
        </w:rPr>
        <w:t>桂林市叠彩实验小学地下室及配电房维修工程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数量:1</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预算金额（元）:</w:t>
      </w:r>
      <w:r>
        <w:rPr>
          <w:rFonts w:hint="eastAsia" w:ascii="宋体" w:hAnsi="宋体" w:cs="宋体"/>
          <w:color w:val="auto"/>
          <w:sz w:val="21"/>
          <w:szCs w:val="21"/>
          <w:highlight w:val="none"/>
          <w:lang w:val="en-US" w:eastAsia="zh-CN"/>
        </w:rPr>
        <w:t>405865.00元</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简要规格描述或项目基本概况介绍、用途：</w:t>
      </w:r>
      <w:r>
        <w:rPr>
          <w:rFonts w:hint="eastAsia" w:ascii="宋体" w:hAnsi="宋体" w:cs="宋体"/>
          <w:color w:val="auto"/>
          <w:sz w:val="21"/>
          <w:szCs w:val="21"/>
          <w:highlight w:val="none"/>
          <w:lang w:val="en-US" w:eastAsia="zh-CN"/>
        </w:rPr>
        <w:t>1250KVA干式变压器整体更换，400KW发电机维修，进线柜、电容补偿柜、出线柜、双电源柜维修，系统调试，电缆改接，配电箱维修及其他零星维修工程。</w:t>
      </w:r>
    </w:p>
    <w:p w14:paraId="5EBBC357">
      <w:pPr>
        <w:numPr>
          <w:ilvl w:val="0"/>
          <w:numId w:val="0"/>
        </w:numPr>
        <w:spacing w:line="400" w:lineRule="exact"/>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最高限价（如有）：/</w:t>
      </w:r>
    </w:p>
    <w:p w14:paraId="5CE5BB0B">
      <w:pPr>
        <w:numPr>
          <w:ilvl w:val="0"/>
          <w:numId w:val="0"/>
        </w:numPr>
        <w:spacing w:line="400" w:lineRule="exact"/>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要求工期：20日历天</w:t>
      </w:r>
    </w:p>
    <w:p w14:paraId="3213B2B1">
      <w:pPr>
        <w:numPr>
          <w:ilvl w:val="0"/>
          <w:numId w:val="0"/>
        </w:numPr>
        <w:spacing w:line="400" w:lineRule="exact"/>
        <w:ind w:left="418" w:leftChars="174" w:firstLine="0" w:firstLineChars="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质量标准：</w:t>
      </w:r>
      <w:r>
        <w:rPr>
          <w:rFonts w:hint="eastAsia" w:ascii="宋体" w:hAnsi="宋体" w:cs="宋体"/>
          <w:color w:val="auto"/>
          <w:sz w:val="21"/>
          <w:szCs w:val="21"/>
          <w:highlight w:val="none"/>
          <w:lang w:val="en-US" w:eastAsia="zh-CN"/>
        </w:rPr>
        <w:t>按</w:t>
      </w:r>
      <w:r>
        <w:rPr>
          <w:rFonts w:hint="eastAsia" w:ascii="宋体" w:hAnsi="宋体" w:eastAsia="宋体" w:cs="宋体"/>
          <w:color w:val="auto"/>
          <w:kern w:val="0"/>
          <w:sz w:val="21"/>
          <w:szCs w:val="21"/>
          <w:highlight w:val="none"/>
          <w:lang w:eastAsia="zh-CN"/>
        </w:rPr>
        <w:t>国家现行有关工程施工质量验收规范合格标准</w:t>
      </w:r>
    </w:p>
    <w:p w14:paraId="0BFC781C">
      <w:pPr>
        <w:numPr>
          <w:ilvl w:val="0"/>
          <w:numId w:val="0"/>
        </w:numPr>
        <w:spacing w:line="400" w:lineRule="exact"/>
        <w:ind w:left="418" w:leftChars="174" w:firstLine="0" w:firstLineChars="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本标项（否）接受联合体</w:t>
      </w:r>
      <w:r>
        <w:rPr>
          <w:rFonts w:hint="eastAsia" w:ascii="宋体" w:hAnsi="宋体" w:cs="宋体"/>
          <w:color w:val="auto"/>
          <w:sz w:val="21"/>
          <w:szCs w:val="21"/>
          <w:highlight w:val="none"/>
        </w:rPr>
        <w:t>参与谈判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备注：</w:t>
      </w:r>
      <w:r>
        <w:rPr>
          <w:rFonts w:hint="eastAsia" w:ascii="宋体" w:hAnsi="宋体" w:eastAsia="宋体" w:cs="宋体"/>
          <w:color w:val="auto"/>
          <w:sz w:val="21"/>
          <w:szCs w:val="21"/>
          <w:highlight w:val="none"/>
          <w:lang w:val="en-US" w:eastAsia="zh-CN"/>
        </w:rPr>
        <w:t>本项目为线上电子采购项目，有意向参与本项目的供应商应当做好参与全流程电子招投标</w:t>
      </w:r>
    </w:p>
    <w:p w14:paraId="366D3552">
      <w:pPr>
        <w:numPr>
          <w:ilvl w:val="0"/>
          <w:numId w:val="0"/>
        </w:numPr>
        <w:spacing w:line="400" w:lineRule="exact"/>
        <w:rPr>
          <w:rFonts w:hint="eastAsia"/>
          <w:color w:val="auto"/>
          <w:highlight w:val="none"/>
          <w:lang w:eastAsia="zh-CN"/>
        </w:rPr>
      </w:pPr>
      <w:r>
        <w:rPr>
          <w:rFonts w:hint="eastAsia" w:ascii="宋体" w:hAnsi="宋体" w:eastAsia="宋体" w:cs="宋体"/>
          <w:color w:val="auto"/>
          <w:sz w:val="21"/>
          <w:szCs w:val="21"/>
          <w:highlight w:val="none"/>
          <w:lang w:val="en-US" w:eastAsia="zh-CN"/>
        </w:rPr>
        <w:t>交易的充分准备</w:t>
      </w:r>
      <w:r>
        <w:rPr>
          <w:rFonts w:hint="eastAsia" w:ascii="宋体" w:hAnsi="宋体" w:cs="宋体"/>
          <w:color w:val="auto"/>
          <w:sz w:val="21"/>
          <w:szCs w:val="21"/>
          <w:highlight w:val="none"/>
          <w:lang w:eastAsia="zh-CN"/>
        </w:rPr>
        <w:t>。</w:t>
      </w:r>
    </w:p>
    <w:p w14:paraId="20FD0DD0">
      <w:pPr>
        <w:spacing w:line="400" w:lineRule="exact"/>
        <w:ind w:firstLine="422"/>
        <w:outlineLvl w:val="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1"/>
      <w:bookmarkEnd w:id="12"/>
      <w:bookmarkEnd w:id="13"/>
      <w:bookmarkEnd w:id="14"/>
    </w:p>
    <w:p w14:paraId="0CACE309">
      <w:pPr>
        <w:spacing w:line="400" w:lineRule="exact"/>
        <w:ind w:firstLine="420"/>
        <w:rPr>
          <w:rFonts w:hint="eastAsia" w:ascii="宋体" w:hAnsi="宋体" w:cs="宋体"/>
          <w:color w:val="auto"/>
          <w:sz w:val="21"/>
          <w:szCs w:val="21"/>
          <w:highlight w:val="none"/>
        </w:rPr>
      </w:pPr>
      <w:bookmarkStart w:id="15" w:name="_Toc28359014"/>
      <w:bookmarkStart w:id="16" w:name="_Toc28359091"/>
      <w:r>
        <w:rPr>
          <w:rFonts w:hint="eastAsia" w:ascii="宋体" w:hAnsi="宋体" w:cs="宋体"/>
          <w:color w:val="auto"/>
          <w:sz w:val="21"/>
          <w:szCs w:val="21"/>
          <w:highlight w:val="none"/>
        </w:rPr>
        <w:t>1.满足《中华人民共和国政府采购法》第二十二条规定；</w:t>
      </w:r>
      <w:r>
        <w:rPr>
          <w:rFonts w:hint="eastAsia" w:ascii="宋体" w:hAnsi="宋体" w:cs="宋体"/>
          <w:color w:val="auto"/>
          <w:sz w:val="21"/>
          <w:szCs w:val="21"/>
          <w:highlight w:val="none"/>
          <w:lang w:val="en-US" w:eastAsia="zh-CN"/>
        </w:rPr>
        <w:t xml:space="preserve"> </w:t>
      </w:r>
    </w:p>
    <w:p w14:paraId="337EAF5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1818AF5C">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.落实政府采购政策需满足的资格要求：</w:t>
      </w: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lang w:eastAsia="zh-CN"/>
        </w:rPr>
        <w:t>为非专门面向</w:t>
      </w:r>
      <w:r>
        <w:rPr>
          <w:rFonts w:hint="eastAsia" w:ascii="宋体" w:hAnsi="宋体" w:cs="宋体"/>
          <w:color w:val="auto"/>
          <w:sz w:val="21"/>
          <w:szCs w:val="21"/>
          <w:highlight w:val="none"/>
          <w:lang w:val="en-US" w:eastAsia="zh-CN"/>
        </w:rPr>
        <w:t>中小</w:t>
      </w:r>
      <w:r>
        <w:rPr>
          <w:rFonts w:hint="eastAsia" w:ascii="宋体" w:hAnsi="宋体" w:cs="宋体"/>
          <w:color w:val="auto"/>
          <w:sz w:val="21"/>
          <w:szCs w:val="21"/>
          <w:highlight w:val="none"/>
          <w:lang w:eastAsia="zh-CN"/>
        </w:rPr>
        <w:t>企业采购的项目</w:t>
      </w:r>
      <w:r>
        <w:rPr>
          <w:rFonts w:hint="eastAsia" w:ascii="宋体" w:hAnsi="宋体" w:cs="宋体"/>
          <w:color w:val="auto"/>
          <w:sz w:val="21"/>
          <w:szCs w:val="21"/>
          <w:highlight w:val="none"/>
        </w:rPr>
        <w:t>；</w:t>
      </w:r>
    </w:p>
    <w:p w14:paraId="5A657C2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.本项目的特定资格要求：</w:t>
      </w:r>
    </w:p>
    <w:p w14:paraId="4B92AF8E">
      <w:pPr>
        <w:spacing w:line="400" w:lineRule="exact"/>
        <w:ind w:firstLine="42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1：供应商须具有有效《中华人民共和国出版物经营许可证》；</w:t>
      </w:r>
    </w:p>
    <w:p w14:paraId="4FDD54DC">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2：供应商需具备电力工程施工总承包叁级及以上资质或输变电工程专业承包叁级及以上资质、并且同时具备《承装（修、试）电力设施许可证》承装类、承修类、承试类四级及以上资质并取得广西电网公司桂林供电局《客户受电工程资质核验受理回执》)的施工企业资质，并在人员、设备、资金等方面具备相应的施工能力。其中，供应商拟派项目经理须具备机电工程专业注册建造师二级以上（含二级）执业资格和持有有效的省级或省级以上建设行政主管部门颁发的《安全生产考核合格证书（建安B证）》，并处于有效状态，具备有效的安全生产考核合格证书（B类）。</w:t>
      </w:r>
    </w:p>
    <w:p w14:paraId="5BFB198F">
      <w:pPr>
        <w:spacing w:line="400" w:lineRule="exact"/>
        <w:ind w:firstLine="422"/>
        <w:outlineLvl w:val="1"/>
        <w:rPr>
          <w:rFonts w:hint="eastAsia" w:ascii="宋体" w:hAnsi="宋体" w:cs="宋体"/>
          <w:b/>
          <w:bCs/>
          <w:color w:val="auto"/>
          <w:sz w:val="21"/>
          <w:szCs w:val="21"/>
          <w:highlight w:val="none"/>
        </w:rPr>
      </w:pPr>
      <w:bookmarkStart w:id="17" w:name="_Toc35393631"/>
      <w:bookmarkStart w:id="18" w:name="_Toc35393800"/>
      <w:r>
        <w:rPr>
          <w:rFonts w:hint="eastAsia" w:ascii="宋体" w:hAnsi="宋体" w:cs="宋体"/>
          <w:b/>
          <w:bCs/>
          <w:color w:val="auto"/>
          <w:sz w:val="21"/>
          <w:szCs w:val="21"/>
          <w:highlight w:val="none"/>
        </w:rPr>
        <w:t>三、获取采购文件</w:t>
      </w:r>
      <w:bookmarkEnd w:id="15"/>
      <w:bookmarkEnd w:id="16"/>
      <w:bookmarkEnd w:id="17"/>
      <w:bookmarkEnd w:id="18"/>
    </w:p>
    <w:p w14:paraId="259111D8">
      <w:pPr>
        <w:spacing w:line="400" w:lineRule="exact"/>
        <w:ind w:firstLine="54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时间：2025</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14</w:t>
      </w:r>
      <w:r>
        <w:rPr>
          <w:rFonts w:hint="eastAsia" w:ascii="宋体" w:hAnsi="宋体" w:cs="宋体"/>
          <w:color w:val="auto"/>
          <w:sz w:val="21"/>
          <w:szCs w:val="21"/>
          <w:highlight w:val="none"/>
        </w:rPr>
        <w:t>日至2025年</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24</w:t>
      </w:r>
      <w:r>
        <w:rPr>
          <w:rFonts w:hint="eastAsia" w:ascii="宋体" w:hAnsi="宋体" w:cs="宋体"/>
          <w:color w:val="auto"/>
          <w:sz w:val="21"/>
          <w:szCs w:val="21"/>
          <w:highlight w:val="none"/>
        </w:rPr>
        <w:t>日，每天上午</w:t>
      </w:r>
      <w:r>
        <w:rPr>
          <w:rFonts w:hint="eastAsia" w:ascii="宋体" w:hAnsi="宋体" w:cs="宋体"/>
          <w:color w:val="auto"/>
          <w:sz w:val="21"/>
          <w:szCs w:val="21"/>
          <w:highlight w:val="none"/>
        </w:rPr>
        <w:t>00：00至11：59，下午12：00至23：59（北京时间，法定节假日除外）</w:t>
      </w:r>
    </w:p>
    <w:p w14:paraId="04A6244C">
      <w:pPr>
        <w:spacing w:line="400" w:lineRule="exact"/>
        <w:ind w:firstLine="54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地点：</w:t>
      </w:r>
      <w:r>
        <w:rPr>
          <w:rFonts w:hint="eastAsia" w:ascii="宋体" w:hAnsi="宋体" w:cs="宋体"/>
          <w:color w:val="auto"/>
          <w:sz w:val="21"/>
          <w:szCs w:val="24"/>
          <w:highlight w:val="none"/>
        </w:rPr>
        <w:t>“广西政府采购云平台”（www.gcy.zfcg.gxzf.gov.cn）</w:t>
      </w:r>
      <w:r>
        <w:rPr>
          <w:rFonts w:hint="eastAsia" w:ascii="宋体" w:hAnsi="宋体" w:cs="宋体"/>
          <w:color w:val="auto"/>
          <w:sz w:val="21"/>
          <w:szCs w:val="21"/>
          <w:highlight w:val="none"/>
        </w:rPr>
        <w:t>。</w:t>
      </w:r>
    </w:p>
    <w:p w14:paraId="0A80F1D4">
      <w:pPr>
        <w:spacing w:line="400" w:lineRule="exact"/>
        <w:ind w:firstLine="540" w:firstLineChars="0"/>
        <w:rPr>
          <w:rFonts w:hint="eastAsia" w:ascii="宋体" w:hAnsi="宋体" w:cs="宋体"/>
          <w:b/>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“广西政府采购云平台”（www.gcy.zfcg.gxzf.gov.cn）免费</w:t>
      </w:r>
      <w:r>
        <w:rPr>
          <w:rFonts w:hint="eastAsia" w:ascii="宋体" w:hAnsi="宋体" w:cs="宋体"/>
          <w:color w:val="auto"/>
          <w:sz w:val="21"/>
          <w:szCs w:val="21"/>
          <w:highlight w:val="none"/>
        </w:rPr>
        <w:t>下载竞争性谈判文件电子版。</w:t>
      </w:r>
      <w:r>
        <w:rPr>
          <w:rFonts w:hint="eastAsia" w:ascii="宋体" w:hAnsi="宋体" w:cs="宋体"/>
          <w:b/>
          <w:color w:val="auto"/>
          <w:sz w:val="21"/>
          <w:szCs w:val="21"/>
          <w:highlight w:val="none"/>
        </w:rPr>
        <w:t>供应商</w:t>
      </w:r>
      <w:r>
        <w:rPr>
          <w:rFonts w:hint="eastAsia" w:ascii="宋体" w:hAnsi="宋体" w:cs="宋体"/>
          <w:b/>
          <w:bCs/>
          <w:color w:val="auto"/>
          <w:sz w:val="21"/>
          <w:szCs w:val="21"/>
          <w:highlight w:val="none"/>
        </w:rPr>
        <w:t>应在“广西政府采购云平台”进行“申请获取采购文件”操作，否则，将导致无法在线编制响应文件并参与竞标，其不利后果由供应商自行承担。</w:t>
      </w:r>
    </w:p>
    <w:p w14:paraId="41743390">
      <w:pPr>
        <w:spacing w:line="400" w:lineRule="exact"/>
        <w:ind w:firstLine="54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售价（元）：0。</w:t>
      </w:r>
      <w:bookmarkStart w:id="19" w:name="_Toc35393632"/>
      <w:bookmarkStart w:id="20" w:name="_Toc28359015"/>
      <w:bookmarkStart w:id="21" w:name="_Toc28359092"/>
      <w:bookmarkStart w:id="22" w:name="_Toc35393801"/>
    </w:p>
    <w:p w14:paraId="159A9D4B">
      <w:pPr>
        <w:spacing w:line="400" w:lineRule="exact"/>
        <w:ind w:firstLine="540" w:firstLineChars="0"/>
        <w:outlineLvl w:val="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四、响应文件提交</w:t>
      </w:r>
      <w:bookmarkEnd w:id="19"/>
      <w:bookmarkEnd w:id="20"/>
      <w:bookmarkEnd w:id="21"/>
      <w:bookmarkEnd w:id="22"/>
    </w:p>
    <w:p w14:paraId="08E264B6">
      <w:pPr>
        <w:spacing w:line="400" w:lineRule="exact"/>
        <w:ind w:firstLine="54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截止时间：</w:t>
      </w:r>
      <w:r>
        <w:rPr>
          <w:rFonts w:hint="eastAsia" w:ascii="宋体" w:hAnsi="宋体" w:cs="宋体"/>
          <w:bCs/>
          <w:color w:val="auto"/>
          <w:sz w:val="21"/>
          <w:szCs w:val="21"/>
          <w:highlight w:val="none"/>
        </w:rPr>
        <w:t>2025年</w:t>
      </w:r>
      <w:r>
        <w:rPr>
          <w:rFonts w:hint="eastAsia" w:ascii="宋体" w:hAnsi="宋体" w:cs="宋体"/>
          <w:bCs/>
          <w:color w:val="auto"/>
          <w:sz w:val="21"/>
          <w:szCs w:val="21"/>
          <w:highlight w:val="none"/>
          <w:lang w:val="en-US" w:eastAsia="zh-CN"/>
        </w:rPr>
        <w:t>11</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lang w:val="en-US" w:eastAsia="zh-CN"/>
        </w:rPr>
        <w:t>24</w:t>
      </w:r>
      <w:r>
        <w:rPr>
          <w:rFonts w:hint="eastAsia" w:ascii="宋体" w:hAnsi="宋体" w:cs="宋体"/>
          <w:bCs/>
          <w:color w:val="auto"/>
          <w:sz w:val="21"/>
          <w:szCs w:val="21"/>
          <w:highlight w:val="none"/>
        </w:rPr>
        <w:t>日上午</w:t>
      </w:r>
      <w:r>
        <w:rPr>
          <w:rFonts w:hint="eastAsia" w:ascii="宋体" w:hAnsi="宋体" w:cs="宋体"/>
          <w:bCs/>
          <w:color w:val="auto"/>
          <w:sz w:val="21"/>
          <w:szCs w:val="21"/>
          <w:highlight w:val="none"/>
        </w:rPr>
        <w:t>9时30分（北京时间）</w:t>
      </w:r>
    </w:p>
    <w:p w14:paraId="010CED35">
      <w:pPr>
        <w:spacing w:line="400" w:lineRule="exact"/>
        <w:ind w:firstLine="54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地点：</w:t>
      </w:r>
      <w:bookmarkStart w:id="23" w:name="_Toc28359016"/>
      <w:bookmarkStart w:id="24" w:name="_Toc35393802"/>
      <w:bookmarkStart w:id="25" w:name="_Toc28359093"/>
      <w:bookmarkStart w:id="26" w:name="_Toc35393633"/>
      <w:r>
        <w:rPr>
          <w:rFonts w:hint="eastAsia" w:ascii="宋体" w:hAnsi="宋体" w:cs="宋体"/>
          <w:bCs/>
          <w:color w:val="auto"/>
          <w:sz w:val="21"/>
          <w:szCs w:val="21"/>
          <w:highlight w:val="none"/>
        </w:rPr>
        <w:t>登录“广西政府采购云平台”在线提交。</w:t>
      </w:r>
    </w:p>
    <w:p w14:paraId="0D37A558">
      <w:pPr>
        <w:spacing w:line="400" w:lineRule="exact"/>
        <w:ind w:firstLine="632" w:firstLineChars="300"/>
        <w:outlineLvl w:val="1"/>
        <w:rPr>
          <w:rFonts w:hint="eastAsia"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3"/>
      <w:bookmarkEnd w:id="24"/>
      <w:bookmarkEnd w:id="25"/>
      <w:bookmarkEnd w:id="26"/>
    </w:p>
    <w:p w14:paraId="5A2D270C">
      <w:pPr>
        <w:spacing w:line="400" w:lineRule="exact"/>
        <w:ind w:left="0" w:leftChars="0" w:firstLine="478" w:firstLineChars="228"/>
        <w:rPr>
          <w:rFonts w:hint="eastAsia" w:ascii="宋体" w:hAnsi="宋体" w:cs="宋体"/>
          <w:bCs/>
          <w:color w:val="auto"/>
          <w:sz w:val="21"/>
          <w:szCs w:val="21"/>
          <w:highlight w:val="none"/>
          <w:u w:val="single"/>
        </w:rPr>
      </w:pPr>
      <w:r>
        <w:rPr>
          <w:rFonts w:hint="eastAsia" w:ascii="宋体" w:hAnsi="宋体" w:cs="宋体"/>
          <w:color w:val="auto"/>
          <w:sz w:val="21"/>
          <w:szCs w:val="21"/>
          <w:highlight w:val="none"/>
        </w:rPr>
        <w:t>时间：</w:t>
      </w:r>
      <w:r>
        <w:rPr>
          <w:rFonts w:hint="eastAsia" w:ascii="宋体" w:hAnsi="宋体" w:cs="宋体"/>
          <w:bCs/>
          <w:color w:val="auto"/>
          <w:sz w:val="21"/>
          <w:szCs w:val="21"/>
          <w:highlight w:val="none"/>
        </w:rPr>
        <w:t>2</w:t>
      </w:r>
      <w:r>
        <w:rPr>
          <w:rFonts w:hint="eastAsia" w:ascii="宋体" w:hAnsi="宋体" w:cs="宋体"/>
          <w:bCs/>
          <w:color w:val="auto"/>
          <w:sz w:val="21"/>
          <w:szCs w:val="21"/>
          <w:highlight w:val="none"/>
        </w:rPr>
        <w:t>025年</w:t>
      </w:r>
      <w:r>
        <w:rPr>
          <w:rFonts w:hint="eastAsia" w:ascii="宋体" w:hAnsi="宋体" w:cs="宋体"/>
          <w:bCs/>
          <w:color w:val="auto"/>
          <w:sz w:val="21"/>
          <w:szCs w:val="21"/>
          <w:highlight w:val="none"/>
          <w:lang w:val="en-US" w:eastAsia="zh-CN"/>
        </w:rPr>
        <w:t>11</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lang w:val="en-US" w:eastAsia="zh-CN"/>
        </w:rPr>
        <w:t>24</w:t>
      </w:r>
      <w:r>
        <w:rPr>
          <w:rFonts w:hint="eastAsia" w:ascii="宋体" w:hAnsi="宋体" w:cs="宋体"/>
          <w:bCs/>
          <w:color w:val="auto"/>
          <w:sz w:val="21"/>
          <w:szCs w:val="21"/>
          <w:highlight w:val="none"/>
        </w:rPr>
        <w:t>日</w:t>
      </w:r>
      <w:r>
        <w:rPr>
          <w:rFonts w:hint="eastAsia" w:ascii="宋体" w:hAnsi="宋体" w:cs="宋体"/>
          <w:color w:val="auto"/>
          <w:sz w:val="21"/>
          <w:szCs w:val="21"/>
          <w:highlight w:val="none"/>
        </w:rPr>
        <w:t>上</w:t>
      </w:r>
      <w:r>
        <w:rPr>
          <w:rFonts w:hint="eastAsia" w:ascii="宋体" w:hAnsi="宋体" w:cs="宋体"/>
          <w:color w:val="auto"/>
          <w:sz w:val="21"/>
          <w:szCs w:val="21"/>
          <w:highlight w:val="none"/>
        </w:rPr>
        <w:t>午9时30分</w:t>
      </w:r>
      <w:r>
        <w:rPr>
          <w:rFonts w:hint="eastAsia" w:ascii="宋体" w:hAnsi="宋体" w:cs="宋体"/>
          <w:bCs/>
          <w:color w:val="auto"/>
          <w:sz w:val="21"/>
          <w:szCs w:val="21"/>
          <w:highlight w:val="none"/>
        </w:rPr>
        <w:t>（北京时间）</w:t>
      </w:r>
    </w:p>
    <w:p w14:paraId="6354B842">
      <w:pPr>
        <w:spacing w:line="400" w:lineRule="exact"/>
        <w:ind w:left="240" w:leftChars="100"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rPr>
        <w:t>地点：</w:t>
      </w:r>
      <w:bookmarkStart w:id="27" w:name="_Toc28359094"/>
      <w:bookmarkStart w:id="28" w:name="_Toc35393803"/>
      <w:bookmarkStart w:id="29" w:name="_Toc28359017"/>
      <w:bookmarkStart w:id="30" w:name="_Toc35393634"/>
      <w:r>
        <w:rPr>
          <w:rFonts w:hint="eastAsia" w:ascii="宋体" w:hAnsi="宋体" w:cs="宋体"/>
          <w:color w:val="auto"/>
          <w:sz w:val="21"/>
          <w:szCs w:val="21"/>
          <w:highlight w:val="none"/>
        </w:rPr>
        <w:t>通过“广西政府采购云平台”在线解密开启。</w:t>
      </w:r>
    </w:p>
    <w:p w14:paraId="4480A3E0">
      <w:pPr>
        <w:spacing w:line="400" w:lineRule="exact"/>
        <w:ind w:left="240" w:leftChars="100" w:firstLine="211" w:firstLineChars="100"/>
        <w:outlineLvl w:val="1"/>
        <w:rPr>
          <w:rFonts w:hint="eastAsia"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27"/>
      <w:bookmarkEnd w:id="28"/>
      <w:bookmarkEnd w:id="29"/>
      <w:bookmarkEnd w:id="30"/>
    </w:p>
    <w:p w14:paraId="5796FA4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自本公告发布之日起3个工作日。</w:t>
      </w:r>
      <w:bookmarkStart w:id="31" w:name="_Toc35393635"/>
      <w:bookmarkStart w:id="32" w:name="_Toc35393804"/>
    </w:p>
    <w:p w14:paraId="66EEDCE5">
      <w:pPr>
        <w:numPr>
          <w:ilvl w:val="0"/>
          <w:numId w:val="2"/>
        </w:numPr>
        <w:spacing w:line="400" w:lineRule="exact"/>
        <w:ind w:firstLine="422" w:firstLineChars="0"/>
        <w:outlineLvl w:val="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1"/>
      <w:bookmarkEnd w:id="32"/>
    </w:p>
    <w:p w14:paraId="7E863DA8">
      <w:pPr>
        <w:spacing w:line="400" w:lineRule="exact"/>
        <w:ind w:firstLine="420"/>
        <w:rPr>
          <w:rFonts w:hint="eastAsia" w:ascii="宋体" w:hAnsi="宋体"/>
          <w:color w:val="auto"/>
          <w:szCs w:val="21"/>
          <w:highlight w:val="none"/>
        </w:rPr>
      </w:pPr>
      <w:r>
        <w:rPr>
          <w:rFonts w:hint="eastAsia" w:ascii="宋体" w:hAnsi="宋体" w:cs="宋体"/>
          <w:bCs/>
          <w:color w:val="auto"/>
          <w:sz w:val="21"/>
          <w:szCs w:val="21"/>
          <w:highlight w:val="none"/>
        </w:rPr>
        <w:t>1.信息公告发布媒体：中国政府</w:t>
      </w:r>
      <w:r>
        <w:rPr>
          <w:rFonts w:hint="eastAsia" w:ascii="宋体" w:hAnsi="宋体" w:cs="宋体"/>
          <w:bCs/>
          <w:color w:val="auto"/>
          <w:sz w:val="21"/>
          <w:szCs w:val="21"/>
          <w:highlight w:val="none"/>
        </w:rPr>
        <w:t>采购网（www.ccgp.gov.cn）、广西壮族自治区政府采购网（zfcg.gxzf.gov.cn）、桂林市政府采购网（</w:t>
      </w:r>
      <w:r>
        <w:rPr>
          <w:rFonts w:ascii="宋体" w:hAnsi="宋体" w:cs="宋体"/>
          <w:bCs/>
          <w:color w:val="auto"/>
          <w:sz w:val="21"/>
          <w:szCs w:val="21"/>
          <w:highlight w:val="none"/>
        </w:rPr>
        <w:t>zfcg.czj.guilin.gov.cn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、全国公共资源交易平台（广西桂林）（http://ggzy.jgswj.gxzf.gov.cn/glggzy/）</w:t>
      </w:r>
      <w:r>
        <w:rPr>
          <w:rFonts w:hint="eastAsia" w:ascii="宋体" w:hAnsi="宋体" w:cs="宋体"/>
          <w:bCs/>
          <w:color w:val="auto"/>
          <w:sz w:val="21"/>
          <w:szCs w:val="21"/>
          <w:highlight w:val="none"/>
        </w:rPr>
        <w:t>。</w:t>
      </w:r>
    </w:p>
    <w:p w14:paraId="4E028D32">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725254DE">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（1）政府采购促进中小企业发展（本项目非专门面向中小企业采购）。</w:t>
      </w:r>
    </w:p>
    <w:p w14:paraId="06A182C8">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4BF01154">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228F964F">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（4）本项目涉及强制采购节能产品；优先采</w:t>
      </w:r>
      <w:r>
        <w:rPr>
          <w:rFonts w:hint="eastAsia" w:ascii="宋体" w:hAnsi="宋体" w:cs="宋体"/>
          <w:bCs/>
          <w:color w:val="auto"/>
          <w:sz w:val="21"/>
          <w:szCs w:val="21"/>
          <w:highlight w:val="none"/>
        </w:rPr>
        <w:t>购环境标志产品、节能产品。</w:t>
      </w:r>
    </w:p>
    <w:p w14:paraId="186A67C7">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439BDA87">
      <w:pPr>
        <w:spacing w:line="400" w:lineRule="exact"/>
        <w:ind w:firstLine="420"/>
        <w:rPr>
          <w:rFonts w:hint="eastAsia" w:ascii="宋体" w:hAnsi="宋体" w:cs="宋体"/>
          <w:color w:val="auto"/>
          <w:sz w:val="21"/>
          <w:szCs w:val="21"/>
          <w:highlight w:val="none"/>
        </w:rPr>
      </w:pPr>
      <w:bookmarkStart w:id="33" w:name="_Toc35393805"/>
      <w:bookmarkStart w:id="34" w:name="_Toc28359095"/>
      <w:bookmarkStart w:id="35" w:name="_Toc28359018"/>
      <w:bookmarkStart w:id="36" w:name="_Toc35393636"/>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23293486">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22E238E0">
      <w:pPr>
        <w:spacing w:line="400" w:lineRule="exact"/>
        <w:ind w:firstLine="420"/>
        <w:rPr>
          <w:rFonts w:hint="eastAsia" w:ascii="宋体" w:hAnsi="宋体" w:cs="宋体"/>
          <w:color w:val="auto"/>
          <w:sz w:val="21"/>
          <w:szCs w:val="24"/>
          <w:highlight w:val="none"/>
        </w:rPr>
      </w:pPr>
      <w:r>
        <w:rPr>
          <w:rFonts w:hint="eastAsia" w:ascii="宋体" w:hAnsi="宋体" w:cs="宋体"/>
          <w:color w:val="auto"/>
          <w:sz w:val="21"/>
          <w:szCs w:val="24"/>
          <w:highlight w:val="none"/>
        </w:rPr>
        <w:t>（2）对在“信用中国”网站</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www.creditchina.gov.cn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 xml:space="preserve"> 、中国政府采购网</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www.ccgp.gov.cn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被列入失信被执行人、重大税收违法失信主体、政府采购严重违法失信行为记录名单及其他不符合《中华人民共和国政府采购法》第二十二条规定条件的供应商，不得参与政府采购活动。</w:t>
      </w:r>
    </w:p>
    <w:p w14:paraId="256E9D4E">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4.“广西政府采购云平台”电子竞标相关事宜：</w:t>
      </w:r>
    </w:p>
    <w:p w14:paraId="3EA13958">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1573138D">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（2）电子竞标具体操作流程参考《政府采购项目电子交易管理操作指南-供应商》（详见桂林市政府采购网—采购资讯—重要通知）；如遇平台技术问题详询95763或0771-3381253。</w:t>
      </w:r>
    </w:p>
    <w:p w14:paraId="56A55978">
      <w:pPr>
        <w:adjustRightInd w:val="0"/>
        <w:snapToGrid w:val="0"/>
        <w:spacing w:line="400" w:lineRule="exact"/>
        <w:ind w:firstLine="420"/>
        <w:rPr>
          <w:rFonts w:hint="eastAsia"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kern w:val="0"/>
          <w:sz w:val="21"/>
          <w:szCs w:val="21"/>
          <w:highlight w:val="none"/>
        </w:rPr>
        <w:t>电子响应文件的制作、加密、</w:t>
      </w:r>
      <w:r>
        <w:rPr>
          <w:rFonts w:hint="eastAsia" w:ascii="宋体" w:hAnsi="宋体" w:cs="宋体"/>
          <w:color w:val="auto"/>
          <w:sz w:val="21"/>
          <w:szCs w:val="21"/>
          <w:highlight w:val="none"/>
        </w:rPr>
        <w:t>提交、解密等相关事宜详见第二章 “供应商须知”。</w:t>
      </w:r>
    </w:p>
    <w:p w14:paraId="51F8B0EF">
      <w:pPr>
        <w:spacing w:line="400" w:lineRule="exact"/>
        <w:ind w:firstLine="422"/>
        <w:outlineLvl w:val="1"/>
        <w:rPr>
          <w:rFonts w:hint="eastAsia"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3"/>
      <w:bookmarkEnd w:id="34"/>
      <w:bookmarkEnd w:id="35"/>
      <w:bookmarkEnd w:id="36"/>
    </w:p>
    <w:p w14:paraId="02B65CE5">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1.采购人信息：                        </w:t>
      </w:r>
    </w:p>
    <w:p w14:paraId="17265859">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桂林市叠彩区教育局</w:t>
      </w:r>
      <w:r>
        <w:rPr>
          <w:rFonts w:hint="eastAsia" w:ascii="宋体" w:hAnsi="宋体" w:eastAsia="宋体" w:cs="宋体"/>
          <w:color w:val="auto"/>
          <w:sz w:val="21"/>
          <w:szCs w:val="21"/>
          <w:highlight w:val="none"/>
        </w:rPr>
        <w:t xml:space="preserve">         </w:t>
      </w:r>
    </w:p>
    <w:p w14:paraId="5627E31E">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eastAsia="zh-CN"/>
        </w:rPr>
        <w:t>桂林市叠彩区气象路1号</w:t>
      </w:r>
      <w:r>
        <w:rPr>
          <w:rFonts w:hint="eastAsia" w:ascii="宋体" w:hAnsi="宋体" w:eastAsia="宋体" w:cs="宋体"/>
          <w:color w:val="auto"/>
          <w:sz w:val="21"/>
          <w:szCs w:val="21"/>
          <w:highlight w:val="none"/>
        </w:rPr>
        <w:t>　　　　　　　　　　</w:t>
      </w:r>
    </w:p>
    <w:p w14:paraId="4293FABF">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val="en-US" w:eastAsia="zh-CN"/>
        </w:rPr>
        <w:t>刘荣昌</w:t>
      </w:r>
      <w:r>
        <w:rPr>
          <w:rFonts w:hint="eastAsia" w:ascii="宋体" w:hAnsi="宋体" w:eastAsia="宋体" w:cs="宋体"/>
          <w:color w:val="auto"/>
          <w:sz w:val="21"/>
          <w:szCs w:val="21"/>
          <w:highlight w:val="none"/>
        </w:rPr>
        <w:t xml:space="preserve">     </w:t>
      </w:r>
    </w:p>
    <w:p w14:paraId="6F10C437">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w:t>
      </w:r>
      <w:r>
        <w:rPr>
          <w:rFonts w:hint="eastAsia" w:ascii="宋体" w:hAnsi="宋体" w:eastAsia="宋体" w:cs="宋体"/>
          <w:color w:val="auto"/>
          <w:sz w:val="21"/>
          <w:szCs w:val="21"/>
          <w:highlight w:val="none"/>
        </w:rPr>
        <w:t>系方式：</w:t>
      </w:r>
      <w:r>
        <w:rPr>
          <w:rFonts w:hint="eastAsia" w:ascii="宋体" w:hAnsi="宋体" w:eastAsia="宋体" w:cs="宋体"/>
          <w:color w:val="auto"/>
          <w:sz w:val="21"/>
          <w:szCs w:val="21"/>
          <w:highlight w:val="none"/>
          <w:lang w:val="en-US" w:eastAsia="zh-CN"/>
        </w:rPr>
        <w:t>0773-8980819</w:t>
      </w:r>
      <w:r>
        <w:rPr>
          <w:rFonts w:hint="eastAsia" w:ascii="宋体" w:hAnsi="宋体" w:eastAsia="宋体" w:cs="宋体"/>
          <w:color w:val="auto"/>
          <w:sz w:val="21"/>
          <w:szCs w:val="21"/>
          <w:highlight w:val="none"/>
        </w:rPr>
        <w:t xml:space="preserve"> 　　 </w:t>
      </w:r>
    </w:p>
    <w:p w14:paraId="70B9B2EA">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2.采购代理机构信息：</w:t>
      </w:r>
    </w:p>
    <w:p w14:paraId="6222C1CD">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江西银信工程造价咨询有限公司</w:t>
      </w:r>
      <w:r>
        <w:rPr>
          <w:rFonts w:hint="eastAsia" w:ascii="宋体" w:hAnsi="宋体" w:eastAsia="宋体" w:cs="宋体"/>
          <w:color w:val="auto"/>
          <w:sz w:val="21"/>
          <w:szCs w:val="21"/>
          <w:highlight w:val="none"/>
        </w:rPr>
        <w:t xml:space="preserve">        </w:t>
      </w:r>
    </w:p>
    <w:p w14:paraId="4D4D669E">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eastAsia="zh-CN"/>
        </w:rPr>
        <w:t>桂林市七星区毅峰南路12号1号楼3楼</w:t>
      </w:r>
      <w:r>
        <w:rPr>
          <w:rFonts w:hint="eastAsia" w:ascii="宋体" w:hAnsi="宋体" w:eastAsia="宋体" w:cs="宋体"/>
          <w:color w:val="auto"/>
          <w:sz w:val="21"/>
          <w:szCs w:val="21"/>
          <w:highlight w:val="none"/>
        </w:rPr>
        <w:t>　　</w:t>
      </w:r>
    </w:p>
    <w:p w14:paraId="260132A7">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val="en-US" w:eastAsia="zh-CN"/>
        </w:rPr>
        <w:t>詹丹、万永飞、熊松</w:t>
      </w:r>
      <w:r>
        <w:rPr>
          <w:rFonts w:hint="eastAsia" w:ascii="宋体" w:hAnsi="宋体" w:eastAsia="宋体" w:cs="宋体"/>
          <w:color w:val="auto"/>
          <w:sz w:val="21"/>
          <w:szCs w:val="21"/>
          <w:highlight w:val="none"/>
        </w:rPr>
        <w:t xml:space="preserve"> </w:t>
      </w:r>
    </w:p>
    <w:p w14:paraId="6C66AA12">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项目联系方式：</w:t>
      </w:r>
      <w:r>
        <w:rPr>
          <w:rFonts w:hint="eastAsia" w:ascii="宋体" w:hAnsi="宋体" w:eastAsia="宋体" w:cs="宋体"/>
          <w:color w:val="auto"/>
          <w:sz w:val="21"/>
          <w:szCs w:val="21"/>
          <w:highlight w:val="none"/>
          <w:lang w:eastAsia="zh-CN"/>
        </w:rPr>
        <w:t>0773-7596983</w:t>
      </w:r>
      <w:r>
        <w:rPr>
          <w:rFonts w:hint="eastAsia" w:ascii="宋体" w:hAnsi="宋体" w:eastAsia="宋体" w:cs="宋体"/>
          <w:color w:val="auto"/>
          <w:sz w:val="21"/>
          <w:szCs w:val="21"/>
          <w:highlight w:val="none"/>
        </w:rPr>
        <w:t xml:space="preserve">   </w:t>
      </w:r>
    </w:p>
    <w:p w14:paraId="41AC3971">
      <w:pPr>
        <w:spacing w:line="400" w:lineRule="exact"/>
        <w:ind w:firstLine="420"/>
        <w:rPr>
          <w:rFonts w:hint="eastAsia" w:ascii="宋体" w:hAnsi="宋体" w:cs="宋体"/>
          <w:bCs/>
          <w:color w:val="auto"/>
          <w:sz w:val="21"/>
          <w:szCs w:val="21"/>
          <w:highlight w:val="none"/>
        </w:rPr>
      </w:pPr>
    </w:p>
    <w:p w14:paraId="18824647">
      <w:pPr>
        <w:spacing w:line="400" w:lineRule="exact"/>
        <w:ind w:firstLine="0" w:firstLineChars="0"/>
        <w:rPr>
          <w:rFonts w:hint="eastAsia" w:ascii="宋体" w:hAnsi="宋体" w:cs="宋体"/>
          <w:bCs/>
          <w:color w:val="auto"/>
          <w:sz w:val="21"/>
          <w:szCs w:val="21"/>
          <w:highlight w:val="none"/>
        </w:rPr>
      </w:pPr>
    </w:p>
    <w:p w14:paraId="62DA8BFE">
      <w:pPr>
        <w:spacing w:line="400" w:lineRule="exact"/>
        <w:ind w:firstLine="420"/>
        <w:rPr>
          <w:rFonts w:hint="eastAsia" w:ascii="宋体" w:hAnsi="宋体" w:cs="宋体"/>
          <w:bCs/>
          <w:color w:val="auto"/>
          <w:sz w:val="21"/>
          <w:szCs w:val="21"/>
          <w:highlight w:val="none"/>
        </w:rPr>
      </w:pPr>
    </w:p>
    <w:p w14:paraId="078DB49E">
      <w:pPr>
        <w:spacing w:line="400" w:lineRule="exact"/>
        <w:ind w:firstLine="420"/>
        <w:rPr>
          <w:rFonts w:hint="eastAsia" w:ascii="宋体" w:hAnsi="宋体" w:cs="宋体"/>
          <w:bCs/>
          <w:color w:val="auto"/>
          <w:sz w:val="21"/>
          <w:szCs w:val="21"/>
          <w:highlight w:val="none"/>
        </w:rPr>
      </w:pPr>
    </w:p>
    <w:p w14:paraId="6E659C20">
      <w:pPr>
        <w:spacing w:line="400" w:lineRule="exact"/>
        <w:ind w:firstLine="480"/>
        <w:rPr>
          <w:rFonts w:hint="eastAsia" w:ascii="宋体" w:hAnsi="宋体" w:cs="宋体"/>
          <w:bCs/>
          <w:color w:val="auto"/>
          <w:szCs w:val="21"/>
          <w:highlight w:val="none"/>
        </w:rPr>
      </w:pPr>
    </w:p>
    <w:p w14:paraId="6FFDC6E2">
      <w:pPr>
        <w:spacing w:line="400" w:lineRule="exact"/>
        <w:ind w:firstLine="480"/>
        <w:rPr>
          <w:rFonts w:hint="eastAsia" w:ascii="宋体" w:hAnsi="宋体" w:cs="宋体"/>
          <w:bCs/>
          <w:color w:val="auto"/>
          <w:szCs w:val="21"/>
          <w:highlight w:val="none"/>
        </w:rPr>
      </w:pPr>
    </w:p>
    <w:p w14:paraId="2C234E3B">
      <w:pPr>
        <w:spacing w:line="400" w:lineRule="exact"/>
        <w:ind w:firstLine="480"/>
        <w:rPr>
          <w:rFonts w:hint="eastAsia" w:ascii="宋体" w:hAnsi="宋体" w:cs="宋体"/>
          <w:bCs/>
          <w:color w:val="auto"/>
          <w:szCs w:val="21"/>
          <w:highlight w:val="none"/>
        </w:rPr>
      </w:pPr>
    </w:p>
    <w:p w14:paraId="31AB7D2F">
      <w:pPr>
        <w:spacing w:line="400" w:lineRule="exact"/>
        <w:ind w:firstLine="480"/>
        <w:rPr>
          <w:rFonts w:hint="eastAsia" w:ascii="宋体" w:hAnsi="宋体" w:cs="宋体"/>
          <w:bCs/>
          <w:color w:val="auto"/>
          <w:szCs w:val="21"/>
          <w:highlight w:val="none"/>
        </w:rPr>
      </w:pPr>
    </w:p>
    <w:p w14:paraId="7D478BF7">
      <w:pPr>
        <w:spacing w:line="400" w:lineRule="exact"/>
        <w:ind w:firstLine="480"/>
        <w:rPr>
          <w:rFonts w:hint="eastAsia" w:ascii="宋体" w:hAnsi="宋体" w:cs="宋体"/>
          <w:bCs/>
          <w:color w:val="auto"/>
          <w:szCs w:val="21"/>
          <w:highlight w:val="none"/>
        </w:rPr>
      </w:pPr>
    </w:p>
    <w:bookmarkEnd w:id="3"/>
    <w:bookmarkEnd w:id="4"/>
    <w:p w14:paraId="25A97439">
      <w:pPr>
        <w:rPr>
          <w:rFonts w:hint="eastAsia"/>
          <w:color w:val="auto"/>
          <w:kern w:val="0"/>
          <w:highlight w:val="none"/>
        </w:rPr>
      </w:pPr>
      <w:bookmarkStart w:id="37" w:name="_Toc82016586"/>
      <w:bookmarkStart w:id="38" w:name="_Toc155531033"/>
      <w:r>
        <w:rPr>
          <w:rFonts w:hint="eastAsia"/>
          <w:color w:val="auto"/>
          <w:kern w:val="0"/>
          <w:highlight w:val="none"/>
        </w:rPr>
        <w:br w:type="page"/>
      </w:r>
    </w:p>
    <w:p w14:paraId="01BDBF68">
      <w:pPr>
        <w:pStyle w:val="42"/>
        <w:rPr>
          <w:color w:val="auto"/>
          <w:kern w:val="0"/>
          <w:highlight w:val="none"/>
        </w:rPr>
      </w:pPr>
      <w:r>
        <w:rPr>
          <w:rFonts w:hint="eastAsia"/>
          <w:color w:val="auto"/>
          <w:kern w:val="0"/>
          <w:highlight w:val="none"/>
        </w:rPr>
        <w:t>第二章供应商须知</w:t>
      </w:r>
      <w:bookmarkEnd w:id="37"/>
      <w:bookmarkEnd w:id="38"/>
    </w:p>
    <w:p w14:paraId="66C567B2">
      <w:pPr>
        <w:tabs>
          <w:tab w:val="left" w:pos="1065"/>
          <w:tab w:val="center" w:pos="4411"/>
        </w:tabs>
        <w:spacing w:line="360" w:lineRule="exact"/>
        <w:ind w:firstLine="482"/>
        <w:jc w:val="center"/>
        <w:outlineLvl w:val="1"/>
        <w:rPr>
          <w:rFonts w:hint="eastAsia"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851"/>
        <w:gridCol w:w="1485"/>
        <w:gridCol w:w="6505"/>
      </w:tblGrid>
      <w:tr w14:paraId="6578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19B5DA5">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序号</w:t>
            </w:r>
          </w:p>
        </w:tc>
        <w:tc>
          <w:tcPr>
            <w:tcW w:w="447" w:type="pct"/>
            <w:vAlign w:val="center"/>
          </w:tcPr>
          <w:p w14:paraId="32A07995">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条款号</w:t>
            </w:r>
          </w:p>
        </w:tc>
        <w:tc>
          <w:tcPr>
            <w:tcW w:w="780" w:type="pct"/>
            <w:vAlign w:val="center"/>
          </w:tcPr>
          <w:p w14:paraId="61876C92">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条款名称</w:t>
            </w:r>
          </w:p>
        </w:tc>
        <w:tc>
          <w:tcPr>
            <w:tcW w:w="3417" w:type="pct"/>
            <w:vAlign w:val="center"/>
          </w:tcPr>
          <w:p w14:paraId="26B90544">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内容、要求</w:t>
            </w:r>
          </w:p>
        </w:tc>
      </w:tr>
      <w:tr w14:paraId="0B32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54" w:type="pct"/>
            <w:vAlign w:val="center"/>
          </w:tcPr>
          <w:p w14:paraId="6915A5E2">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447" w:type="pct"/>
            <w:vAlign w:val="center"/>
          </w:tcPr>
          <w:p w14:paraId="60853EE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780" w:type="pct"/>
            <w:vAlign w:val="center"/>
          </w:tcPr>
          <w:p w14:paraId="0940B78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项目名称及项目编号</w:t>
            </w:r>
          </w:p>
        </w:tc>
        <w:tc>
          <w:tcPr>
            <w:tcW w:w="3417" w:type="pct"/>
            <w:vAlign w:val="center"/>
          </w:tcPr>
          <w:p w14:paraId="65016B0B">
            <w:pPr>
              <w:spacing w:line="320" w:lineRule="exact"/>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s="宋体"/>
                <w:color w:val="auto"/>
                <w:kern w:val="0"/>
                <w:sz w:val="21"/>
                <w:szCs w:val="21"/>
                <w:highlight w:val="none"/>
                <w:lang w:eastAsia="zh-CN"/>
              </w:rPr>
              <w:t>桂林市叠彩实验小学功能室设备采购</w:t>
            </w:r>
          </w:p>
          <w:p w14:paraId="754C3758">
            <w:pPr>
              <w:spacing w:line="320" w:lineRule="exact"/>
              <w:ind w:firstLine="0" w:firstLineChars="0"/>
              <w:jc w:val="left"/>
              <w:rPr>
                <w:rFonts w:hint="eastAsia" w:ascii="宋体" w:hAnsi="宋体" w:cs="宋体"/>
                <w:color w:val="auto"/>
                <w:kern w:val="0"/>
                <w:sz w:val="21"/>
                <w:szCs w:val="24"/>
                <w:highlight w:val="none"/>
              </w:rPr>
            </w:pPr>
            <w:r>
              <w:rPr>
                <w:rFonts w:hint="eastAsia" w:ascii="宋体" w:hAnsi="宋体" w:cs="宋体"/>
                <w:color w:val="auto"/>
                <w:kern w:val="0"/>
                <w:sz w:val="21"/>
                <w:szCs w:val="21"/>
                <w:highlight w:val="none"/>
              </w:rPr>
              <w:t>项目编号：</w:t>
            </w:r>
            <w:r>
              <w:rPr>
                <w:rFonts w:hint="eastAsia" w:ascii="宋体" w:hAnsi="宋体" w:cs="宋体"/>
                <w:color w:val="auto"/>
                <w:kern w:val="0"/>
                <w:sz w:val="21"/>
                <w:szCs w:val="21"/>
                <w:highlight w:val="none"/>
                <w:lang w:eastAsia="zh-CN"/>
              </w:rPr>
              <w:t>GLZC2025-J1-990603-JXYX</w:t>
            </w:r>
          </w:p>
        </w:tc>
      </w:tr>
      <w:tr w14:paraId="38C1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0BC434D1">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447" w:type="pct"/>
            <w:vAlign w:val="center"/>
          </w:tcPr>
          <w:p w14:paraId="6F8F6AE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780" w:type="pct"/>
            <w:vAlign w:val="center"/>
          </w:tcPr>
          <w:p w14:paraId="2254389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3417" w:type="pct"/>
            <w:vAlign w:val="center"/>
          </w:tcPr>
          <w:p w14:paraId="2F729839">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1满足《中华人民共和国政府采购法》第二十二条规定；</w:t>
            </w:r>
            <w:r>
              <w:rPr>
                <w:rFonts w:hint="eastAsia" w:ascii="宋体" w:hAnsi="宋体" w:cs="宋体"/>
                <w:color w:val="auto"/>
                <w:sz w:val="21"/>
                <w:szCs w:val="21"/>
                <w:highlight w:val="none"/>
                <w:lang w:val="en-US" w:eastAsia="zh-CN"/>
              </w:rPr>
              <w:t xml:space="preserve"> </w:t>
            </w:r>
          </w:p>
          <w:p w14:paraId="397A0D93">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3.2对在“信用中国”</w:t>
            </w:r>
            <w:r>
              <w:rPr>
                <w:rFonts w:hint="eastAsia" w:ascii="宋体" w:hAnsi="宋体" w:cs="宋体"/>
                <w:color w:val="auto"/>
                <w:sz w:val="21"/>
                <w:szCs w:val="21"/>
                <w:highlight w:val="none"/>
                <w:lang w:val="en-US" w:eastAsia="zh-CN"/>
              </w:rPr>
              <w:t>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3B3F947">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3.3</w:t>
            </w:r>
            <w:r>
              <w:rPr>
                <w:rFonts w:hint="eastAsia" w:ascii="宋体" w:hAnsi="宋体" w:cs="宋体"/>
                <w:color w:val="auto"/>
                <w:sz w:val="21"/>
                <w:szCs w:val="21"/>
                <w:highlight w:val="none"/>
              </w:rPr>
              <w:t>落实政府采购政策需满足的资格要求：</w:t>
            </w: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lang w:eastAsia="zh-CN"/>
              </w:rPr>
              <w:t>为非专门面向</w:t>
            </w:r>
            <w:r>
              <w:rPr>
                <w:rFonts w:hint="eastAsia" w:ascii="宋体" w:hAnsi="宋体" w:cs="宋体"/>
                <w:color w:val="auto"/>
                <w:sz w:val="21"/>
                <w:szCs w:val="21"/>
                <w:highlight w:val="none"/>
                <w:lang w:val="en-US" w:eastAsia="zh-CN"/>
              </w:rPr>
              <w:t>中小</w:t>
            </w:r>
            <w:r>
              <w:rPr>
                <w:rFonts w:hint="eastAsia" w:ascii="宋体" w:hAnsi="宋体" w:cs="宋体"/>
                <w:color w:val="auto"/>
                <w:sz w:val="21"/>
                <w:szCs w:val="21"/>
                <w:highlight w:val="none"/>
                <w:lang w:eastAsia="zh-CN"/>
              </w:rPr>
              <w:t>企业采购的项目</w:t>
            </w:r>
            <w:r>
              <w:rPr>
                <w:rFonts w:hint="eastAsia" w:ascii="宋体" w:hAnsi="宋体" w:cs="宋体"/>
                <w:color w:val="auto"/>
                <w:sz w:val="21"/>
                <w:szCs w:val="21"/>
                <w:highlight w:val="none"/>
              </w:rPr>
              <w:t>；</w:t>
            </w:r>
          </w:p>
          <w:p w14:paraId="25B98697">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3.4</w:t>
            </w:r>
            <w:r>
              <w:rPr>
                <w:rFonts w:hint="eastAsia" w:ascii="宋体" w:hAnsi="宋体" w:cs="宋体"/>
                <w:color w:val="auto"/>
                <w:sz w:val="21"/>
                <w:szCs w:val="21"/>
                <w:highlight w:val="none"/>
              </w:rPr>
              <w:t>本项目的特定资格要求：</w:t>
            </w:r>
          </w:p>
          <w:p w14:paraId="6BF0B033">
            <w:pPr>
              <w:spacing w:line="400" w:lineRule="exact"/>
              <w:ind w:left="0" w:leftChars="0" w:firstLine="0" w:firstLineChars="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1：供应商须具有有效《中华人民共和国出版物经营许可证》；</w:t>
            </w:r>
          </w:p>
          <w:p w14:paraId="36C5ADED">
            <w:pPr>
              <w:spacing w:line="400" w:lineRule="exact"/>
              <w:ind w:left="0" w:leftChars="0" w:firstLine="0" w:firstLineChars="0"/>
              <w:rPr>
                <w:rFonts w:hint="eastAsia" w:ascii="宋体" w:hAnsi="宋体" w:cs="宋体"/>
                <w:bCs/>
                <w:color w:val="auto"/>
                <w:sz w:val="21"/>
                <w:szCs w:val="21"/>
                <w:highlight w:val="none"/>
              </w:rPr>
            </w:pP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2：供应商需具备电力工程施工总承包叁级及以上资质或输变电工程专业承包叁级及以上资质、并且同时具备《承装（修、试）电力设施许可证》承装类、承修类、承试类四级及以上资质并取得广西电网公司桂林供电局《客户受电工程资质核验受理回执》)的施工企业资质，并在人员、设备、资金等方面具备相应的施工能力。其中，供应商拟派项目经理须具备机电工程专业注册建造师二级以上（含二级）执业资格和持有有效的省级或省级以上建设行政主管部门颁发的《安全生产考核合格证书（建安B证）》，并处于有效状态，具备有效的安全生产考核合格证书（B类）</w:t>
            </w:r>
            <w:r>
              <w:rPr>
                <w:rFonts w:hint="eastAsia" w:ascii="宋体" w:hAnsi="宋体" w:cs="宋体"/>
                <w:bCs/>
                <w:color w:val="auto"/>
                <w:sz w:val="21"/>
                <w:szCs w:val="21"/>
                <w:highlight w:val="none"/>
              </w:rPr>
              <w:t>。</w:t>
            </w:r>
          </w:p>
        </w:tc>
      </w:tr>
      <w:tr w14:paraId="7E4E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777F7E1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447" w:type="pct"/>
            <w:vAlign w:val="center"/>
          </w:tcPr>
          <w:p w14:paraId="5A0E99B1">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780" w:type="pct"/>
            <w:vAlign w:val="center"/>
          </w:tcPr>
          <w:p w14:paraId="769E0B4B">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参与电子竞标的准备工作</w:t>
            </w:r>
          </w:p>
        </w:tc>
        <w:tc>
          <w:tcPr>
            <w:tcW w:w="3417" w:type="pct"/>
            <w:vAlign w:val="center"/>
          </w:tcPr>
          <w:p w14:paraId="44E0359D">
            <w:pPr>
              <w:adjustRightInd w:val="0"/>
              <w:snapToGrid w:val="0"/>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50FF1A90">
            <w:pPr>
              <w:adjustRightInd w:val="0"/>
              <w:snapToGrid w:val="0"/>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4.2电子竞标具体操作流程参考《政府采购项目电子交易管理操作指南-供应商》（详见桂林市政府采购网—采购资讯—重要通知）；如遇平台技术问题详询95763或0771-3381253。</w:t>
            </w:r>
          </w:p>
          <w:p w14:paraId="47108DD1">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4.3不论谈判结果如何，供应商均应自行承担所有与谈判有关的全部费用。 </w:t>
            </w:r>
          </w:p>
        </w:tc>
      </w:tr>
      <w:tr w14:paraId="11AA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160AED62">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447" w:type="pct"/>
            <w:vAlign w:val="center"/>
          </w:tcPr>
          <w:p w14:paraId="1B5E00D6">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780" w:type="pct"/>
            <w:vAlign w:val="center"/>
          </w:tcPr>
          <w:p w14:paraId="11DF6CC1">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谈判报价及采购预算金额</w:t>
            </w:r>
          </w:p>
        </w:tc>
        <w:tc>
          <w:tcPr>
            <w:tcW w:w="3417" w:type="pct"/>
            <w:vAlign w:val="center"/>
          </w:tcPr>
          <w:p w14:paraId="277448AD">
            <w:pPr>
              <w:tabs>
                <w:tab w:val="left" w:pos="1305"/>
              </w:tabs>
              <w:spacing w:line="320" w:lineRule="exact"/>
              <w:ind w:firstLine="0" w:firstLineChars="0"/>
              <w:rPr>
                <w:rFonts w:hint="eastAsia" w:ascii="宋体" w:hAnsi="宋体"/>
                <w:b/>
                <w:bCs/>
                <w:color w:val="auto"/>
                <w:kern w:val="0"/>
                <w:sz w:val="21"/>
                <w:szCs w:val="21"/>
                <w:highlight w:val="none"/>
              </w:rPr>
            </w:pPr>
            <w:r>
              <w:rPr>
                <w:rFonts w:hint="eastAsia" w:ascii="宋体" w:hAnsi="宋体" w:cs="宋体"/>
                <w:b/>
                <w:bCs/>
                <w:color w:val="auto"/>
                <w:kern w:val="0"/>
                <w:sz w:val="21"/>
                <w:szCs w:val="21"/>
                <w:highlight w:val="none"/>
              </w:rPr>
              <w:t>13.1供应商必须就“采购需求”中的所有内容作完整唯一报价，响应文</w:t>
            </w:r>
            <w:r>
              <w:rPr>
                <w:rFonts w:hint="eastAsia" w:ascii="宋体" w:hAnsi="宋体"/>
                <w:b/>
                <w:bCs/>
                <w:color w:val="auto"/>
                <w:kern w:val="0"/>
                <w:sz w:val="21"/>
                <w:szCs w:val="21"/>
                <w:highlight w:val="none"/>
              </w:rPr>
              <w:t>件只允许有一个报价方案，不接受有选择的或有条件的报价，否则响应文件按无效处理。</w:t>
            </w:r>
          </w:p>
          <w:p w14:paraId="3E2C5FA8">
            <w:pPr>
              <w:tabs>
                <w:tab w:val="left" w:pos="1305"/>
              </w:tabs>
              <w:spacing w:line="320" w:lineRule="exact"/>
              <w:ind w:firstLine="0" w:firstLineChars="0"/>
              <w:rPr>
                <w:rFonts w:hint="eastAsia" w:ascii="宋体" w:hAnsi="宋体"/>
                <w:b/>
                <w:bCs/>
                <w:color w:val="auto"/>
                <w:kern w:val="0"/>
                <w:sz w:val="21"/>
                <w:szCs w:val="21"/>
                <w:highlight w:val="none"/>
              </w:rPr>
            </w:pPr>
            <w:r>
              <w:rPr>
                <w:rFonts w:hint="eastAsia" w:ascii="宋体" w:hAnsi="宋体"/>
                <w:b/>
                <w:bCs/>
                <w:color w:val="auto"/>
                <w:kern w:val="0"/>
                <w:sz w:val="21"/>
                <w:szCs w:val="21"/>
                <w:highlight w:val="none"/>
              </w:rPr>
              <w:t>13.2采购预算金额</w:t>
            </w:r>
            <w:r>
              <w:rPr>
                <w:rFonts w:hint="eastAsia" w:ascii="宋体" w:hAnsi="宋体"/>
                <w:b/>
                <w:bCs/>
                <w:color w:val="auto"/>
                <w:kern w:val="0"/>
                <w:sz w:val="21"/>
                <w:szCs w:val="21"/>
                <w:highlight w:val="none"/>
              </w:rPr>
              <w:t>（人民币）：</w:t>
            </w:r>
            <w:r>
              <w:rPr>
                <w:rFonts w:hint="eastAsia" w:ascii="宋体" w:hAnsi="宋体" w:eastAsia="宋体" w:cs="宋体"/>
                <w:b/>
                <w:color w:val="auto"/>
                <w:kern w:val="0"/>
                <w:sz w:val="21"/>
                <w:szCs w:val="21"/>
                <w:highlight w:val="none"/>
                <w:lang w:val="en-US" w:eastAsia="zh-CN"/>
              </w:rPr>
              <w:t>2159200.00元。分标1:1753335.00元；分标2: 405865.00元。</w:t>
            </w:r>
            <w:r>
              <w:rPr>
                <w:rFonts w:hint="eastAsia" w:ascii="宋体" w:hAnsi="宋体"/>
                <w:b/>
                <w:bCs/>
                <w:color w:val="auto"/>
                <w:kern w:val="0"/>
                <w:sz w:val="21"/>
                <w:szCs w:val="21"/>
                <w:highlight w:val="none"/>
              </w:rPr>
              <w:t>报价超采购预算金额的，响应文件作无效处理。</w:t>
            </w:r>
          </w:p>
          <w:p w14:paraId="301EB779">
            <w:pPr>
              <w:tabs>
                <w:tab w:val="left" w:pos="1305"/>
              </w:tabs>
              <w:spacing w:line="320" w:lineRule="exact"/>
              <w:ind w:firstLine="0" w:firstLineChars="0"/>
              <w:rPr>
                <w:rFonts w:hint="eastAsia" w:ascii="宋体" w:hAnsi="宋体"/>
                <w:color w:val="auto"/>
                <w:kern w:val="0"/>
                <w:sz w:val="21"/>
                <w:szCs w:val="21"/>
                <w:highlight w:val="none"/>
              </w:rPr>
            </w:pPr>
            <w:r>
              <w:rPr>
                <w:rFonts w:hint="eastAsia" w:ascii="宋体" w:hAnsi="宋体"/>
                <w:color w:val="auto"/>
                <w:kern w:val="0"/>
                <w:sz w:val="21"/>
                <w:szCs w:val="21"/>
                <w:highlight w:val="none"/>
              </w:rPr>
              <w:t>13.3</w:t>
            </w:r>
            <w:r>
              <w:rPr>
                <w:rFonts w:hint="eastAsia" w:ascii="宋体" w:hAnsi="宋体"/>
                <w:color w:val="auto"/>
                <w:kern w:val="0"/>
                <w:sz w:val="21"/>
                <w:szCs w:val="21"/>
                <w:highlight w:val="none"/>
                <w:lang w:eastAsia="zh-CN"/>
              </w:rPr>
              <w:t>分标</w:t>
            </w:r>
            <w:r>
              <w:rPr>
                <w:rFonts w:hint="eastAsia" w:ascii="宋体" w:hAnsi="宋体"/>
                <w:color w:val="auto"/>
                <w:kern w:val="0"/>
                <w:sz w:val="21"/>
                <w:szCs w:val="21"/>
                <w:highlight w:val="none"/>
                <w:lang w:val="en-US" w:eastAsia="zh-CN"/>
              </w:rPr>
              <w:t>1：</w:t>
            </w:r>
            <w:r>
              <w:rPr>
                <w:rFonts w:hint="eastAsia" w:ascii="宋体" w:hAnsi="宋体"/>
                <w:color w:val="auto"/>
                <w:kern w:val="0"/>
                <w:sz w:val="21"/>
                <w:szCs w:val="21"/>
                <w:highlight w:val="none"/>
              </w:rPr>
              <w:t>供应商谈判报价应包括本次采购范围内货物价款、货物随配标准附件、包装、运输、装卸、保险、税金、货到位以及安装、安装所需辅材、调试、检验、售后服务、培训、保修</w:t>
            </w:r>
            <w:r>
              <w:rPr>
                <w:rFonts w:hint="eastAsia" w:ascii="宋体" w:hAnsi="宋体"/>
                <w:color w:val="auto"/>
                <w:kern w:val="0"/>
                <w:sz w:val="21"/>
                <w:szCs w:val="21"/>
                <w:highlight w:val="none"/>
                <w:lang w:eastAsia="zh-CN"/>
              </w:rPr>
              <w:t>（质保）</w:t>
            </w:r>
            <w:r>
              <w:rPr>
                <w:rFonts w:hint="eastAsia" w:ascii="宋体" w:hAnsi="宋体"/>
                <w:color w:val="auto"/>
                <w:kern w:val="0"/>
                <w:sz w:val="21"/>
                <w:szCs w:val="21"/>
                <w:highlight w:val="none"/>
              </w:rPr>
              <w:t>、验收及其他所有成本费用的总和，供应商应综合考虑在报价中。</w:t>
            </w:r>
          </w:p>
          <w:p w14:paraId="1167CEA8">
            <w:pPr>
              <w:tabs>
                <w:tab w:val="left" w:pos="1305"/>
              </w:tabs>
              <w:spacing w:line="320" w:lineRule="exact"/>
              <w:ind w:firstLine="0" w:firstLineChars="0"/>
              <w:rPr>
                <w:rFonts w:hint="eastAsia" w:ascii="宋体" w:hAnsi="宋体"/>
                <w:color w:val="auto"/>
                <w:kern w:val="0"/>
                <w:sz w:val="21"/>
                <w:szCs w:val="21"/>
                <w:highlight w:val="none"/>
              </w:rPr>
            </w:pPr>
            <w:r>
              <w:rPr>
                <w:rFonts w:hint="eastAsia" w:ascii="宋体" w:hAnsi="宋体"/>
                <w:color w:val="auto"/>
                <w:kern w:val="0"/>
                <w:sz w:val="21"/>
                <w:szCs w:val="21"/>
                <w:highlight w:val="none"/>
                <w:lang w:eastAsia="zh-CN"/>
              </w:rPr>
              <w:t>分标</w:t>
            </w:r>
            <w:r>
              <w:rPr>
                <w:rFonts w:hint="eastAsia" w:ascii="宋体" w:hAnsi="宋体"/>
                <w:color w:val="auto"/>
                <w:kern w:val="0"/>
                <w:sz w:val="21"/>
                <w:szCs w:val="21"/>
                <w:highlight w:val="none"/>
                <w:lang w:val="en-US" w:eastAsia="zh-CN"/>
              </w:rPr>
              <w:t>2：</w:t>
            </w:r>
            <w:r>
              <w:rPr>
                <w:rFonts w:hint="eastAsia" w:ascii="宋体" w:hAnsi="宋体"/>
                <w:color w:val="auto"/>
                <w:kern w:val="0"/>
                <w:sz w:val="21"/>
                <w:szCs w:val="21"/>
                <w:highlight w:val="none"/>
              </w:rPr>
              <w:t>供应商必须就“工程量清单”中所有内容作完整报价，否则，其响应文件无效。供应商</w:t>
            </w:r>
            <w:r>
              <w:rPr>
                <w:rFonts w:hint="eastAsia" w:ascii="宋体" w:hAnsi="宋体"/>
                <w:color w:val="auto"/>
                <w:kern w:val="0"/>
                <w:sz w:val="21"/>
                <w:szCs w:val="21"/>
                <w:highlight w:val="none"/>
                <w:lang w:eastAsia="zh-CN"/>
              </w:rPr>
              <w:t>谈判</w:t>
            </w:r>
            <w:r>
              <w:rPr>
                <w:rFonts w:hint="eastAsia" w:ascii="宋体" w:hAnsi="宋体"/>
                <w:color w:val="auto"/>
                <w:kern w:val="0"/>
                <w:sz w:val="21"/>
                <w:szCs w:val="21"/>
                <w:highlight w:val="none"/>
              </w:rPr>
              <w:t>报价应综合考虑工程总造价（包含提供本次工程范围的所有成本、税金、利润等），报价不得超出最高</w:t>
            </w:r>
            <w:r>
              <w:rPr>
                <w:rFonts w:hint="eastAsia" w:ascii="宋体" w:hAnsi="宋体"/>
                <w:color w:val="auto"/>
                <w:kern w:val="0"/>
                <w:sz w:val="21"/>
                <w:szCs w:val="21"/>
                <w:highlight w:val="none"/>
                <w:lang w:eastAsia="zh-CN"/>
              </w:rPr>
              <w:t>谈判</w:t>
            </w:r>
            <w:r>
              <w:rPr>
                <w:rFonts w:hint="eastAsia" w:ascii="宋体" w:hAnsi="宋体"/>
                <w:color w:val="auto"/>
                <w:kern w:val="0"/>
                <w:sz w:val="21"/>
                <w:szCs w:val="21"/>
                <w:highlight w:val="none"/>
              </w:rPr>
              <w:t>总价限价。</w:t>
            </w:r>
          </w:p>
          <w:p w14:paraId="1F9B606C">
            <w:pPr>
              <w:tabs>
                <w:tab w:val="left" w:pos="1305"/>
              </w:tabs>
              <w:spacing w:line="320" w:lineRule="exact"/>
              <w:ind w:firstLine="0" w:firstLineChars="0"/>
              <w:rPr>
                <w:rFonts w:hint="eastAsia"/>
                <w:color w:val="auto"/>
                <w:highlight w:val="none"/>
              </w:rPr>
            </w:pPr>
            <w:r>
              <w:rPr>
                <w:rFonts w:hint="eastAsia" w:ascii="宋体" w:hAnsi="宋体" w:cs="宋体"/>
                <w:color w:val="auto"/>
                <w:kern w:val="0"/>
                <w:sz w:val="21"/>
                <w:szCs w:val="21"/>
                <w:highlight w:val="none"/>
              </w:rPr>
              <w:t>13.4</w:t>
            </w:r>
            <w:r>
              <w:rPr>
                <w:rFonts w:hint="eastAsia" w:ascii="宋体" w:hAnsi="宋体"/>
                <w:color w:val="auto"/>
                <w:kern w:val="0"/>
                <w:sz w:val="21"/>
                <w:szCs w:val="21"/>
                <w:highlight w:val="none"/>
              </w:rPr>
              <w:t>未书面退出谈判的供应商必须在规定时间内登录</w:t>
            </w:r>
            <w:r>
              <w:rPr>
                <w:rFonts w:hint="eastAsia" w:ascii="宋体" w:hAnsi="宋体" w:cs="宋体"/>
                <w:bCs/>
                <w:color w:val="auto"/>
                <w:sz w:val="21"/>
                <w:szCs w:val="21"/>
                <w:highlight w:val="none"/>
              </w:rPr>
              <w:t>“广西政府采购云平台”</w:t>
            </w:r>
            <w:r>
              <w:rPr>
                <w:rFonts w:hint="eastAsia" w:ascii="宋体" w:hAnsi="宋体"/>
                <w:color w:val="auto"/>
                <w:kern w:val="0"/>
                <w:sz w:val="21"/>
                <w:szCs w:val="21"/>
                <w:highlight w:val="none"/>
              </w:rPr>
              <w:t>在线提交最后报价，其最后报价不得超出采购预算</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rPr>
              <w:t>谈判过程中谈判文件未作实质性变动的，最后报价不得超过首次报价</w:t>
            </w:r>
            <w:r>
              <w:rPr>
                <w:rFonts w:hint="eastAsia" w:ascii="宋体" w:hAnsi="宋体" w:cs="宋体"/>
                <w:color w:val="auto"/>
                <w:kern w:val="0"/>
                <w:sz w:val="21"/>
                <w:szCs w:val="21"/>
                <w:highlight w:val="none"/>
              </w:rPr>
              <w:t xml:space="preserve">。 </w:t>
            </w:r>
            <w:r>
              <w:rPr>
                <w:rFonts w:hint="eastAsia" w:ascii="宋体" w:hAnsi="宋体" w:eastAsia="宋体" w:cs="宋体"/>
                <w:b/>
                <w:color w:val="auto"/>
                <w:kern w:val="0"/>
                <w:sz w:val="21"/>
                <w:szCs w:val="21"/>
                <w:highlight w:val="none"/>
                <w:shd w:val="clear" w:color="auto" w:fill="auto"/>
                <w:lang w:val="en-US" w:eastAsia="zh-CN" w:bidi="ar-SA"/>
              </w:rPr>
              <w:t xml:space="preserve">如供应商维持响应报价不变，以原响应报价作为供应商最后报价；如供应商需要改变原响应报价时，供应商应预先准备好调整后的报价表或已标价的工程量清单（在提交最后报价时以附件形式上传）。如供应商在谈判过程中，改变原报价且未按竞争性谈判文件要求在规定时间范围内提供调整后的报价表或已标价的工程量清单，其报价不予认可，视供应商维持原谈判报价不变。 </w:t>
            </w:r>
          </w:p>
        </w:tc>
      </w:tr>
      <w:tr w14:paraId="2803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02256EB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447" w:type="pct"/>
            <w:vAlign w:val="center"/>
          </w:tcPr>
          <w:p w14:paraId="7B18D7AF">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780" w:type="pct"/>
            <w:vAlign w:val="center"/>
          </w:tcPr>
          <w:p w14:paraId="01665997">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3417" w:type="pct"/>
            <w:vAlign w:val="center"/>
          </w:tcPr>
          <w:p w14:paraId="6A927D14">
            <w:pPr>
              <w:tabs>
                <w:tab w:val="left" w:pos="1305"/>
              </w:tabs>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7D81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30987FF0">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447" w:type="pct"/>
            <w:vAlign w:val="center"/>
          </w:tcPr>
          <w:p w14:paraId="49CD8295">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780" w:type="pct"/>
            <w:vAlign w:val="center"/>
          </w:tcPr>
          <w:p w14:paraId="747816D1">
            <w:pPr>
              <w:spacing w:line="320" w:lineRule="exact"/>
              <w:ind w:firstLine="0" w:firstLineChars="0"/>
              <w:jc w:val="center"/>
              <w:rPr>
                <w:rFonts w:hint="eastAsia"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电子响应文件的制作、加密要求</w:t>
            </w:r>
          </w:p>
        </w:tc>
        <w:tc>
          <w:tcPr>
            <w:tcW w:w="3417" w:type="pct"/>
            <w:vAlign w:val="center"/>
          </w:tcPr>
          <w:p w14:paraId="16782A3D">
            <w:pPr>
              <w:snapToGrid w:val="0"/>
              <w:spacing w:line="320" w:lineRule="exact"/>
              <w:ind w:firstLine="0" w:firstLineChars="0"/>
              <w:jc w:val="left"/>
              <w:rPr>
                <w:rFonts w:hint="eastAsia"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689ED34A">
            <w:pPr>
              <w:snapToGrid w:val="0"/>
              <w:spacing w:line="320" w:lineRule="exact"/>
              <w:ind w:firstLine="0" w:firstLineChars="0"/>
              <w:jc w:val="left"/>
              <w:rPr>
                <w:rFonts w:hint="eastAsia" w:ascii="宋体" w:hAnsi="宋体" w:cs="宋体"/>
                <w:bCs/>
                <w:color w:val="auto"/>
                <w:sz w:val="21"/>
                <w:szCs w:val="21"/>
                <w:highlight w:val="none"/>
              </w:rPr>
            </w:pPr>
            <w:r>
              <w:rPr>
                <w:rFonts w:hint="eastAsia" w:ascii="宋体" w:hAnsi="宋体" w:cs="宋体"/>
                <w:bCs/>
                <w:color w:val="auto"/>
                <w:sz w:val="21"/>
                <w:szCs w:val="21"/>
                <w:highlight w:val="none"/>
              </w:rPr>
              <w:t>15.2供应商下载或获取竞争性谈判文件后，登录“广西政府采购云平台电子投标客户端”，按照本谈判文件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以及“广西政府采购云平台”的要求，通过“广西政府采购云平台电子投标客户端”编制电子响应文件。</w:t>
            </w:r>
          </w:p>
          <w:p w14:paraId="1DE62A6F">
            <w:pPr>
              <w:snapToGrid w:val="0"/>
              <w:spacing w:line="320" w:lineRule="exact"/>
              <w:ind w:firstLine="0"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color w:val="auto"/>
                <w:sz w:val="21"/>
                <w:szCs w:val="24"/>
                <w:highlight w:val="none"/>
              </w:rPr>
              <w:t>应按“</w:t>
            </w:r>
            <w:r>
              <w:rPr>
                <w:rFonts w:hint="eastAsia"/>
                <w:color w:val="auto"/>
                <w:sz w:val="21"/>
                <w:szCs w:val="24"/>
                <w:highlight w:val="none"/>
              </w:rPr>
              <w:t>广西政府采购云平台</w:t>
            </w:r>
            <w:r>
              <w:rPr>
                <w:color w:val="auto"/>
                <w:sz w:val="21"/>
                <w:szCs w:val="24"/>
                <w:highlight w:val="none"/>
              </w:rPr>
              <w:t>电子投标客户端”载明的“标书关联”功能进行电子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谈判小组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谈判小组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76A2A5C7">
            <w:pPr>
              <w:snapToGrid w:val="0"/>
              <w:spacing w:line="320" w:lineRule="exact"/>
              <w:ind w:firstLine="0"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15.4</w:t>
            </w:r>
            <w:r>
              <w:rPr>
                <w:rFonts w:hint="eastAsia" w:ascii="宋体" w:hAnsi="宋体" w:cs="宋体"/>
                <w:color w:val="auto"/>
                <w:sz w:val="21"/>
                <w:szCs w:val="24"/>
                <w:highlight w:val="none"/>
              </w:rPr>
              <w:t>电子响应文件不得涂改，若有修改错漏处，须由法定代表人或委托代理人签字（或者电子签名）。因响应文件字迹潦草、表达不清、内容不完整、编排混乱导致响应文件被误读、漏读，或者在竞争性谈判文件规定的部位查找不到相关内容，</w:t>
            </w:r>
            <w:r>
              <w:rPr>
                <w:color w:val="auto"/>
                <w:sz w:val="21"/>
                <w:szCs w:val="24"/>
                <w:highlight w:val="none"/>
              </w:rPr>
              <w:t>导致</w:t>
            </w:r>
            <w:r>
              <w:rPr>
                <w:rFonts w:hint="eastAsia"/>
                <w:color w:val="auto"/>
                <w:sz w:val="21"/>
                <w:szCs w:val="24"/>
                <w:highlight w:val="none"/>
              </w:rPr>
              <w:t>谈判小组</w:t>
            </w:r>
            <w:r>
              <w:rPr>
                <w:color w:val="auto"/>
                <w:sz w:val="21"/>
                <w:szCs w:val="24"/>
                <w:highlight w:val="none"/>
              </w:rPr>
              <w:t>做出对</w:t>
            </w:r>
            <w:r>
              <w:rPr>
                <w:rFonts w:hint="eastAsia"/>
                <w:color w:val="auto"/>
                <w:sz w:val="21"/>
                <w:szCs w:val="24"/>
                <w:highlight w:val="none"/>
              </w:rPr>
              <w:t>供应商</w:t>
            </w:r>
            <w:r>
              <w:rPr>
                <w:color w:val="auto"/>
                <w:sz w:val="21"/>
                <w:szCs w:val="24"/>
                <w:highlight w:val="none"/>
              </w:rPr>
              <w:t>不利的评审</w:t>
            </w:r>
            <w:r>
              <w:rPr>
                <w:rFonts w:hint="eastAsia"/>
                <w:color w:val="auto"/>
                <w:sz w:val="21"/>
                <w:szCs w:val="24"/>
                <w:highlight w:val="none"/>
              </w:rPr>
              <w:t>的，</w:t>
            </w:r>
            <w:r>
              <w:rPr>
                <w:rFonts w:hint="eastAsia" w:ascii="宋体" w:hAnsi="宋体" w:cs="宋体"/>
                <w:color w:val="auto"/>
                <w:sz w:val="21"/>
                <w:szCs w:val="24"/>
                <w:highlight w:val="none"/>
              </w:rPr>
              <w:t>其后果由供应商自行承担</w:t>
            </w:r>
            <w:r>
              <w:rPr>
                <w:rFonts w:hint="eastAsia" w:ascii="宋体" w:hAnsi="宋体" w:cs="宋体"/>
                <w:color w:val="auto"/>
                <w:sz w:val="21"/>
                <w:szCs w:val="21"/>
                <w:highlight w:val="none"/>
              </w:rPr>
              <w:t>。</w:t>
            </w:r>
          </w:p>
          <w:p w14:paraId="5C9C4CE3">
            <w:pPr>
              <w:snapToGrid w:val="0"/>
              <w:spacing w:line="320" w:lineRule="exact"/>
              <w:ind w:firstLine="0" w:firstLineChars="0"/>
              <w:jc w:val="left"/>
              <w:rPr>
                <w:rFonts w:hint="eastAsia"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60E6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3053487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447" w:type="pct"/>
            <w:vAlign w:val="center"/>
          </w:tcPr>
          <w:p w14:paraId="6A8E693B">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780" w:type="pct"/>
            <w:vAlign w:val="center"/>
          </w:tcPr>
          <w:p w14:paraId="3520B40A">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3417" w:type="pct"/>
            <w:vAlign w:val="center"/>
          </w:tcPr>
          <w:p w14:paraId="3185E90F">
            <w:pPr>
              <w:snapToGrid w:val="0"/>
              <w:spacing w:line="32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15.6.1本竞争性谈判文件中描述供应商的“公章”是指根据我国对公章的管理规定，用供应商法定主体行为名称制作的印章，除本竞争性谈判文件有特殊规定外，供应商的其他形式印章均不能代替公章。</w:t>
            </w:r>
          </w:p>
          <w:p w14:paraId="1707FE68">
            <w:pPr>
              <w:snapToGrid w:val="0"/>
              <w:spacing w:line="32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15.6.2本竞争性谈判文件中描述供应商的“签字”是指供应商的法定代表人或者委托代理人亲自在文件规定签字处亲笔写上个人的名字的行为，其他形式均不能代替亲笔签字。</w:t>
            </w:r>
          </w:p>
          <w:p w14:paraId="0E4E4F79">
            <w:pPr>
              <w:snapToGrid w:val="0"/>
              <w:spacing w:line="320" w:lineRule="exact"/>
              <w:ind w:firstLine="0" w:firstLineChars="0"/>
              <w:jc w:val="left"/>
              <w:rPr>
                <w:rFonts w:hint="eastAsia" w:ascii="宋体" w:hAnsi="宋体" w:cs="宋体"/>
                <w:color w:val="auto"/>
                <w:sz w:val="21"/>
                <w:szCs w:val="21"/>
                <w:highlight w:val="none"/>
              </w:rPr>
            </w:pPr>
            <w:r>
              <w:rPr>
                <w:rFonts w:hint="eastAsia" w:ascii="宋体" w:hAnsi="宋体" w:cs="宋体"/>
                <w:color w:val="auto"/>
                <w:sz w:val="21"/>
                <w:szCs w:val="24"/>
                <w:highlight w:val="none"/>
              </w:rPr>
              <w:t>15.6.3本竞争性谈判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tc>
      </w:tr>
      <w:tr w14:paraId="279E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72F637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447" w:type="pct"/>
            <w:vAlign w:val="center"/>
          </w:tcPr>
          <w:p w14:paraId="21A3490D">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16</w:t>
            </w:r>
          </w:p>
        </w:tc>
        <w:tc>
          <w:tcPr>
            <w:tcW w:w="780" w:type="pct"/>
            <w:vAlign w:val="center"/>
          </w:tcPr>
          <w:p w14:paraId="2E556228">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3417" w:type="pct"/>
            <w:vAlign w:val="center"/>
          </w:tcPr>
          <w:p w14:paraId="4C3379E8">
            <w:pPr>
              <w:spacing w:line="320" w:lineRule="exact"/>
              <w:ind w:firstLine="0" w:firstLineChars="0"/>
              <w:rPr>
                <w:rFonts w:hint="eastAsia"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color w:val="auto"/>
                <w:sz w:val="21"/>
                <w:szCs w:val="21"/>
                <w:highlight w:val="none"/>
              </w:rPr>
              <w:t>：</w:t>
            </w:r>
            <w:r>
              <w:rPr>
                <w:rFonts w:hint="eastAsia" w:ascii="宋体" w:hAnsi="宋体" w:cs="宋体"/>
                <w:bCs/>
                <w:color w:val="auto"/>
                <w:sz w:val="21"/>
                <w:szCs w:val="21"/>
                <w:highlight w:val="none"/>
              </w:rPr>
              <w:t>2025年</w:t>
            </w:r>
            <w:r>
              <w:rPr>
                <w:rFonts w:hint="eastAsia" w:ascii="宋体" w:hAnsi="宋体" w:cs="宋体"/>
                <w:bCs/>
                <w:color w:val="auto"/>
                <w:sz w:val="21"/>
                <w:szCs w:val="21"/>
                <w:highlight w:val="none"/>
                <w:lang w:val="en-US" w:eastAsia="zh-CN"/>
              </w:rPr>
              <w:t>11</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lang w:val="en-US" w:eastAsia="zh-CN"/>
              </w:rPr>
              <w:t>24</w:t>
            </w:r>
            <w:r>
              <w:rPr>
                <w:rFonts w:hint="eastAsia" w:ascii="宋体" w:hAnsi="宋体" w:cs="宋体"/>
                <w:bCs/>
                <w:color w:val="auto"/>
                <w:sz w:val="21"/>
                <w:szCs w:val="21"/>
                <w:highlight w:val="none"/>
              </w:rPr>
              <w:t>日</w:t>
            </w:r>
            <w:r>
              <w:rPr>
                <w:rFonts w:hint="eastAsia" w:ascii="宋体" w:hAnsi="宋体" w:cs="宋体"/>
                <w:color w:val="auto"/>
                <w:sz w:val="21"/>
                <w:szCs w:val="21"/>
                <w:highlight w:val="none"/>
              </w:rPr>
              <w:t>上午9时30分</w:t>
            </w:r>
            <w:r>
              <w:rPr>
                <w:rFonts w:hint="eastAsia" w:ascii="宋体" w:hAnsi="宋体" w:cs="宋体"/>
                <w:bCs/>
                <w:color w:val="auto"/>
                <w:sz w:val="21"/>
                <w:szCs w:val="21"/>
                <w:highlight w:val="none"/>
              </w:rPr>
              <w:t>（北京时间）</w:t>
            </w:r>
          </w:p>
          <w:p w14:paraId="5AF95AFF">
            <w:pPr>
              <w:spacing w:line="32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3F40CECE">
            <w:pPr>
              <w:adjustRightInd w:val="0"/>
              <w:snapToGrid w:val="0"/>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响应文件提交截止时间前未成功将电子响应文件上传“广西政府采购云平台”的，视为未提交响应文件。</w:t>
            </w:r>
          </w:p>
          <w:p w14:paraId="40567E8B">
            <w:pPr>
              <w:tabs>
                <w:tab w:val="left" w:pos="1305"/>
              </w:tabs>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16.4除竞争性谈判文件另有规定外，供应商所提交的响应文件不予退还。</w:t>
            </w:r>
          </w:p>
        </w:tc>
      </w:tr>
      <w:tr w14:paraId="4E5B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0B10A5FD">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447" w:type="pct"/>
            <w:vAlign w:val="center"/>
          </w:tcPr>
          <w:p w14:paraId="246B8775">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17</w:t>
            </w:r>
          </w:p>
        </w:tc>
        <w:tc>
          <w:tcPr>
            <w:tcW w:w="780" w:type="pct"/>
            <w:vAlign w:val="center"/>
          </w:tcPr>
          <w:p w14:paraId="251B6CB9">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3417" w:type="pct"/>
            <w:vAlign w:val="center"/>
          </w:tcPr>
          <w:p w14:paraId="0122EDFE">
            <w:pPr>
              <w:tabs>
                <w:tab w:val="left" w:pos="1305"/>
              </w:tabs>
              <w:spacing w:line="320" w:lineRule="exact"/>
              <w:ind w:firstLine="0" w:firstLineChars="0"/>
              <w:rPr>
                <w:rFonts w:hint="eastAsia"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color w:val="auto"/>
                <w:kern w:val="0"/>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接收电子备份响应文件的电子邮箱为：</w:t>
            </w:r>
            <w:r>
              <w:rPr>
                <w:rFonts w:hint="eastAsia" w:ascii="宋体" w:hAnsi="宋体" w:cs="宋体"/>
                <w:color w:val="auto"/>
                <w:kern w:val="0"/>
                <w:sz w:val="21"/>
                <w:szCs w:val="21"/>
                <w:highlight w:val="none"/>
                <w:lang w:eastAsia="zh-CN"/>
              </w:rPr>
              <w:t>yxglqx@163.com</w:t>
            </w:r>
            <w:r>
              <w:rPr>
                <w:rFonts w:ascii="宋体" w:hAnsi="宋体" w:cs="宋体"/>
                <w:color w:val="auto"/>
                <w:kern w:val="0"/>
                <w:sz w:val="21"/>
                <w:szCs w:val="21"/>
                <w:highlight w:val="none"/>
              </w:rPr>
              <w:t>）</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w:t>
            </w:r>
            <w:r>
              <w:rPr>
                <w:rFonts w:hint="eastAsia" w:ascii="宋体" w:hAnsi="宋体" w:cs="宋体"/>
                <w:color w:val="auto"/>
                <w:kern w:val="0"/>
                <w:sz w:val="21"/>
                <w:szCs w:val="21"/>
                <w:highlight w:val="none"/>
              </w:rPr>
              <w:t>谈判。</w:t>
            </w:r>
          </w:p>
        </w:tc>
      </w:tr>
      <w:tr w14:paraId="2625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1AC76A8">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447" w:type="pct"/>
            <w:vAlign w:val="center"/>
          </w:tcPr>
          <w:p w14:paraId="324986D0">
            <w:pPr>
              <w:spacing w:line="320" w:lineRule="exact"/>
              <w:ind w:firstLine="105" w:firstLineChars="5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780" w:type="pct"/>
            <w:vAlign w:val="center"/>
          </w:tcPr>
          <w:p w14:paraId="3BEA3860">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谈判小组组成</w:t>
            </w:r>
          </w:p>
        </w:tc>
        <w:tc>
          <w:tcPr>
            <w:tcW w:w="3417" w:type="pct"/>
            <w:vAlign w:val="center"/>
          </w:tcPr>
          <w:p w14:paraId="68AC6667">
            <w:pPr>
              <w:spacing w:line="320" w:lineRule="exact"/>
              <w:ind w:firstLine="0" w:firstLineChars="0"/>
              <w:rPr>
                <w:rFonts w:hint="eastAsia" w:ascii="宋体" w:hAnsi="宋体" w:cs="宋体"/>
                <w:color w:val="auto"/>
                <w:sz w:val="21"/>
                <w:szCs w:val="21"/>
                <w:highlight w:val="none"/>
              </w:rPr>
            </w:pPr>
            <w:r>
              <w:rPr>
                <w:rFonts w:hint="eastAsia" w:ascii="宋体" w:hAnsi="宋体" w:cs="宋体"/>
                <w:bCs/>
                <w:color w:val="auto"/>
                <w:sz w:val="21"/>
                <w:szCs w:val="21"/>
                <w:highlight w:val="none"/>
              </w:rPr>
              <w:t>谈判及评审组织工作由采购代理机构负责，具体谈判、评审工作由依法组建的谈判小组负责，本项目谈判小组的构成：3人。</w:t>
            </w:r>
          </w:p>
        </w:tc>
      </w:tr>
      <w:tr w14:paraId="7728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0621FAD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447" w:type="pct"/>
            <w:vAlign w:val="center"/>
          </w:tcPr>
          <w:p w14:paraId="7DE5586C">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780" w:type="pct"/>
            <w:vAlign w:val="center"/>
          </w:tcPr>
          <w:p w14:paraId="0FB635F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谈判时间、地点、人员</w:t>
            </w:r>
          </w:p>
        </w:tc>
        <w:tc>
          <w:tcPr>
            <w:tcW w:w="3417" w:type="pct"/>
          </w:tcPr>
          <w:p w14:paraId="183F226F">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18.2.1 谈判时间：首次响应文件提交截止时间后。</w:t>
            </w:r>
          </w:p>
          <w:p w14:paraId="3FF11151">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18.2.2 谈判地点：</w:t>
            </w:r>
            <w:r>
              <w:rPr>
                <w:rFonts w:hint="eastAsia" w:ascii="宋体" w:hAnsi="宋体" w:cs="宋体"/>
                <w:bCs/>
                <w:color w:val="auto"/>
                <w:sz w:val="21"/>
                <w:szCs w:val="21"/>
                <w:highlight w:val="none"/>
              </w:rPr>
              <w:t>“广西政府采购云平台”在线谈判。谈判小组将通过“广西政府采购云平台”在线要求供应商澄清（说明或者更正）、参与谈判、提交最后报价等，响应文件提交后直至评审结束前，供应商应保持“广西政府采购云平台”登录并实时在线，确保及时收到相关信息并应答。否则，其不利后果由供应商自行承担</w:t>
            </w:r>
            <w:r>
              <w:rPr>
                <w:rFonts w:hint="eastAsia" w:ascii="宋体" w:hAnsi="宋体" w:cs="宋体"/>
                <w:color w:val="auto"/>
                <w:kern w:val="0"/>
                <w:sz w:val="21"/>
                <w:szCs w:val="21"/>
                <w:highlight w:val="none"/>
              </w:rPr>
              <w:t>。</w:t>
            </w:r>
          </w:p>
          <w:p w14:paraId="6305DCA6">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18.2.3 谈判参加人员：供应商法定代表人或相应的委托代理人参加谈判。</w:t>
            </w:r>
          </w:p>
          <w:p w14:paraId="720602B9">
            <w:pPr>
              <w:spacing w:line="320" w:lineRule="exact"/>
              <w:ind w:firstLine="0" w:firstLineChars="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18.2.4 首次响应文件提交截止时间后，登录“广西政府采购云平台”在线解密开启</w:t>
            </w:r>
            <w:r>
              <w:rPr>
                <w:rFonts w:hint="eastAsia" w:ascii="宋体" w:hAnsi="宋体" w:cs="宋体"/>
                <w:bCs/>
                <w:color w:val="auto"/>
                <w:sz w:val="21"/>
                <w:szCs w:val="21"/>
                <w:highlight w:val="none"/>
              </w:rPr>
              <w:t>。</w:t>
            </w:r>
          </w:p>
        </w:tc>
      </w:tr>
      <w:tr w14:paraId="62A9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54" w:type="pct"/>
            <w:vAlign w:val="center"/>
          </w:tcPr>
          <w:p w14:paraId="71629E63">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447" w:type="pct"/>
            <w:vAlign w:val="center"/>
          </w:tcPr>
          <w:p w14:paraId="01D62FF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780" w:type="pct"/>
            <w:vAlign w:val="center"/>
          </w:tcPr>
          <w:p w14:paraId="666412CF">
            <w:pPr>
              <w:spacing w:line="320" w:lineRule="exact"/>
              <w:ind w:left="34" w:leftChars="14"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3417" w:type="pct"/>
            <w:vAlign w:val="center"/>
          </w:tcPr>
          <w:p w14:paraId="07DC67B5">
            <w:pPr>
              <w:spacing w:line="32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具体详见第四章“评审办法”。</w:t>
            </w:r>
          </w:p>
        </w:tc>
      </w:tr>
      <w:tr w14:paraId="05AA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5E283C01">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447" w:type="pct"/>
            <w:vAlign w:val="center"/>
          </w:tcPr>
          <w:p w14:paraId="009A4F40">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780" w:type="pct"/>
            <w:vAlign w:val="center"/>
          </w:tcPr>
          <w:p w14:paraId="198A95F9">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3417" w:type="pct"/>
            <w:vAlign w:val="center"/>
          </w:tcPr>
          <w:p w14:paraId="30367724">
            <w:pPr>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431DEA16">
            <w:pPr>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（1）查询渠道：“信用中国”网站</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www.creditchina.gov.cn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、中国政府采购网</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www.ccgp.gov.cn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等；</w:t>
            </w:r>
          </w:p>
          <w:p w14:paraId="19DCA4EA">
            <w:pPr>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（2）查询截止时间：成交通知书发出前；</w:t>
            </w:r>
          </w:p>
          <w:p w14:paraId="534CD453">
            <w:pPr>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（3）信用信息查询记录和证据留存方式：在查询网站中直接打印查询记录，打印材料作为采购活动资料保存；</w:t>
            </w:r>
          </w:p>
          <w:p w14:paraId="39D5ECB2">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bCs/>
                <w:color w:val="auto"/>
                <w:sz w:val="21"/>
                <w:szCs w:val="21"/>
                <w:highlight w:val="none"/>
              </w:rPr>
              <w:t>（4）</w:t>
            </w:r>
            <w:r>
              <w:rPr>
                <w:rStyle w:val="238"/>
                <w:rFonts w:hint="eastAsia" w:ascii="宋体" w:hAnsi="宋体" w:eastAsia="宋体" w:cs="宋体"/>
                <w:color w:val="auto"/>
                <w:sz w:val="21"/>
                <w:szCs w:val="21"/>
                <w:highlight w:val="none"/>
              </w:rPr>
              <w:t>信用信息使用规则：对在“信用中国”网站(www.creditchina.gov.cn)、“中国政府采购”网站（www.ccgp.gov.cn）等渠道列入失信被执行人、</w:t>
            </w:r>
            <w:r>
              <w:rPr>
                <w:rStyle w:val="238"/>
                <w:rFonts w:hint="eastAsia" w:ascii="宋体" w:hAnsi="宋体" w:cs="宋体"/>
                <w:color w:val="auto"/>
                <w:sz w:val="21"/>
                <w:szCs w:val="21"/>
                <w:highlight w:val="none"/>
              </w:rPr>
              <w:t>重大税收违法失信主体</w:t>
            </w:r>
            <w:r>
              <w:rPr>
                <w:rStyle w:val="238"/>
                <w:rFonts w:hint="eastAsia" w:ascii="宋体" w:hAnsi="宋体" w:eastAsia="宋体" w:cs="宋体"/>
                <w:color w:val="auto"/>
                <w:sz w:val="21"/>
                <w:szCs w:val="21"/>
                <w:highlight w:val="none"/>
              </w:rPr>
              <w:t>、政府采购严重违法失信行为记录名单及其他不符合《中华人民共和国政府采购法》第二十二条规定条件的供应商，取消其</w:t>
            </w:r>
            <w:r>
              <w:rPr>
                <w:rStyle w:val="238"/>
                <w:rFonts w:hint="eastAsia" w:ascii="宋体" w:hAnsi="宋体" w:eastAsia="宋体" w:cs="宋体"/>
                <w:color w:val="auto"/>
                <w:sz w:val="21"/>
                <w:szCs w:val="21"/>
                <w:highlight w:val="none"/>
                <w:lang w:eastAsia="zh-CN"/>
              </w:rPr>
              <w:t>成交</w:t>
            </w:r>
            <w:r>
              <w:rPr>
                <w:rStyle w:val="238"/>
                <w:rFonts w:hint="eastAsia" w:ascii="宋体" w:hAnsi="宋体" w:eastAsia="宋体" w:cs="宋体"/>
                <w:color w:val="auto"/>
                <w:sz w:val="21"/>
                <w:szCs w:val="21"/>
                <w:highlight w:val="none"/>
              </w:rPr>
              <w:t>候选供应商资格。</w:t>
            </w:r>
            <w:r>
              <w:rPr>
                <w:rFonts w:hint="eastAsia" w:ascii="宋体" w:hAnsi="宋体"/>
                <w:color w:val="auto"/>
                <w:sz w:val="21"/>
                <w:szCs w:val="21"/>
                <w:highlight w:val="none"/>
              </w:rPr>
              <w:t>两个以上的自然人、法人或者其他组织组成一个联合体，以一个</w:t>
            </w:r>
            <w:r>
              <w:rPr>
                <w:rFonts w:hint="eastAsia" w:ascii="宋体" w:hAnsi="宋体"/>
                <w:color w:val="auto"/>
                <w:sz w:val="21"/>
                <w:szCs w:val="21"/>
                <w:highlight w:val="none"/>
                <w:lang w:val="en-US" w:eastAsia="zh-CN"/>
              </w:rPr>
              <w:t>投标人</w:t>
            </w:r>
            <w:r>
              <w:rPr>
                <w:rFonts w:hint="eastAsia" w:ascii="宋体" w:hAnsi="宋体"/>
                <w:color w:val="auto"/>
                <w:sz w:val="21"/>
                <w:szCs w:val="21"/>
                <w:highlight w:val="none"/>
              </w:rPr>
              <w:t>的身份共同参加政府采购活动的，对所有联合体成员进行信用记录查询，联合体成员存在不良信用记录的，视同联合体存在不良信用记录</w:t>
            </w:r>
            <w:r>
              <w:rPr>
                <w:rFonts w:hint="eastAsia" w:ascii="宋体" w:hAnsi="宋体" w:cs="宋体"/>
                <w:bCs/>
                <w:color w:val="auto"/>
                <w:sz w:val="21"/>
                <w:szCs w:val="21"/>
                <w:highlight w:val="none"/>
              </w:rPr>
              <w:t>。</w:t>
            </w:r>
          </w:p>
        </w:tc>
      </w:tr>
      <w:tr w14:paraId="0505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2E3C52A">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447" w:type="pct"/>
            <w:vAlign w:val="center"/>
          </w:tcPr>
          <w:p w14:paraId="170FD56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780" w:type="pct"/>
            <w:vAlign w:val="center"/>
          </w:tcPr>
          <w:p w14:paraId="5015B079">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762F179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3417" w:type="pct"/>
          </w:tcPr>
          <w:p w14:paraId="0C19E454">
            <w:pPr>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27.1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68022D84">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bCs/>
                <w:color w:val="auto"/>
                <w:sz w:val="21"/>
                <w:szCs w:val="21"/>
                <w:highlight w:val="none"/>
              </w:rPr>
              <w:t>27.2中小企业在政府采购活动过程中，请根据自己的真实情况出具《中小企业声明函》。采购人或采购代理机构在公告成交结果时，同时公告其《中小企业声明函》，接受社会监督。</w:t>
            </w:r>
          </w:p>
        </w:tc>
      </w:tr>
      <w:tr w14:paraId="433F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54" w:type="pct"/>
            <w:vAlign w:val="center"/>
          </w:tcPr>
          <w:p w14:paraId="783EBCC5">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447" w:type="pct"/>
            <w:vAlign w:val="center"/>
          </w:tcPr>
          <w:p w14:paraId="4E63D65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28.1</w:t>
            </w:r>
          </w:p>
        </w:tc>
        <w:tc>
          <w:tcPr>
            <w:tcW w:w="780" w:type="pct"/>
            <w:vAlign w:val="center"/>
          </w:tcPr>
          <w:p w14:paraId="130DFA8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履约保证金金额</w:t>
            </w:r>
          </w:p>
        </w:tc>
        <w:tc>
          <w:tcPr>
            <w:tcW w:w="3417" w:type="pct"/>
            <w:vAlign w:val="center"/>
          </w:tcPr>
          <w:p w14:paraId="07A0FD27">
            <w:pPr>
              <w:snapToGrid w:val="0"/>
              <w:spacing w:line="320" w:lineRule="exact"/>
              <w:ind w:firstLine="0" w:firstLineChars="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本项目不收取履约保证金。</w:t>
            </w:r>
          </w:p>
        </w:tc>
      </w:tr>
      <w:tr w14:paraId="0F67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4" w:type="pct"/>
            <w:vAlign w:val="center"/>
          </w:tcPr>
          <w:p w14:paraId="10CD157D">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447" w:type="pct"/>
            <w:vAlign w:val="center"/>
          </w:tcPr>
          <w:p w14:paraId="13DC9630">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780" w:type="pct"/>
            <w:vAlign w:val="center"/>
          </w:tcPr>
          <w:p w14:paraId="0366AD4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3417" w:type="pct"/>
            <w:vAlign w:val="center"/>
          </w:tcPr>
          <w:p w14:paraId="46865456">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成交通知书发出之日起8个工作日内。成交供应商应按规定与采购人签订合同。</w:t>
            </w:r>
          </w:p>
        </w:tc>
      </w:tr>
      <w:tr w14:paraId="5C9D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354" w:type="pct"/>
            <w:vAlign w:val="center"/>
          </w:tcPr>
          <w:p w14:paraId="07393215">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447" w:type="pct"/>
            <w:vAlign w:val="center"/>
          </w:tcPr>
          <w:p w14:paraId="357BAAD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780" w:type="pct"/>
            <w:vAlign w:val="center"/>
          </w:tcPr>
          <w:p w14:paraId="423817F2">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3417" w:type="pct"/>
            <w:vAlign w:val="center"/>
          </w:tcPr>
          <w:p w14:paraId="21A0DE80">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政府采购合同双方自签订之日起2个工作日内在省级以上人民政府财政部门指定媒体上公告。</w:t>
            </w:r>
          </w:p>
        </w:tc>
      </w:tr>
      <w:tr w14:paraId="3511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8E5DFB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447" w:type="pct"/>
            <w:vAlign w:val="center"/>
          </w:tcPr>
          <w:p w14:paraId="3D3C7B51">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780" w:type="pct"/>
            <w:vAlign w:val="center"/>
          </w:tcPr>
          <w:p w14:paraId="7C462B7D">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3417" w:type="pct"/>
          </w:tcPr>
          <w:p w14:paraId="3D39FAB3">
            <w:pPr>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本</w:t>
            </w:r>
            <w:r>
              <w:rPr>
                <w:rFonts w:hint="eastAsia" w:ascii="宋体" w:hAnsi="宋体" w:cs="宋体"/>
                <w:color w:val="auto"/>
                <w:kern w:val="0"/>
                <w:sz w:val="21"/>
                <w:szCs w:val="21"/>
                <w:highlight w:val="none"/>
              </w:rPr>
              <w:t>项目</w:t>
            </w:r>
            <w:r>
              <w:rPr>
                <w:rFonts w:hint="eastAsia" w:ascii="宋体" w:hAnsi="宋体" w:cs="宋体"/>
                <w:color w:val="auto"/>
                <w:kern w:val="0"/>
                <w:sz w:val="21"/>
                <w:szCs w:val="21"/>
                <w:highlight w:val="none"/>
                <w:lang w:eastAsia="zh-CN"/>
              </w:rPr>
              <w:t>每个分标</w:t>
            </w:r>
            <w:r>
              <w:rPr>
                <w:rFonts w:hint="eastAsia" w:ascii="宋体" w:hAnsi="宋体" w:cs="宋体"/>
                <w:color w:val="auto"/>
                <w:kern w:val="0"/>
                <w:sz w:val="21"/>
                <w:szCs w:val="21"/>
                <w:highlight w:val="none"/>
              </w:rPr>
              <w:t>采购代理服务费按本须知第30.2条“采购代理服务收费标准”中收费标准</w:t>
            </w:r>
            <w:r>
              <w:rPr>
                <w:rFonts w:hint="eastAsia" w:ascii="宋体" w:hAnsi="宋体" w:cs="宋体"/>
                <w:color w:val="auto"/>
                <w:kern w:val="0"/>
                <w:sz w:val="21"/>
                <w:szCs w:val="21"/>
                <w:highlight w:val="none"/>
                <w:lang w:val="en-US" w:eastAsia="zh-CN"/>
              </w:rPr>
              <w:t>33.3%</w:t>
            </w:r>
            <w:r>
              <w:rPr>
                <w:rFonts w:hint="eastAsia" w:ascii="宋体" w:hAnsi="宋体" w:cs="宋体"/>
                <w:color w:val="auto"/>
                <w:kern w:val="0"/>
                <w:sz w:val="21"/>
                <w:szCs w:val="21"/>
                <w:highlight w:val="none"/>
              </w:rPr>
              <w:t>计算（不足人民币6000元的，按6000元计），</w:t>
            </w:r>
            <w:r>
              <w:rPr>
                <w:rFonts w:hint="eastAsia" w:ascii="宋体" w:hAnsi="宋体" w:cs="宋体"/>
                <w:color w:val="auto"/>
                <w:kern w:val="0"/>
                <w:sz w:val="21"/>
                <w:szCs w:val="21"/>
                <w:highlight w:val="none"/>
                <w:lang w:eastAsia="zh-CN"/>
              </w:rPr>
              <w:t>每个分标</w:t>
            </w:r>
            <w:r>
              <w:rPr>
                <w:rFonts w:hint="eastAsia" w:ascii="宋体" w:hAnsi="宋体" w:cs="宋体"/>
                <w:color w:val="auto"/>
                <w:kern w:val="0"/>
                <w:sz w:val="21"/>
                <w:szCs w:val="21"/>
                <w:highlight w:val="none"/>
              </w:rPr>
              <w:t>成交供应商应当在</w:t>
            </w:r>
            <w:r>
              <w:rPr>
                <w:rFonts w:ascii="宋体" w:hAnsi="宋体" w:cs="宋体"/>
                <w:color w:val="auto"/>
                <w:kern w:val="0"/>
                <w:sz w:val="21"/>
                <w:szCs w:val="21"/>
                <w:highlight w:val="none"/>
              </w:rPr>
              <w:t>成交通知书发出前</w:t>
            </w:r>
            <w:r>
              <w:rPr>
                <w:rFonts w:hint="eastAsia" w:ascii="宋体" w:hAnsi="宋体" w:cs="宋体"/>
                <w:color w:val="auto"/>
                <w:kern w:val="0"/>
                <w:sz w:val="21"/>
                <w:szCs w:val="21"/>
                <w:highlight w:val="none"/>
              </w:rPr>
              <w:t>向采购代理机构一次性支付采购代理服务费，否</w:t>
            </w:r>
            <w:r>
              <w:rPr>
                <w:rFonts w:hint="eastAsia" w:ascii="宋体" w:hAnsi="宋体" w:cs="宋体"/>
                <w:color w:val="auto"/>
                <w:kern w:val="0"/>
                <w:sz w:val="21"/>
                <w:szCs w:val="21"/>
                <w:highlight w:val="none"/>
              </w:rPr>
              <w:t>则，其不利后果由成交供应商承担</w:t>
            </w:r>
            <w:r>
              <w:rPr>
                <w:rFonts w:hint="eastAsia" w:ascii="宋体" w:hAnsi="宋体" w:cs="宋体"/>
                <w:color w:val="auto"/>
                <w:kern w:val="0"/>
                <w:sz w:val="21"/>
                <w:szCs w:val="21"/>
                <w:highlight w:val="none"/>
                <w:lang w:eastAsia="zh-CN"/>
              </w:rPr>
              <w:t>。</w:t>
            </w:r>
          </w:p>
        </w:tc>
      </w:tr>
      <w:tr w14:paraId="74AC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228DAD3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447" w:type="pct"/>
            <w:vAlign w:val="center"/>
          </w:tcPr>
          <w:p w14:paraId="4B5053A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32</w:t>
            </w:r>
          </w:p>
        </w:tc>
        <w:tc>
          <w:tcPr>
            <w:tcW w:w="780" w:type="pct"/>
            <w:vAlign w:val="center"/>
          </w:tcPr>
          <w:p w14:paraId="7242868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3417" w:type="pct"/>
          </w:tcPr>
          <w:p w14:paraId="0873706B">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tc>
      </w:tr>
      <w:tr w14:paraId="3B7A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54" w:type="pct"/>
            <w:vAlign w:val="center"/>
          </w:tcPr>
          <w:p w14:paraId="274C529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447" w:type="pct"/>
            <w:vAlign w:val="center"/>
          </w:tcPr>
          <w:p w14:paraId="19D5C2AD">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780" w:type="pct"/>
            <w:vAlign w:val="center"/>
          </w:tcPr>
          <w:p w14:paraId="40D5E60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3417" w:type="pct"/>
            <w:vAlign w:val="center"/>
          </w:tcPr>
          <w:p w14:paraId="2D56F953">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桂林市叠彩区财政</w:t>
            </w:r>
            <w:r>
              <w:rPr>
                <w:rFonts w:hint="eastAsia" w:ascii="宋体" w:hAnsi="宋体" w:cs="宋体"/>
                <w:color w:val="auto"/>
                <w:kern w:val="0"/>
                <w:sz w:val="21"/>
                <w:szCs w:val="21"/>
                <w:highlight w:val="none"/>
                <w:lang w:eastAsia="zh-CN"/>
              </w:rPr>
              <w:t>局</w:t>
            </w:r>
            <w:r>
              <w:rPr>
                <w:rFonts w:hint="eastAsia" w:ascii="宋体" w:hAnsi="宋体" w:cs="宋体"/>
                <w:color w:val="auto"/>
                <w:kern w:val="0"/>
                <w:sz w:val="21"/>
                <w:szCs w:val="21"/>
                <w:highlight w:val="none"/>
              </w:rPr>
              <w:t>； 联系电话：</w:t>
            </w:r>
            <w:r>
              <w:rPr>
                <w:rFonts w:hint="eastAsia" w:ascii="宋体" w:hAnsi="宋体" w:cs="宋体"/>
                <w:color w:val="auto"/>
                <w:kern w:val="0"/>
                <w:sz w:val="21"/>
                <w:szCs w:val="21"/>
                <w:highlight w:val="none"/>
                <w:lang w:eastAsia="zh-CN"/>
              </w:rPr>
              <w:t>0773-8983695</w:t>
            </w:r>
            <w:r>
              <w:rPr>
                <w:rFonts w:hint="eastAsia" w:ascii="宋体" w:hAnsi="宋体" w:cs="宋体"/>
                <w:color w:val="auto"/>
                <w:kern w:val="0"/>
                <w:sz w:val="21"/>
                <w:szCs w:val="21"/>
                <w:highlight w:val="none"/>
              </w:rPr>
              <w:t xml:space="preserve"> </w:t>
            </w:r>
          </w:p>
        </w:tc>
      </w:tr>
    </w:tbl>
    <w:p w14:paraId="7B42BD68">
      <w:pPr>
        <w:spacing w:line="380" w:lineRule="exact"/>
        <w:ind w:firstLine="0" w:firstLineChars="0"/>
        <w:jc w:val="center"/>
        <w:outlineLvl w:val="1"/>
        <w:rPr>
          <w:rFonts w:hint="eastAsia" w:ascii="宋体" w:hAnsi="宋体" w:cs="宋体"/>
          <w:b/>
          <w:color w:val="auto"/>
          <w:kern w:val="0"/>
          <w:sz w:val="28"/>
          <w:szCs w:val="28"/>
          <w:highlight w:val="none"/>
        </w:rPr>
      </w:pPr>
      <w:r>
        <w:rPr>
          <w:color w:val="auto"/>
          <w:kern w:val="0"/>
          <w:szCs w:val="20"/>
          <w:highlight w:val="none"/>
        </w:rPr>
        <w:br w:type="page"/>
      </w:r>
      <w:r>
        <w:rPr>
          <w:rFonts w:hint="eastAsia" w:ascii="宋体" w:hAnsi="宋体" w:cs="宋体"/>
          <w:b/>
          <w:color w:val="auto"/>
          <w:kern w:val="0"/>
          <w:sz w:val="28"/>
          <w:szCs w:val="28"/>
          <w:highlight w:val="none"/>
        </w:rPr>
        <w:t>一、总则</w:t>
      </w:r>
    </w:p>
    <w:p w14:paraId="54CFB0A0">
      <w:pPr>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7DE53E65">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 项目名称及项目编号：</w:t>
      </w:r>
    </w:p>
    <w:p w14:paraId="5C225B0F">
      <w:pPr>
        <w:spacing w:line="400" w:lineRule="exact"/>
        <w:ind w:firstLine="42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s="宋体"/>
          <w:color w:val="auto"/>
          <w:sz w:val="21"/>
          <w:szCs w:val="24"/>
          <w:highlight w:val="none"/>
          <w:lang w:eastAsia="zh-CN"/>
        </w:rPr>
        <w:t>桂林市叠彩实验小学功能室设备采购</w:t>
      </w:r>
    </w:p>
    <w:p w14:paraId="602F6CF9">
      <w:pPr>
        <w:spacing w:line="400" w:lineRule="exact"/>
        <w:ind w:firstLine="420"/>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kern w:val="0"/>
          <w:sz w:val="21"/>
          <w:szCs w:val="21"/>
          <w:highlight w:val="none"/>
          <w:lang w:eastAsia="zh-CN"/>
        </w:rPr>
        <w:t>GLZC2025-J1-990603-JXYX</w:t>
      </w:r>
    </w:p>
    <w:p w14:paraId="5AEA9D87">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eastAsia="zh-CN"/>
        </w:rPr>
        <w:t>1.2</w:t>
      </w:r>
      <w:r>
        <w:rPr>
          <w:rFonts w:hint="eastAsia" w:ascii="宋体" w:hAnsi="宋体" w:cs="宋体"/>
          <w:color w:val="auto"/>
          <w:kern w:val="0"/>
          <w:sz w:val="21"/>
          <w:szCs w:val="21"/>
          <w:highlight w:val="none"/>
          <w:lang w:eastAsia="zh-CN"/>
        </w:rPr>
        <w:t>分标</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履行期限（工期）：</w:t>
      </w:r>
      <w:r>
        <w:rPr>
          <w:rFonts w:hint="eastAsia" w:ascii="宋体" w:hAnsi="宋体" w:cs="宋体"/>
          <w:color w:val="auto"/>
          <w:sz w:val="21"/>
          <w:szCs w:val="21"/>
          <w:highlight w:val="none"/>
        </w:rPr>
        <w:t>因本项目货物交付时间紧迫，供应商须于签订合同之日起</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个日历日内交货并完成安装调试</w:t>
      </w:r>
      <w:r>
        <w:rPr>
          <w:rFonts w:hint="eastAsia" w:ascii="宋体" w:hAnsi="宋体" w:cs="宋体"/>
          <w:color w:val="auto"/>
          <w:sz w:val="21"/>
          <w:szCs w:val="21"/>
          <w:highlight w:val="none"/>
          <w:lang w:val="en-US" w:eastAsia="zh-CN"/>
        </w:rPr>
        <w:t>合格完毕</w:t>
      </w:r>
      <w:r>
        <w:rPr>
          <w:rFonts w:hint="eastAsia" w:ascii="宋体" w:hAnsi="宋体" w:cs="宋体"/>
          <w:color w:val="auto"/>
          <w:sz w:val="21"/>
          <w:szCs w:val="21"/>
          <w:highlight w:val="none"/>
        </w:rPr>
        <w:t>，如延期交付的，按违约处理</w:t>
      </w:r>
      <w:r>
        <w:rPr>
          <w:rFonts w:hint="eastAsia" w:ascii="宋体" w:hAnsi="宋体" w:cs="宋体"/>
          <w:color w:val="auto"/>
          <w:sz w:val="21"/>
          <w:szCs w:val="21"/>
          <w:highlight w:val="none"/>
          <w:lang w:eastAsia="zh-CN"/>
        </w:rPr>
        <w:t>；</w:t>
      </w:r>
    </w:p>
    <w:p w14:paraId="1FA1E15D">
      <w:pPr>
        <w:numPr>
          <w:ilvl w:val="0"/>
          <w:numId w:val="0"/>
        </w:numPr>
        <w:spacing w:line="400" w:lineRule="exact"/>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分标2：</w:t>
      </w:r>
      <w:r>
        <w:rPr>
          <w:rFonts w:hint="eastAsia" w:ascii="宋体" w:hAnsi="宋体" w:cs="宋体"/>
          <w:color w:val="auto"/>
          <w:sz w:val="21"/>
          <w:szCs w:val="21"/>
          <w:highlight w:val="none"/>
          <w:lang w:val="en-US" w:eastAsia="zh-CN"/>
        </w:rPr>
        <w:t>要求工期：20日历天</w:t>
      </w:r>
    </w:p>
    <w:p w14:paraId="5CD4027F">
      <w:pPr>
        <w:spacing w:line="400" w:lineRule="exact"/>
        <w:ind w:firstLine="420"/>
        <w:rPr>
          <w:rFonts w:hint="eastAsia" w:ascii="宋体" w:hAnsi="宋体" w:cs="宋体"/>
          <w:color w:val="auto"/>
          <w:sz w:val="21"/>
          <w:szCs w:val="21"/>
          <w:highlight w:val="none"/>
          <w:lang w:eastAsia="zh-CN"/>
        </w:rPr>
      </w:pPr>
      <w:r>
        <w:rPr>
          <w:rFonts w:hint="eastAsia" w:ascii="宋体" w:hAnsi="宋体" w:eastAsia="宋体" w:cs="宋体"/>
          <w:color w:val="auto"/>
          <w:kern w:val="0"/>
          <w:sz w:val="21"/>
          <w:szCs w:val="21"/>
          <w:highlight w:val="none"/>
          <w:lang w:eastAsia="zh-CN"/>
        </w:rPr>
        <w:t>1.3质量标准：分标</w:t>
      </w: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sz w:val="21"/>
          <w:szCs w:val="21"/>
          <w:highlight w:val="none"/>
        </w:rPr>
        <w:t>按国家有关产品“三包”规定执行“三包”</w:t>
      </w:r>
      <w:r>
        <w:rPr>
          <w:rFonts w:hint="eastAsia" w:ascii="宋体" w:hAnsi="宋体" w:cs="宋体"/>
          <w:color w:val="auto"/>
          <w:sz w:val="21"/>
          <w:szCs w:val="21"/>
          <w:highlight w:val="none"/>
          <w:lang w:eastAsia="zh-CN"/>
        </w:rPr>
        <w:t>；</w:t>
      </w:r>
    </w:p>
    <w:p w14:paraId="0D998689">
      <w:pPr>
        <w:spacing w:line="400" w:lineRule="exact"/>
        <w:ind w:firstLine="1890" w:firstLineChars="900"/>
        <w:rPr>
          <w:rFonts w:hint="eastAsia" w:ascii="宋体" w:hAnsi="宋体" w:eastAsia="宋体" w:cs="宋体"/>
          <w:color w:val="auto"/>
          <w:kern w:val="0"/>
          <w:sz w:val="21"/>
          <w:szCs w:val="21"/>
          <w:highlight w:val="none"/>
          <w:lang w:eastAsia="zh-CN"/>
        </w:rPr>
      </w:pP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2按</w:t>
      </w:r>
      <w:r>
        <w:rPr>
          <w:rFonts w:hint="eastAsia" w:ascii="宋体" w:hAnsi="宋体" w:eastAsia="宋体" w:cs="宋体"/>
          <w:color w:val="auto"/>
          <w:kern w:val="0"/>
          <w:sz w:val="21"/>
          <w:szCs w:val="21"/>
          <w:highlight w:val="none"/>
          <w:lang w:eastAsia="zh-CN"/>
        </w:rPr>
        <w:t>国家现行有关工程施工质量验收规范合格标准。</w:t>
      </w:r>
    </w:p>
    <w:p w14:paraId="3A16B00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 xml:space="preserve"> 本竞争性谈判文件（以下简称谈判文件）适用于本谈判项目的谈判、评审、合同履约、验收、付款等行为（法律、法规另有规定的，从其规定）。</w:t>
      </w:r>
    </w:p>
    <w:p w14:paraId="4B0FE831">
      <w:pPr>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7B38CBEF">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2.1“供应商”：是指符合本次采购项目的供应商资格并提交响应文件、参加谈判的供应商。如果该供应商在本次谈判中成交，即成为“成交供应商”。</w:t>
      </w:r>
    </w:p>
    <w:p w14:paraId="249FF4C8">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”：系</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2B8C0417">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2.3“服务”：系指按谈判文件规定，供应商须承担的安装、调试、技术协助、校准、培训、技术指导以及其他类似的义务。</w:t>
      </w:r>
    </w:p>
    <w:p w14:paraId="6CB8F6B5">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2.4 “项目”：系指供应商按谈</w:t>
      </w:r>
      <w:r>
        <w:rPr>
          <w:rFonts w:hint="eastAsia" w:ascii="宋体" w:hAnsi="宋体" w:cs="宋体"/>
          <w:color w:val="auto"/>
          <w:kern w:val="0"/>
          <w:sz w:val="21"/>
          <w:szCs w:val="21"/>
          <w:highlight w:val="none"/>
        </w:rPr>
        <w:t>判文件规定向采购人提供的货物</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服务</w:t>
      </w:r>
      <w:r>
        <w:rPr>
          <w:rFonts w:hint="eastAsia" w:ascii="宋体" w:hAnsi="宋体" w:cs="宋体"/>
          <w:color w:val="auto"/>
          <w:kern w:val="0"/>
          <w:sz w:val="21"/>
          <w:szCs w:val="21"/>
          <w:highlight w:val="none"/>
          <w:lang w:eastAsia="zh-CN"/>
        </w:rPr>
        <w:t>、</w:t>
      </w:r>
      <w:r>
        <w:rPr>
          <w:rFonts w:hint="eastAsia" w:ascii="宋体" w:hAnsi="宋体" w:eastAsia="宋体" w:cs="宋体"/>
          <w:color w:val="auto"/>
          <w:sz w:val="21"/>
          <w:szCs w:val="21"/>
          <w:highlight w:val="none"/>
          <w:shd w:val="clear" w:color="auto" w:fill="auto"/>
        </w:rPr>
        <w:t>采购人提供施工图纸及工程量清单等所包含的施工内容</w:t>
      </w:r>
      <w:r>
        <w:rPr>
          <w:rFonts w:hint="eastAsia" w:ascii="宋体" w:hAnsi="宋体" w:cs="宋体"/>
          <w:color w:val="auto"/>
          <w:kern w:val="0"/>
          <w:sz w:val="21"/>
          <w:szCs w:val="21"/>
          <w:highlight w:val="none"/>
        </w:rPr>
        <w:t>。</w:t>
      </w:r>
    </w:p>
    <w:p w14:paraId="1FC93D86">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3616FC71">
      <w:pPr>
        <w:adjustRightInd w:val="0"/>
        <w:snapToGrid w:val="0"/>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2.6“响应文件”：本项目实行全流程电子化采购，供应商通过“广西政府采购云平台”参与电子竞标。响应文件特指供应商按本谈判文件规定提交的电子响应文件（包括因特殊情况无法解密或解密失败提交的电子备份响应文件）。</w:t>
      </w:r>
    </w:p>
    <w:p w14:paraId="688FEABE">
      <w:pPr>
        <w:adjustRightInd w:val="0"/>
        <w:snapToGrid w:val="0"/>
        <w:spacing w:line="400" w:lineRule="exact"/>
        <w:ind w:firstLine="422"/>
        <w:jc w:val="left"/>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2.7供应商为其他组织或者自然人时，本谈判文件规定的法定代表人指负责人或者自然人。本谈判文件所称负责人是指参加竞标的其他组织营业执照或者执业许可证等证照上的负责人，本谈判文件所称自然人指参与竞标的自然人本人，且应具备独立承担民事责任能力，自然人应当为年满18岁以上成年人（十六周岁以上的未成年人，以自己的劳动收入为主要生活来源的，视为完全民事行为能力人）</w:t>
      </w:r>
    </w:p>
    <w:p w14:paraId="2B07CC21">
      <w:pPr>
        <w:adjustRightInd w:val="0"/>
        <w:snapToGrid w:val="0"/>
        <w:spacing w:line="400" w:lineRule="exact"/>
        <w:ind w:firstLine="422"/>
        <w:jc w:val="left"/>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2.8实质性要求：“采购需求”中所有条款以及谈判文件要求“必须提供”的条款均属于实质性要求，若有任意一项负偏离，响应文件按无效处理。</w:t>
      </w:r>
    </w:p>
    <w:p w14:paraId="40465F0B">
      <w:pPr>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253C32C8">
      <w:pPr>
        <w:spacing w:line="400" w:lineRule="exact"/>
        <w:ind w:firstLine="420"/>
        <w:rPr>
          <w:rFonts w:hint="eastAsia" w:ascii="宋体" w:hAnsi="宋体" w:cs="宋体"/>
          <w:color w:val="auto"/>
          <w:sz w:val="21"/>
          <w:szCs w:val="24"/>
          <w:highlight w:val="none"/>
        </w:rPr>
      </w:pPr>
      <w:r>
        <w:rPr>
          <w:rFonts w:hint="eastAsia" w:ascii="宋体" w:hAnsi="宋体" w:eastAsia="宋体" w:cs="宋体"/>
          <w:b/>
          <w:color w:val="auto"/>
          <w:sz w:val="21"/>
          <w:szCs w:val="21"/>
          <w:highlight w:val="none"/>
          <w:shd w:val="clear" w:color="auto" w:fill="auto"/>
        </w:rPr>
        <w:t>详见供应商须知前附表</w:t>
      </w:r>
      <w:r>
        <w:rPr>
          <w:rFonts w:hint="eastAsia" w:ascii="宋体" w:hAnsi="宋体" w:cs="宋体"/>
          <w:color w:val="auto"/>
          <w:sz w:val="21"/>
          <w:szCs w:val="24"/>
          <w:highlight w:val="none"/>
        </w:rPr>
        <w:t>。</w:t>
      </w:r>
    </w:p>
    <w:p w14:paraId="3606AFA5">
      <w:pPr>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4.参与电子竞标的准备工作</w:t>
      </w:r>
    </w:p>
    <w:p w14:paraId="0E103196">
      <w:pPr>
        <w:tabs>
          <w:tab w:val="left" w:pos="163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hint="eastAsia" w:ascii="宋体" w:hAnsi="宋体" w:cs="宋体"/>
          <w:bCs/>
          <w:color w:val="auto"/>
          <w:sz w:val="21"/>
          <w:szCs w:val="21"/>
          <w:highlight w:val="none"/>
        </w:rPr>
        <w:t>以便供应商采用CA证书对其响应文件进行电子签章或电子签名</w:t>
      </w:r>
      <w:r>
        <w:rPr>
          <w:rFonts w:hint="eastAsia" w:ascii="宋体" w:hAnsi="宋体" w:cs="宋体"/>
          <w:color w:val="auto"/>
          <w:kern w:val="0"/>
          <w:sz w:val="21"/>
          <w:szCs w:val="21"/>
          <w:highlight w:val="none"/>
        </w:rPr>
        <w:t>；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4E10FC09">
      <w:pPr>
        <w:tabs>
          <w:tab w:val="left" w:pos="163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4.2电子竞标具体操作流程参考《政府采购项目电子交易管理操作指南-供应商》（详见桂林市政府采购网—采购资讯—重要通知）；如遇平台技术问题详询95763或</w:t>
      </w:r>
      <w:r>
        <w:rPr>
          <w:rFonts w:hint="eastAsia" w:ascii="宋体" w:hAnsi="宋体" w:cs="宋体"/>
          <w:bCs/>
          <w:color w:val="auto"/>
          <w:sz w:val="21"/>
          <w:szCs w:val="21"/>
          <w:highlight w:val="none"/>
        </w:rPr>
        <w:t>0771-3381253</w:t>
      </w:r>
      <w:r>
        <w:rPr>
          <w:rFonts w:hint="eastAsia" w:ascii="宋体" w:hAnsi="宋体" w:cs="宋体"/>
          <w:color w:val="auto"/>
          <w:kern w:val="0"/>
          <w:sz w:val="21"/>
          <w:szCs w:val="21"/>
          <w:highlight w:val="none"/>
        </w:rPr>
        <w:t>。</w:t>
      </w:r>
    </w:p>
    <w:p w14:paraId="79C122EF">
      <w:pPr>
        <w:tabs>
          <w:tab w:val="left" w:pos="163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4.3不论谈判结果如何，供应商均应自行承担所有与谈判有关的全部费用。</w:t>
      </w:r>
    </w:p>
    <w:p w14:paraId="59EEE07A">
      <w:pPr>
        <w:tabs>
          <w:tab w:val="left" w:pos="163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72949409">
      <w:pPr>
        <w:snapToGrid w:val="0"/>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不</w:t>
      </w:r>
      <w:r>
        <w:rPr>
          <w:rFonts w:hint="eastAsia" w:ascii="宋体" w:hAnsi="宋体" w:cs="宋体"/>
          <w:color w:val="auto"/>
          <w:kern w:val="0"/>
          <w:sz w:val="21"/>
          <w:szCs w:val="21"/>
          <w:highlight w:val="none"/>
        </w:rPr>
        <w:t>接受联合体参与谈判。</w:t>
      </w:r>
    </w:p>
    <w:p w14:paraId="530A8BAE">
      <w:pPr>
        <w:tabs>
          <w:tab w:val="left" w:pos="219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474835E1">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6.1供应商认为谈判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3562B38E">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620F46F1">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51710F0B">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w:t>
      </w:r>
      <w:r>
        <w:rPr>
          <w:rFonts w:hint="eastAsia" w:ascii="宋体" w:hAnsi="宋体" w:cs="宋体"/>
          <w:color w:val="auto"/>
          <w:sz w:val="21"/>
          <w:szCs w:val="21"/>
          <w:highlight w:val="none"/>
          <w:lang w:eastAsia="zh-CN"/>
        </w:rPr>
        <w:t>桂林市叠彩区政府局</w:t>
      </w:r>
      <w:r>
        <w:rPr>
          <w:rFonts w:hint="eastAsia" w:ascii="宋体" w:hAnsi="宋体" w:cs="宋体"/>
          <w:color w:val="auto"/>
          <w:sz w:val="21"/>
          <w:szCs w:val="21"/>
          <w:highlight w:val="none"/>
        </w:rPr>
        <w:t>投诉</w:t>
      </w:r>
      <w:r>
        <w:rPr>
          <w:rFonts w:hint="eastAsia" w:ascii="宋体" w:hAnsi="宋体" w:cs="宋体"/>
          <w:b/>
          <w:color w:val="auto"/>
          <w:sz w:val="21"/>
          <w:szCs w:val="21"/>
          <w:highlight w:val="none"/>
        </w:rPr>
        <w:t>（“投诉书</w:t>
      </w:r>
      <w:r>
        <w:rPr>
          <w:rFonts w:hint="eastAsia" w:ascii="宋体" w:hAnsi="宋体" w:cs="宋体"/>
          <w:b/>
          <w:color w:val="auto"/>
          <w:sz w:val="21"/>
          <w:szCs w:val="21"/>
          <w:highlight w:val="none"/>
        </w:rPr>
        <w:t>”格式见附表2）</w:t>
      </w:r>
      <w:r>
        <w:rPr>
          <w:rFonts w:hint="eastAsia" w:ascii="宋体" w:hAnsi="宋体" w:cs="宋体"/>
          <w:color w:val="auto"/>
          <w:sz w:val="21"/>
          <w:szCs w:val="21"/>
          <w:highlight w:val="none"/>
        </w:rPr>
        <w:t>。</w:t>
      </w:r>
    </w:p>
    <w:p w14:paraId="31C2BBF9">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6.3质疑、投诉应当采用书面形式，质疑书、投诉书实行实名制，均应明确阐述谈判文件、谈判过程或成交结果中使自己合法权益受到损害的实质性内容，并提供必要的证明材料</w:t>
      </w:r>
      <w:r>
        <w:rPr>
          <w:rFonts w:hint="eastAsia" w:ascii="宋体" w:hAnsi="宋体" w:cs="宋体"/>
          <w:color w:val="auto"/>
          <w:kern w:val="0"/>
          <w:sz w:val="21"/>
          <w:szCs w:val="21"/>
          <w:highlight w:val="none"/>
        </w:rPr>
        <w:t>。</w:t>
      </w:r>
    </w:p>
    <w:p w14:paraId="5117585C">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549065E2">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4BB48DFF">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0812445B">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2BDD1854">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3A4A1465">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655DFBA2">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3980711C">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14F6B7DE">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033BF16D">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w:t>
      </w:r>
      <w:r>
        <w:rPr>
          <w:rFonts w:hint="eastAsia" w:ascii="宋体" w:hAnsi="宋体" w:cs="宋体"/>
          <w:color w:val="auto"/>
          <w:kern w:val="0"/>
          <w:sz w:val="21"/>
          <w:szCs w:val="21"/>
          <w:highlight w:val="none"/>
          <w:lang w:eastAsia="zh-CN"/>
        </w:rPr>
        <w:t>江西银信工程造价咨</w:t>
      </w:r>
      <w:r>
        <w:rPr>
          <w:rFonts w:hint="eastAsia" w:ascii="宋体" w:hAnsi="宋体" w:cs="宋体"/>
          <w:color w:val="auto"/>
          <w:kern w:val="0"/>
          <w:sz w:val="21"/>
          <w:szCs w:val="21"/>
          <w:highlight w:val="none"/>
          <w:lang w:eastAsia="zh-CN"/>
        </w:rPr>
        <w:t>询有限公司七星</w:t>
      </w:r>
      <w:r>
        <w:rPr>
          <w:rFonts w:hint="eastAsia" w:ascii="宋体" w:hAnsi="宋体" w:cs="宋体"/>
          <w:color w:val="auto"/>
          <w:kern w:val="0"/>
          <w:sz w:val="21"/>
          <w:szCs w:val="21"/>
          <w:highlight w:val="none"/>
        </w:rPr>
        <w:t>分公司，</w:t>
      </w:r>
      <w:r>
        <w:rPr>
          <w:rFonts w:hint="eastAsia" w:ascii="宋体" w:hAnsi="宋体" w:cs="宋体"/>
          <w:color w:val="auto"/>
          <w:kern w:val="0"/>
          <w:sz w:val="21"/>
          <w:szCs w:val="21"/>
          <w:highlight w:val="none"/>
        </w:rPr>
        <w:t>联系人：</w:t>
      </w:r>
      <w:r>
        <w:rPr>
          <w:rFonts w:hint="eastAsia" w:ascii="宋体" w:hAnsi="宋体" w:cs="宋体"/>
          <w:color w:val="auto"/>
          <w:kern w:val="0"/>
          <w:sz w:val="21"/>
          <w:szCs w:val="21"/>
          <w:highlight w:val="none"/>
          <w:lang w:eastAsia="zh-CN"/>
        </w:rPr>
        <w:t>詹丹</w:t>
      </w:r>
      <w:r>
        <w:rPr>
          <w:rFonts w:hint="eastAsia" w:ascii="宋体" w:hAnsi="宋体" w:cs="宋体"/>
          <w:color w:val="auto"/>
          <w:kern w:val="0"/>
          <w:sz w:val="21"/>
          <w:szCs w:val="21"/>
          <w:highlight w:val="none"/>
        </w:rPr>
        <w:t>，</w:t>
      </w:r>
      <w:r>
        <w:rPr>
          <w:rFonts w:ascii="宋体" w:hAnsi="宋体" w:cs="宋体"/>
          <w:color w:val="auto"/>
          <w:kern w:val="0"/>
          <w:sz w:val="21"/>
          <w:szCs w:val="21"/>
          <w:highlight w:val="none"/>
        </w:rPr>
        <w:t>联系电话</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0773-7596983</w:t>
      </w:r>
      <w:r>
        <w:rPr>
          <w:rFonts w:ascii="宋体" w:hAnsi="宋体" w:cs="宋体"/>
          <w:color w:val="auto"/>
          <w:kern w:val="0"/>
          <w:sz w:val="21"/>
          <w:szCs w:val="21"/>
          <w:highlight w:val="none"/>
        </w:rPr>
        <w:t xml:space="preserve"> </w:t>
      </w:r>
      <w:r>
        <w:rPr>
          <w:rFonts w:hint="eastAsia" w:ascii="宋体" w:hAnsi="宋体" w:cs="宋体"/>
          <w:color w:val="auto"/>
          <w:kern w:val="0"/>
          <w:sz w:val="21"/>
          <w:szCs w:val="21"/>
          <w:highlight w:val="none"/>
        </w:rPr>
        <w:t>。</w:t>
      </w:r>
    </w:p>
    <w:p w14:paraId="2DC23A0F">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通讯地址：</w:t>
      </w:r>
      <w:r>
        <w:rPr>
          <w:rFonts w:hint="eastAsia" w:ascii="宋体" w:hAnsi="宋体" w:cs="宋体"/>
          <w:color w:val="auto"/>
          <w:kern w:val="0"/>
          <w:sz w:val="21"/>
          <w:szCs w:val="21"/>
          <w:highlight w:val="none"/>
          <w:lang w:eastAsia="zh-CN"/>
        </w:rPr>
        <w:t>桂林市七星区毅峰南路12号1号楼3楼</w:t>
      </w:r>
      <w:r>
        <w:rPr>
          <w:rFonts w:hint="eastAsia" w:ascii="宋体" w:hAnsi="宋体" w:cs="宋体"/>
          <w:color w:val="auto"/>
          <w:kern w:val="0"/>
          <w:sz w:val="21"/>
          <w:szCs w:val="21"/>
          <w:highlight w:val="none"/>
        </w:rPr>
        <w:t>。</w:t>
      </w:r>
    </w:p>
    <w:p w14:paraId="7A2A50B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业务时间：工作日每日上午</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时00分到12时00分，下午1</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时00分到</w:t>
      </w:r>
      <w:r>
        <w:rPr>
          <w:rFonts w:hint="eastAsia" w:ascii="宋体" w:hAnsi="宋体" w:cs="宋体"/>
          <w:color w:val="auto"/>
          <w:kern w:val="0"/>
          <w:sz w:val="21"/>
          <w:szCs w:val="21"/>
          <w:highlight w:val="none"/>
          <w:lang w:val="en-US" w:eastAsia="zh-CN"/>
        </w:rPr>
        <w:t>18</w:t>
      </w:r>
      <w:r>
        <w:rPr>
          <w:rFonts w:hint="eastAsia" w:ascii="宋体" w:hAnsi="宋体" w:cs="宋体"/>
          <w:color w:val="auto"/>
          <w:kern w:val="0"/>
          <w:sz w:val="21"/>
          <w:szCs w:val="21"/>
          <w:highlight w:val="none"/>
        </w:rPr>
        <w:t>时00分。业务时间以外、双休日和法定节假日不办理业务。</w:t>
      </w:r>
    </w:p>
    <w:p w14:paraId="52EFAFDA">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6.4以联合体形式参加政府采购活动的，其投诉应当由组成联合体的所有供应商共同提出。</w:t>
      </w:r>
    </w:p>
    <w:p w14:paraId="645614DA">
      <w:pPr>
        <w:tabs>
          <w:tab w:val="left" w:pos="219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465D55D3">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7.1 本项目不允许转包。</w:t>
      </w:r>
    </w:p>
    <w:p w14:paraId="7B142391">
      <w:pPr>
        <w:spacing w:line="400" w:lineRule="exact"/>
        <w:ind w:firstLine="420"/>
        <w:rPr>
          <w:rFonts w:hint="eastAsia" w:ascii="宋体" w:hAnsi="宋体" w:cs="宋体"/>
          <w:color w:val="auto"/>
          <w:sz w:val="21"/>
          <w:szCs w:val="24"/>
          <w:highlight w:val="none"/>
        </w:rPr>
      </w:pPr>
      <w:r>
        <w:rPr>
          <w:rFonts w:hint="eastAsia" w:ascii="宋体" w:hAnsi="宋体" w:cs="宋体"/>
          <w:color w:val="auto"/>
          <w:kern w:val="0"/>
          <w:sz w:val="21"/>
          <w:szCs w:val="21"/>
          <w:highlight w:val="none"/>
        </w:rPr>
        <w:t>7.2 本项目不可以分包。</w:t>
      </w:r>
    </w:p>
    <w:p w14:paraId="03427170">
      <w:pPr>
        <w:tabs>
          <w:tab w:val="left" w:pos="163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3FE305B5">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8.1提供相同品牌产品的不同供应商参加同一合同项下谈判的，以其中通过资格审查、符合性审查且最后报价最低的参加评审，最后报价相同的，由采购人自主选择确定一个参加评审的供应商；如为非单一产品采购项目，多家供应商提供的核心产品品牌相同的，视为提供相同品牌产品。</w:t>
      </w:r>
    </w:p>
    <w:p w14:paraId="41E3F074">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8.2关联供应商不得参加同一合同项下政府采购活动，否则响应文件将被视为无效：</w:t>
      </w:r>
    </w:p>
    <w:p w14:paraId="2CAE049F">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（1）单位负责人为同一人或者存在直接控股、管理关系的不同供应商，不得参加同一合同项下的政府采购活动。</w:t>
      </w:r>
    </w:p>
    <w:p w14:paraId="212B6FF2">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（2）为本采购项目提供整体设计、规范编制或者项目管理、监理、检测等服务的供应商，不得再参加本次采购活动。</w:t>
      </w:r>
    </w:p>
    <w:p w14:paraId="3FFCDEE9">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（3）生产厂商授权给供应商后自己不得参加同一合同项下的政府采购活动；生产厂商对同一品牌同一型号的货物，仅能委托一个代理商参加谈判。</w:t>
      </w:r>
    </w:p>
    <w:p w14:paraId="2B4A06B8">
      <w:pPr>
        <w:tabs>
          <w:tab w:val="left" w:pos="2190"/>
        </w:tabs>
        <w:spacing w:line="400" w:lineRule="exact"/>
        <w:ind w:firstLine="562"/>
        <w:jc w:val="center"/>
        <w:rPr>
          <w:rFonts w:hint="eastAsia" w:ascii="宋体" w:hAnsi="宋体" w:cs="宋体"/>
          <w:b/>
          <w:color w:val="auto"/>
          <w:kern w:val="0"/>
          <w:sz w:val="28"/>
          <w:szCs w:val="28"/>
          <w:highlight w:val="none"/>
        </w:rPr>
      </w:pPr>
    </w:p>
    <w:p w14:paraId="4BB17C4E">
      <w:pPr>
        <w:tabs>
          <w:tab w:val="left" w:pos="2190"/>
        </w:tabs>
        <w:spacing w:line="400" w:lineRule="exact"/>
        <w:ind w:firstLine="562"/>
        <w:jc w:val="center"/>
        <w:outlineLvl w:val="1"/>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二、谈判文件</w:t>
      </w:r>
    </w:p>
    <w:p w14:paraId="5ACA934B">
      <w:pPr>
        <w:tabs>
          <w:tab w:val="left" w:pos="219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9.谈判文件的构成</w:t>
      </w:r>
    </w:p>
    <w:p w14:paraId="3157ED87">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（1）竞争性谈判公告；</w:t>
      </w:r>
    </w:p>
    <w:p w14:paraId="029DA516">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195D577B">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0E5BA822">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2A4454AF">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05C5259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1DAB7B35">
      <w:pPr>
        <w:tabs>
          <w:tab w:val="left" w:pos="219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10.谈判文件的澄清与修改</w:t>
      </w:r>
    </w:p>
    <w:p w14:paraId="2B20A4AA">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谈判文件进行必要澄清或者修改，澄清或者修改的内容可能影响响应文件编制的，采购代理机构应当在提交首次响应文件提交截止时间三个工作日前在本项目竞争性谈判公告发布的同一媒体上发布更正公告，不足三个工作日的，应当顺延首次响应文件提交截止时间。</w:t>
      </w:r>
    </w:p>
    <w:p w14:paraId="4CA7382A">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106B32CC">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10.3澄清或者修改的内容为谈判文件的组成部分。当澄清或者修改通知就同一内容的表述不一致时，以最后发出的书面文件为准。</w:t>
      </w:r>
    </w:p>
    <w:p w14:paraId="715D4A84">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10.4 谈判文件的澄清或者修改都应该通过本项目采购代理机构以法定形式发布，采购人非通过本机构，不得擅自澄清、答复、修改或补充谈判文件。</w:t>
      </w:r>
    </w:p>
    <w:p w14:paraId="50A01D1D">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采购代理机构可以视采购具体情况，延长响应文件提交截止时间和谈判时间，并在本项目竞争性谈判公告发布的同一媒体上发布变更公告。</w:t>
      </w:r>
    </w:p>
    <w:p w14:paraId="0737DA4F">
      <w:pPr>
        <w:tabs>
          <w:tab w:val="left" w:pos="2190"/>
        </w:tabs>
        <w:spacing w:line="380" w:lineRule="exact"/>
        <w:ind w:firstLine="435" w:firstLineChars="0"/>
        <w:rPr>
          <w:rFonts w:hint="eastAsia" w:ascii="宋体" w:hAnsi="宋体" w:cs="宋体"/>
          <w:color w:val="auto"/>
          <w:kern w:val="0"/>
          <w:sz w:val="21"/>
          <w:szCs w:val="21"/>
          <w:highlight w:val="none"/>
        </w:rPr>
      </w:pPr>
    </w:p>
    <w:p w14:paraId="7E87D713">
      <w:pPr>
        <w:tabs>
          <w:tab w:val="left" w:pos="2190"/>
        </w:tabs>
        <w:spacing w:line="380" w:lineRule="exact"/>
        <w:ind w:firstLine="435" w:firstLineChars="0"/>
        <w:jc w:val="center"/>
        <w:outlineLvl w:val="1"/>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3BDBC942">
      <w:pPr>
        <w:tabs>
          <w:tab w:val="left" w:pos="219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1C19E66D">
      <w:pPr>
        <w:tabs>
          <w:tab w:val="left" w:pos="1305"/>
        </w:tabs>
        <w:spacing w:line="400" w:lineRule="exact"/>
        <w:ind w:firstLine="422"/>
        <w:rPr>
          <w:rFonts w:hint="eastAsia"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50B7C9C2">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 本项目实行电子响应，供应商应准备电子</w:t>
      </w:r>
      <w:r>
        <w:rPr>
          <w:rFonts w:hint="eastAsia" w:ascii="宋体" w:hAnsi="宋体" w:cs="宋体"/>
          <w:b/>
          <w:color w:val="auto"/>
          <w:kern w:val="0"/>
          <w:sz w:val="21"/>
          <w:szCs w:val="21"/>
          <w:highlight w:val="none"/>
          <w:lang w:eastAsia="zh-CN"/>
        </w:rPr>
        <w:t>谈判</w:t>
      </w:r>
      <w:r>
        <w:rPr>
          <w:rFonts w:hint="eastAsia" w:ascii="宋体" w:hAnsi="宋体" w:cs="宋体"/>
          <w:b/>
          <w:color w:val="auto"/>
          <w:kern w:val="0"/>
          <w:sz w:val="21"/>
          <w:szCs w:val="21"/>
          <w:highlight w:val="none"/>
        </w:rPr>
        <w:t>响应文件：</w:t>
      </w:r>
      <w:r>
        <w:rPr>
          <w:rFonts w:hint="eastAsia" w:ascii="宋体" w:hAnsi="宋体"/>
          <w:b/>
          <w:bCs/>
          <w:color w:val="auto"/>
          <w:kern w:val="0"/>
          <w:sz w:val="21"/>
          <w:szCs w:val="21"/>
          <w:highlight w:val="none"/>
          <w:lang w:eastAsia="zh-CN"/>
        </w:rPr>
        <w:t>如</w:t>
      </w:r>
      <w:r>
        <w:rPr>
          <w:rFonts w:hint="eastAsia" w:ascii="宋体" w:hAnsi="宋体" w:eastAsia="宋体" w:cs="宋体"/>
          <w:b/>
          <w:color w:val="auto"/>
          <w:kern w:val="0"/>
          <w:sz w:val="21"/>
          <w:szCs w:val="21"/>
          <w:highlight w:val="none"/>
          <w:shd w:val="clear" w:color="auto" w:fill="auto"/>
          <w:lang w:val="en-US" w:eastAsia="zh-CN" w:bidi="ar-SA"/>
        </w:rPr>
        <w:t>供应商需要改变原响应报价时，供应商应预先准备好调整后的报价表或已标价的工程量清单（在提交最后报价时以附件形式上传）</w:t>
      </w:r>
      <w:r>
        <w:rPr>
          <w:rFonts w:hint="eastAsia" w:ascii="宋体" w:hAnsi="宋体"/>
          <w:b/>
          <w:bCs/>
          <w:color w:val="auto"/>
          <w:kern w:val="0"/>
          <w:sz w:val="21"/>
          <w:szCs w:val="21"/>
          <w:highlight w:val="none"/>
          <w:lang w:eastAsia="zh-CN"/>
        </w:rPr>
        <w:t>，否则，其不利后果由供应商承担。</w:t>
      </w:r>
    </w:p>
    <w:p w14:paraId="1FE0EF53">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11.1.1 电子响应文件按</w:t>
      </w:r>
      <w:r>
        <w:rPr>
          <w:rFonts w:hint="eastAsia" w:ascii="宋体" w:hAnsi="宋体" w:cs="宋体"/>
          <w:b/>
          <w:color w:val="auto"/>
          <w:kern w:val="0"/>
          <w:sz w:val="21"/>
          <w:szCs w:val="21"/>
          <w:highlight w:val="none"/>
          <w:lang w:eastAsia="zh-CN"/>
        </w:rPr>
        <w:t>广西政府采购云平台</w:t>
      </w:r>
      <w:r>
        <w:rPr>
          <w:rFonts w:hint="eastAsia" w:ascii="宋体" w:hAnsi="宋体" w:cs="宋体"/>
          <w:b/>
          <w:color w:val="auto"/>
          <w:kern w:val="0"/>
          <w:sz w:val="21"/>
          <w:szCs w:val="21"/>
          <w:highlight w:val="none"/>
        </w:rPr>
        <w:t>要求及本</w:t>
      </w:r>
      <w:r>
        <w:rPr>
          <w:rFonts w:hint="eastAsia" w:ascii="宋体" w:hAnsi="宋体" w:cs="宋体"/>
          <w:b/>
          <w:color w:val="auto"/>
          <w:kern w:val="0"/>
          <w:sz w:val="21"/>
          <w:szCs w:val="21"/>
          <w:highlight w:val="none"/>
          <w:lang w:eastAsia="zh-CN"/>
        </w:rPr>
        <w:t>谈判</w:t>
      </w:r>
      <w:r>
        <w:rPr>
          <w:rFonts w:hint="eastAsia" w:ascii="宋体" w:hAnsi="宋体" w:cs="宋体"/>
          <w:b/>
          <w:color w:val="auto"/>
          <w:kern w:val="0"/>
          <w:sz w:val="21"/>
          <w:szCs w:val="21"/>
          <w:highlight w:val="none"/>
        </w:rPr>
        <w:t>文件要求制作、加密并递交。具体操作流程可参考《政府采购项目电子交易管理操作指南-供应商》，指南可在广西政府采购网（访问地址http://zfcg.gxzf.gov.cn/）—办事服务—下载专区下载。</w:t>
      </w:r>
    </w:p>
    <w:p w14:paraId="05F795F5">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5D45F576">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（1）供应商相应的法定代表人身份证正反两面复印件</w:t>
      </w:r>
      <w:r>
        <w:rPr>
          <w:rFonts w:hint="eastAsia" w:ascii="宋体" w:hAnsi="宋体" w:cs="宋体"/>
          <w:b/>
          <w:color w:val="auto"/>
          <w:sz w:val="21"/>
          <w:szCs w:val="21"/>
          <w:highlight w:val="none"/>
        </w:rPr>
        <w:t>（必须提供）；</w:t>
      </w:r>
    </w:p>
    <w:p w14:paraId="387EE12C">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除供应商为以下三种情形的：</w:t>
      </w:r>
    </w:p>
    <w:p w14:paraId="0D2BF0E1">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①如供应商为截标时间前60日以内成立的公司，可以提供供应商与委托代理人签订的劳动合同复印件代替社保证明复印件；</w:t>
      </w:r>
    </w:p>
    <w:p w14:paraId="6F8A44C4">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②如供应商为事业单位，可以提供事业单位机构编制管理证复印件或事业单位机构为其发放工资的工资条复印件代替社保证明复印件；</w:t>
      </w:r>
    </w:p>
    <w:p w14:paraId="391FBE1E">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6603D337">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cs="宋体"/>
          <w:color w:val="auto"/>
          <w:sz w:val="21"/>
          <w:szCs w:val="21"/>
          <w:highlight w:val="none"/>
        </w:rPr>
        <w:t>】</w:t>
      </w:r>
      <w:r>
        <w:rPr>
          <w:rFonts w:hint="eastAsia" w:ascii="宋体" w:hAnsi="宋体" w:cs="宋体"/>
          <w:b/>
          <w:bCs/>
          <w:color w:val="auto"/>
          <w:sz w:val="21"/>
          <w:szCs w:val="21"/>
          <w:highlight w:val="none"/>
        </w:rPr>
        <w:t>（委托代理时必须提供）</w:t>
      </w:r>
      <w:r>
        <w:rPr>
          <w:rFonts w:hint="eastAsia" w:ascii="宋体" w:hAnsi="宋体" w:cs="宋体"/>
          <w:b/>
          <w:color w:val="auto"/>
          <w:sz w:val="21"/>
          <w:szCs w:val="21"/>
          <w:highlight w:val="none"/>
        </w:rPr>
        <w:t>；</w:t>
      </w:r>
    </w:p>
    <w:p w14:paraId="02FC4970">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（3）供应商的法人或者其他组织营业执照等证明文件复印件</w:t>
      </w:r>
      <w:r>
        <w:rPr>
          <w:rFonts w:hint="eastAsia" w:ascii="宋体" w:hAnsi="宋体" w:cs="宋体"/>
          <w:b/>
          <w:color w:val="auto"/>
          <w:sz w:val="21"/>
          <w:szCs w:val="21"/>
          <w:highlight w:val="none"/>
        </w:rPr>
        <w:t>（必须提供，自然人除外）；</w:t>
      </w:r>
    </w:p>
    <w:p w14:paraId="122EB93E">
      <w:pPr>
        <w:tabs>
          <w:tab w:val="left" w:pos="1305"/>
        </w:tabs>
        <w:spacing w:line="400" w:lineRule="exact"/>
        <w:ind w:firstLine="422"/>
        <w:rPr>
          <w:rFonts w:hint="eastAsia" w:ascii="宋体" w:hAnsi="宋体" w:cs="宋体"/>
          <w:b/>
          <w:bCs w:val="0"/>
          <w:color w:val="auto"/>
          <w:sz w:val="21"/>
          <w:szCs w:val="21"/>
          <w:highlight w:val="none"/>
        </w:rPr>
      </w:pPr>
      <w:r>
        <w:rPr>
          <w:rFonts w:hint="eastAsia" w:ascii="宋体" w:hAnsi="宋体" w:cs="宋体"/>
          <w:b/>
          <w:color w:val="auto"/>
          <w:sz w:val="21"/>
          <w:szCs w:val="21"/>
          <w:highlight w:val="none"/>
        </w:rPr>
        <w:t>注：①法人包括企业法人、机关法人、事业单位法人和社会团</w:t>
      </w:r>
      <w:r>
        <w:rPr>
          <w:rFonts w:hint="eastAsia" w:ascii="宋体" w:hAnsi="宋体" w:cs="宋体"/>
          <w:b/>
          <w:bCs w:val="0"/>
          <w:color w:val="auto"/>
          <w:sz w:val="21"/>
          <w:szCs w:val="21"/>
          <w:highlight w:val="none"/>
        </w:rPr>
        <w:t>体法人；其他组织主要包括合伙企业、非企业专业服务机构、个体工商户、农村承包经营户。②如供应商为企业（包括合伙企业）</w:t>
      </w:r>
      <w:r>
        <w:rPr>
          <w:rFonts w:hint="eastAsia"/>
          <w:b/>
          <w:bCs w:val="0"/>
          <w:color w:val="auto"/>
          <w:highlight w:val="none"/>
          <w:lang w:val="en-US" w:eastAsia="zh-CN"/>
        </w:rPr>
        <w:t>的</w:t>
      </w:r>
      <w:r>
        <w:rPr>
          <w:rFonts w:hint="eastAsia" w:ascii="宋体" w:hAnsi="宋体" w:cs="宋体"/>
          <w:b/>
          <w:bCs w:val="0"/>
          <w:color w:val="auto"/>
          <w:sz w:val="21"/>
          <w:szCs w:val="21"/>
          <w:highlight w:val="none"/>
        </w:rPr>
        <w:t>，应提供市场监督管理部门（或行政审批部门）注册的有效“企业法人营业执照”或“营业执照”；供应商为事业单位</w:t>
      </w:r>
      <w:r>
        <w:rPr>
          <w:rFonts w:hint="eastAsia" w:ascii="宋体" w:hAnsi="宋体" w:cs="宋体"/>
          <w:b/>
          <w:bCs w:val="0"/>
          <w:color w:val="auto"/>
          <w:sz w:val="21"/>
          <w:szCs w:val="21"/>
          <w:highlight w:val="none"/>
          <w:lang w:val="en-US" w:eastAsia="zh-CN"/>
        </w:rPr>
        <w:t>的</w:t>
      </w:r>
      <w:r>
        <w:rPr>
          <w:rFonts w:hint="eastAsia" w:ascii="宋体" w:hAnsi="宋体" w:cs="宋体"/>
          <w:b/>
          <w:bCs w:val="0"/>
          <w:color w:val="auto"/>
          <w:sz w:val="21"/>
          <w:szCs w:val="21"/>
          <w:highlight w:val="none"/>
        </w:rPr>
        <w:t>，应提供有效的“事业单位法人证书”；供应商为非企业专业服务机构的，应提供执业许可证等证明文件；供应商为个体工商户</w:t>
      </w:r>
      <w:r>
        <w:rPr>
          <w:rFonts w:hint="eastAsia"/>
          <w:b/>
          <w:bCs w:val="0"/>
          <w:color w:val="auto"/>
          <w:highlight w:val="none"/>
          <w:lang w:val="en-US" w:eastAsia="zh-CN"/>
        </w:rPr>
        <w:t>的</w:t>
      </w:r>
      <w:r>
        <w:rPr>
          <w:rFonts w:hint="eastAsia" w:ascii="宋体" w:hAnsi="宋体" w:cs="宋体"/>
          <w:b/>
          <w:bCs w:val="0"/>
          <w:color w:val="auto"/>
          <w:sz w:val="21"/>
          <w:szCs w:val="21"/>
          <w:highlight w:val="none"/>
        </w:rPr>
        <w:t>，应提供有效的营业执照。</w:t>
      </w:r>
    </w:p>
    <w:p w14:paraId="2BA4FF91">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（4）供应商财务状况报告</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32E809D4">
      <w:pPr>
        <w:tabs>
          <w:tab w:val="left" w:pos="1305"/>
        </w:tabs>
        <w:spacing w:line="400" w:lineRule="exact"/>
        <w:ind w:firstLine="422"/>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供应商必须提供2024年度内的财务报表复印件，或者2025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2EDAE7C1">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（5）供应商依法缴纳税收的相关材料</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72A4D4C7">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b/>
          <w:bCs/>
          <w:color w:val="auto"/>
          <w:sz w:val="21"/>
          <w:szCs w:val="21"/>
          <w:highlight w:val="none"/>
        </w:rPr>
        <w:t>注：供应商必须提供2025年</w:t>
      </w:r>
      <w:r>
        <w:rPr>
          <w:rFonts w:hint="eastAsia" w:ascii="宋体" w:hAnsi="宋体" w:cs="宋体"/>
          <w:b/>
          <w:bCs/>
          <w:color w:val="auto"/>
          <w:sz w:val="21"/>
          <w:szCs w:val="21"/>
          <w:highlight w:val="none"/>
          <w:lang w:val="en-US" w:eastAsia="zh-CN"/>
        </w:rPr>
        <w:t>1月</w:t>
      </w:r>
      <w:r>
        <w:rPr>
          <w:rFonts w:hint="eastAsia" w:ascii="宋体" w:hAnsi="宋体" w:cs="宋体"/>
          <w:b/>
          <w:bCs/>
          <w:color w:val="auto"/>
          <w:sz w:val="21"/>
          <w:szCs w:val="21"/>
          <w:highlight w:val="none"/>
        </w:rPr>
        <w:t>以来任意1个月的依法缴纳税收的证明材料复印件；依法免税的供应商，必须提供符合免税条件的证明材料。从成立之日起到响应文件提交截止时间止不足要求月数的，则无需提交。</w:t>
      </w:r>
    </w:p>
    <w:p w14:paraId="3155B565">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（6）供应商依法缴纳社会保障资金的相关材料</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55BB0038">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b/>
          <w:bCs/>
          <w:color w:val="auto"/>
          <w:sz w:val="21"/>
          <w:szCs w:val="21"/>
          <w:highlight w:val="none"/>
        </w:rPr>
        <w:t>注：供应商必须提供2025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38410A59">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（7）供应商参加政府采购活动前3年内在经营活动中没有重大违法记录及有关信用信息的书面声明</w:t>
      </w:r>
      <w:r>
        <w:rPr>
          <w:rFonts w:hint="eastAsia" w:ascii="宋体" w:hAnsi="宋体" w:cs="宋体"/>
          <w:b/>
          <w:color w:val="auto"/>
          <w:kern w:val="0"/>
          <w:sz w:val="21"/>
          <w:szCs w:val="21"/>
          <w:highlight w:val="none"/>
        </w:rPr>
        <w:t>（必须提供）；</w:t>
      </w:r>
    </w:p>
    <w:p w14:paraId="366B8E8D">
      <w:pPr>
        <w:tabs>
          <w:tab w:val="left" w:pos="1305"/>
        </w:tabs>
        <w:spacing w:line="400" w:lineRule="exact"/>
        <w:ind w:firstLine="420"/>
        <w:rPr>
          <w:rFonts w:hint="eastAsia" w:ascii="宋体" w:hAnsi="宋体" w:cs="宋体"/>
          <w:b/>
          <w:color w:val="auto"/>
          <w:kern w:val="0"/>
          <w:sz w:val="21"/>
          <w:szCs w:val="21"/>
          <w:highlight w:val="none"/>
          <w:lang w:eastAsia="zh-CN"/>
        </w:rPr>
      </w:pPr>
      <w:r>
        <w:rPr>
          <w:rFonts w:hint="eastAsia" w:ascii="宋体" w:hAnsi="宋体" w:cs="宋体"/>
          <w:color w:val="auto"/>
          <w:kern w:val="0"/>
          <w:sz w:val="21"/>
          <w:szCs w:val="21"/>
          <w:highlight w:val="none"/>
        </w:rPr>
        <w:t>（8）供应商参加本项目无围标串标行为的承诺函</w:t>
      </w:r>
      <w:r>
        <w:rPr>
          <w:rFonts w:hint="eastAsia" w:ascii="宋体" w:hAnsi="宋体" w:cs="宋体"/>
          <w:b/>
          <w:color w:val="auto"/>
          <w:kern w:val="0"/>
          <w:sz w:val="21"/>
          <w:szCs w:val="21"/>
          <w:highlight w:val="none"/>
        </w:rPr>
        <w:t>（必须提供）</w:t>
      </w:r>
      <w:r>
        <w:rPr>
          <w:rFonts w:hint="eastAsia" w:ascii="宋体" w:hAnsi="宋体" w:cs="宋体"/>
          <w:b/>
          <w:color w:val="auto"/>
          <w:kern w:val="0"/>
          <w:sz w:val="21"/>
          <w:szCs w:val="21"/>
          <w:highlight w:val="none"/>
          <w:lang w:eastAsia="zh-CN"/>
        </w:rPr>
        <w:t>；</w:t>
      </w:r>
    </w:p>
    <w:p w14:paraId="57DA0E9A">
      <w:pPr>
        <w:numPr>
          <w:ilvl w:val="0"/>
          <w:numId w:val="0"/>
        </w:numPr>
        <w:spacing w:line="440" w:lineRule="exact"/>
        <w:ind w:left="210" w:leftChars="0"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w:t>
      </w:r>
      <w:r>
        <w:rPr>
          <w:rFonts w:hint="eastAsia" w:ascii="宋体" w:hAnsi="宋体" w:cs="宋体"/>
          <w:color w:val="auto"/>
          <w:sz w:val="21"/>
          <w:szCs w:val="21"/>
          <w:highlight w:val="none"/>
          <w:lang w:eastAsia="zh-CN"/>
        </w:rPr>
        <w:t>满足所响应分标的特定资格要求必须提供的资料</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54F7B698">
      <w:pPr>
        <w:numPr>
          <w:ilvl w:val="0"/>
          <w:numId w:val="0"/>
        </w:numPr>
        <w:spacing w:line="440" w:lineRule="exact"/>
        <w:ind w:left="-210" w:leftChars="0" w:firstLine="577" w:firstLineChars="275"/>
        <w:rPr>
          <w:rFonts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（10）项目管理机构配备情况表</w:t>
      </w:r>
      <w:r>
        <w:rPr>
          <w:rFonts w:hint="eastAsia" w:ascii="宋体" w:hAnsi="宋体" w:cs="宋体"/>
          <w:b/>
          <w:bCs/>
          <w:color w:val="auto"/>
          <w:kern w:val="0"/>
          <w:sz w:val="21"/>
          <w:szCs w:val="21"/>
          <w:highlight w:val="none"/>
        </w:rPr>
        <w:t>（</w:t>
      </w:r>
      <w:r>
        <w:rPr>
          <w:rFonts w:hint="eastAsia" w:ascii="宋体" w:hAnsi="宋体" w:cs="宋体"/>
          <w:b/>
          <w:bCs/>
          <w:color w:val="auto"/>
          <w:kern w:val="0"/>
          <w:sz w:val="21"/>
          <w:szCs w:val="21"/>
          <w:highlight w:val="none"/>
          <w:lang w:eastAsia="zh-CN"/>
        </w:rPr>
        <w:t>分标</w:t>
      </w:r>
      <w:r>
        <w:rPr>
          <w:rFonts w:hint="eastAsia" w:ascii="宋体" w:hAnsi="宋体" w:cs="宋体"/>
          <w:b/>
          <w:bCs/>
          <w:color w:val="auto"/>
          <w:kern w:val="0"/>
          <w:sz w:val="21"/>
          <w:szCs w:val="21"/>
          <w:highlight w:val="none"/>
          <w:lang w:val="en-US" w:eastAsia="zh-CN"/>
        </w:rPr>
        <w:t>2</w:t>
      </w:r>
      <w:r>
        <w:rPr>
          <w:rFonts w:hint="eastAsia" w:ascii="宋体" w:hAnsi="宋体" w:cs="宋体"/>
          <w:b/>
          <w:bCs/>
          <w:color w:val="auto"/>
          <w:kern w:val="0"/>
          <w:sz w:val="21"/>
          <w:szCs w:val="21"/>
          <w:highlight w:val="none"/>
        </w:rPr>
        <w:t>必须提供）</w:t>
      </w:r>
      <w:r>
        <w:rPr>
          <w:rFonts w:hint="eastAsia" w:ascii="宋体" w:hAnsi="宋体" w:cs="宋体"/>
          <w:bCs/>
          <w:color w:val="auto"/>
          <w:kern w:val="2"/>
          <w:sz w:val="21"/>
          <w:szCs w:val="21"/>
          <w:highlight w:val="none"/>
          <w:lang w:val="en-US" w:eastAsia="zh-CN" w:bidi="ar-SA"/>
        </w:rPr>
        <w:t>；</w:t>
      </w:r>
    </w:p>
    <w:p w14:paraId="7C721117">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3FBF27F6">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0A05AFF3">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（2）谈判报价表</w:t>
      </w:r>
      <w:r>
        <w:rPr>
          <w:rFonts w:hint="eastAsia" w:ascii="宋体" w:hAnsi="宋体" w:cs="宋体"/>
          <w:b/>
          <w:bCs/>
          <w:color w:val="auto"/>
          <w:kern w:val="0"/>
          <w:sz w:val="21"/>
          <w:szCs w:val="21"/>
          <w:highlight w:val="none"/>
        </w:rPr>
        <w:t>（必须提供）</w:t>
      </w:r>
      <w:r>
        <w:rPr>
          <w:rFonts w:hint="eastAsia" w:ascii="宋体" w:hAnsi="宋体" w:cs="宋体"/>
          <w:color w:val="auto"/>
          <w:kern w:val="0"/>
          <w:sz w:val="21"/>
          <w:szCs w:val="21"/>
          <w:highlight w:val="none"/>
        </w:rPr>
        <w:t>；</w:t>
      </w:r>
    </w:p>
    <w:p w14:paraId="3EB8F07D">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（3）技术响</w:t>
      </w:r>
      <w:r>
        <w:rPr>
          <w:rFonts w:hint="eastAsia" w:ascii="宋体" w:hAnsi="宋体" w:cs="宋体"/>
          <w:color w:val="auto"/>
          <w:kern w:val="0"/>
          <w:sz w:val="21"/>
          <w:szCs w:val="21"/>
          <w:highlight w:val="none"/>
        </w:rPr>
        <w:t>应承诺书</w:t>
      </w:r>
      <w:r>
        <w:rPr>
          <w:rFonts w:hint="eastAsia" w:ascii="宋体" w:hAnsi="宋体" w:cs="宋体"/>
          <w:b/>
          <w:bCs/>
          <w:color w:val="auto"/>
          <w:kern w:val="0"/>
          <w:sz w:val="21"/>
          <w:szCs w:val="21"/>
          <w:highlight w:val="none"/>
        </w:rPr>
        <w:t>（</w:t>
      </w:r>
      <w:r>
        <w:rPr>
          <w:rFonts w:hint="eastAsia" w:ascii="宋体" w:hAnsi="宋体" w:cs="宋体"/>
          <w:b/>
          <w:bCs/>
          <w:color w:val="auto"/>
          <w:kern w:val="0"/>
          <w:sz w:val="21"/>
          <w:szCs w:val="21"/>
          <w:highlight w:val="none"/>
          <w:lang w:eastAsia="zh-CN"/>
        </w:rPr>
        <w:t>分标</w:t>
      </w:r>
      <w:r>
        <w:rPr>
          <w:rFonts w:hint="eastAsia" w:ascii="宋体" w:hAnsi="宋体" w:cs="宋体"/>
          <w:b/>
          <w:bCs/>
          <w:color w:val="auto"/>
          <w:kern w:val="0"/>
          <w:sz w:val="21"/>
          <w:szCs w:val="21"/>
          <w:highlight w:val="none"/>
          <w:lang w:val="en-US" w:eastAsia="zh-CN"/>
        </w:rPr>
        <w:t>1</w:t>
      </w:r>
      <w:r>
        <w:rPr>
          <w:rFonts w:hint="eastAsia" w:ascii="宋体" w:hAnsi="宋体" w:cs="宋体"/>
          <w:b/>
          <w:bCs/>
          <w:color w:val="auto"/>
          <w:kern w:val="0"/>
          <w:sz w:val="21"/>
          <w:szCs w:val="21"/>
          <w:highlight w:val="none"/>
        </w:rPr>
        <w:t>必须提供）</w:t>
      </w:r>
      <w:r>
        <w:rPr>
          <w:rFonts w:hint="eastAsia" w:ascii="宋体" w:hAnsi="宋体" w:cs="宋体"/>
          <w:color w:val="auto"/>
          <w:kern w:val="0"/>
          <w:sz w:val="21"/>
          <w:szCs w:val="21"/>
          <w:highlight w:val="none"/>
        </w:rPr>
        <w:t>；</w:t>
      </w:r>
    </w:p>
    <w:p w14:paraId="58649762">
      <w:pPr>
        <w:tabs>
          <w:tab w:val="left" w:pos="1305"/>
        </w:tabs>
        <w:spacing w:line="400" w:lineRule="exact"/>
        <w:ind w:firstLine="42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（4）商务要求响应承诺书</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eastAsia="zh-CN"/>
        </w:rPr>
        <w:t>分标</w:t>
      </w: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必须提供）</w:t>
      </w:r>
      <w:r>
        <w:rPr>
          <w:rFonts w:hint="eastAsia" w:ascii="宋体" w:hAnsi="宋体" w:eastAsia="宋体" w:cs="宋体"/>
          <w:color w:val="auto"/>
          <w:kern w:val="0"/>
          <w:sz w:val="21"/>
          <w:szCs w:val="21"/>
          <w:highlight w:val="none"/>
          <w:lang w:eastAsia="zh-CN"/>
        </w:rPr>
        <w:t>；</w:t>
      </w:r>
    </w:p>
    <w:p w14:paraId="0B2E0FB5">
      <w:pPr>
        <w:tabs>
          <w:tab w:val="left" w:pos="1305"/>
        </w:tabs>
        <w:spacing w:line="40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农民工工资保证金的交纳与使用承诺书</w:t>
      </w:r>
      <w:r>
        <w:rPr>
          <w:rFonts w:hint="eastAsia" w:ascii="宋体" w:hAnsi="宋体" w:eastAsia="宋体" w:cs="宋体"/>
          <w:b/>
          <w:bCs/>
          <w:color w:val="auto"/>
          <w:kern w:val="0"/>
          <w:sz w:val="21"/>
          <w:szCs w:val="21"/>
          <w:highlight w:val="none"/>
          <w:lang w:val="en-US" w:eastAsia="zh-CN"/>
        </w:rPr>
        <w:t>（分标2必须提供）</w:t>
      </w:r>
      <w:r>
        <w:rPr>
          <w:rFonts w:hint="eastAsia" w:ascii="宋体" w:hAnsi="宋体" w:eastAsia="宋体" w:cs="宋体"/>
          <w:color w:val="auto"/>
          <w:kern w:val="0"/>
          <w:sz w:val="21"/>
          <w:szCs w:val="21"/>
          <w:highlight w:val="none"/>
        </w:rPr>
        <w:t>；</w:t>
      </w:r>
    </w:p>
    <w:p w14:paraId="1545A468">
      <w:pPr>
        <w:tabs>
          <w:tab w:val="left" w:pos="1305"/>
        </w:tabs>
        <w:spacing w:line="40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工程渣土清运承诺书</w:t>
      </w:r>
      <w:r>
        <w:rPr>
          <w:rFonts w:hint="eastAsia" w:ascii="宋体" w:hAnsi="宋体" w:eastAsia="宋体" w:cs="宋体"/>
          <w:b/>
          <w:bCs/>
          <w:color w:val="auto"/>
          <w:kern w:val="0"/>
          <w:sz w:val="21"/>
          <w:szCs w:val="21"/>
          <w:highlight w:val="none"/>
          <w:lang w:val="en-US" w:eastAsia="zh-CN"/>
        </w:rPr>
        <w:t>（分标2必须提供</w:t>
      </w:r>
      <w:r>
        <w:rPr>
          <w:rFonts w:hint="eastAsia" w:ascii="宋体" w:hAnsi="宋体" w:eastAsia="宋体" w:cs="宋体"/>
          <w:b/>
          <w:bCs/>
          <w:color w:val="auto"/>
          <w:kern w:val="0"/>
          <w:sz w:val="21"/>
          <w:szCs w:val="21"/>
          <w:highlight w:val="none"/>
          <w:lang w:val="en-US" w:eastAsia="zh-CN"/>
        </w:rPr>
        <w:t>）</w:t>
      </w:r>
      <w:r>
        <w:rPr>
          <w:rFonts w:hint="eastAsia" w:ascii="宋体" w:hAnsi="宋体" w:eastAsia="宋体" w:cs="宋体"/>
          <w:color w:val="auto"/>
          <w:kern w:val="0"/>
          <w:sz w:val="21"/>
          <w:szCs w:val="21"/>
          <w:highlight w:val="none"/>
        </w:rPr>
        <w:t>；</w:t>
      </w:r>
    </w:p>
    <w:p w14:paraId="5B73A9DB">
      <w:pPr>
        <w:tabs>
          <w:tab w:val="left" w:pos="1305"/>
        </w:tabs>
        <w:spacing w:line="40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施工组织设计（如有，请提供）；</w:t>
      </w:r>
      <w:r>
        <w:rPr>
          <w:rFonts w:hint="eastAsia" w:ascii="宋体" w:hAnsi="宋体" w:eastAsia="宋体" w:cs="宋体"/>
          <w:color w:val="auto"/>
          <w:kern w:val="0"/>
          <w:sz w:val="21"/>
          <w:szCs w:val="21"/>
          <w:highlight w:val="none"/>
        </w:rPr>
        <w:tab/>
      </w:r>
    </w:p>
    <w:p w14:paraId="75FD9864">
      <w:pPr>
        <w:tabs>
          <w:tab w:val="left" w:pos="1305"/>
        </w:tabs>
        <w:spacing w:line="400" w:lineRule="exact"/>
        <w:ind w:firstLine="420"/>
        <w:rPr>
          <w:rFonts w:hint="eastAsia"/>
          <w:color w:val="auto"/>
          <w:highlight w:val="none"/>
          <w:lang w:eastAsia="zh-CN"/>
        </w:rPr>
      </w:pPr>
      <w:r>
        <w:rPr>
          <w:rFonts w:hint="eastAsia" w:ascii="宋体" w:hAnsi="宋体" w:eastAsia="宋体" w:cs="宋体"/>
          <w:color w:val="auto"/>
          <w:kern w:val="0"/>
          <w:sz w:val="21"/>
          <w:szCs w:val="21"/>
          <w:highlight w:val="none"/>
          <w:lang w:val="en-US" w:eastAsia="zh-CN"/>
        </w:rPr>
        <w:t>（8）对应采购需求中的货物需求、商务条款提供的其他文件资料（如有，请提供）</w:t>
      </w:r>
    </w:p>
    <w:p w14:paraId="6452EFF4">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1C51EE8D">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（1）节能、环保产品相关证明材料复印件</w:t>
      </w:r>
      <w:r>
        <w:rPr>
          <w:rFonts w:hint="eastAsia" w:ascii="宋体" w:hAnsi="宋体" w:cs="宋体"/>
          <w:b/>
          <w:bCs/>
          <w:color w:val="auto"/>
          <w:kern w:val="0"/>
          <w:sz w:val="21"/>
          <w:szCs w:val="21"/>
          <w:highlight w:val="none"/>
        </w:rPr>
        <w:t>（如有，请提供）</w:t>
      </w:r>
      <w:r>
        <w:rPr>
          <w:rFonts w:hint="eastAsia" w:ascii="宋体" w:hAnsi="宋体" w:cs="宋体"/>
          <w:color w:val="auto"/>
          <w:kern w:val="0"/>
          <w:sz w:val="21"/>
          <w:szCs w:val="21"/>
          <w:highlight w:val="none"/>
        </w:rPr>
        <w:t>；</w:t>
      </w:r>
    </w:p>
    <w:p w14:paraId="14D1A1E6">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eastAsia" w:ascii="宋体" w:hAnsi="宋体" w:eastAsia="宋体" w:cs="宋体"/>
          <w:b w:val="0"/>
          <w:bCs w:val="0"/>
          <w:color w:val="auto"/>
          <w:sz w:val="21"/>
          <w:szCs w:val="21"/>
          <w:highlight w:val="none"/>
          <w:shd w:val="clear" w:color="auto" w:fill="auto"/>
        </w:rPr>
        <w:t>中小</w:t>
      </w:r>
      <w:r>
        <w:rPr>
          <w:rFonts w:hint="eastAsia" w:ascii="宋体" w:hAnsi="宋体" w:eastAsia="宋体" w:cs="宋体"/>
          <w:b w:val="0"/>
          <w:bCs w:val="0"/>
          <w:color w:val="auto"/>
          <w:sz w:val="21"/>
          <w:szCs w:val="21"/>
          <w:highlight w:val="none"/>
          <w:shd w:val="clear" w:color="auto" w:fill="auto"/>
          <w:lang w:eastAsia="zh-CN"/>
        </w:rPr>
        <w:t>企业或监狱企业或残疾人福利性单位的证明材料</w:t>
      </w:r>
      <w:r>
        <w:rPr>
          <w:rFonts w:hint="eastAsia" w:ascii="宋体" w:hAnsi="宋体" w:eastAsia="宋体" w:cs="宋体"/>
          <w:b/>
          <w:bCs/>
          <w:color w:val="auto"/>
          <w:sz w:val="21"/>
          <w:szCs w:val="21"/>
          <w:highlight w:val="none"/>
          <w:shd w:val="clear" w:color="auto" w:fill="auto"/>
        </w:rPr>
        <w:t>（</w:t>
      </w:r>
      <w:r>
        <w:rPr>
          <w:rFonts w:hint="eastAsia" w:ascii="宋体" w:hAnsi="宋体" w:cs="宋体"/>
          <w:b/>
          <w:bCs/>
          <w:color w:val="auto"/>
          <w:kern w:val="0"/>
          <w:sz w:val="21"/>
          <w:szCs w:val="21"/>
          <w:highlight w:val="none"/>
        </w:rPr>
        <w:t>如有，请提供</w:t>
      </w:r>
      <w:r>
        <w:rPr>
          <w:rFonts w:hint="eastAsia" w:ascii="宋体" w:hAnsi="宋体" w:eastAsia="宋体" w:cs="宋体"/>
          <w:b/>
          <w:bCs/>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rPr>
        <w:t>【①如属于中小型、微型企业</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中小微型企业划分标准按照《国家统计局关于印发《统计上大中小微型企业划分办法〔2017〕》的通知》（国统字〔2017〕213号）执行</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具体划分标准见第四章评标办法中附表《统计上大中小微型企业划分标准》】，以提供的《中小企业声明函》（见附件）为准；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Pr>
          <w:rFonts w:hint="eastAsia" w:ascii="宋体" w:hAnsi="宋体" w:cs="宋体"/>
          <w:color w:val="auto"/>
          <w:kern w:val="0"/>
          <w:sz w:val="21"/>
          <w:szCs w:val="21"/>
          <w:highlight w:val="none"/>
        </w:rPr>
        <w:t>；</w:t>
      </w:r>
    </w:p>
    <w:p w14:paraId="612BA939">
      <w:pPr>
        <w:bidi w:val="0"/>
        <w:rPr>
          <w:rFonts w:hint="eastAsia"/>
          <w:color w:val="auto"/>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）供应商可结合本项目的评审办法视自身情况自行提交相关证明材料（如有，请提供）</w:t>
      </w:r>
    </w:p>
    <w:p w14:paraId="1D81829B">
      <w:pPr>
        <w:spacing w:line="40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供应商提供的以上</w:t>
      </w:r>
      <w:r>
        <w:rPr>
          <w:rFonts w:hint="eastAsia" w:ascii="宋体" w:hAnsi="宋体" w:cs="宋体"/>
          <w:b/>
          <w:color w:val="auto"/>
          <w:kern w:val="0"/>
          <w:sz w:val="21"/>
          <w:szCs w:val="21"/>
          <w:highlight w:val="none"/>
        </w:rPr>
        <w:t>资格性响应证明材料、符合性响应证明材料、其他有效证明材料</w:t>
      </w:r>
      <w:r>
        <w:rPr>
          <w:rFonts w:hint="eastAsia" w:ascii="宋体" w:hAnsi="宋体"/>
          <w:b/>
          <w:color w:val="auto"/>
          <w:sz w:val="21"/>
          <w:szCs w:val="21"/>
          <w:highlight w:val="none"/>
        </w:rPr>
        <w:t>必须真实有效。属于“必须提供”的材料应加盖供应商电子签章，否则，响应文件按无效处理；其中属于“必须提供”的材料在“第六章 响应文件（格式）”中有要求法定代表人或相应的委托代理人在规定位置签字（或电子签名）的，必须按要求签字（或电子签名），否则，响应文件按无效处理。</w:t>
      </w:r>
    </w:p>
    <w:p w14:paraId="0B46D15B">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11.2供应商应按竞争性谈判文件第六章“响应文件（格式）”编制响应文件。</w:t>
      </w:r>
    </w:p>
    <w:p w14:paraId="43518234">
      <w:pPr>
        <w:tabs>
          <w:tab w:val="left" w:pos="130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11B24368">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2D1C364E">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响应计量单位，谈判文件已有明确规定的，使用谈判文件规定的计量单位；谈判文件没有规定的，必须采用中华人民共和国法定计量单位（货币单位：人民币元），否则视同未响应。</w:t>
      </w:r>
    </w:p>
    <w:p w14:paraId="7FB50D6D">
      <w:pPr>
        <w:tabs>
          <w:tab w:val="left" w:pos="130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13.谈判报价及采购预算金额</w:t>
      </w:r>
    </w:p>
    <w:p w14:paraId="19E8EAD7">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eastAsia="宋体" w:cs="宋体"/>
          <w:b w:val="0"/>
          <w:color w:val="auto"/>
          <w:sz w:val="21"/>
          <w:szCs w:val="21"/>
          <w:highlight w:val="none"/>
          <w:shd w:val="clear" w:color="auto" w:fill="auto"/>
        </w:rPr>
        <w:t>详见供应商须知前附表</w:t>
      </w:r>
      <w:r>
        <w:rPr>
          <w:rFonts w:hint="eastAsia" w:ascii="宋体" w:hAnsi="宋体" w:cs="宋体"/>
          <w:b/>
          <w:bCs/>
          <w:color w:val="auto"/>
          <w:kern w:val="0"/>
          <w:sz w:val="21"/>
          <w:szCs w:val="21"/>
          <w:highlight w:val="none"/>
        </w:rPr>
        <w:t>。</w:t>
      </w:r>
      <w:r>
        <w:rPr>
          <w:rFonts w:hint="eastAsia" w:ascii="宋体" w:hAnsi="宋体" w:cs="宋体"/>
          <w:color w:val="auto"/>
          <w:kern w:val="0"/>
          <w:sz w:val="21"/>
          <w:szCs w:val="21"/>
          <w:highlight w:val="none"/>
        </w:rPr>
        <w:t xml:space="preserve"> </w:t>
      </w:r>
    </w:p>
    <w:p w14:paraId="4446C238">
      <w:pPr>
        <w:tabs>
          <w:tab w:val="left" w:pos="130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44E3E9ED">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p w14:paraId="582D2210">
      <w:pPr>
        <w:tabs>
          <w:tab w:val="left" w:pos="130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3B335F90">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386A3D0F">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15.2供应商下载或获取竞争性谈判文件后，登录“广西政府采购云平台电子投标客户端”，按照本谈判文件规定的响应文件格式、顺序以及“广西政府采购云平台”的要求，通过“广西政府采购云平台电子投标客户端”编制电子响应文件。</w:t>
      </w:r>
    </w:p>
    <w:p w14:paraId="1823726B">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ascii="宋体" w:hAnsi="宋体"/>
          <w:color w:val="auto"/>
          <w:sz w:val="21"/>
          <w:szCs w:val="24"/>
          <w:highlight w:val="none"/>
        </w:rPr>
        <w:t>供应商</w:t>
      </w:r>
      <w:r>
        <w:rPr>
          <w:rFonts w:ascii="宋体" w:hAnsi="宋体"/>
          <w:color w:val="auto"/>
          <w:sz w:val="21"/>
          <w:szCs w:val="24"/>
          <w:highlight w:val="none"/>
        </w:rPr>
        <w:t>应按“</w:t>
      </w:r>
      <w:r>
        <w:rPr>
          <w:rFonts w:hint="eastAsia" w:ascii="宋体" w:hAnsi="宋体"/>
          <w:color w:val="auto"/>
          <w:sz w:val="21"/>
          <w:szCs w:val="24"/>
          <w:highlight w:val="none"/>
        </w:rPr>
        <w:t>广西政府采购云平台</w:t>
      </w:r>
      <w:r>
        <w:rPr>
          <w:rFonts w:ascii="宋体" w:hAnsi="宋体"/>
          <w:color w:val="auto"/>
          <w:sz w:val="21"/>
          <w:szCs w:val="24"/>
          <w:highlight w:val="none"/>
        </w:rPr>
        <w:t>电子投标客户端”载明的“标书关联”功能进行电子</w:t>
      </w:r>
      <w:r>
        <w:rPr>
          <w:rFonts w:hint="eastAsia" w:ascii="宋体" w:hAnsi="宋体"/>
          <w:color w:val="auto"/>
          <w:sz w:val="21"/>
          <w:szCs w:val="24"/>
          <w:highlight w:val="none"/>
        </w:rPr>
        <w:t>响应</w:t>
      </w:r>
      <w:r>
        <w:rPr>
          <w:rFonts w:ascii="宋体" w:hAnsi="宋体"/>
          <w:color w:val="auto"/>
          <w:sz w:val="21"/>
          <w:szCs w:val="24"/>
          <w:highlight w:val="none"/>
        </w:rPr>
        <w:t>文件的关联定位，以便</w:t>
      </w:r>
      <w:r>
        <w:rPr>
          <w:rFonts w:hint="eastAsia" w:ascii="宋体" w:hAnsi="宋体"/>
          <w:color w:val="auto"/>
          <w:sz w:val="21"/>
          <w:szCs w:val="24"/>
          <w:highlight w:val="none"/>
        </w:rPr>
        <w:t>谈判小组</w:t>
      </w:r>
      <w:r>
        <w:rPr>
          <w:rFonts w:ascii="宋体" w:hAnsi="宋体"/>
          <w:color w:val="auto"/>
          <w:sz w:val="21"/>
          <w:szCs w:val="24"/>
          <w:highlight w:val="none"/>
        </w:rPr>
        <w:t>在评审时点击相应评审项可直接定位到该评审内容；如</w:t>
      </w:r>
      <w:r>
        <w:rPr>
          <w:rFonts w:hint="eastAsia" w:ascii="宋体" w:hAnsi="宋体"/>
          <w:color w:val="auto"/>
          <w:sz w:val="21"/>
          <w:szCs w:val="24"/>
          <w:highlight w:val="none"/>
        </w:rPr>
        <w:t>供应商</w:t>
      </w:r>
      <w:r>
        <w:rPr>
          <w:rFonts w:ascii="宋体" w:hAnsi="宋体"/>
          <w:color w:val="auto"/>
          <w:sz w:val="21"/>
          <w:szCs w:val="24"/>
          <w:highlight w:val="none"/>
        </w:rPr>
        <w:t>的电子</w:t>
      </w:r>
      <w:r>
        <w:rPr>
          <w:rFonts w:hint="eastAsia" w:ascii="宋体" w:hAnsi="宋体"/>
          <w:color w:val="auto"/>
          <w:sz w:val="21"/>
          <w:szCs w:val="24"/>
          <w:highlight w:val="none"/>
        </w:rPr>
        <w:t>响应</w:t>
      </w:r>
      <w:r>
        <w:rPr>
          <w:rFonts w:ascii="宋体" w:hAnsi="宋体"/>
          <w:color w:val="auto"/>
          <w:sz w:val="21"/>
          <w:szCs w:val="24"/>
          <w:highlight w:val="none"/>
        </w:rPr>
        <w:t>文件未能关联定位相应内容，或者关联定位的内容与该评审项不符，导致</w:t>
      </w:r>
      <w:r>
        <w:rPr>
          <w:rFonts w:hint="eastAsia" w:ascii="宋体" w:hAnsi="宋体"/>
          <w:color w:val="auto"/>
          <w:sz w:val="21"/>
          <w:szCs w:val="24"/>
          <w:highlight w:val="none"/>
        </w:rPr>
        <w:t>谈判小组</w:t>
      </w:r>
      <w:r>
        <w:rPr>
          <w:rFonts w:ascii="宋体" w:hAnsi="宋体"/>
          <w:color w:val="auto"/>
          <w:sz w:val="21"/>
          <w:szCs w:val="24"/>
          <w:highlight w:val="none"/>
        </w:rPr>
        <w:t>无法查询并做出对</w:t>
      </w:r>
      <w:r>
        <w:rPr>
          <w:rFonts w:hint="eastAsia" w:ascii="宋体" w:hAnsi="宋体"/>
          <w:color w:val="auto"/>
          <w:sz w:val="21"/>
          <w:szCs w:val="24"/>
          <w:highlight w:val="none"/>
        </w:rPr>
        <w:t>供应商</w:t>
      </w:r>
      <w:r>
        <w:rPr>
          <w:rFonts w:ascii="宋体" w:hAnsi="宋体"/>
          <w:color w:val="auto"/>
          <w:sz w:val="21"/>
          <w:szCs w:val="24"/>
          <w:highlight w:val="none"/>
        </w:rPr>
        <w:t>不利的评审，相关后果由</w:t>
      </w:r>
      <w:r>
        <w:rPr>
          <w:rFonts w:hint="eastAsia" w:ascii="宋体" w:hAnsi="宋体"/>
          <w:color w:val="auto"/>
          <w:sz w:val="21"/>
          <w:szCs w:val="24"/>
          <w:highlight w:val="none"/>
        </w:rPr>
        <w:t>供应商</w:t>
      </w:r>
      <w:r>
        <w:rPr>
          <w:rFonts w:ascii="宋体" w:hAnsi="宋体"/>
          <w:color w:val="auto"/>
          <w:sz w:val="21"/>
          <w:szCs w:val="24"/>
          <w:highlight w:val="none"/>
        </w:rPr>
        <w:t>自行承担。</w:t>
      </w:r>
    </w:p>
    <w:p w14:paraId="174811E3">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15.4电子响应文件不得涂改，若有修改错漏处，须由法定代表人或委托代理人签字（或者电子签名）。因响应文件字迹潦草、表达不清、内容不完整、编排混乱导致响应文件被误读、漏读，或者在竞争性谈判文件规定的部位查找不到相关内容，</w:t>
      </w:r>
      <w:r>
        <w:rPr>
          <w:rFonts w:ascii="宋体" w:hAnsi="宋体"/>
          <w:color w:val="auto"/>
          <w:sz w:val="21"/>
          <w:szCs w:val="24"/>
          <w:highlight w:val="none"/>
        </w:rPr>
        <w:t>导致</w:t>
      </w:r>
      <w:r>
        <w:rPr>
          <w:rFonts w:hint="eastAsia" w:ascii="宋体" w:hAnsi="宋体"/>
          <w:color w:val="auto"/>
          <w:sz w:val="21"/>
          <w:szCs w:val="24"/>
          <w:highlight w:val="none"/>
        </w:rPr>
        <w:t>谈判小组</w:t>
      </w:r>
      <w:r>
        <w:rPr>
          <w:rFonts w:ascii="宋体" w:hAnsi="宋体"/>
          <w:color w:val="auto"/>
          <w:sz w:val="21"/>
          <w:szCs w:val="24"/>
          <w:highlight w:val="none"/>
        </w:rPr>
        <w:t>做出对</w:t>
      </w:r>
      <w:r>
        <w:rPr>
          <w:rFonts w:hint="eastAsia" w:ascii="宋体" w:hAnsi="宋体"/>
          <w:color w:val="auto"/>
          <w:sz w:val="21"/>
          <w:szCs w:val="24"/>
          <w:highlight w:val="none"/>
        </w:rPr>
        <w:t>供应商</w:t>
      </w:r>
      <w:r>
        <w:rPr>
          <w:rFonts w:ascii="宋体" w:hAnsi="宋体"/>
          <w:color w:val="auto"/>
          <w:sz w:val="21"/>
          <w:szCs w:val="24"/>
          <w:highlight w:val="none"/>
        </w:rPr>
        <w:t>不利的评审</w:t>
      </w:r>
      <w:r>
        <w:rPr>
          <w:rFonts w:hint="eastAsia" w:ascii="宋体" w:hAnsi="宋体"/>
          <w:color w:val="auto"/>
          <w:sz w:val="21"/>
          <w:szCs w:val="24"/>
          <w:highlight w:val="none"/>
        </w:rPr>
        <w:t>的，</w:t>
      </w:r>
      <w:r>
        <w:rPr>
          <w:rFonts w:hint="eastAsia" w:ascii="宋体" w:hAnsi="宋体" w:cs="宋体"/>
          <w:color w:val="auto"/>
          <w:sz w:val="21"/>
          <w:szCs w:val="24"/>
          <w:highlight w:val="none"/>
        </w:rPr>
        <w:t>其后果由供应商自行承担</w:t>
      </w:r>
      <w:r>
        <w:rPr>
          <w:rFonts w:hint="eastAsia" w:ascii="宋体" w:hAnsi="宋体" w:cs="宋体"/>
          <w:color w:val="auto"/>
          <w:sz w:val="21"/>
          <w:szCs w:val="21"/>
          <w:highlight w:val="none"/>
        </w:rPr>
        <w:t>。</w:t>
      </w:r>
    </w:p>
    <w:p w14:paraId="5E7593D3">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103DE9CC">
      <w:pPr>
        <w:snapToGrid w:val="0"/>
        <w:spacing w:line="400" w:lineRule="exact"/>
        <w:ind w:firstLine="420"/>
        <w:jc w:val="left"/>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330FA12A">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15.6.1本竞争性谈判文件中描述供应商的“公章”是指根据我国对公章的管理规定，用供应商法定主体行为名称制作的印章，除本竞争性谈判文件有特殊规定外，供应商的其他形式印章均不能代替公章。</w:t>
      </w:r>
    </w:p>
    <w:p w14:paraId="3F14E6A3">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15.6.2本竞争性谈判文件中描述供应商的“签字”是指供应商的法定代表人或者委托代理人亲自在文件规定签字处亲笔写上个人的名字的行为，其他形式均不能代替亲笔签字。</w:t>
      </w:r>
    </w:p>
    <w:p w14:paraId="04137A36">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15.6.3本竞争性谈判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6A5DD36E">
      <w:pPr>
        <w:snapToGrid w:val="0"/>
        <w:spacing w:line="400" w:lineRule="exact"/>
        <w:ind w:firstLine="422"/>
        <w:jc w:val="left"/>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57C06E0C">
      <w:pPr>
        <w:spacing w:line="400" w:lineRule="exact"/>
        <w:ind w:firstLine="420"/>
        <w:rPr>
          <w:rFonts w:hint="eastAsia"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bCs/>
          <w:color w:val="auto"/>
          <w:sz w:val="21"/>
          <w:szCs w:val="21"/>
          <w:highlight w:val="none"/>
        </w:rPr>
        <w:t>2</w:t>
      </w:r>
      <w:r>
        <w:rPr>
          <w:rFonts w:hint="eastAsia" w:ascii="宋体" w:hAnsi="宋体" w:cs="宋体"/>
          <w:bCs/>
          <w:color w:val="auto"/>
          <w:sz w:val="21"/>
          <w:szCs w:val="21"/>
          <w:highlight w:val="none"/>
        </w:rPr>
        <w:t>025年</w:t>
      </w:r>
      <w:r>
        <w:rPr>
          <w:rFonts w:hint="eastAsia" w:ascii="宋体" w:hAnsi="宋体" w:cs="宋体"/>
          <w:bCs/>
          <w:color w:val="auto"/>
          <w:sz w:val="21"/>
          <w:szCs w:val="21"/>
          <w:highlight w:val="none"/>
          <w:lang w:val="en-US" w:eastAsia="zh-CN"/>
        </w:rPr>
        <w:t>11</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lang w:val="en-US" w:eastAsia="zh-CN"/>
        </w:rPr>
        <w:t>24</w:t>
      </w:r>
      <w:r>
        <w:rPr>
          <w:rFonts w:hint="eastAsia" w:ascii="宋体" w:hAnsi="宋体" w:cs="宋体"/>
          <w:bCs/>
          <w:color w:val="auto"/>
          <w:sz w:val="21"/>
          <w:szCs w:val="21"/>
          <w:highlight w:val="none"/>
        </w:rPr>
        <w:t>日</w:t>
      </w:r>
      <w:r>
        <w:rPr>
          <w:rFonts w:hint="eastAsia" w:ascii="宋体" w:hAnsi="宋体" w:cs="宋体"/>
          <w:color w:val="auto"/>
          <w:sz w:val="21"/>
          <w:szCs w:val="21"/>
          <w:highlight w:val="none"/>
        </w:rPr>
        <w:t>上午9时30分</w:t>
      </w:r>
      <w:r>
        <w:rPr>
          <w:rFonts w:hint="eastAsia" w:ascii="宋体" w:hAnsi="宋体" w:cs="宋体"/>
          <w:bCs/>
          <w:color w:val="auto"/>
          <w:sz w:val="21"/>
          <w:szCs w:val="21"/>
          <w:highlight w:val="none"/>
        </w:rPr>
        <w:t>（北</w:t>
      </w:r>
      <w:r>
        <w:rPr>
          <w:rFonts w:hint="eastAsia" w:ascii="宋体" w:hAnsi="宋体" w:cs="宋体"/>
          <w:bCs/>
          <w:color w:val="auto"/>
          <w:sz w:val="21"/>
          <w:szCs w:val="21"/>
          <w:highlight w:val="none"/>
        </w:rPr>
        <w:t>京时间）</w:t>
      </w:r>
    </w:p>
    <w:p w14:paraId="430AD00A">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006BACD0">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响应文件提交截止时间前未成功将电子响应文件上传“广西政府采购云平台”的，视为未提交响应文件。</w:t>
      </w:r>
    </w:p>
    <w:p w14:paraId="69C5DD34">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16.4除竞争性谈判文件另有规定外，供应商所提交的响应文件不予退还。</w:t>
      </w:r>
    </w:p>
    <w:p w14:paraId="4AE2353B">
      <w:pPr>
        <w:tabs>
          <w:tab w:val="left" w:pos="1305"/>
        </w:tabs>
        <w:spacing w:line="400" w:lineRule="exact"/>
        <w:ind w:firstLine="422"/>
        <w:outlineLvl w:val="2"/>
        <w:rPr>
          <w:rFonts w:hint="eastAsia"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5A1B85BC">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w:t>
      </w:r>
      <w:r>
        <w:rPr>
          <w:rFonts w:hint="eastAsia" w:ascii="宋体" w:hAnsi="宋体" w:cs="宋体"/>
          <w:color w:val="auto"/>
          <w:kern w:val="0"/>
          <w:sz w:val="21"/>
          <w:szCs w:val="21"/>
          <w:highlight w:val="none"/>
          <w:lang w:val="en-US" w:eastAsia="zh-CN"/>
        </w:rPr>
        <w:t>30</w:t>
      </w:r>
      <w:r>
        <w:rPr>
          <w:rFonts w:hint="eastAsia" w:ascii="宋体" w:hAnsi="宋体" w:cs="宋体"/>
          <w:color w:val="auto"/>
          <w:kern w:val="0"/>
          <w:sz w:val="21"/>
          <w:szCs w:val="21"/>
          <w:highlight w:val="none"/>
        </w:rPr>
        <w:t>分钟内以电子邮件的形式向采购代理机构提交电子备份响应文件（接收电子备份响应文件的电子邮箱为：</w:t>
      </w:r>
      <w:r>
        <w:rPr>
          <w:rFonts w:hint="eastAsia" w:ascii="宋体" w:hAnsi="宋体" w:cs="宋体"/>
          <w:color w:val="auto"/>
          <w:kern w:val="0"/>
          <w:sz w:val="21"/>
          <w:szCs w:val="21"/>
          <w:highlight w:val="none"/>
          <w:lang w:eastAsia="zh-CN"/>
        </w:rPr>
        <w:t>yxglqx@163.com</w:t>
      </w:r>
      <w:r>
        <w:rPr>
          <w:rFonts w:hint="eastAsia" w:ascii="宋体" w:hAnsi="宋体" w:cs="宋体"/>
          <w:color w:val="auto"/>
          <w:kern w:val="0"/>
          <w:sz w:val="21"/>
          <w:szCs w:val="21"/>
          <w:highlight w:val="none"/>
        </w:rPr>
        <w:t>）；供应商未在上述规定的时间、电子邮箱提交的电子备份响应文件，采购代理机构不予接收或承认。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谈判。</w:t>
      </w:r>
    </w:p>
    <w:p w14:paraId="13FB534D">
      <w:pPr>
        <w:tabs>
          <w:tab w:val="left" w:pos="1305"/>
        </w:tabs>
        <w:spacing w:line="40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除竞争性</w:t>
      </w:r>
      <w:r>
        <w:rPr>
          <w:rFonts w:hint="eastAsia" w:ascii="宋体" w:hAnsi="宋体" w:eastAsia="宋体" w:cs="宋体"/>
          <w:color w:val="auto"/>
          <w:kern w:val="0"/>
          <w:sz w:val="21"/>
          <w:szCs w:val="21"/>
          <w:highlight w:val="none"/>
          <w:lang w:eastAsia="zh-CN"/>
        </w:rPr>
        <w:t>谈判</w:t>
      </w:r>
      <w:r>
        <w:rPr>
          <w:rFonts w:hint="eastAsia" w:ascii="宋体" w:hAnsi="宋体" w:eastAsia="宋体" w:cs="宋体"/>
          <w:color w:val="auto"/>
          <w:kern w:val="0"/>
          <w:sz w:val="21"/>
          <w:szCs w:val="21"/>
          <w:highlight w:val="none"/>
        </w:rPr>
        <w:t xml:space="preserve">文件另有规定外，供应商所递交的响应文件不予退还。 </w:t>
      </w:r>
    </w:p>
    <w:p w14:paraId="0B4EC3B5">
      <w:pPr>
        <w:tabs>
          <w:tab w:val="left" w:pos="1305"/>
        </w:tabs>
        <w:spacing w:line="400" w:lineRule="exact"/>
        <w:ind w:left="0" w:leftChars="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如有特殊情况，采购代理机构延长截止时间和开标时间，采购代理机构和供应商的权利和义务将受到新的截止时间和开标时间的约束。</w:t>
      </w:r>
    </w:p>
    <w:p w14:paraId="49B29D6C">
      <w:pPr>
        <w:tabs>
          <w:tab w:val="left" w:pos="1305"/>
        </w:tabs>
        <w:spacing w:line="380" w:lineRule="exact"/>
        <w:ind w:firstLine="420"/>
        <w:rPr>
          <w:rFonts w:hint="eastAsia" w:ascii="宋体" w:hAnsi="宋体" w:cs="宋体"/>
          <w:color w:val="auto"/>
          <w:kern w:val="0"/>
          <w:sz w:val="21"/>
          <w:szCs w:val="21"/>
          <w:highlight w:val="none"/>
        </w:rPr>
      </w:pPr>
    </w:p>
    <w:p w14:paraId="6E9D1DDA">
      <w:pPr>
        <w:tabs>
          <w:tab w:val="left" w:pos="1305"/>
        </w:tabs>
        <w:spacing w:line="400" w:lineRule="exact"/>
        <w:ind w:firstLine="562"/>
        <w:jc w:val="center"/>
        <w:outlineLvl w:val="1"/>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四、竞争性谈判（简称谈判）与评审</w:t>
      </w:r>
    </w:p>
    <w:p w14:paraId="22AC1A38">
      <w:pPr>
        <w:tabs>
          <w:tab w:val="center" w:pos="4411"/>
          <w:tab w:val="left" w:pos="5475"/>
        </w:tabs>
        <w:spacing w:line="400" w:lineRule="exact"/>
        <w:ind w:firstLine="422"/>
        <w:jc w:val="left"/>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18.谈判小组组成及谈判时间、地点、人员</w:t>
      </w:r>
    </w:p>
    <w:p w14:paraId="63707EEA">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18.1 谈判小组组成：</w:t>
      </w:r>
    </w:p>
    <w:p w14:paraId="7F9627F7">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bCs/>
          <w:color w:val="auto"/>
          <w:sz w:val="21"/>
          <w:szCs w:val="21"/>
          <w:highlight w:val="none"/>
        </w:rPr>
        <w:t>谈判及评审组织工作由采购代理机</w:t>
      </w:r>
      <w:r>
        <w:rPr>
          <w:rFonts w:hint="eastAsia" w:ascii="宋体" w:hAnsi="宋体" w:cs="宋体"/>
          <w:bCs/>
          <w:color w:val="auto"/>
          <w:sz w:val="21"/>
          <w:szCs w:val="21"/>
          <w:highlight w:val="none"/>
        </w:rPr>
        <w:t>构负责</w:t>
      </w:r>
      <w:r>
        <w:rPr>
          <w:rFonts w:hint="eastAsia" w:ascii="宋体" w:hAnsi="宋体" w:cs="宋体"/>
          <w:bCs/>
          <w:color w:val="auto"/>
          <w:sz w:val="21"/>
          <w:szCs w:val="21"/>
          <w:highlight w:val="none"/>
          <w:lang w:eastAsia="zh-CN"/>
        </w:rPr>
        <w:t>组织</w:t>
      </w:r>
      <w:r>
        <w:rPr>
          <w:rFonts w:hint="eastAsia" w:ascii="宋体" w:hAnsi="宋体" w:cs="宋体"/>
          <w:bCs/>
          <w:color w:val="auto"/>
          <w:sz w:val="21"/>
          <w:szCs w:val="21"/>
          <w:highlight w:val="none"/>
        </w:rPr>
        <w:t>，具体谈判、评审工作由依法组建的谈判小组负责，本项目谈判小组的构成：3人</w:t>
      </w:r>
      <w:r>
        <w:rPr>
          <w:rFonts w:hint="eastAsia" w:ascii="宋体" w:hAnsi="宋体" w:cs="宋体"/>
          <w:color w:val="auto"/>
          <w:sz w:val="21"/>
          <w:szCs w:val="21"/>
          <w:highlight w:val="none"/>
        </w:rPr>
        <w:t>。</w:t>
      </w:r>
    </w:p>
    <w:p w14:paraId="16F1B95D">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18.2 谈判时间、地点、人员：</w:t>
      </w:r>
    </w:p>
    <w:p w14:paraId="188D7B98">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18.2.1 谈判时间：首次响应文件提交截止时间后。</w:t>
      </w:r>
    </w:p>
    <w:p w14:paraId="2E256A3F">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18.2.2 谈判地点：“广西政府采购云平台”在线谈判。谈判小组将通过“广西政府采购云平台”在线要求供应商澄清（说明或者更正）、参与谈判、提交最后报价等，响应文件提交后直至评审结束前，供应商应保持“广西政府采购云平台”登录并实时在线，确保及时收到相关信息并应答。否则，其不利后果由供应商自行承担。</w:t>
      </w:r>
    </w:p>
    <w:p w14:paraId="3B774923">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18.2.3 谈判参加人员：供应商法定代表人或相应的委托代理人参加谈判。</w:t>
      </w:r>
    </w:p>
    <w:p w14:paraId="7EC3BCE0">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18.2.4 首次响应文件提交截止时间后，登录“广西政府采购云平台”在线解密开启。</w:t>
      </w:r>
    </w:p>
    <w:p w14:paraId="2430B5AD">
      <w:pPr>
        <w:tabs>
          <w:tab w:val="left" w:pos="114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37000AF7">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谈判小组必须坚持公平、公正、科学和择优的原则。</w:t>
      </w:r>
    </w:p>
    <w:p w14:paraId="5CC46929">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19.2评审办法：具体详见“第四章 评审办法”。</w:t>
      </w:r>
    </w:p>
    <w:p w14:paraId="7B4C23FE">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19.3谈判小组应按谈判文件进行评审，不得擅自更改评审办法。</w:t>
      </w:r>
    </w:p>
    <w:p w14:paraId="6E41A591">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19.4在评审过程中，谈判小组任何人不得对某个供应商发表任何倾向性意见，不得向其他谈判小组成员明示或者暗示自己的评审意见。</w:t>
      </w:r>
    </w:p>
    <w:p w14:paraId="61C0A473">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19.5谈判小组成员对需要共同认定的事项存在争议的，按照少数服从多数的原则作出结论。持不同意见的谈判小组成员应当在评审报告上签署不同意见并说明理由，否则视为同意。</w:t>
      </w:r>
    </w:p>
    <w:p w14:paraId="1AF2F472">
      <w:pPr>
        <w:tabs>
          <w:tab w:val="left" w:pos="114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20.评审程序及谈判要求</w:t>
      </w:r>
    </w:p>
    <w:p w14:paraId="3AA43D44">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20.1谈判小组成员的通讯工具或相关电子设备交由桂林市公共资源交易中心统一保管后到达评标室，采购代理机构核实谈判小组成员身份，告知回避要求，宣布评审工作纪律和程序，推选谈判小组组长。</w:t>
      </w:r>
    </w:p>
    <w:p w14:paraId="02EB00EC">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20.2 谈判小组应当审查供应商的响应文件并作出评价；要求供应商解释或者澄清其响应文件；编写评审报告；告知采购人、采购代理机构在评审过程中发现的供应商的违法违规行为。</w:t>
      </w:r>
    </w:p>
    <w:p w14:paraId="2E54B8AF">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20.3 谈判小组依据法律法规和竞争性谈判文件的规定，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以确定供应商是否具备本项目供应商资格；再对通过资格性审查的供应商响应文件的有效性、完整性和对谈判文件的响应程度进行符合性审查，以确定是否对谈判文件的实质性要求做出响应。</w:t>
      </w:r>
    </w:p>
    <w:p w14:paraId="1AFCB39D">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20.4谈判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6957ACE5">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20.4.1查询渠道：《国家企业信用信息公示系统》（网址：</w:t>
      </w:r>
      <w:r>
        <w:rPr>
          <w:rFonts w:hint="eastAsia" w:ascii="宋体" w:hAnsi="宋体"/>
          <w:color w:val="auto"/>
          <w:sz w:val="21"/>
          <w:szCs w:val="21"/>
          <w:highlight w:val="none"/>
        </w:rPr>
        <w:t>www.gsxt.gov.cn/index.html</w:t>
      </w:r>
      <w:r>
        <w:rPr>
          <w:rFonts w:hint="eastAsia" w:ascii="宋体" w:hAnsi="宋体" w:cs="宋体"/>
          <w:color w:val="auto"/>
          <w:kern w:val="0"/>
          <w:sz w:val="21"/>
          <w:szCs w:val="21"/>
          <w:highlight w:val="none"/>
        </w:rPr>
        <w:t>）</w:t>
      </w:r>
    </w:p>
    <w:p w14:paraId="73AFE5BE">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20.4.2审查流程：</w:t>
      </w:r>
    </w:p>
    <w:p w14:paraId="523F42E9">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2A54064E">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067434EB">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35E6BE54">
      <w:pPr>
        <w:snapToGrid w:val="0"/>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473CFEDD">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1D1EAB38">
      <w:pPr>
        <w:spacing w:line="400" w:lineRule="exact"/>
        <w:ind w:firstLine="42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20.5谈判小组在对响应文件的有效性、完整性和响应程度进行审查时，可以要求供应商对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140BCF4F">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根据谈判文件规定的程序、评定成交的标准等事项与实质性响应竞争性谈判文件要求的供应商进行谈判。未实质性响应谈判文件的响应文件按无效处理，谈判小组应当告知有关供应商。</w:t>
      </w:r>
    </w:p>
    <w:p w14:paraId="575E6D56">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谈判小组所有成员应当按已确定的谈判顺序集中与单一供应商分别进行谈判，并给予所有实质性响应竞争性谈判文件要求的供应商平等的谈判机会。</w:t>
      </w:r>
    </w:p>
    <w:p w14:paraId="72878749">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谈判中，谈判小组不得透露与谈判有关的其他供应商的技术资料、价格和其他信息。</w:t>
      </w:r>
    </w:p>
    <w:p w14:paraId="25151132">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采购代理机构（谈判小组）对谈判过程和重要谈判内容进行记录，谈判双方在记录上签字（或电子签名）确认</w:t>
      </w:r>
      <w:r>
        <w:rPr>
          <w:rFonts w:hint="eastAsia" w:ascii="宋体" w:hAnsi="宋体" w:cs="宋体"/>
          <w:color w:val="auto"/>
          <w:sz w:val="21"/>
          <w:szCs w:val="21"/>
          <w:highlight w:val="none"/>
        </w:rPr>
        <w:t>或加盖供应商电子签章</w:t>
      </w:r>
      <w:r>
        <w:rPr>
          <w:rFonts w:hint="eastAsia" w:ascii="宋体" w:hAnsi="宋体" w:cs="宋体"/>
          <w:color w:val="auto"/>
          <w:kern w:val="0"/>
          <w:sz w:val="21"/>
          <w:szCs w:val="21"/>
          <w:highlight w:val="none"/>
        </w:rPr>
        <w:t>。</w:t>
      </w:r>
    </w:p>
    <w:p w14:paraId="6DE68204">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20.6在谈判过程中，谈判小组可以根据谈判文件和谈判情况实质性变动采购需求中的技术、服务要求以及合同草案条款，但不得变动谈判文件中的其他内容。实质性变动的内容，须经采购人代表确认。</w:t>
      </w:r>
    </w:p>
    <w:p w14:paraId="196B0836">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对谈判文件作出的实质性变动是谈判文件的有效组成部分，谈判小组应当及时通过“广西政府采购云平台”以书面形式同时通知所有参加谈判的供应商。</w:t>
      </w:r>
    </w:p>
    <w:p w14:paraId="1347CBEC">
      <w:pPr>
        <w:spacing w:line="400" w:lineRule="exact"/>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20.7供应商必须按照谈判文件的变动情况和谈判小组的要求重新提交响应文件，并应当加盖供应商电子签章或者由法定代表人或其委托代理人签字（或者电子签名）。逾时不交的，视同放弃谈判，其响应文件按无效处理。</w:t>
      </w:r>
    </w:p>
    <w:p w14:paraId="1BFBA217">
      <w:pPr>
        <w:widowControl/>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20.8最后报价</w:t>
      </w:r>
    </w:p>
    <w:p w14:paraId="0B72C507">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20.8.1谈判文件能够详细列明采购标的的技术、服务要求的，谈判结束后，谈判小组应当要求所有实质性响应的供应商在规定时间内通过“广西政府采购云平台”在线提交最后报价，提交最后报价的供应商不得少于3家；谈判文件不能详细列明采购标的的技术、服务要求的，需由供应商提供最终设计方案或解决方案的，谈判结束后，谈判小组应当按照少数服从多数的原则投票推荐3家以上（含3家）供应商的设计方案或者解决方案，并要求其在规定时间内通过“广西政府采购云平台”在线提交最后报价。</w:t>
      </w:r>
    </w:p>
    <w:p w14:paraId="75347C98">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20.8.2</w:t>
      </w:r>
      <w:r>
        <w:rPr>
          <w:rFonts w:ascii="宋体" w:hAnsi="宋体" w:cs="宋体"/>
          <w:color w:val="auto"/>
          <w:kern w:val="0"/>
          <w:sz w:val="21"/>
          <w:szCs w:val="21"/>
          <w:highlight w:val="none"/>
        </w:rPr>
        <w:t>在采购过程中符合竞争要求的供应商或者报价未超过</w:t>
      </w:r>
      <w:r>
        <w:rPr>
          <w:rFonts w:hint="eastAsia" w:ascii="宋体" w:hAnsi="宋体" w:cs="宋体"/>
          <w:color w:val="auto"/>
          <w:kern w:val="0"/>
          <w:sz w:val="21"/>
          <w:szCs w:val="21"/>
          <w:highlight w:val="none"/>
        </w:rPr>
        <w:t>采购预算</w:t>
      </w:r>
      <w:r>
        <w:rPr>
          <w:rFonts w:ascii="宋体" w:hAnsi="宋体" w:cs="宋体"/>
          <w:color w:val="auto"/>
          <w:kern w:val="0"/>
          <w:sz w:val="21"/>
          <w:szCs w:val="21"/>
          <w:highlight w:val="none"/>
        </w:rPr>
        <w:t>的供应商不足3家的</w:t>
      </w:r>
      <w:r>
        <w:rPr>
          <w:rFonts w:hint="eastAsia" w:ascii="宋体" w:hAnsi="宋体" w:cs="宋体"/>
          <w:color w:val="auto"/>
          <w:kern w:val="0"/>
          <w:sz w:val="21"/>
          <w:szCs w:val="21"/>
          <w:highlight w:val="none"/>
        </w:rPr>
        <w:t>，采购人或者采购代理机构应当终止竞争性谈判采购活动。</w:t>
      </w:r>
    </w:p>
    <w:p w14:paraId="62AE9942">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20.8.3最后报价是供应商响应文件的有效组成部分。</w:t>
      </w:r>
    </w:p>
    <w:p w14:paraId="34088FEB">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20.9已提交响应文件的供应商，在提交最后报价之前，可以根据谈判情况书面退出谈判。</w:t>
      </w:r>
    </w:p>
    <w:p w14:paraId="04D44A12">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未书面退出谈判的供应商必须在规定时间内通过“广西政府采购云平台”在线提交最后报价；谈判过程中谈判文件未作实质性变动的，</w:t>
      </w:r>
      <w:r>
        <w:rPr>
          <w:rFonts w:hint="eastAsia" w:ascii="宋体" w:hAnsi="宋体"/>
          <w:color w:val="auto"/>
          <w:sz w:val="21"/>
          <w:szCs w:val="21"/>
          <w:highlight w:val="none"/>
        </w:rPr>
        <w:t>最后报价不得超过首次报价</w:t>
      </w:r>
      <w:r>
        <w:rPr>
          <w:rFonts w:hint="eastAsia" w:ascii="宋体" w:hAnsi="宋体" w:cs="宋体"/>
          <w:color w:val="auto"/>
          <w:kern w:val="0"/>
          <w:sz w:val="21"/>
          <w:szCs w:val="21"/>
          <w:highlight w:val="none"/>
        </w:rPr>
        <w:t>。</w:t>
      </w:r>
    </w:p>
    <w:p w14:paraId="4F6DFABD">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20.10</w:t>
      </w:r>
      <w:r>
        <w:rPr>
          <w:rFonts w:ascii="宋体" w:hAnsi="宋体" w:cs="宋体"/>
          <w:color w:val="auto"/>
          <w:kern w:val="0"/>
          <w:sz w:val="21"/>
          <w:szCs w:val="21"/>
          <w:highlight w:val="none"/>
        </w:rPr>
        <w:t>评审报告</w:t>
      </w:r>
    </w:p>
    <w:p w14:paraId="35BEC7DA">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ascii="宋体" w:hAnsi="宋体" w:cs="宋体"/>
          <w:color w:val="auto"/>
          <w:kern w:val="0"/>
          <w:sz w:val="21"/>
          <w:szCs w:val="21"/>
          <w:highlight w:val="none"/>
        </w:rPr>
        <w:t>谈判小组应当从质量和服务均能满足</w:t>
      </w:r>
      <w:r>
        <w:rPr>
          <w:rFonts w:hint="eastAsia" w:ascii="宋体" w:hAnsi="宋体" w:cs="宋体"/>
          <w:color w:val="auto"/>
          <w:kern w:val="0"/>
          <w:sz w:val="21"/>
          <w:szCs w:val="21"/>
          <w:highlight w:val="none"/>
        </w:rPr>
        <w:t>谈判</w:t>
      </w:r>
      <w:r>
        <w:rPr>
          <w:rFonts w:ascii="宋体" w:hAnsi="宋体" w:cs="宋体"/>
          <w:color w:val="auto"/>
          <w:kern w:val="0"/>
          <w:sz w:val="21"/>
          <w:szCs w:val="21"/>
          <w:highlight w:val="none"/>
        </w:rPr>
        <w:t>文件</w:t>
      </w:r>
      <w:r>
        <w:rPr>
          <w:rFonts w:hint="eastAsia" w:ascii="宋体" w:hAnsi="宋体" w:cs="宋体"/>
          <w:color w:val="auto"/>
          <w:kern w:val="0"/>
          <w:sz w:val="21"/>
          <w:szCs w:val="21"/>
          <w:highlight w:val="none"/>
        </w:rPr>
        <w:t>全部</w:t>
      </w:r>
      <w:r>
        <w:rPr>
          <w:rFonts w:ascii="宋体" w:hAnsi="宋体" w:cs="宋体"/>
          <w:color w:val="auto"/>
          <w:kern w:val="0"/>
          <w:sz w:val="21"/>
          <w:szCs w:val="21"/>
          <w:highlight w:val="none"/>
        </w:rPr>
        <w:t>实质性响应要求的供应商中，按</w:t>
      </w:r>
      <w:r>
        <w:rPr>
          <w:rFonts w:hint="eastAsia" w:ascii="宋体" w:hAnsi="宋体" w:cs="宋体"/>
          <w:color w:val="auto"/>
          <w:kern w:val="0"/>
          <w:sz w:val="21"/>
          <w:szCs w:val="21"/>
          <w:highlight w:val="none"/>
        </w:rPr>
        <w:t>照评审报价由低到高的顺序</w:t>
      </w:r>
      <w:r>
        <w:rPr>
          <w:rFonts w:ascii="宋体" w:hAnsi="宋体" w:cs="宋体"/>
          <w:color w:val="auto"/>
          <w:kern w:val="0"/>
          <w:sz w:val="21"/>
          <w:szCs w:val="21"/>
          <w:highlight w:val="none"/>
        </w:rPr>
        <w:t>提出3名以上</w:t>
      </w:r>
      <w:r>
        <w:rPr>
          <w:rFonts w:hint="eastAsia" w:ascii="宋体" w:hAnsi="宋体" w:cs="宋体"/>
          <w:color w:val="auto"/>
          <w:kern w:val="0"/>
          <w:sz w:val="21"/>
          <w:szCs w:val="21"/>
          <w:highlight w:val="none"/>
        </w:rPr>
        <w:t>（含3名）</w:t>
      </w:r>
      <w:r>
        <w:rPr>
          <w:rFonts w:ascii="宋体" w:hAnsi="宋体" w:cs="宋体"/>
          <w:color w:val="auto"/>
          <w:kern w:val="0"/>
          <w:sz w:val="21"/>
          <w:szCs w:val="21"/>
          <w:highlight w:val="none"/>
        </w:rPr>
        <w:t>成交候选人，并编写评审报告。</w:t>
      </w:r>
    </w:p>
    <w:p w14:paraId="26573F2C">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20.11在评审过程中出现法律法规和谈判文件均没有明确规定的情形时，由谈判小组现场协商解决，协商不一致的，由全体谈判小组投票表决，以得票率二分之一以上专家的意见为准。</w:t>
      </w:r>
    </w:p>
    <w:p w14:paraId="3F3CC33D">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20.12采购代理机构发现谈判小组有明显的违规倾向或歧视现象，或不按评审办法进行，或其他不正常行为的，应当及时制止。如制止无效，应及时</w:t>
      </w:r>
      <w:r>
        <w:rPr>
          <w:rFonts w:hint="eastAsia" w:ascii="宋体" w:hAnsi="宋体" w:cs="宋体"/>
          <w:color w:val="auto"/>
          <w:kern w:val="0"/>
          <w:sz w:val="21"/>
          <w:szCs w:val="21"/>
          <w:highlight w:val="none"/>
        </w:rPr>
        <w:t>向</w:t>
      </w:r>
      <w:r>
        <w:rPr>
          <w:rFonts w:hint="eastAsia" w:ascii="宋体" w:hAnsi="宋体" w:cs="宋体"/>
          <w:color w:val="auto"/>
          <w:kern w:val="0"/>
          <w:sz w:val="21"/>
          <w:szCs w:val="21"/>
          <w:highlight w:val="none"/>
          <w:lang w:eastAsia="zh-CN"/>
        </w:rPr>
        <w:t>桂林市叠彩区财政局</w:t>
      </w:r>
      <w:r>
        <w:rPr>
          <w:rFonts w:hint="eastAsia" w:ascii="宋体" w:hAnsi="宋体" w:cs="宋体"/>
          <w:color w:val="auto"/>
          <w:kern w:val="0"/>
          <w:sz w:val="21"/>
          <w:szCs w:val="21"/>
          <w:highlight w:val="none"/>
        </w:rPr>
        <w:t>报告。</w:t>
      </w:r>
    </w:p>
    <w:p w14:paraId="4FCF6345">
      <w:pPr>
        <w:spacing w:line="400" w:lineRule="exact"/>
        <w:ind w:firstLine="422"/>
        <w:outlineLvl w:val="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确定成交候选人原则</w:t>
      </w:r>
    </w:p>
    <w:p w14:paraId="465456F1">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olor w:val="auto"/>
          <w:sz w:val="21"/>
          <w:szCs w:val="21"/>
          <w:highlight w:val="none"/>
        </w:rPr>
        <w:t>采购人应当在收到评审报告后5个工作日内，从评审报告提出的成交候选人中，根据质量和服务均能满足采购文件实质性响应要求且最后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报价最低的原则确定成交供应商。采购人逾期未确定成交供应商且不提出异议的，视为确定评审报告提出的最后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报价最低的供应商为成交供应商。</w:t>
      </w:r>
    </w:p>
    <w:p w14:paraId="1251B81E">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（2）成交供应商拒绝与采购人签订合同的，采购人可以按照评审报告推荐的成交候选人名单排序，确定下一候选人为成交供应商，也可以重新开展政府采购活动。</w:t>
      </w:r>
    </w:p>
    <w:p w14:paraId="1BF6DC0D">
      <w:pPr>
        <w:snapToGrid w:val="0"/>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22.属于下列情况之一者，响应文件无效：</w:t>
      </w:r>
    </w:p>
    <w:p w14:paraId="3445B5DA">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（1）未按谈判文件规定完整提交响应文件或未按规定要求签字、签章的，或未提供授权委托书（委托代理的）；</w:t>
      </w:r>
    </w:p>
    <w:p w14:paraId="407A514E">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64BE1F7A">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（3）不具备谈判文件规定的资格要求的</w:t>
      </w:r>
      <w:r>
        <w:rPr>
          <w:rFonts w:hint="eastAsia" w:ascii="宋体" w:hAnsi="宋体" w:cs="宋体"/>
          <w:color w:val="auto"/>
          <w:kern w:val="0"/>
          <w:sz w:val="21"/>
          <w:szCs w:val="24"/>
          <w:highlight w:val="none"/>
        </w:rPr>
        <w:t>；或未按本谈判文件规定提供资格性响应证明材料中的任意一项材料的；或提供的资格性响应证明材料中的任意一项材料无效的；</w:t>
      </w:r>
    </w:p>
    <w:p w14:paraId="0D87867C">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kern w:val="0"/>
          <w:sz w:val="21"/>
          <w:szCs w:val="24"/>
          <w:highlight w:val="none"/>
        </w:rPr>
        <w:t>未按本谈判文件规定提供符合性响应证明材料中的任意一项材料的；或提供的符合性响应证明材料中的任意一项材料无效的；</w:t>
      </w:r>
    </w:p>
    <w:p w14:paraId="326B7CBA">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（5）响应文件未按谈判文件的内容和要求编制，或提供虚假材料的；</w:t>
      </w:r>
    </w:p>
    <w:p w14:paraId="20B1EBC4">
      <w:pPr>
        <w:snapToGrid w:val="0"/>
        <w:spacing w:line="400" w:lineRule="exact"/>
        <w:ind w:firstLine="420"/>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eastAsia="zh-CN"/>
        </w:rPr>
        <w:t>所响应分标的</w:t>
      </w:r>
      <w:r>
        <w:rPr>
          <w:rFonts w:hint="eastAsia" w:ascii="宋体" w:hAnsi="宋体" w:eastAsia="宋体" w:cs="宋体"/>
          <w:color w:val="auto"/>
          <w:kern w:val="0"/>
          <w:sz w:val="21"/>
          <w:szCs w:val="21"/>
          <w:highlight w:val="none"/>
        </w:rPr>
        <w:t>响应文件有效期不能满足谈判文件要求的；</w:t>
      </w:r>
    </w:p>
    <w:p w14:paraId="7139CE83">
      <w:pPr>
        <w:snapToGrid w:val="0"/>
        <w:spacing w:line="400" w:lineRule="exact"/>
        <w:ind w:firstLine="420"/>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所响应分标的</w:t>
      </w:r>
      <w:r>
        <w:rPr>
          <w:rFonts w:hint="eastAsia" w:ascii="宋体" w:hAnsi="宋体" w:eastAsia="宋体" w:cs="宋体"/>
          <w:color w:val="auto"/>
          <w:kern w:val="0"/>
          <w:sz w:val="21"/>
          <w:szCs w:val="21"/>
          <w:highlight w:val="none"/>
        </w:rPr>
        <w:t>响应文件有效期、工期、工程质保期、工程承诺服务不能满足</w:t>
      </w:r>
      <w:r>
        <w:rPr>
          <w:rFonts w:hint="eastAsia" w:ascii="宋体" w:hAnsi="宋体" w:eastAsia="宋体" w:cs="宋体"/>
          <w:color w:val="auto"/>
          <w:kern w:val="0"/>
          <w:sz w:val="21"/>
          <w:szCs w:val="21"/>
          <w:highlight w:val="none"/>
          <w:lang w:eastAsia="zh-CN"/>
        </w:rPr>
        <w:t>谈判</w:t>
      </w:r>
      <w:r>
        <w:rPr>
          <w:rFonts w:hint="eastAsia" w:ascii="宋体" w:hAnsi="宋体" w:eastAsia="宋体" w:cs="宋体"/>
          <w:color w:val="auto"/>
          <w:kern w:val="0"/>
          <w:sz w:val="21"/>
          <w:szCs w:val="21"/>
          <w:highlight w:val="none"/>
        </w:rPr>
        <w:t>文件要求的；</w:t>
      </w:r>
    </w:p>
    <w:p w14:paraId="336D25A6">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eastAsia="宋体" w:cs="宋体"/>
          <w:color w:val="auto"/>
          <w:kern w:val="0"/>
          <w:sz w:val="21"/>
          <w:szCs w:val="21"/>
          <w:highlight w:val="none"/>
        </w:rPr>
        <w:t>（7）供应商未就“采购需求”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eastAsia="zh-CN"/>
        </w:rPr>
        <w:t>工程量清单</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kern w:val="0"/>
          <w:sz w:val="21"/>
          <w:szCs w:val="21"/>
          <w:highlight w:val="none"/>
        </w:rPr>
        <w:t>中的所有内容作完整唯一报价的或有选择式有</w:t>
      </w:r>
      <w:r>
        <w:rPr>
          <w:rFonts w:hint="eastAsia" w:ascii="宋体" w:hAnsi="宋体" w:eastAsia="宋体" w:cs="宋体"/>
          <w:color w:val="auto"/>
          <w:kern w:val="0"/>
          <w:sz w:val="21"/>
          <w:szCs w:val="21"/>
          <w:highlight w:val="none"/>
        </w:rPr>
        <w:t>条件的报价的；或未在谈判小组规定的时间内提交最后报价的；或谈判文件未作实质性变动，供应商最后报价高于首次报价的；</w:t>
      </w:r>
    </w:p>
    <w:p w14:paraId="6CF5F2A1">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未在谈判小组规定的时间内参与谈判或重新提交响应文件的；</w:t>
      </w:r>
    </w:p>
    <w:p w14:paraId="01F27E53">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（9）未满足谈判文件实质性要求的；或者响应文件有采购人不能接受的附加条件的；</w:t>
      </w:r>
    </w:p>
    <w:p w14:paraId="189B20C5">
      <w:pPr>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0"/>
          <w:highlight w:val="none"/>
        </w:rPr>
        <w:t>（10）</w:t>
      </w:r>
      <w:r>
        <w:rPr>
          <w:rFonts w:hint="eastAsia" w:ascii="宋体" w:hAnsi="宋体" w:cs="宋体"/>
          <w:color w:val="auto"/>
          <w:kern w:val="0"/>
          <w:sz w:val="21"/>
          <w:szCs w:val="21"/>
          <w:highlight w:val="none"/>
        </w:rPr>
        <w:t>不符合法律、法规和谈判文件规定的其他实质性要求和条件的；</w:t>
      </w:r>
    </w:p>
    <w:p w14:paraId="00D2F857">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（11）供应商为联合体的。</w:t>
      </w:r>
    </w:p>
    <w:p w14:paraId="6772EDAB">
      <w:pPr>
        <w:snapToGrid w:val="0"/>
        <w:spacing w:line="400" w:lineRule="exact"/>
        <w:ind w:firstLine="422"/>
        <w:outlineLvl w:val="9"/>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供应商有下列情形之一的，视为串通参与谈判，响应文件将被视为无效：</w:t>
      </w:r>
    </w:p>
    <w:p w14:paraId="39AA2553">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7D142699">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（2）不同供应商委托同一单位或者个人办理谈判事宜的；</w:t>
      </w:r>
    </w:p>
    <w:p w14:paraId="0D6B1B4F">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F6F98C3">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0FAD2BF4">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6E2D772D">
      <w:pPr>
        <w:snapToGrid w:val="0"/>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23.出现下列情形之一的，采购人或者采购代理机构应当终止竞争性谈判采购活动，发布项目终止公告并说明原因，重新开展采购活动：</w:t>
      </w:r>
    </w:p>
    <w:p w14:paraId="55944364">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（1）因情况变化，不再符合规定的竞争性谈判采购方式适用情形的；</w:t>
      </w:r>
    </w:p>
    <w:p w14:paraId="27F4A6BF">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377BEA80">
      <w:pPr>
        <w:widowControl/>
        <w:spacing w:line="400" w:lineRule="exact"/>
        <w:ind w:firstLine="420"/>
        <w:jc w:val="left"/>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（3）在采购过程中符合要求的供应商或者报价未超过采购预算的供应商不足3家的。</w:t>
      </w:r>
    </w:p>
    <w:p w14:paraId="2D7DEB8E">
      <w:pPr>
        <w:snapToGrid w:val="0"/>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59EED51A">
      <w:pPr>
        <w:snapToGrid w:val="0"/>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25.谈判过程的监控</w:t>
      </w:r>
    </w:p>
    <w:p w14:paraId="29710E1E">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本项目谈判过程实行全程录音、录像监控，供应商在谈判过程中所进行的试图影响谈判结果的不公正活动，可能导致其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2847F9FE">
      <w:pPr>
        <w:snapToGrid w:val="0"/>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 信用查询 </w:t>
      </w:r>
    </w:p>
    <w:p w14:paraId="501CC992">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5391CEFC">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228B3D3C">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6B24B2F8">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14878303">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（4）信用信息使用规则：对在</w:t>
      </w:r>
      <w:r>
        <w:rPr>
          <w:rFonts w:hint="eastAsia" w:ascii="宋体" w:hAnsi="宋体" w:cs="宋体"/>
          <w:color w:val="auto"/>
          <w:kern w:val="0"/>
          <w:sz w:val="21"/>
          <w:szCs w:val="21"/>
          <w:highlight w:val="none"/>
        </w:rPr>
        <w:t>“信用中国”网站(www.creditchina.gov.cn)、中国政府采购网(www.ccgp.gov.cn)等渠道列入失信被执行人、</w:t>
      </w:r>
      <w:r>
        <w:rPr>
          <w:rFonts w:hint="eastAsia" w:ascii="宋体" w:hAnsi="宋体" w:cs="宋体"/>
          <w:color w:val="auto"/>
          <w:kern w:val="0"/>
          <w:sz w:val="21"/>
          <w:szCs w:val="21"/>
          <w:highlight w:val="none"/>
          <w:lang w:eastAsia="zh-CN"/>
        </w:rPr>
        <w:t>重大税收违法失信主体</w:t>
      </w:r>
      <w:r>
        <w:rPr>
          <w:rFonts w:hint="eastAsia" w:ascii="宋体" w:hAnsi="宋体" w:cs="宋体"/>
          <w:color w:val="auto"/>
          <w:kern w:val="0"/>
          <w:sz w:val="21"/>
          <w:szCs w:val="21"/>
          <w:highlight w:val="none"/>
        </w:rPr>
        <w:t>、政府采购严重违法失信行为记录名单及其他不符合《中华人民共和国政府采购法》第二十二条规定条件的供应商，不得参与政府采购活动，取消其成交候选人资格。采购人依法按照评审报告中</w:t>
      </w:r>
      <w:r>
        <w:rPr>
          <w:rFonts w:hint="eastAsia" w:ascii="宋体" w:hAnsi="宋体" w:cs="宋体"/>
          <w:color w:val="auto"/>
          <w:kern w:val="0"/>
          <w:sz w:val="21"/>
          <w:szCs w:val="21"/>
          <w:highlight w:val="none"/>
          <w:lang w:eastAsia="zh-CN"/>
        </w:rPr>
        <w:t>谈判</w:t>
      </w:r>
      <w:r>
        <w:rPr>
          <w:rFonts w:hint="eastAsia" w:ascii="宋体" w:hAnsi="宋体" w:cs="宋体"/>
          <w:color w:val="auto"/>
          <w:kern w:val="0"/>
          <w:sz w:val="21"/>
          <w:szCs w:val="21"/>
          <w:highlight w:val="none"/>
        </w:rPr>
        <w:t>小组推荐成交候</w:t>
      </w:r>
      <w:r>
        <w:rPr>
          <w:rFonts w:hint="eastAsia" w:ascii="宋体" w:hAnsi="宋体" w:cs="宋体"/>
          <w:color w:val="auto"/>
          <w:kern w:val="0"/>
          <w:sz w:val="21"/>
          <w:szCs w:val="21"/>
          <w:highlight w:val="none"/>
        </w:rPr>
        <w:t>选人排序表确定排名第二的成交候选人为成交供应商或者重新组织采购。</w:t>
      </w:r>
    </w:p>
    <w:p w14:paraId="61EE18EA">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两个以上的自然人、法人或者其他组织组成一个联合体，以一个供应商的身份共同参加政府采购活动的，应当对所有联合体成员进行信用记录查询，联合体成员存在不良信用记录的，视同联合体存在不良信用记录    </w:t>
      </w:r>
    </w:p>
    <w:p w14:paraId="2ACC0E4B">
      <w:pPr>
        <w:spacing w:line="400" w:lineRule="exact"/>
        <w:ind w:firstLine="422"/>
        <w:outlineLvl w:val="2"/>
        <w:rPr>
          <w:rFonts w:hint="eastAsia"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41454546">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7044B853">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27.2中小企业在政府采购活动过程中，请根据自己的真实情况出具《中小企业声明函》。采购人或采购代理机构在公告成交结果时，同时公告其《中小企业声明函》，接受社会监督。</w:t>
      </w:r>
    </w:p>
    <w:p w14:paraId="3D6E61B4">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采购代理机构无义务向未成交的供应商解释未成交原因和退还响应文件。</w:t>
      </w:r>
    </w:p>
    <w:p w14:paraId="4329AC76">
      <w:pPr>
        <w:spacing w:line="340" w:lineRule="exact"/>
        <w:ind w:left="3" w:firstLine="0" w:firstLineChars="0"/>
        <w:jc w:val="center"/>
        <w:rPr>
          <w:rFonts w:hint="eastAsia" w:ascii="宋体" w:hAnsi="宋体" w:cs="宋体"/>
          <w:b/>
          <w:color w:val="auto"/>
          <w:kern w:val="0"/>
          <w:sz w:val="28"/>
          <w:szCs w:val="28"/>
          <w:highlight w:val="none"/>
        </w:rPr>
      </w:pPr>
    </w:p>
    <w:p w14:paraId="38622C25">
      <w:pPr>
        <w:spacing w:line="340" w:lineRule="exact"/>
        <w:ind w:left="3" w:firstLine="0" w:firstLineChars="0"/>
        <w:jc w:val="center"/>
        <w:outlineLvl w:val="1"/>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6DF6119A">
      <w:pPr>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5C14B369">
      <w:pPr>
        <w:snapToGrid w:val="0"/>
        <w:spacing w:line="340" w:lineRule="exact"/>
        <w:ind w:firstLine="411" w:firstLineChars="196"/>
        <w:outlineLvl w:val="9"/>
        <w:rPr>
          <w:rFonts w:hint="eastAsia" w:ascii="宋体" w:hAnsi="宋体" w:cs="宋体"/>
          <w:bCs/>
          <w:color w:val="auto"/>
          <w:kern w:val="0"/>
          <w:sz w:val="21"/>
          <w:szCs w:val="21"/>
          <w:highlight w:val="none"/>
        </w:rPr>
      </w:pPr>
      <w:r>
        <w:rPr>
          <w:rFonts w:hint="eastAsia" w:ascii="宋体" w:hAnsi="宋体" w:cs="宋体"/>
          <w:bCs/>
          <w:color w:val="auto"/>
          <w:kern w:val="0"/>
          <w:sz w:val="21"/>
          <w:szCs w:val="24"/>
          <w:highlight w:val="none"/>
        </w:rPr>
        <w:t>本项目不收取履约保证金。</w:t>
      </w:r>
    </w:p>
    <w:p w14:paraId="2257100C">
      <w:pPr>
        <w:snapToGrid w:val="0"/>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5046BED9">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29.1 签订合同时间：成交通知书发出之日起8个工作日内。成交供应商应按规定与采购人签订合同。联合体投标的，联合体各方应当共同与采购人签订采购合同，均应在合同的签章处签章，就采购合同约定的事项对采购人承担连带责任。</w:t>
      </w:r>
    </w:p>
    <w:p w14:paraId="2DFE8839">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29.2 如成交供应商有下列情形之一，情节严重的，由财政部门将其列入不良行为记录名单，在一至三年内禁止参加政府采购活动，并予以通报。采购人可从谈判小组推荐的成交候选人中按顺序重新确定成交供应商或重新组织采购。拒绝签订政府采购合同的成交供应商不得参加对该项目重新开展的采购活动。</w:t>
      </w:r>
    </w:p>
    <w:p w14:paraId="1E648995">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（1）成交后不与采购人签订合同的（不可抗力除外）；或采购文件规定应当提交履约保证金而未按规定提交的。</w:t>
      </w:r>
    </w:p>
    <w:p w14:paraId="553878DB">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4A9EBEF8">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3F22B31D">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29.3 合同公告：政府采购合同双方自签订之日起2个工作日内在省级以上人民政府财政部门指定媒体上公告。</w:t>
      </w:r>
    </w:p>
    <w:p w14:paraId="64386A27">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29.4采购人应妥善保管政府采购项目合同验收书（格式见附表3）及相关材料。</w:t>
      </w:r>
    </w:p>
    <w:p w14:paraId="325C43C9">
      <w:pPr>
        <w:spacing w:line="340" w:lineRule="exact"/>
        <w:ind w:firstLineChars="0"/>
        <w:rPr>
          <w:rFonts w:hint="eastAsia" w:ascii="宋体" w:hAnsi="宋体"/>
          <w:color w:val="auto"/>
          <w:sz w:val="21"/>
          <w:szCs w:val="24"/>
          <w:highlight w:val="none"/>
        </w:rPr>
      </w:pPr>
    </w:p>
    <w:p w14:paraId="2D8788FE">
      <w:pPr>
        <w:spacing w:line="340" w:lineRule="exact"/>
        <w:ind w:left="2940" w:firstLine="0" w:firstLineChars="0"/>
        <w:rPr>
          <w:rFonts w:hint="eastAsia" w:ascii="宋体" w:hAnsi="宋体"/>
          <w:color w:val="auto"/>
          <w:sz w:val="21"/>
          <w:szCs w:val="24"/>
          <w:highlight w:val="none"/>
        </w:rPr>
      </w:pPr>
    </w:p>
    <w:p w14:paraId="3EE4284B">
      <w:pPr>
        <w:spacing w:line="340" w:lineRule="exact"/>
        <w:ind w:left="3" w:firstLine="0" w:firstLineChars="0"/>
        <w:jc w:val="center"/>
        <w:outlineLvl w:val="1"/>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5B7A2B19">
      <w:pPr>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75E5E6CB">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w:t>
      </w:r>
      <w:r>
        <w:rPr>
          <w:rFonts w:hint="eastAsia" w:ascii="宋体" w:hAnsi="宋体" w:cs="宋体"/>
          <w:color w:val="auto"/>
          <w:kern w:val="0"/>
          <w:sz w:val="21"/>
          <w:szCs w:val="21"/>
          <w:highlight w:val="none"/>
        </w:rPr>
        <w:t>.1本项目</w:t>
      </w:r>
      <w:r>
        <w:rPr>
          <w:rFonts w:hint="eastAsia" w:ascii="宋体" w:hAnsi="宋体" w:cs="宋体"/>
          <w:color w:val="auto"/>
          <w:kern w:val="0"/>
          <w:sz w:val="21"/>
          <w:szCs w:val="21"/>
          <w:highlight w:val="none"/>
          <w:lang w:eastAsia="zh-CN"/>
        </w:rPr>
        <w:t>每个分标</w:t>
      </w:r>
      <w:r>
        <w:rPr>
          <w:rFonts w:hint="eastAsia" w:ascii="宋体" w:hAnsi="宋体" w:cs="宋体"/>
          <w:color w:val="auto"/>
          <w:kern w:val="0"/>
          <w:sz w:val="21"/>
          <w:szCs w:val="21"/>
          <w:highlight w:val="none"/>
        </w:rPr>
        <w:t>采购代理服务费按本须知第30.2条“采购代理服务收费标准”中收费标准</w:t>
      </w:r>
      <w:r>
        <w:rPr>
          <w:rFonts w:hint="eastAsia" w:ascii="宋体" w:hAnsi="宋体" w:cs="宋体"/>
          <w:color w:val="auto"/>
          <w:kern w:val="0"/>
          <w:sz w:val="21"/>
          <w:szCs w:val="21"/>
          <w:highlight w:val="none"/>
          <w:lang w:val="en-US" w:eastAsia="zh-CN"/>
        </w:rPr>
        <w:t>33.3%</w:t>
      </w:r>
      <w:r>
        <w:rPr>
          <w:rFonts w:hint="eastAsia" w:ascii="宋体" w:hAnsi="宋体" w:cs="宋体"/>
          <w:color w:val="auto"/>
          <w:kern w:val="0"/>
          <w:sz w:val="21"/>
          <w:szCs w:val="21"/>
          <w:highlight w:val="none"/>
        </w:rPr>
        <w:t>计算（不足人民币6000元的，按6000元计），</w:t>
      </w:r>
      <w:r>
        <w:rPr>
          <w:rFonts w:hint="eastAsia" w:ascii="宋体" w:hAnsi="宋体" w:cs="宋体"/>
          <w:color w:val="auto"/>
          <w:kern w:val="0"/>
          <w:sz w:val="21"/>
          <w:szCs w:val="21"/>
          <w:highlight w:val="none"/>
          <w:lang w:eastAsia="zh-CN"/>
        </w:rPr>
        <w:t>每个分标</w:t>
      </w:r>
      <w:r>
        <w:rPr>
          <w:rFonts w:hint="eastAsia" w:ascii="宋体" w:hAnsi="宋体" w:cs="宋体"/>
          <w:color w:val="auto"/>
          <w:kern w:val="0"/>
          <w:sz w:val="21"/>
          <w:szCs w:val="21"/>
          <w:highlight w:val="none"/>
        </w:rPr>
        <w:t>成交供应商应当在成交通知书发出前向采购代理机构一次性支付采购代理服务费，否则，其不利后果由成交供应商承担。</w:t>
      </w:r>
    </w:p>
    <w:p w14:paraId="243F2F03">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1821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09586916">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mc:AlternateContent>
                <mc:Choice Requires="wps">
                  <w:drawing>
                    <wp:anchor distT="0" distB="0" distL="114300" distR="114300" simplePos="0" relativeHeight="251662336" behindDoc="0" locked="0" layoutInCell="1" allowOverlap="1">
                      <wp:simplePos x="0" y="0"/>
                      <wp:positionH relativeFrom="column">
                        <wp:posOffset>-40005</wp:posOffset>
                      </wp:positionH>
                      <wp:positionV relativeFrom="paragraph">
                        <wp:posOffset>188595</wp:posOffset>
                      </wp:positionV>
                      <wp:extent cx="1804670" cy="214630"/>
                      <wp:effectExtent l="635" t="4445" r="4445" b="9525"/>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3.15pt;margin-top:14.85pt;height:16.9pt;width:142.1pt;z-index:251662336;mso-width-relative:page;mso-height-relative:page;" filled="f" stroked="t" coordsize="21600,21600" o:gfxdata="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qfBStgAAAAIAQAADwAAAAAAAAABACAAAAAiAAAAZHJzL2Rvd25yZXYueG1sUEsBAhQAFAAAAAgA&#10;h07iQIFK2k3sAQAA5AMAAA4AAAAAAAAAAQAgAAAAJwEAAGRycy9lMm9Eb2MueG1sUEsFBgAAAAAG&#10;AAYAWQEAAIUFA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mc:AlternateContent>
                <mc:Choice Requires="wps">
                  <w:drawing>
                    <wp:anchor distT="0" distB="0" distL="114300" distR="114300" simplePos="0" relativeHeight="251661312" behindDoc="0" locked="0" layoutInCell="1" allowOverlap="1">
                      <wp:simplePos x="0" y="0"/>
                      <wp:positionH relativeFrom="column">
                        <wp:posOffset>296545</wp:posOffset>
                      </wp:positionH>
                      <wp:positionV relativeFrom="paragraph">
                        <wp:posOffset>10795</wp:posOffset>
                      </wp:positionV>
                      <wp:extent cx="1424940" cy="392430"/>
                      <wp:effectExtent l="1270" t="4445" r="2540" b="2222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30.9pt;width:112.2pt;z-index:251661312;mso-width-relative:page;mso-height-relative:page;" filled="f" stroked="t" coordsize="21600,21600" o:gfxdata="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yP&#10;lXzWAAAABw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11DC0418">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lang w:eastAsia="zh-CN"/>
              </w:rPr>
              <w:t>成交</w:t>
            </w:r>
            <w:r>
              <w:rPr>
                <w:rFonts w:hint="eastAsia" w:ascii="宋体" w:hAnsi="宋体" w:cs="宋体"/>
                <w:color w:val="auto"/>
                <w:kern w:val="0"/>
                <w:sz w:val="21"/>
                <w:szCs w:val="20"/>
                <w:highlight w:val="none"/>
              </w:rPr>
              <w:t>金额</w:t>
            </w:r>
          </w:p>
        </w:tc>
        <w:tc>
          <w:tcPr>
            <w:tcW w:w="1858" w:type="dxa"/>
            <w:vAlign w:val="center"/>
          </w:tcPr>
          <w:p w14:paraId="18A60DBE">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5B2751B7">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4023AD40">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7B88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2908" w:type="dxa"/>
          </w:tcPr>
          <w:p w14:paraId="5E097F66">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4FACD6DC">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5452ACC0">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3F25DD36">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4EA3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1C474C66">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29D9150C">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132C8882">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6DB51AB8">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6BEC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3A474DF7">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181DEE6B">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3C76DD0C">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6F8273C3">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73F6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7D39A9D5">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6BA0D3C5">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49FFCA3C">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0EE39E47">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bl>
    <w:p w14:paraId="11331A00">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r>
        <w:rPr>
          <w:rFonts w:hint="eastAsia" w:ascii="宋体" w:hAnsi="宋体" w:cs="宋体"/>
          <w:color w:val="auto"/>
          <w:kern w:val="0"/>
          <w:sz w:val="21"/>
          <w:szCs w:val="21"/>
          <w:highlight w:val="none"/>
        </w:rPr>
        <w:t>。</w:t>
      </w:r>
    </w:p>
    <w:p w14:paraId="1CFFFD57">
      <w:pPr>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6AE28A92">
      <w:pPr>
        <w:spacing w:line="400" w:lineRule="exact"/>
        <w:ind w:firstLine="840" w:firstLineChars="400"/>
        <w:outlineLvl w:val="9"/>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账户名称：江西银信工程造价咨询有限公司七星分公司</w:t>
      </w:r>
    </w:p>
    <w:p w14:paraId="282BE110">
      <w:pPr>
        <w:spacing w:line="400" w:lineRule="exact"/>
        <w:ind w:firstLine="422"/>
        <w:outlineLvl w:val="9"/>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 xml:space="preserve">    开户银行：广西临桂农村商业银行股份有限公司城区支行</w:t>
      </w:r>
    </w:p>
    <w:p w14:paraId="01A2BE06">
      <w:pPr>
        <w:spacing w:line="400" w:lineRule="exact"/>
        <w:ind w:firstLine="422"/>
        <w:outlineLvl w:val="9"/>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 xml:space="preserve">    银行账号：3683 1201 0114 0311 79</w:t>
      </w:r>
    </w:p>
    <w:p w14:paraId="38F765F8">
      <w:pPr>
        <w:spacing w:line="400" w:lineRule="exact"/>
        <w:ind w:firstLine="422"/>
        <w:outlineLvl w:val="2"/>
        <w:rPr>
          <w:rFonts w:hint="eastAsia" w:ascii="宋体" w:hAnsi="宋体" w:cs="宋体"/>
          <w:color w:val="auto"/>
          <w:kern w:val="0"/>
          <w:sz w:val="21"/>
          <w:szCs w:val="21"/>
          <w:highlight w:val="none"/>
        </w:rPr>
      </w:pPr>
      <w:r>
        <w:rPr>
          <w:rFonts w:hint="eastAsia" w:ascii="宋体" w:hAnsi="宋体" w:cs="宋体"/>
          <w:b/>
          <w:color w:val="auto"/>
          <w:kern w:val="0"/>
          <w:sz w:val="21"/>
          <w:szCs w:val="24"/>
          <w:highlight w:val="none"/>
        </w:rPr>
        <w:t>32.解释权：</w:t>
      </w:r>
      <w:r>
        <w:rPr>
          <w:rFonts w:hint="eastAsia" w:ascii="宋体" w:hAnsi="宋体" w:cs="宋体"/>
          <w:color w:val="auto"/>
          <w:kern w:val="0"/>
          <w:sz w:val="21"/>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p w14:paraId="7EA57CA1">
      <w:pPr>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33.广西线上“政采贷”政策详见附表4。</w:t>
      </w:r>
    </w:p>
    <w:p w14:paraId="527403D0">
      <w:pPr>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34.监督管理机构：</w:t>
      </w:r>
      <w:r>
        <w:rPr>
          <w:rFonts w:hint="eastAsia" w:ascii="宋体" w:hAnsi="宋体" w:cs="宋体"/>
          <w:b w:val="0"/>
          <w:bCs/>
          <w:color w:val="auto"/>
          <w:kern w:val="0"/>
          <w:sz w:val="21"/>
          <w:szCs w:val="24"/>
          <w:highlight w:val="none"/>
          <w:lang w:eastAsia="zh-CN"/>
        </w:rPr>
        <w:t>桂林市</w:t>
      </w:r>
      <w:r>
        <w:rPr>
          <w:rFonts w:hint="eastAsia" w:ascii="宋体" w:hAnsi="宋体" w:cs="宋体"/>
          <w:color w:val="auto"/>
          <w:kern w:val="0"/>
          <w:sz w:val="21"/>
          <w:szCs w:val="21"/>
          <w:highlight w:val="none"/>
          <w:lang w:eastAsia="zh-CN"/>
        </w:rPr>
        <w:t>叠彩区财政局</w:t>
      </w:r>
      <w:r>
        <w:rPr>
          <w:rFonts w:hint="eastAsia" w:ascii="宋体" w:hAnsi="宋体" w:cs="宋体"/>
          <w:color w:val="auto"/>
          <w:kern w:val="0"/>
          <w:sz w:val="21"/>
          <w:szCs w:val="21"/>
          <w:highlight w:val="none"/>
        </w:rPr>
        <w:t>； 联系电话：</w:t>
      </w:r>
      <w:r>
        <w:rPr>
          <w:rFonts w:hint="eastAsia" w:ascii="宋体" w:hAnsi="宋体" w:cs="宋体"/>
          <w:color w:val="auto"/>
          <w:kern w:val="0"/>
          <w:sz w:val="21"/>
          <w:szCs w:val="21"/>
          <w:highlight w:val="none"/>
          <w:lang w:eastAsia="zh-CN"/>
        </w:rPr>
        <w:t>0</w:t>
      </w:r>
      <w:r>
        <w:rPr>
          <w:rFonts w:hint="eastAsia" w:ascii="宋体" w:hAnsi="宋体" w:cs="宋体"/>
          <w:color w:val="auto"/>
          <w:kern w:val="0"/>
          <w:sz w:val="21"/>
          <w:szCs w:val="21"/>
          <w:highlight w:val="none"/>
          <w:lang w:eastAsia="zh-CN"/>
        </w:rPr>
        <w:t>773-8983695</w:t>
      </w:r>
      <w:r>
        <w:rPr>
          <w:color w:val="auto"/>
          <w:sz w:val="21"/>
          <w:szCs w:val="21"/>
          <w:highlight w:val="none"/>
        </w:rPr>
        <w:br w:type="page"/>
      </w:r>
      <w:r>
        <w:rPr>
          <w:rFonts w:hint="eastAsia"/>
          <w:color w:val="auto"/>
          <w:highlight w:val="none"/>
        </w:rPr>
        <w:t>附表1：</w:t>
      </w:r>
    </w:p>
    <w:p w14:paraId="75305B61">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质疑函（格式）</w:t>
      </w:r>
    </w:p>
    <w:p w14:paraId="347E817A">
      <w:pPr>
        <w:snapToGrid w:val="0"/>
        <w:spacing w:line="36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32BB62B7">
      <w:pPr>
        <w:snapToGrid w:val="0"/>
        <w:spacing w:line="36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bCs/>
          <w:color w:val="auto"/>
          <w:sz w:val="21"/>
          <w:szCs w:val="20"/>
          <w:highlight w:val="none"/>
          <w:u w:val="single"/>
        </w:rPr>
        <w:t xml:space="preserve">                                                                 </w:t>
      </w:r>
    </w:p>
    <w:p w14:paraId="39F1741A">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62BE3AAF">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联系人：联系电话：</w:t>
      </w:r>
      <w:r>
        <w:rPr>
          <w:rFonts w:hint="eastAsia" w:ascii="宋体" w:hAnsi="宋体" w:cs="宋体"/>
          <w:bCs/>
          <w:color w:val="auto"/>
          <w:sz w:val="21"/>
          <w:szCs w:val="20"/>
          <w:highlight w:val="none"/>
          <w:u w:val="single"/>
        </w:rPr>
        <w:t xml:space="preserve">                                                                 </w:t>
      </w:r>
    </w:p>
    <w:p w14:paraId="731AFF0B">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p>
    <w:p w14:paraId="343D2EE5">
      <w:pPr>
        <w:snapToGrid w:val="0"/>
        <w:spacing w:line="36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638AAAC3">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4283FA44">
      <w:pPr>
        <w:snapToGrid w:val="0"/>
        <w:spacing w:line="36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49D29C21">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7D4C570B">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26BCDEAA">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43294EB3">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w:t>
      </w:r>
      <w:r>
        <w:rPr>
          <w:rFonts w:hint="eastAsia" w:ascii="宋体" w:hAnsi="宋体" w:cs="宋体"/>
          <w:bCs/>
          <w:color w:val="auto"/>
          <w:sz w:val="21"/>
          <w:szCs w:val="20"/>
          <w:highlight w:val="none"/>
          <w:u w:val="single"/>
        </w:rPr>
        <w:t xml:space="preserve">                                                                 </w:t>
      </w:r>
    </w:p>
    <w:p w14:paraId="2F3939E9">
      <w:pPr>
        <w:spacing w:line="360" w:lineRule="exact"/>
        <w:ind w:left="29" w:leftChars="12" w:firstLine="441" w:firstLineChars="147"/>
        <w:rPr>
          <w:rFonts w:hint="eastAsia"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谈判文件   谈判文件获取日期：</w:t>
      </w:r>
      <w:r>
        <w:rPr>
          <w:rFonts w:hint="eastAsia" w:ascii="宋体" w:hAnsi="宋体" w:cs="宋体"/>
          <w:bCs/>
          <w:color w:val="auto"/>
          <w:sz w:val="21"/>
          <w:szCs w:val="20"/>
          <w:highlight w:val="none"/>
          <w:u w:val="single"/>
        </w:rPr>
        <w:t xml:space="preserve">                                                                 </w:t>
      </w:r>
    </w:p>
    <w:p w14:paraId="3B1B1D44">
      <w:pPr>
        <w:spacing w:line="360" w:lineRule="exact"/>
        <w:ind w:left="29" w:leftChars="12" w:firstLine="441" w:firstLineChars="147"/>
        <w:rPr>
          <w:rFonts w:hint="eastAsia"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5FAF1C4A">
      <w:pPr>
        <w:spacing w:line="360" w:lineRule="exact"/>
        <w:ind w:left="29" w:leftChars="12" w:firstLine="441" w:firstLineChars="147"/>
        <w:rPr>
          <w:rFonts w:hint="eastAsia"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3B657512">
      <w:pPr>
        <w:spacing w:line="36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3A812500">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质疑事项1：</w:t>
      </w:r>
    </w:p>
    <w:p w14:paraId="125E50B6">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bCs/>
          <w:color w:val="auto"/>
          <w:sz w:val="21"/>
          <w:szCs w:val="20"/>
          <w:highlight w:val="none"/>
          <w:u w:val="single"/>
        </w:rPr>
        <w:t xml:space="preserve">                                                                 </w:t>
      </w:r>
    </w:p>
    <w:p w14:paraId="42B7A206">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bCs/>
          <w:color w:val="auto"/>
          <w:sz w:val="21"/>
          <w:szCs w:val="20"/>
          <w:highlight w:val="none"/>
          <w:u w:val="single"/>
        </w:rPr>
        <w:t xml:space="preserve">                                                                 </w:t>
      </w:r>
    </w:p>
    <w:p w14:paraId="2E653EA6">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质疑事项2</w:t>
      </w:r>
    </w:p>
    <w:p w14:paraId="24E9B49C">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w:t>
      </w:r>
    </w:p>
    <w:p w14:paraId="728BB177">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292EB83B">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63E473C5">
      <w:pPr>
        <w:spacing w:line="360" w:lineRule="exact"/>
        <w:ind w:left="29" w:leftChars="12" w:firstLine="308" w:firstLineChars="147"/>
        <w:rPr>
          <w:rFonts w:hint="eastAsia" w:ascii="宋体" w:hAnsi="宋体" w:cs="宋体"/>
          <w:color w:val="auto"/>
          <w:sz w:val="21"/>
          <w:szCs w:val="21"/>
          <w:highlight w:val="none"/>
        </w:rPr>
      </w:pPr>
    </w:p>
    <w:p w14:paraId="3DF54D85">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2F0E1CDA">
      <w:pPr>
        <w:spacing w:line="360" w:lineRule="exact"/>
        <w:ind w:left="29" w:leftChars="12" w:firstLine="308" w:firstLineChars="147"/>
        <w:rPr>
          <w:rFonts w:hint="eastAsia" w:ascii="宋体" w:hAnsi="宋体" w:cs="宋体"/>
          <w:color w:val="auto"/>
          <w:sz w:val="21"/>
          <w:szCs w:val="21"/>
          <w:highlight w:val="none"/>
        </w:rPr>
      </w:pPr>
    </w:p>
    <w:p w14:paraId="34023F9A">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日期：</w:t>
      </w:r>
    </w:p>
    <w:p w14:paraId="7915AB47">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说明：</w:t>
      </w:r>
    </w:p>
    <w:p w14:paraId="3F5440D7">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5A5500AA">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2394DF7">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060DE79B">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14A58577">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22A01A43">
      <w:pPr>
        <w:snapToGrid w:val="0"/>
        <w:spacing w:line="340" w:lineRule="exact"/>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附表2：</w:t>
      </w:r>
    </w:p>
    <w:p w14:paraId="5BE50F4F">
      <w:pPr>
        <w:spacing w:line="240" w:lineRule="auto"/>
        <w:ind w:left="2940" w:firstLine="0" w:firstLineChars="0"/>
        <w:rPr>
          <w:color w:val="auto"/>
          <w:sz w:val="21"/>
          <w:szCs w:val="24"/>
          <w:highlight w:val="none"/>
        </w:rPr>
      </w:pPr>
    </w:p>
    <w:p w14:paraId="6083A5C0">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投诉书（格式）</w:t>
      </w:r>
    </w:p>
    <w:p w14:paraId="29DBD81E">
      <w:pPr>
        <w:snapToGrid w:val="0"/>
        <w:spacing w:line="400" w:lineRule="exact"/>
        <w:ind w:firstLine="422"/>
        <w:rPr>
          <w:rFonts w:hint="eastAsia" w:ascii="宋体" w:hAnsi="宋体" w:cs="宋体"/>
          <w:b/>
          <w:bCs/>
          <w:color w:val="auto"/>
          <w:sz w:val="21"/>
          <w:szCs w:val="20"/>
          <w:highlight w:val="none"/>
        </w:rPr>
      </w:pPr>
    </w:p>
    <w:p w14:paraId="091F290A">
      <w:pPr>
        <w:snapToGrid w:val="0"/>
        <w:spacing w:line="40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78F88118">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bCs/>
          <w:color w:val="auto"/>
          <w:sz w:val="21"/>
          <w:szCs w:val="20"/>
          <w:highlight w:val="none"/>
          <w:u w:val="single"/>
        </w:rPr>
        <w:t xml:space="preserve">                                                                 </w:t>
      </w:r>
    </w:p>
    <w:p w14:paraId="55B022A2">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014CE231">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bCs/>
          <w:color w:val="auto"/>
          <w:sz w:val="21"/>
          <w:szCs w:val="20"/>
          <w:highlight w:val="none"/>
          <w:u w:val="single"/>
        </w:rPr>
        <w:t xml:space="preserve">                                                                 </w:t>
      </w:r>
    </w:p>
    <w:p w14:paraId="16979F90">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6B3F78CD">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授权代表：联系电话：</w:t>
      </w:r>
      <w:r>
        <w:rPr>
          <w:rFonts w:hint="eastAsia" w:ascii="宋体" w:hAnsi="宋体" w:cs="宋体"/>
          <w:bCs/>
          <w:color w:val="auto"/>
          <w:sz w:val="21"/>
          <w:szCs w:val="20"/>
          <w:highlight w:val="none"/>
          <w:u w:val="single"/>
        </w:rPr>
        <w:t xml:space="preserve">                                                                 </w:t>
      </w:r>
    </w:p>
    <w:p w14:paraId="6278A57E">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762B818B">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被投诉人1：</w:t>
      </w:r>
    </w:p>
    <w:p w14:paraId="0FD66926">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1620CD71">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联系人：联系电话：</w:t>
      </w:r>
      <w:r>
        <w:rPr>
          <w:rFonts w:hint="eastAsia" w:ascii="宋体" w:hAnsi="宋体" w:cs="宋体"/>
          <w:bCs/>
          <w:color w:val="auto"/>
          <w:sz w:val="21"/>
          <w:szCs w:val="20"/>
          <w:highlight w:val="none"/>
          <w:u w:val="single"/>
        </w:rPr>
        <w:t xml:space="preserve">                                                                 </w:t>
      </w:r>
    </w:p>
    <w:p w14:paraId="3B5D514A">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014E1E1D">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w:t>
      </w:r>
    </w:p>
    <w:p w14:paraId="24AC5BEA">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bCs/>
          <w:color w:val="auto"/>
          <w:sz w:val="21"/>
          <w:szCs w:val="20"/>
          <w:highlight w:val="none"/>
          <w:u w:val="single"/>
        </w:rPr>
        <w:t xml:space="preserve">                                                                      </w:t>
      </w:r>
    </w:p>
    <w:p w14:paraId="142D25DF">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142A0037">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4A803854">
      <w:pPr>
        <w:snapToGrid w:val="0"/>
        <w:spacing w:line="40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4FC47E8E">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74F7E08E">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1C03B7F3">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705A7357">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bCs/>
          <w:color w:val="auto"/>
          <w:sz w:val="21"/>
          <w:szCs w:val="20"/>
          <w:highlight w:val="none"/>
          <w:u w:val="single"/>
        </w:rPr>
        <w:t xml:space="preserve">                                                                 </w:t>
      </w:r>
    </w:p>
    <w:p w14:paraId="7D31C661">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0CDFE368">
      <w:pPr>
        <w:spacing w:line="400" w:lineRule="exact"/>
        <w:ind w:left="29" w:leftChars="12" w:firstLine="413" w:firstLineChars="197"/>
        <w:rPr>
          <w:rFonts w:hint="eastAsia"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4C19FECC">
      <w:pPr>
        <w:spacing w:line="40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373E144F">
      <w:pPr>
        <w:spacing w:line="400" w:lineRule="exact"/>
        <w:ind w:left="29" w:leftChars="12" w:firstLine="833" w:firstLineChars="397"/>
        <w:rPr>
          <w:rFonts w:hint="eastAsia"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日，向提出质疑，质疑事项为：</w:t>
      </w:r>
      <w:r>
        <w:rPr>
          <w:rFonts w:hint="eastAsia" w:ascii="宋体" w:hAnsi="宋体" w:cs="宋体"/>
          <w:bCs/>
          <w:color w:val="auto"/>
          <w:sz w:val="21"/>
          <w:szCs w:val="20"/>
          <w:highlight w:val="none"/>
          <w:u w:val="single"/>
        </w:rPr>
        <w:t xml:space="preserve">                                    </w:t>
      </w:r>
    </w:p>
    <w:p w14:paraId="5DCA319E">
      <w:pPr>
        <w:spacing w:line="400" w:lineRule="exact"/>
        <w:ind w:firstLine="0" w:firstLineChars="0"/>
        <w:rPr>
          <w:rFonts w:hint="eastAsia" w:ascii="宋体" w:hAnsi="宋体" w:cs="宋体"/>
          <w:bCs/>
          <w:color w:val="auto"/>
          <w:sz w:val="21"/>
          <w:szCs w:val="20"/>
          <w:highlight w:val="none"/>
          <w:u w:val="single"/>
        </w:rPr>
      </w:pPr>
    </w:p>
    <w:p w14:paraId="423DC1E0">
      <w:pPr>
        <w:spacing w:line="400" w:lineRule="exact"/>
        <w:ind w:firstLine="0" w:firstLineChars="0"/>
        <w:rPr>
          <w:rFonts w:hint="eastAsia" w:ascii="宋体" w:hAnsi="宋体" w:cs="宋体"/>
          <w:bCs/>
          <w:color w:val="auto"/>
          <w:sz w:val="21"/>
          <w:szCs w:val="20"/>
          <w:highlight w:val="none"/>
          <w:u w:val="single"/>
        </w:rPr>
      </w:pPr>
    </w:p>
    <w:p w14:paraId="4AE0767B">
      <w:pPr>
        <w:spacing w:line="400" w:lineRule="exact"/>
        <w:ind w:firstLine="0" w:firstLineChars="0"/>
        <w:rPr>
          <w:rFonts w:hint="eastAsia"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03E85BD0">
      <w:pPr>
        <w:spacing w:line="40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2E9BB1E4">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投诉事项1：</w:t>
      </w:r>
    </w:p>
    <w:p w14:paraId="3300BFA1">
      <w:pPr>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bCs/>
          <w:color w:val="auto"/>
          <w:sz w:val="21"/>
          <w:szCs w:val="20"/>
          <w:highlight w:val="none"/>
          <w:u w:val="single"/>
        </w:rPr>
        <w:t xml:space="preserve">                               </w:t>
      </w:r>
    </w:p>
    <w:p w14:paraId="71AE95C8">
      <w:pPr>
        <w:spacing w:line="400" w:lineRule="exact"/>
        <w:ind w:left="29" w:leftChars="12" w:firstLine="413" w:firstLineChars="197"/>
        <w:rPr>
          <w:rFonts w:hint="eastAsia" w:ascii="宋体" w:hAnsi="宋体" w:cs="宋体"/>
          <w:color w:val="auto"/>
          <w:sz w:val="21"/>
          <w:szCs w:val="21"/>
          <w:highlight w:val="none"/>
        </w:rPr>
      </w:pPr>
    </w:p>
    <w:p w14:paraId="172BAD0B">
      <w:pPr>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bCs/>
          <w:color w:val="auto"/>
          <w:sz w:val="21"/>
          <w:szCs w:val="20"/>
          <w:highlight w:val="none"/>
          <w:u w:val="single"/>
        </w:rPr>
        <w:t xml:space="preserve">                               </w:t>
      </w:r>
    </w:p>
    <w:p w14:paraId="00B3D577">
      <w:pPr>
        <w:spacing w:line="400" w:lineRule="exact"/>
        <w:ind w:left="29" w:leftChars="12" w:firstLine="308" w:firstLineChars="147"/>
        <w:rPr>
          <w:rFonts w:hint="eastAsia" w:ascii="宋体" w:hAnsi="宋体" w:cs="宋体"/>
          <w:bCs/>
          <w:color w:val="auto"/>
          <w:sz w:val="21"/>
          <w:szCs w:val="20"/>
          <w:highlight w:val="none"/>
          <w:u w:val="single"/>
        </w:rPr>
      </w:pPr>
    </w:p>
    <w:p w14:paraId="09F359AB">
      <w:pPr>
        <w:spacing w:line="400" w:lineRule="exact"/>
        <w:ind w:left="29" w:leftChars="12" w:firstLine="413" w:firstLineChars="197"/>
        <w:rPr>
          <w:rFonts w:hint="eastAsia"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7B2F6230">
      <w:pPr>
        <w:spacing w:line="400" w:lineRule="exact"/>
        <w:ind w:left="29" w:leftChars="12" w:firstLine="413" w:firstLineChars="197"/>
        <w:rPr>
          <w:rFonts w:hint="eastAsia" w:ascii="宋体" w:hAnsi="宋体" w:cs="宋体"/>
          <w:bCs/>
          <w:color w:val="auto"/>
          <w:sz w:val="21"/>
          <w:szCs w:val="20"/>
          <w:highlight w:val="none"/>
        </w:rPr>
      </w:pPr>
      <w:r>
        <w:rPr>
          <w:rFonts w:hint="eastAsia" w:ascii="宋体" w:hAnsi="宋体" w:cs="宋体"/>
          <w:bCs/>
          <w:color w:val="auto"/>
          <w:sz w:val="21"/>
          <w:szCs w:val="20"/>
          <w:highlight w:val="none"/>
        </w:rPr>
        <w:t>……</w:t>
      </w:r>
    </w:p>
    <w:p w14:paraId="35AF89D3">
      <w:pPr>
        <w:spacing w:line="40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D56D11C">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3C5D669E">
      <w:pPr>
        <w:spacing w:line="400" w:lineRule="exact"/>
        <w:ind w:left="29" w:leftChars="12" w:firstLine="308" w:firstLineChars="147"/>
        <w:rPr>
          <w:rFonts w:hint="eastAsia" w:ascii="宋体" w:hAnsi="宋体" w:cs="宋体"/>
          <w:color w:val="auto"/>
          <w:sz w:val="21"/>
          <w:szCs w:val="21"/>
          <w:highlight w:val="none"/>
        </w:rPr>
      </w:pPr>
    </w:p>
    <w:p w14:paraId="587725B6">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 xml:space="preserve">          公章：</w:t>
      </w:r>
      <w:r>
        <w:rPr>
          <w:rFonts w:hint="eastAsia" w:ascii="宋体" w:hAnsi="宋体" w:cs="宋体"/>
          <w:bCs/>
          <w:color w:val="auto"/>
          <w:sz w:val="21"/>
          <w:szCs w:val="20"/>
          <w:highlight w:val="none"/>
          <w:u w:val="single"/>
        </w:rPr>
        <w:t xml:space="preserve">                               </w:t>
      </w:r>
    </w:p>
    <w:p w14:paraId="3E494A60">
      <w:pPr>
        <w:spacing w:line="400" w:lineRule="exact"/>
        <w:ind w:left="29" w:leftChars="12" w:firstLine="308" w:firstLineChars="147"/>
        <w:rPr>
          <w:rFonts w:hint="eastAsia" w:ascii="宋体" w:hAnsi="宋体" w:cs="宋体"/>
          <w:color w:val="auto"/>
          <w:sz w:val="21"/>
          <w:szCs w:val="21"/>
          <w:highlight w:val="none"/>
        </w:rPr>
      </w:pPr>
    </w:p>
    <w:p w14:paraId="2F22FE79">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日期：</w:t>
      </w:r>
      <w:r>
        <w:rPr>
          <w:rFonts w:hint="eastAsia" w:ascii="宋体" w:hAnsi="宋体" w:cs="宋体"/>
          <w:bCs/>
          <w:color w:val="auto"/>
          <w:sz w:val="21"/>
          <w:szCs w:val="20"/>
          <w:highlight w:val="none"/>
          <w:u w:val="single"/>
        </w:rPr>
        <w:t xml:space="preserve">                               </w:t>
      </w:r>
    </w:p>
    <w:p w14:paraId="28194DDE">
      <w:pPr>
        <w:spacing w:line="360" w:lineRule="exact"/>
        <w:ind w:left="29" w:leftChars="12" w:firstLine="413" w:firstLineChars="197"/>
        <w:rPr>
          <w:rFonts w:hint="eastAsia" w:ascii="宋体" w:hAnsi="宋体" w:cs="宋体"/>
          <w:color w:val="auto"/>
          <w:sz w:val="21"/>
          <w:szCs w:val="21"/>
          <w:highlight w:val="none"/>
        </w:rPr>
      </w:pPr>
    </w:p>
    <w:p w14:paraId="09CCA789">
      <w:pPr>
        <w:snapToGrid w:val="0"/>
        <w:spacing w:line="340" w:lineRule="exact"/>
        <w:ind w:firstLine="0" w:firstLineChars="0"/>
        <w:rPr>
          <w:rFonts w:hint="eastAsia" w:ascii="宋体" w:hAnsi="宋体" w:cs="宋体"/>
          <w:b/>
          <w:color w:val="auto"/>
          <w:sz w:val="21"/>
          <w:szCs w:val="21"/>
          <w:highlight w:val="none"/>
        </w:rPr>
      </w:pPr>
    </w:p>
    <w:p w14:paraId="3CC071D2">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说明：</w:t>
      </w:r>
    </w:p>
    <w:p w14:paraId="1116AA86">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0C0ADADB">
      <w:pPr>
        <w:spacing w:line="340" w:lineRule="exact"/>
        <w:ind w:left="29" w:leftChars="12" w:firstLine="310" w:firstLineChars="147"/>
        <w:rPr>
          <w:rFonts w:hint="eastAsia" w:ascii="宋体" w:hAnsi="宋体"/>
          <w:b/>
          <w:color w:val="auto"/>
          <w:sz w:val="21"/>
          <w:szCs w:val="20"/>
          <w:highlight w:val="none"/>
        </w:rPr>
      </w:pPr>
      <w:r>
        <w:rPr>
          <w:rFonts w:hint="eastAsia" w:ascii="宋体" w:hAnsi="宋体" w:cs="宋体"/>
          <w:b/>
          <w:color w:val="auto"/>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DE93B7D">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4110FC57">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2ADEE7F5">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542A7BE5">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218CDA88">
      <w:pPr>
        <w:spacing w:line="340" w:lineRule="exact"/>
        <w:ind w:left="29" w:leftChars="12" w:firstLine="310" w:firstLineChars="147"/>
        <w:rPr>
          <w:rFonts w:hint="eastAsia" w:ascii="宋体" w:hAnsi="宋体" w:cs="宋体"/>
          <w:b/>
          <w:color w:val="auto"/>
          <w:kern w:val="0"/>
          <w:sz w:val="21"/>
          <w:szCs w:val="21"/>
          <w:highlight w:val="none"/>
        </w:rPr>
      </w:pPr>
    </w:p>
    <w:p w14:paraId="6917A053">
      <w:pPr>
        <w:spacing w:line="340" w:lineRule="exact"/>
        <w:ind w:left="29" w:leftChars="12" w:firstLine="310" w:firstLineChars="147"/>
        <w:rPr>
          <w:rFonts w:hint="eastAsia" w:ascii="宋体" w:hAnsi="宋体"/>
          <w:b/>
          <w:color w:val="auto"/>
          <w:kern w:val="0"/>
          <w:sz w:val="21"/>
          <w:szCs w:val="21"/>
          <w:highlight w:val="none"/>
        </w:rPr>
      </w:pPr>
    </w:p>
    <w:p w14:paraId="1CA23461">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7EBD3F50">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78E2B4CD">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24C597EE">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61F66FD8">
      <w:pPr>
        <w:pStyle w:val="18"/>
        <w:rPr>
          <w:rFonts w:hint="eastAsia"/>
          <w:color w:val="auto"/>
          <w:highlight w:val="none"/>
          <w:lang w:val="en-US" w:bidi="ar-SA"/>
        </w:rPr>
      </w:pPr>
    </w:p>
    <w:p w14:paraId="6C71E733">
      <w:pPr>
        <w:pStyle w:val="18"/>
        <w:rPr>
          <w:rFonts w:hint="eastAsia"/>
          <w:color w:val="auto"/>
          <w:highlight w:val="none"/>
          <w:lang w:val="en-US" w:bidi="ar-SA"/>
        </w:rPr>
      </w:pPr>
    </w:p>
    <w:p w14:paraId="6BD85D66">
      <w:pPr>
        <w:snapToGrid w:val="0"/>
        <w:spacing w:line="340" w:lineRule="exact"/>
        <w:ind w:firstLine="0" w:firstLineChars="0"/>
        <w:rPr>
          <w:rFonts w:hint="eastAsia" w:ascii="宋体" w:hAnsi="宋体" w:cs="宋体"/>
          <w:color w:val="auto"/>
          <w:szCs w:val="24"/>
          <w:highlight w:val="none"/>
        </w:rPr>
      </w:pPr>
    </w:p>
    <w:p w14:paraId="1C99D0A2">
      <w:pPr>
        <w:snapToGrid w:val="0"/>
        <w:spacing w:line="340" w:lineRule="exact"/>
        <w:ind w:firstLine="0" w:firstLineChars="0"/>
        <w:rPr>
          <w:rFonts w:hint="eastAsia" w:ascii="宋体" w:hAnsi="宋体" w:cs="宋体"/>
          <w:color w:val="auto"/>
          <w:szCs w:val="24"/>
          <w:highlight w:val="none"/>
        </w:rPr>
      </w:pPr>
    </w:p>
    <w:p w14:paraId="459D90DB">
      <w:pPr>
        <w:snapToGrid w:val="0"/>
        <w:spacing w:line="340" w:lineRule="exact"/>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附表3：</w:t>
      </w:r>
    </w:p>
    <w:p w14:paraId="251B63C3">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桂林市政府采购项目合同验收书（格式）</w:t>
      </w:r>
    </w:p>
    <w:p w14:paraId="5ACBD569">
      <w:pPr>
        <w:widowControl/>
        <w:spacing w:line="600" w:lineRule="atLeast"/>
        <w:ind w:firstLine="0" w:firstLineChars="0"/>
        <w:jc w:val="center"/>
        <w:rPr>
          <w:rFonts w:hint="eastAsia" w:ascii="方正小标宋简体" w:hAnsi="仿宋" w:eastAsia="方正小标宋简体"/>
          <w:color w:val="auto"/>
          <w:kern w:val="0"/>
          <w:sz w:val="36"/>
          <w:szCs w:val="36"/>
          <w:highlight w:val="none"/>
        </w:rPr>
      </w:pPr>
    </w:p>
    <w:p w14:paraId="14CC3513">
      <w:pPr>
        <w:widowControl/>
        <w:spacing w:line="460" w:lineRule="exact"/>
        <w:ind w:firstLine="482" w:firstLineChars="0"/>
        <w:jc w:val="left"/>
        <w:rPr>
          <w:rFonts w:hint="eastAsia"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w:t>
      </w:r>
      <w:r>
        <w:rPr>
          <w:rFonts w:ascii="宋体" w:hAnsi="宋体"/>
          <w:color w:val="auto"/>
          <w:kern w:val="0"/>
          <w:szCs w:val="24"/>
          <w:highlight w:val="none"/>
        </w:rPr>
        <w:t> </w:t>
      </w:r>
      <w:r>
        <w:rPr>
          <w:rFonts w:hint="eastAsia" w:ascii="宋体" w:hAnsi="宋体" w:cs="仿宋"/>
          <w:color w:val="auto"/>
          <w:kern w:val="0"/>
          <w:szCs w:val="24"/>
          <w:highlight w:val="none"/>
        </w:rPr>
        <w:t>提供的货物进行了验收，验收情况如下：</w:t>
      </w:r>
    </w:p>
    <w:tbl>
      <w:tblPr>
        <w:tblStyle w:val="46"/>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3623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0D80BDF2">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24B58185">
            <w:pPr>
              <w:widowControl/>
              <w:spacing w:line="320" w:lineRule="atLeast"/>
              <w:ind w:firstLine="480" w:firstLineChars="0"/>
              <w:jc w:val="center"/>
              <w:rPr>
                <w:rFonts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388F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72D826E4">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25735DB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名</w:t>
            </w:r>
            <w:r>
              <w:rPr>
                <w:rFonts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3325FEC3">
            <w:pPr>
              <w:widowControl/>
              <w:spacing w:line="320" w:lineRule="atLeast"/>
              <w:ind w:firstLine="2"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货物型号规格、标准及配置等</w:t>
            </w:r>
          </w:p>
          <w:p w14:paraId="7F49056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（或服务内容、标准）</w:t>
            </w:r>
          </w:p>
        </w:tc>
        <w:tc>
          <w:tcPr>
            <w:tcW w:w="998" w:type="dxa"/>
            <w:gridSpan w:val="2"/>
            <w:vAlign w:val="center"/>
          </w:tcPr>
          <w:p w14:paraId="49955843">
            <w:pPr>
              <w:widowControl/>
              <w:spacing w:line="320" w:lineRule="atLeast"/>
              <w:ind w:firstLine="0"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531432E0">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金</w:t>
            </w:r>
            <w:r>
              <w:rPr>
                <w:rFonts w:ascii="宋体"/>
                <w:color w:val="auto"/>
                <w:kern w:val="0"/>
                <w:sz w:val="21"/>
                <w:szCs w:val="24"/>
                <w:highlight w:val="none"/>
              </w:rPr>
              <w:t> </w:t>
            </w:r>
            <w:r>
              <w:rPr>
                <w:rFonts w:hint="eastAsia" w:ascii="宋体" w:hAnsi="宋体" w:cs="宋体"/>
                <w:color w:val="auto"/>
                <w:kern w:val="0"/>
                <w:sz w:val="21"/>
                <w:szCs w:val="24"/>
                <w:highlight w:val="none"/>
              </w:rPr>
              <w:t>额</w:t>
            </w:r>
          </w:p>
        </w:tc>
      </w:tr>
      <w:tr w14:paraId="2DF2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068B7F1">
            <w:pPr>
              <w:widowControl/>
              <w:spacing w:line="320" w:lineRule="atLeast"/>
              <w:ind w:firstLine="5"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6AC0FEC8">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4DD80C8C">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492E2C5A">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5AE8FA7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0A98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2C6521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6C085F3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1BC0780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64477FE1">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04E1C6A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251B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568E6CD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40FB36D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73F1BB3A">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3F23C480">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0C3AB65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5B19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601EA567">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w:t>
            </w:r>
            <w:r>
              <w:rPr>
                <w:rFonts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53A4E80B">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6CE3DC9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027B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32E59E3A">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万</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元</w:t>
            </w:r>
          </w:p>
        </w:tc>
      </w:tr>
      <w:tr w14:paraId="45F8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36267D8C">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实际供货日期</w:t>
            </w:r>
          </w:p>
        </w:tc>
        <w:tc>
          <w:tcPr>
            <w:tcW w:w="3240" w:type="dxa"/>
            <w:gridSpan w:val="2"/>
            <w:vAlign w:val="center"/>
          </w:tcPr>
          <w:p w14:paraId="427621A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25F458CD">
            <w:pPr>
              <w:widowControl/>
              <w:spacing w:line="320" w:lineRule="atLeast"/>
              <w:ind w:firstLine="46"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合同交货验收日期</w:t>
            </w:r>
          </w:p>
        </w:tc>
        <w:tc>
          <w:tcPr>
            <w:tcW w:w="2160" w:type="dxa"/>
            <w:gridSpan w:val="2"/>
            <w:vAlign w:val="center"/>
          </w:tcPr>
          <w:p w14:paraId="54D7FF9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31CC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08C83A11">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240" w:type="dxa"/>
            <w:gridSpan w:val="2"/>
            <w:vAlign w:val="center"/>
          </w:tcPr>
          <w:p w14:paraId="6A9A81B0">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6712525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160" w:type="dxa"/>
            <w:gridSpan w:val="2"/>
            <w:vAlign w:val="center"/>
          </w:tcPr>
          <w:p w14:paraId="1B70A8A1">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413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7C4A99E3">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13FA741D">
            <w:pPr>
              <w:widowControl/>
              <w:spacing w:line="320" w:lineRule="atLeast"/>
              <w:ind w:firstLine="0" w:firstLineChars="0"/>
              <w:jc w:val="left"/>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（应按采购合同、采购文件、响应文件及验收方案等进行验收。可附件</w:t>
            </w:r>
            <w:r>
              <w:rPr>
                <w:rFonts w:hint="eastAsia" w:ascii="宋体" w:hAnsi="宋体" w:cs="宋体"/>
                <w:color w:val="auto"/>
                <w:kern w:val="0"/>
                <w:sz w:val="21"/>
                <w:szCs w:val="24"/>
                <w:highlight w:val="none"/>
                <w:lang w:eastAsia="zh-CN"/>
              </w:rPr>
              <w:t>）</w:t>
            </w:r>
          </w:p>
        </w:tc>
      </w:tr>
      <w:tr w14:paraId="02D4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75B2C93B">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52ECDD55">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4432C6DC">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p>
        </w:tc>
      </w:tr>
      <w:tr w14:paraId="10DA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vAlign w:val="center"/>
          </w:tcPr>
          <w:p w14:paraId="186C18A0">
            <w:pPr>
              <w:widowControl/>
              <w:spacing w:line="240" w:lineRule="auto"/>
              <w:ind w:firstLine="0" w:firstLineChars="0"/>
              <w:jc w:val="left"/>
              <w:rPr>
                <w:rFonts w:ascii="宋体"/>
                <w:color w:val="auto"/>
                <w:kern w:val="0"/>
                <w:sz w:val="21"/>
                <w:szCs w:val="24"/>
                <w:highlight w:val="none"/>
              </w:rPr>
            </w:pPr>
          </w:p>
        </w:tc>
        <w:tc>
          <w:tcPr>
            <w:tcW w:w="8100" w:type="dxa"/>
            <w:gridSpan w:val="6"/>
            <w:vAlign w:val="center"/>
          </w:tcPr>
          <w:p w14:paraId="2E59F34D">
            <w:pPr>
              <w:widowControl/>
              <w:spacing w:line="320" w:lineRule="atLeast"/>
              <w:ind w:firstLine="96"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194D8535">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2F2C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6A9F5C36">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4178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47F29783">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30F3A9BC">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717E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58DD80F9">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35481318">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1F230F4A">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26E08199">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08790A5C">
      <w:pPr>
        <w:snapToGrid w:val="0"/>
        <w:spacing w:line="340" w:lineRule="exact"/>
        <w:ind w:firstLine="0" w:firstLineChars="0"/>
        <w:rPr>
          <w:rFonts w:hint="eastAsia" w:ascii="宋体" w:hAnsi="宋体" w:cs="宋体"/>
          <w:b/>
          <w:color w:val="auto"/>
          <w:szCs w:val="24"/>
          <w:highlight w:val="none"/>
        </w:rPr>
      </w:pPr>
    </w:p>
    <w:p w14:paraId="19D19C5E">
      <w:pPr>
        <w:snapToGrid w:val="0"/>
        <w:spacing w:line="340" w:lineRule="exact"/>
        <w:ind w:firstLine="0" w:firstLineChars="0"/>
        <w:rPr>
          <w:rFonts w:hint="eastAsia" w:ascii="宋体" w:hAnsi="宋体" w:cs="宋体"/>
          <w:b/>
          <w:color w:val="auto"/>
          <w:szCs w:val="24"/>
          <w:highlight w:val="none"/>
        </w:rPr>
      </w:pPr>
    </w:p>
    <w:p w14:paraId="6A1D00B4">
      <w:pPr>
        <w:pStyle w:val="23"/>
        <w:rPr>
          <w:color w:val="auto"/>
          <w:highlight w:val="none"/>
        </w:rPr>
      </w:pPr>
    </w:p>
    <w:p w14:paraId="43C391ED">
      <w:pPr>
        <w:pStyle w:val="23"/>
        <w:rPr>
          <w:color w:val="auto"/>
          <w:highlight w:val="none"/>
        </w:rPr>
      </w:pPr>
    </w:p>
    <w:p w14:paraId="4DEAA6CA">
      <w:pPr>
        <w:snapToGrid w:val="0"/>
        <w:spacing w:line="340" w:lineRule="exact"/>
        <w:ind w:firstLine="0" w:firstLineChars="0"/>
        <w:rPr>
          <w:rFonts w:hint="eastAsia" w:ascii="宋体" w:hAnsi="宋体" w:cs="宋体"/>
          <w:color w:val="auto"/>
          <w:szCs w:val="24"/>
          <w:highlight w:val="none"/>
        </w:rPr>
      </w:pPr>
    </w:p>
    <w:p w14:paraId="7DBF385E">
      <w:pPr>
        <w:snapToGrid w:val="0"/>
        <w:spacing w:line="340" w:lineRule="exact"/>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附表4：</w:t>
      </w:r>
    </w:p>
    <w:p w14:paraId="3A42BD80">
      <w:pPr>
        <w:pStyle w:val="23"/>
        <w:rPr>
          <w:color w:val="auto"/>
          <w:highlight w:val="none"/>
        </w:rPr>
      </w:pPr>
    </w:p>
    <w:p w14:paraId="6AB2BC79">
      <w:pPr>
        <w:pStyle w:val="23"/>
        <w:rPr>
          <w:color w:val="auto"/>
          <w:highlight w:val="none"/>
        </w:rPr>
      </w:pPr>
    </w:p>
    <w:p w14:paraId="3D6A1DD6">
      <w:pPr>
        <w:pStyle w:val="23"/>
        <w:rPr>
          <w:color w:val="auto"/>
          <w:highlight w:val="none"/>
        </w:rPr>
      </w:pPr>
    </w:p>
    <w:p w14:paraId="4192B4EF">
      <w:pPr>
        <w:pStyle w:val="23"/>
        <w:jc w:val="center"/>
        <w:rPr>
          <w:color w:val="auto"/>
          <w:highlight w:val="none"/>
        </w:rPr>
      </w:pPr>
      <w:r>
        <w:rPr>
          <w:rFonts w:hint="eastAsia"/>
          <w:color w:val="auto"/>
          <w:highlight w:val="none"/>
        </w:rPr>
        <w:drawing>
          <wp:inline distT="0" distB="0" distL="114300" distR="114300">
            <wp:extent cx="5509895" cy="6123940"/>
            <wp:effectExtent l="0" t="0" r="1460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5509895" cy="6123940"/>
                    </a:xfrm>
                    <a:prstGeom prst="rect">
                      <a:avLst/>
                    </a:prstGeom>
                    <a:noFill/>
                    <a:ln>
                      <a:noFill/>
                    </a:ln>
                  </pic:spPr>
                </pic:pic>
              </a:graphicData>
            </a:graphic>
          </wp:inline>
        </w:drawing>
      </w:r>
    </w:p>
    <w:p w14:paraId="292647FD">
      <w:pPr>
        <w:pStyle w:val="23"/>
        <w:jc w:val="center"/>
        <w:rPr>
          <w:color w:val="auto"/>
          <w:highlight w:val="none"/>
        </w:rPr>
      </w:pPr>
    </w:p>
    <w:p w14:paraId="337AD36A">
      <w:pPr>
        <w:pStyle w:val="23"/>
        <w:jc w:val="center"/>
        <w:rPr>
          <w:color w:val="auto"/>
          <w:highlight w:val="none"/>
        </w:rPr>
      </w:pPr>
    </w:p>
    <w:p w14:paraId="683C3802">
      <w:pPr>
        <w:pStyle w:val="23"/>
        <w:jc w:val="center"/>
        <w:rPr>
          <w:color w:val="auto"/>
          <w:highlight w:val="none"/>
        </w:rPr>
      </w:pPr>
    </w:p>
    <w:p w14:paraId="26A502E4">
      <w:pPr>
        <w:pStyle w:val="23"/>
        <w:jc w:val="center"/>
        <w:rPr>
          <w:color w:val="auto"/>
          <w:highlight w:val="none"/>
        </w:rPr>
      </w:pPr>
    </w:p>
    <w:p w14:paraId="3F27514B">
      <w:pPr>
        <w:pStyle w:val="23"/>
        <w:jc w:val="center"/>
        <w:rPr>
          <w:color w:val="auto"/>
          <w:highlight w:val="none"/>
        </w:rPr>
      </w:pPr>
    </w:p>
    <w:p w14:paraId="08FC6EE5">
      <w:pPr>
        <w:pStyle w:val="23"/>
        <w:jc w:val="center"/>
        <w:rPr>
          <w:color w:val="auto"/>
          <w:highlight w:val="none"/>
        </w:rPr>
      </w:pPr>
    </w:p>
    <w:p w14:paraId="2D0D6B8C">
      <w:pPr>
        <w:pStyle w:val="23"/>
        <w:jc w:val="center"/>
        <w:rPr>
          <w:color w:val="auto"/>
          <w:highlight w:val="none"/>
        </w:rPr>
      </w:pPr>
    </w:p>
    <w:p w14:paraId="51C3BCD5">
      <w:pPr>
        <w:pStyle w:val="23"/>
        <w:jc w:val="center"/>
        <w:rPr>
          <w:color w:val="auto"/>
          <w:highlight w:val="none"/>
        </w:rPr>
      </w:pPr>
    </w:p>
    <w:p w14:paraId="6DA917EF">
      <w:pPr>
        <w:pStyle w:val="23"/>
        <w:jc w:val="center"/>
        <w:rPr>
          <w:color w:val="auto"/>
          <w:highlight w:val="none"/>
        </w:rPr>
      </w:pPr>
    </w:p>
    <w:p w14:paraId="42E3D221">
      <w:pPr>
        <w:pStyle w:val="23"/>
        <w:jc w:val="center"/>
        <w:rPr>
          <w:color w:val="auto"/>
          <w:highlight w:val="none"/>
        </w:rPr>
      </w:pPr>
    </w:p>
    <w:p w14:paraId="27788193">
      <w:pPr>
        <w:pStyle w:val="42"/>
        <w:rPr>
          <w:color w:val="auto"/>
          <w:highlight w:val="none"/>
        </w:rPr>
      </w:pPr>
      <w:bookmarkStart w:id="39" w:name="_Toc155531034"/>
      <w:r>
        <w:rPr>
          <w:rFonts w:hint="eastAsia"/>
          <w:color w:val="auto"/>
          <w:highlight w:val="none"/>
        </w:rPr>
        <w:t>第三章</w:t>
      </w:r>
      <w:bookmarkEnd w:id="0"/>
      <w:r>
        <w:rPr>
          <w:rFonts w:hint="eastAsia"/>
          <w:color w:val="auto"/>
          <w:highlight w:val="none"/>
        </w:rPr>
        <w:t>采购需求</w:t>
      </w:r>
      <w:bookmarkEnd w:id="39"/>
    </w:p>
    <w:p w14:paraId="15AC1A43">
      <w:pPr>
        <w:adjustRightInd w:val="0"/>
        <w:spacing w:line="420" w:lineRule="exact"/>
        <w:ind w:left="0" w:leftChars="0" w:firstLine="0" w:firstLineChars="0"/>
        <w:outlineLvl w:val="1"/>
        <w:rPr>
          <w:rFonts w:hint="eastAsia" w:ascii="宋体" w:hAnsi="宋体" w:eastAsia="宋体"/>
          <w:b/>
          <w:color w:val="auto"/>
          <w:highlight w:val="none"/>
          <w:lang w:val="en-US" w:eastAsia="zh-CN"/>
        </w:rPr>
      </w:pPr>
      <w:r>
        <w:rPr>
          <w:rFonts w:hint="eastAsia" w:ascii="宋体" w:hAnsi="宋体"/>
          <w:b/>
          <w:color w:val="auto"/>
          <w:highlight w:val="none"/>
          <w:lang w:val="zh-CN"/>
        </w:rPr>
        <w:t>分标</w:t>
      </w:r>
      <w:r>
        <w:rPr>
          <w:rFonts w:hint="eastAsia" w:ascii="宋体" w:hAnsi="宋体"/>
          <w:b/>
          <w:color w:val="auto"/>
          <w:highlight w:val="none"/>
          <w:lang w:val="en-US" w:eastAsia="zh-CN"/>
        </w:rPr>
        <w:t>1：</w:t>
      </w:r>
    </w:p>
    <w:p w14:paraId="086271A7">
      <w:pPr>
        <w:adjustRightInd w:val="0"/>
        <w:spacing w:line="420" w:lineRule="exact"/>
        <w:ind w:firstLine="198" w:firstLineChars="82"/>
        <w:outlineLvl w:val="1"/>
        <w:rPr>
          <w:rFonts w:hint="eastAsia" w:ascii="宋体" w:hAnsi="宋体"/>
          <w:b/>
          <w:color w:val="auto"/>
          <w:highlight w:val="none"/>
          <w:lang w:val="zh-CN"/>
        </w:rPr>
      </w:pPr>
      <w:r>
        <w:rPr>
          <w:rFonts w:hint="eastAsia" w:ascii="宋体" w:hAnsi="宋体"/>
          <w:b/>
          <w:color w:val="auto"/>
          <w:highlight w:val="none"/>
          <w:lang w:val="zh-CN"/>
        </w:rPr>
        <w:t>Ⅰ、说明：</w:t>
      </w:r>
    </w:p>
    <w:p w14:paraId="39C5EF68">
      <w:pPr>
        <w:adjustRightInd w:val="0"/>
        <w:spacing w:line="42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一、本项目所要执行的政府采购政策：</w:t>
      </w:r>
    </w:p>
    <w:p w14:paraId="175BF9B3">
      <w:pPr>
        <w:spacing w:line="420" w:lineRule="exact"/>
        <w:ind w:firstLine="405" w:firstLineChars="193"/>
        <w:rPr>
          <w:rFonts w:hint="eastAsia" w:ascii="宋体" w:hAnsi="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及《广西壮族自治区财政厅关于持续优化政府采购营商环境推动高质量发展的通知》（桂财采〔2024〕55号），本项目提供的货物全部由符合政策要求的小型或者微型企业制造，即货物由小型或者微型企业生产且使用该小型或者微型企业商号或者注册商标的，供应商的最后报价给予</w:t>
      </w:r>
      <w:r>
        <w:rPr>
          <w:rFonts w:ascii="宋体" w:hAnsi="宋体" w:cs="宋体"/>
          <w:color w:val="auto"/>
          <w:kern w:val="0"/>
          <w:sz w:val="21"/>
          <w:szCs w:val="21"/>
          <w:highlight w:val="none"/>
        </w:rPr>
        <w:t>20</w:t>
      </w:r>
      <w:r>
        <w:rPr>
          <w:rFonts w:hint="eastAsia" w:ascii="宋体" w:hAnsi="宋体" w:cs="宋体"/>
          <w:color w:val="auto"/>
          <w:kern w:val="0"/>
          <w:sz w:val="21"/>
          <w:szCs w:val="21"/>
          <w:highlight w:val="none"/>
        </w:rPr>
        <w:t>%的扣除。</w:t>
      </w:r>
      <w:r>
        <w:rPr>
          <w:rFonts w:hint="eastAsia" w:ascii="宋体" w:hAnsi="宋体"/>
          <w:color w:val="auto"/>
          <w:sz w:val="21"/>
          <w:szCs w:val="21"/>
          <w:highlight w:val="none"/>
        </w:rPr>
        <w:t>监狱企业、残疾人福利性单位属于小型、微型企业的，不重复享受政策。</w:t>
      </w:r>
    </w:p>
    <w:p w14:paraId="7240E043">
      <w:pPr>
        <w:spacing w:line="42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2.根据财政部、司法部《关于政府采购支持监狱企业发展有关问题的通知》（财库[2014]68号），监狱企业视同小型、微型企业，享受预留份额、评审中价格扣除等政府采购政策。</w:t>
      </w:r>
      <w:r>
        <w:rPr>
          <w:rFonts w:hint="eastAsia" w:ascii="宋体" w:hAnsi="宋体" w:cs="宋体"/>
          <w:bCs/>
          <w:color w:val="auto"/>
          <w:sz w:val="21"/>
          <w:szCs w:val="21"/>
          <w:highlight w:val="none"/>
        </w:rPr>
        <w:t>监狱企业属于小型、微型企业的，不重复享受政策。</w:t>
      </w:r>
    </w:p>
    <w:p w14:paraId="1BD12BA9">
      <w:pPr>
        <w:spacing w:line="420" w:lineRule="exact"/>
        <w:ind w:firstLine="420"/>
        <w:rPr>
          <w:rFonts w:hint="eastAsia" w:ascii="宋体" w:hAnsi="宋体" w:cs="宋体"/>
          <w:bCs/>
          <w:color w:val="auto"/>
          <w:sz w:val="21"/>
          <w:szCs w:val="21"/>
          <w:highlight w:val="none"/>
        </w:rPr>
      </w:pPr>
      <w:r>
        <w:rPr>
          <w:rFonts w:hint="eastAsia" w:ascii="宋体" w:hAnsi="宋体" w:cs="宋体"/>
          <w:color w:val="auto"/>
          <w:sz w:val="21"/>
          <w:szCs w:val="21"/>
          <w:highlight w:val="none"/>
        </w:rPr>
        <w:t>3.按照</w:t>
      </w:r>
      <w:r>
        <w:rPr>
          <w:rFonts w:hint="eastAsia" w:ascii="宋体" w:hAnsi="宋体" w:cs="宋体"/>
          <w:bCs/>
          <w:color w:val="auto"/>
          <w:sz w:val="21"/>
          <w:szCs w:val="21"/>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6E4FCC60">
      <w:pPr>
        <w:spacing w:line="42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4.根据财政部、发展改革委、生态环境部、市场监管总局《关于调整优化节能产品、环境标志产品政府采购执行机制的通知》（财库〔2019〕9号）及《关于印发节能产品政府采购品目清单的通知》</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财库〔2019〕19号</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文件规定，台式计算机，便携式计算机、平板式微型计算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若采购货物属于以上品目清单的产品时，供应商提供的货物必须使用政府强制采购的节能产品，供应商于响应文件中必须提供由国家确定的认证机构出具的处于有效期之内的节能产品认证证书复印件（加盖供应商电子签章），否则响应文件作无效处理。</w:t>
      </w:r>
    </w:p>
    <w:p w14:paraId="276C2323">
      <w:pPr>
        <w:spacing w:line="42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5.优先采购环境标志产品、节能产品。</w:t>
      </w:r>
    </w:p>
    <w:p w14:paraId="558DC21D">
      <w:pPr>
        <w:spacing w:line="42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6.政府采购支持采用本国产品的政策。</w:t>
      </w:r>
    </w:p>
    <w:p w14:paraId="217AA735">
      <w:pPr>
        <w:adjustRightInd w:val="0"/>
        <w:spacing w:line="42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二、采购需求中出现的品牌、型号或生产供应商仅起参考作用，不属于指定品牌、型号或生产供应商的情形。供应商可参照或选用其他相当的品牌、型号或生产供应商替代。</w:t>
      </w:r>
    </w:p>
    <w:p w14:paraId="7F3F827A">
      <w:pPr>
        <w:adjustRightInd w:val="0"/>
        <w:spacing w:line="420" w:lineRule="exact"/>
        <w:ind w:firstLine="48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lang w:eastAsia="zh-CN"/>
        </w:rPr>
        <w:t>三</w:t>
      </w:r>
      <w:r>
        <w:rPr>
          <w:rFonts w:hint="eastAsia" w:ascii="宋体" w:hAnsi="宋体" w:cs="宋体"/>
          <w:b/>
          <w:color w:val="auto"/>
          <w:kern w:val="0"/>
          <w:sz w:val="21"/>
          <w:szCs w:val="21"/>
          <w:highlight w:val="none"/>
        </w:rPr>
        <w:t>、谈判文件“采购需求”中所有条款以及谈判文件要求“必须提供”的条款均属于实质性要求，若有任意一项负偏离作响应文件无效</w:t>
      </w:r>
      <w:r>
        <w:rPr>
          <w:rFonts w:hint="eastAsia" w:ascii="宋体" w:hAnsi="宋体" w:cs="宋体"/>
          <w:b/>
          <w:color w:val="auto"/>
          <w:kern w:val="0"/>
          <w:sz w:val="21"/>
          <w:szCs w:val="21"/>
          <w:highlight w:val="none"/>
        </w:rPr>
        <w:t>处理。</w:t>
      </w:r>
      <w:r>
        <w:rPr>
          <w:rFonts w:hint="eastAsia" w:ascii="宋体" w:hAnsi="宋体" w:cs="宋体"/>
          <w:b/>
          <w:color w:val="auto"/>
          <w:kern w:val="0"/>
          <w:sz w:val="21"/>
          <w:szCs w:val="21"/>
          <w:highlight w:val="none"/>
          <w:lang w:eastAsia="zh-CN"/>
        </w:rPr>
        <w:t>本项目应执行的国家相关标准、行业标准、地方标准或者其他标准、规范为：详见技术指标要求。</w:t>
      </w:r>
    </w:p>
    <w:p w14:paraId="2CE16AD3">
      <w:pPr>
        <w:adjustRightInd w:val="0"/>
        <w:spacing w:line="420" w:lineRule="exact"/>
        <w:ind w:firstLine="422"/>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四、本分标采购标的对应的中小企业划分标准所属行业为：工业。</w:t>
      </w:r>
    </w:p>
    <w:p w14:paraId="4800261C">
      <w:pPr>
        <w:adjustRightInd w:val="0"/>
        <w:spacing w:line="420" w:lineRule="exact"/>
        <w:ind w:firstLine="422"/>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五、本分标采购预算为:1753335.00元</w:t>
      </w:r>
      <w:r>
        <w:rPr>
          <w:rFonts w:hint="eastAsia" w:ascii="宋体" w:hAnsi="宋体" w:cs="宋体"/>
          <w:b/>
          <w:color w:val="auto"/>
          <w:kern w:val="0"/>
          <w:sz w:val="21"/>
          <w:szCs w:val="21"/>
          <w:highlight w:val="none"/>
          <w:lang w:val="en-US" w:eastAsia="zh-CN"/>
        </w:rPr>
        <w:t>。</w:t>
      </w:r>
    </w:p>
    <w:p w14:paraId="7FD984CE">
      <w:pPr>
        <w:snapToGrid w:val="0"/>
        <w:spacing w:line="350" w:lineRule="exact"/>
        <w:ind w:firstLine="472" w:firstLineChars="196"/>
        <w:outlineLvl w:val="1"/>
        <w:rPr>
          <w:rFonts w:hint="eastAsia" w:ascii="Times New Roman" w:hAnsi="Times New Roman" w:eastAsia="宋体"/>
          <w:b/>
          <w:bCs/>
          <w:color w:val="auto"/>
          <w:sz w:val="24"/>
          <w:szCs w:val="24"/>
          <w:highlight w:val="none"/>
        </w:rPr>
      </w:pPr>
      <w:r>
        <w:rPr>
          <w:rFonts w:ascii="宋体" w:hAnsi="宋体" w:cs="宋体"/>
          <w:b/>
          <w:color w:val="auto"/>
          <w:kern w:val="0"/>
          <w:szCs w:val="24"/>
          <w:highlight w:val="none"/>
        </w:rPr>
        <w:br w:type="page"/>
      </w:r>
      <w:r>
        <w:rPr>
          <w:rFonts w:hint="eastAsia" w:ascii="宋体" w:hAnsi="宋体" w:eastAsia="宋体" w:cs="宋体"/>
          <w:b/>
          <w:bCs/>
          <w:color w:val="auto"/>
          <w:sz w:val="24"/>
          <w:szCs w:val="24"/>
          <w:highlight w:val="none"/>
        </w:rPr>
        <w:t>Ⅱ</w:t>
      </w:r>
      <w:r>
        <w:rPr>
          <w:rFonts w:hint="eastAsia" w:ascii="Times New Roman" w:hAnsi="Times New Roman" w:eastAsia="宋体"/>
          <w:b/>
          <w:bCs/>
          <w:color w:val="auto"/>
          <w:sz w:val="24"/>
          <w:szCs w:val="24"/>
          <w:highlight w:val="none"/>
        </w:rPr>
        <w:t>、</w:t>
      </w:r>
      <w:r>
        <w:rPr>
          <w:rFonts w:hint="eastAsia" w:ascii="Times New Roman" w:hAnsi="Times New Roman" w:eastAsia="宋体"/>
          <w:b/>
          <w:bCs/>
          <w:color w:val="auto"/>
          <w:sz w:val="24"/>
          <w:szCs w:val="24"/>
          <w:highlight w:val="none"/>
          <w:lang w:val="en-US" w:eastAsia="zh-CN"/>
        </w:rPr>
        <w:t>技术</w:t>
      </w:r>
      <w:r>
        <w:rPr>
          <w:rFonts w:hint="eastAsia" w:ascii="Times New Roman" w:hAnsi="Times New Roman" w:eastAsia="宋体"/>
          <w:b/>
          <w:bCs/>
          <w:color w:val="auto"/>
          <w:sz w:val="24"/>
          <w:szCs w:val="24"/>
          <w:highlight w:val="none"/>
        </w:rPr>
        <w:t>需求：</w:t>
      </w:r>
    </w:p>
    <w:p w14:paraId="6DF946F5">
      <w:pPr>
        <w:ind w:left="0" w:leftChars="0" w:firstLine="0" w:firstLineChars="0"/>
        <w:rPr>
          <w:rFonts w:hint="default" w:eastAsia="宋体"/>
          <w:color w:val="auto"/>
          <w:highlight w:val="none"/>
          <w:lang w:val="en-US" w:eastAsia="zh-CN"/>
        </w:rPr>
      </w:pPr>
    </w:p>
    <w:tbl>
      <w:tblPr>
        <w:tblStyle w:val="239"/>
        <w:tblW w:w="10220" w:type="dxa"/>
        <w:tblInd w:w="-6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1245"/>
        <w:gridCol w:w="5472"/>
        <w:gridCol w:w="603"/>
        <w:gridCol w:w="600"/>
        <w:gridCol w:w="1110"/>
        <w:gridCol w:w="635"/>
      </w:tblGrid>
      <w:tr w14:paraId="0C9C1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555" w:type="dxa"/>
            <w:noWrap w:val="0"/>
            <w:vAlign w:val="center"/>
          </w:tcPr>
          <w:p w14:paraId="21124838">
            <w:pPr>
              <w:spacing w:before="122" w:line="216" w:lineRule="auto"/>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序号</w:t>
            </w:r>
          </w:p>
        </w:tc>
        <w:tc>
          <w:tcPr>
            <w:tcW w:w="1245" w:type="dxa"/>
            <w:noWrap w:val="0"/>
            <w:vAlign w:val="center"/>
          </w:tcPr>
          <w:p w14:paraId="5CCC628B">
            <w:pPr>
              <w:spacing w:before="212" w:line="275" w:lineRule="auto"/>
              <w:ind w:left="0" w:leftChars="0" w:right="115" w:firstLine="0" w:firstLineChars="0"/>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采购</w:t>
            </w:r>
            <w:r>
              <w:rPr>
                <w:rFonts w:hint="eastAsia" w:ascii="宋体" w:hAnsi="宋体" w:eastAsia="宋体" w:cs="宋体"/>
                <w:b/>
                <w:bCs/>
                <w:color w:val="auto"/>
                <w:spacing w:val="-10"/>
                <w:sz w:val="21"/>
                <w:szCs w:val="21"/>
                <w:highlight w:val="none"/>
              </w:rPr>
              <w:t>品目</w:t>
            </w:r>
          </w:p>
        </w:tc>
        <w:tc>
          <w:tcPr>
            <w:tcW w:w="5472" w:type="dxa"/>
            <w:noWrap w:val="0"/>
            <w:vAlign w:val="center"/>
          </w:tcPr>
          <w:p w14:paraId="2B309846">
            <w:pPr>
              <w:spacing w:before="65" w:line="223"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型号规格、技术参数及性能</w:t>
            </w:r>
          </w:p>
        </w:tc>
        <w:tc>
          <w:tcPr>
            <w:tcW w:w="603" w:type="dxa"/>
            <w:noWrap w:val="0"/>
            <w:vAlign w:val="center"/>
          </w:tcPr>
          <w:p w14:paraId="2C447EAB">
            <w:pPr>
              <w:spacing w:before="213" w:line="273" w:lineRule="auto"/>
              <w:ind w:left="0" w:leftChars="0" w:right="126" w:firstLine="0" w:firstLineChars="0"/>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数量</w:t>
            </w:r>
          </w:p>
        </w:tc>
        <w:tc>
          <w:tcPr>
            <w:tcW w:w="600" w:type="dxa"/>
            <w:noWrap w:val="0"/>
            <w:vAlign w:val="center"/>
          </w:tcPr>
          <w:p w14:paraId="047CD63D">
            <w:pPr>
              <w:spacing w:before="213" w:line="272" w:lineRule="auto"/>
              <w:ind w:left="0" w:leftChars="0" w:right="127" w:firstLine="0" w:firstLineChars="0"/>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单位</w:t>
            </w:r>
          </w:p>
        </w:tc>
        <w:tc>
          <w:tcPr>
            <w:tcW w:w="1110" w:type="dxa"/>
            <w:noWrap w:val="0"/>
            <w:vAlign w:val="center"/>
          </w:tcPr>
          <w:p w14:paraId="3375EA5D">
            <w:pPr>
              <w:spacing w:before="214" w:line="240" w:lineRule="auto"/>
              <w:ind w:left="0" w:leftChars="0" w:right="4"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bidi="ar"/>
              </w:rPr>
              <w:t>预算单价(元）</w:t>
            </w:r>
          </w:p>
        </w:tc>
        <w:tc>
          <w:tcPr>
            <w:tcW w:w="635" w:type="dxa"/>
            <w:noWrap w:val="0"/>
            <w:vAlign w:val="center"/>
          </w:tcPr>
          <w:p w14:paraId="305D1CB6">
            <w:pPr>
              <w:spacing w:before="66" w:line="261" w:lineRule="auto"/>
              <w:ind w:left="0" w:leftChars="0" w:right="105" w:firstLine="0" w:firstLineChars="0"/>
              <w:jc w:val="both"/>
              <w:rPr>
                <w:rFonts w:hint="eastAsia" w:ascii="宋体" w:hAnsi="宋体" w:eastAsia="宋体" w:cs="宋体"/>
                <w:b/>
                <w:bCs/>
                <w:color w:val="auto"/>
                <w:spacing w:val="-13"/>
                <w:sz w:val="21"/>
                <w:szCs w:val="21"/>
                <w:highlight w:val="none"/>
                <w:lang w:val="en-US" w:eastAsia="zh-CN"/>
              </w:rPr>
            </w:pPr>
            <w:r>
              <w:rPr>
                <w:rFonts w:hint="eastAsia" w:ascii="宋体" w:hAnsi="宋体" w:eastAsia="宋体" w:cs="宋体"/>
                <w:b/>
                <w:bCs/>
                <w:color w:val="auto"/>
                <w:spacing w:val="-13"/>
                <w:sz w:val="21"/>
                <w:szCs w:val="21"/>
                <w:highlight w:val="none"/>
                <w:lang w:val="en-US" w:eastAsia="zh-CN"/>
              </w:rPr>
              <w:t>备注</w:t>
            </w:r>
          </w:p>
        </w:tc>
      </w:tr>
      <w:tr w14:paraId="45764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186EEEA4">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val="en-US" w:eastAsia="zh-CN" w:bidi="ar"/>
              </w:rPr>
              <w:t>一、</w:t>
            </w:r>
            <w:r>
              <w:rPr>
                <w:rFonts w:hint="eastAsia" w:ascii="宋体" w:hAnsi="宋体" w:eastAsia="宋体" w:cs="宋体"/>
                <w:b/>
                <w:bCs/>
                <w:color w:val="auto"/>
                <w:kern w:val="0"/>
                <w:sz w:val="21"/>
                <w:szCs w:val="21"/>
                <w:highlight w:val="none"/>
                <w:lang w:val="en-US" w:eastAsia="zh-CN" w:bidi="ar"/>
              </w:rPr>
              <w:t>电脑室</w:t>
            </w:r>
          </w:p>
        </w:tc>
      </w:tr>
      <w:tr w14:paraId="59787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91FD2DC">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245" w:type="dxa"/>
            <w:noWrap w:val="0"/>
            <w:vAlign w:val="center"/>
          </w:tcPr>
          <w:p w14:paraId="4001AF18">
            <w:pPr>
              <w:spacing w:before="65" w:line="279" w:lineRule="auto"/>
              <w:ind w:left="0" w:leftChars="0" w:right="115"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w:t>
            </w:r>
          </w:p>
        </w:tc>
        <w:tc>
          <w:tcPr>
            <w:tcW w:w="5472" w:type="dxa"/>
            <w:noWrap w:val="0"/>
            <w:vAlign w:val="center"/>
          </w:tcPr>
          <w:p w14:paraId="5BC5FA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093A898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00189DEA">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3ACE1E2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33787EAD">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6E62F2A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3D051FE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0DB82D9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63D3200D">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336DD9F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7EB48BC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6274640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03F8167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38CE74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1772C7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72CF444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5EFB788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478EC02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2D5033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453A09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1F0125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6DA9DA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486CCD3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1A7A8B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5F65AD5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21FC6D5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008D8EE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0A47715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1CDA79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3834BF7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27E42B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652EB59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6938E5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342EAC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0A1F907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08AB77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1CDF6A1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4062699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695FC9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6322D3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4FAC885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3C5B8D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7C7A0A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1B29FC5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18B817B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56F045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2FE9EAA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1402F2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2E7B8D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4677C8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00A32C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627EE94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2D9DC53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564CAD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35E8AA1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6E8FCA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3914F95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5AAF26C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3F501C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55E0AA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5D6A8D5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69EB6A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3C96A4D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0C90CB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6D5B37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0B0EAA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72B247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42B829A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1DEA1C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216D601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60CB01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41F664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32C8C1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02D778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6B6F20D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68005D1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188753F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7F81A4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1191F6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3773F23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5AAFB5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6BC9C3A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24D3BC0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79CE17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725AD8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10EA598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0C14D3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66661CB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1E3341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4E9C0D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71FEF9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4B271D1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7AC95AE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79AE0FB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2BEC0D2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1BBD44F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7639896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2F29061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61840F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6A45D59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311C923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7CC57BA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41250D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3673DD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74891A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77C4E2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6A70F9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32A386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40B796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0E61A26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40B46FE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7B3D40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602B3DB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615543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246C418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72D81E5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04CAFD7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7B4FDC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1EDC67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2754E8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7A7741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2E4FDE3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7CC63CE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2CC04F9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5FE8F8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117CB5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601D40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6E12D5B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76BD00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60C0DD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16BD3D4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7AEA65E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532827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48BC5D2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6439B5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5D45498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6011B75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4B6FAA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462052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10B46E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0877EE3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327F99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6539207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6373097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050852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4C51DB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35A21B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2E8159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247225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45F897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06D911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15087C2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50EE08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40D03E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64B776B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6A10ECC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6B1A997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75692F0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32D3E5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49EDCF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32760417">
            <w:pPr>
              <w:spacing w:before="68" w:line="223" w:lineRule="auto"/>
              <w:ind w:left="0" w:leftChars="0" w:firstLine="0" w:firstLineChars="0"/>
              <w:jc w:val="left"/>
              <w:rPr>
                <w:rFonts w:hint="eastAsia" w:eastAsia="宋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732B508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5ADFAFD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4354708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24400</w:t>
            </w:r>
          </w:p>
        </w:tc>
        <w:tc>
          <w:tcPr>
            <w:tcW w:w="635" w:type="dxa"/>
            <w:noWrap w:val="0"/>
            <w:vAlign w:val="center"/>
          </w:tcPr>
          <w:p w14:paraId="3BA663AF">
            <w:pPr>
              <w:spacing w:before="65" w:line="189" w:lineRule="auto"/>
              <w:ind w:left="182"/>
              <w:jc w:val="center"/>
              <w:rPr>
                <w:rFonts w:hint="eastAsia" w:ascii="宋体" w:hAnsi="宋体" w:eastAsia="宋体" w:cs="宋体"/>
                <w:color w:val="auto"/>
                <w:sz w:val="21"/>
                <w:szCs w:val="21"/>
                <w:highlight w:val="none"/>
              </w:rPr>
            </w:pPr>
          </w:p>
        </w:tc>
      </w:tr>
      <w:tr w14:paraId="64AD6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44471C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245" w:type="dxa"/>
            <w:noWrap w:val="0"/>
            <w:vAlign w:val="center"/>
          </w:tcPr>
          <w:p w14:paraId="76B24D5E">
            <w:pPr>
              <w:spacing w:before="65" w:line="279" w:lineRule="auto"/>
              <w:ind w:left="0" w:leftChars="0" w:right="115"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高清壁挂展台</w:t>
            </w:r>
          </w:p>
        </w:tc>
        <w:tc>
          <w:tcPr>
            <w:tcW w:w="5472" w:type="dxa"/>
            <w:noWrap w:val="0"/>
            <w:vAlign w:val="center"/>
          </w:tcPr>
          <w:p w14:paraId="2671B5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智慧黑板同品牌高清壁挂展台</w:t>
            </w:r>
          </w:p>
          <w:p w14:paraId="74ABF49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一）硬件部分：</w:t>
            </w:r>
          </w:p>
          <w:p w14:paraId="7F12E18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1、整机采用圆弧式设计，无锐角；同时托板采用磁吸吸附式机构，防止托板打落，方便打开及固定，避免机械式锁具故障率高的问题。</w:t>
            </w:r>
          </w:p>
          <w:p w14:paraId="344B438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2、采用≥800万像素摄像头；采用 USB五伏电源直接供电，无需额外配置电源适配器，环保无辐射；箱内USB连线采用隐藏式设计，箱内无可见连线且USB口下出，有效防止积尘，且方便布线和返修。</w:t>
            </w:r>
          </w:p>
          <w:p w14:paraId="7847AEA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3、A4大小拍摄幅面，1080P动态视频预览达到30帧/秒；托板及挂墙部分采用金属加强，托板可承重3kg，整机壁挂式安装。</w:t>
            </w:r>
          </w:p>
          <w:p w14:paraId="700C56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4、支持展台成像画面实时批注，预设多种笔</w:t>
            </w:r>
            <w:r>
              <w:rPr>
                <w:rFonts w:hint="eastAsia" w:ascii="宋体" w:hAnsi="宋体" w:cs="宋体"/>
                <w:color w:val="auto"/>
                <w:sz w:val="21"/>
                <w:szCs w:val="21"/>
                <w:highlight w:val="none"/>
                <w:lang w:eastAsia="zh-CN"/>
              </w:rPr>
              <w:t>画</w:t>
            </w:r>
            <w:r>
              <w:rPr>
                <w:rFonts w:hint="eastAsia" w:ascii="宋体" w:hAnsi="宋体" w:eastAsia="宋体" w:cs="宋体"/>
                <w:color w:val="auto"/>
                <w:sz w:val="21"/>
                <w:szCs w:val="21"/>
                <w:highlight w:val="none"/>
              </w:rPr>
              <w:t>粗细及颜色供选择，且支持对展台成像画面</w:t>
            </w:r>
            <w:r>
              <w:rPr>
                <w:rFonts w:hint="eastAsia" w:ascii="宋体" w:hAnsi="宋体" w:cs="宋体"/>
                <w:color w:val="auto"/>
                <w:sz w:val="21"/>
                <w:szCs w:val="21"/>
                <w:highlight w:val="none"/>
                <w:lang w:eastAsia="zh-CN"/>
              </w:rPr>
              <w:t>连</w:t>
            </w:r>
            <w:r>
              <w:rPr>
                <w:rFonts w:hint="eastAsia" w:ascii="宋体" w:hAnsi="宋体" w:eastAsia="宋体" w:cs="宋体"/>
                <w:color w:val="auto"/>
                <w:sz w:val="21"/>
                <w:szCs w:val="21"/>
                <w:highlight w:val="none"/>
              </w:rPr>
              <w:t>同批注内容进行同步缩放、移动。</w:t>
            </w:r>
          </w:p>
          <w:p w14:paraId="28B739C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5、展示托板正上方具备LED补光灯，保证展示区域的亮度及展示效果，补光灯开关采用触摸按键设计，同时可通过交互智能平板中的软件直接控制开关。</w:t>
            </w:r>
          </w:p>
          <w:p w14:paraId="5B0752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6、带自动对焦摄像头；外壳在摄像头部分带保护镜片密封，防止灰尘沾染摄像头，防护等级达到IP4X级别。</w:t>
            </w:r>
          </w:p>
          <w:p w14:paraId="6147259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7、具有故障自动检测功能：在调用展台却无法出现镜头采集画面信号时，可自动出现检测链接，并给出导致性原因（如硬件连接、摄像头占用、配套软件版本等问题）。</w:t>
            </w:r>
          </w:p>
          <w:p w14:paraId="54193CC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（二）软件部分：</w:t>
            </w:r>
          </w:p>
          <w:p w14:paraId="77A34F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1、支持对展台实时画面进行放大、缩小、旋转、自适应、冻结画面等操作。</w:t>
            </w:r>
          </w:p>
          <w:p w14:paraId="43292F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2、支持展台画面实时批注，预设多种笔</w:t>
            </w:r>
            <w:r>
              <w:rPr>
                <w:rFonts w:hint="eastAsia" w:ascii="宋体" w:hAnsi="宋体" w:cs="宋体"/>
                <w:color w:val="auto"/>
                <w:sz w:val="21"/>
                <w:szCs w:val="21"/>
                <w:highlight w:val="none"/>
                <w:lang w:eastAsia="zh-CN"/>
              </w:rPr>
              <w:t>画</w:t>
            </w:r>
            <w:r>
              <w:rPr>
                <w:rFonts w:hint="eastAsia" w:ascii="宋体" w:hAnsi="宋体" w:eastAsia="宋体" w:cs="宋体"/>
                <w:color w:val="auto"/>
                <w:sz w:val="21"/>
                <w:szCs w:val="21"/>
                <w:highlight w:val="none"/>
              </w:rPr>
              <w:t>粗细及颜色供选择，且支持对展台画面</w:t>
            </w:r>
            <w:r>
              <w:rPr>
                <w:rFonts w:hint="eastAsia" w:ascii="宋体" w:hAnsi="宋体" w:cs="宋体"/>
                <w:color w:val="auto"/>
                <w:sz w:val="21"/>
                <w:szCs w:val="21"/>
                <w:highlight w:val="none"/>
                <w:lang w:eastAsia="zh-CN"/>
              </w:rPr>
              <w:t>连</w:t>
            </w:r>
            <w:r>
              <w:rPr>
                <w:rFonts w:hint="eastAsia" w:ascii="宋体" w:hAnsi="宋体" w:eastAsia="宋体" w:cs="宋体"/>
                <w:color w:val="auto"/>
                <w:sz w:val="21"/>
                <w:szCs w:val="21"/>
                <w:highlight w:val="none"/>
              </w:rPr>
              <w:t>同批注内容进行同步缩放、移动。</w:t>
            </w:r>
          </w:p>
          <w:p w14:paraId="317365F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3、支持展台画面拍照截图并进行多图预览，可对任一图片进行全屏显示。</w:t>
            </w:r>
          </w:p>
          <w:p w14:paraId="266D79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4、老师可在一体机或电脑上选择延时拍照功能，支持5秒或10秒延时模式，预留充足时间以便调整拍摄内容。</w:t>
            </w:r>
          </w:p>
          <w:p w14:paraId="73F1630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5、可选择图像、文本或动态三种情景模式，适应不同展示内容。</w:t>
            </w:r>
          </w:p>
          <w:p w14:paraId="0805762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6、具备图像增强功能，可自动裁剪背景并增强文字显示，使文档画面更清晰。</w:t>
            </w:r>
          </w:p>
          <w:p w14:paraId="2F0692C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7、支持故障自动检测，在软件无法出现展台拍摄画面时，自动出现检测链接，帮助用户检测“无画面”的原因，并给出引导性解决方案。可判断硬件连接、显卡驱动、摄像头占用、软件版本等问题。</w:t>
            </w:r>
          </w:p>
          <w:p w14:paraId="4FB4FF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8、支持二维码扫码功能：打开扫一扫功能后，将书本上的二维码放入扫描框内即可自动扫描，并进入系统浏览器获取二维码的链接内容，帮助老师快速获取电子教学资源。</w:t>
            </w:r>
          </w:p>
          <w:p w14:paraId="42CFE3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9、支持网络集中管理及部署，可通过教师端一键安装部署学生端软件等资料</w:t>
            </w:r>
          </w:p>
        </w:tc>
        <w:tc>
          <w:tcPr>
            <w:tcW w:w="603" w:type="dxa"/>
            <w:noWrap w:val="0"/>
            <w:vAlign w:val="center"/>
          </w:tcPr>
          <w:p w14:paraId="5004481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4DC0BFE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039952B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635" w:type="dxa"/>
            <w:noWrap w:val="0"/>
            <w:vAlign w:val="center"/>
          </w:tcPr>
          <w:p w14:paraId="21920C13">
            <w:pPr>
              <w:spacing w:before="65" w:line="189" w:lineRule="auto"/>
              <w:ind w:left="182"/>
              <w:jc w:val="center"/>
              <w:rPr>
                <w:rFonts w:hint="eastAsia" w:ascii="宋体" w:hAnsi="宋体" w:eastAsia="宋体" w:cs="宋体"/>
                <w:color w:val="auto"/>
                <w:sz w:val="21"/>
                <w:szCs w:val="21"/>
                <w:highlight w:val="none"/>
              </w:rPr>
            </w:pPr>
          </w:p>
        </w:tc>
      </w:tr>
      <w:tr w14:paraId="5FBFC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C4581B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245" w:type="dxa"/>
            <w:noWrap w:val="0"/>
            <w:vAlign w:val="center"/>
          </w:tcPr>
          <w:p w14:paraId="315B4EE5">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学生电脑</w:t>
            </w:r>
            <w:r>
              <w:rPr>
                <w:rFonts w:hint="eastAsia" w:ascii="宋体" w:hAnsi="宋体" w:cs="宋体"/>
                <w:color w:val="auto"/>
                <w:sz w:val="21"/>
                <w:szCs w:val="21"/>
                <w:highlight w:val="none"/>
                <w:lang w:eastAsia="zh-CN"/>
              </w:rPr>
              <w:t>工作台</w:t>
            </w:r>
          </w:p>
        </w:tc>
        <w:tc>
          <w:tcPr>
            <w:tcW w:w="5472" w:type="dxa"/>
            <w:noWrap w:val="0"/>
            <w:vAlign w:val="center"/>
          </w:tcPr>
          <w:p w14:paraId="350288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工作台</w:t>
            </w:r>
            <w:r>
              <w:rPr>
                <w:rFonts w:hint="eastAsia" w:ascii="宋体" w:hAnsi="宋体" w:eastAsia="宋体" w:cs="宋体"/>
                <w:color w:val="auto"/>
                <w:sz w:val="21"/>
                <w:szCs w:val="21"/>
                <w:highlight w:val="none"/>
              </w:rPr>
              <w:t>面板≥2.5cm、其它板材为≥1.5cm厚高密防火板。尺寸约：高750mm,六边形对角线长约2000mm,，五个学生位处加护栏板，无键盘托盘。凳子以铁架</w:t>
            </w:r>
            <w:r>
              <w:rPr>
                <w:rFonts w:hint="eastAsia" w:ascii="宋体" w:hAnsi="宋体" w:cs="宋体"/>
                <w:color w:val="auto"/>
                <w:sz w:val="21"/>
                <w:szCs w:val="21"/>
                <w:highlight w:val="none"/>
                <w:lang w:eastAsia="zh-CN"/>
              </w:rPr>
              <w:t>做</w:t>
            </w:r>
            <w:r>
              <w:rPr>
                <w:rFonts w:hint="eastAsia" w:ascii="宋体" w:hAnsi="宋体" w:eastAsia="宋体" w:cs="宋体"/>
                <w:color w:val="auto"/>
                <w:sz w:val="21"/>
                <w:szCs w:val="21"/>
                <w:highlight w:val="none"/>
              </w:rPr>
              <w:t>支撑，一</w:t>
            </w:r>
            <w:r>
              <w:rPr>
                <w:rFonts w:hint="eastAsia" w:ascii="宋体" w:hAnsi="宋体" w:cs="宋体"/>
                <w:color w:val="auto"/>
                <w:sz w:val="21"/>
                <w:szCs w:val="21"/>
                <w:highlight w:val="none"/>
                <w:lang w:eastAsia="zh-CN"/>
              </w:rPr>
              <w:t>台</w:t>
            </w:r>
            <w:r>
              <w:rPr>
                <w:rFonts w:hint="eastAsia" w:ascii="宋体" w:hAnsi="宋体" w:eastAsia="宋体" w:cs="宋体"/>
                <w:color w:val="auto"/>
                <w:sz w:val="21"/>
                <w:szCs w:val="21"/>
                <w:highlight w:val="none"/>
              </w:rPr>
              <w:t>配六凳，四角铁架小方凳，240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×350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×420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，面板厚度≥2.5cm。与桌子材质一样，高密防火板。</w:t>
            </w:r>
          </w:p>
        </w:tc>
        <w:tc>
          <w:tcPr>
            <w:tcW w:w="603" w:type="dxa"/>
            <w:noWrap w:val="0"/>
            <w:vAlign w:val="center"/>
          </w:tcPr>
          <w:p w14:paraId="38CD0E0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600" w:type="dxa"/>
            <w:noWrap w:val="0"/>
            <w:vAlign w:val="center"/>
          </w:tcPr>
          <w:p w14:paraId="4217973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位</w:t>
            </w:r>
          </w:p>
        </w:tc>
        <w:tc>
          <w:tcPr>
            <w:tcW w:w="1110" w:type="dxa"/>
            <w:noWrap w:val="0"/>
            <w:vAlign w:val="center"/>
          </w:tcPr>
          <w:p w14:paraId="65CB8C2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236</w:t>
            </w:r>
          </w:p>
        </w:tc>
        <w:tc>
          <w:tcPr>
            <w:tcW w:w="635" w:type="dxa"/>
            <w:noWrap w:val="0"/>
            <w:vAlign w:val="center"/>
          </w:tcPr>
          <w:p w14:paraId="15455547">
            <w:pPr>
              <w:spacing w:before="65" w:line="189" w:lineRule="auto"/>
              <w:ind w:left="182"/>
              <w:jc w:val="center"/>
              <w:rPr>
                <w:rFonts w:hint="eastAsia" w:ascii="宋体" w:hAnsi="宋体" w:eastAsia="宋体" w:cs="宋体"/>
                <w:color w:val="auto"/>
                <w:sz w:val="21"/>
                <w:szCs w:val="21"/>
                <w:highlight w:val="none"/>
              </w:rPr>
            </w:pPr>
          </w:p>
        </w:tc>
      </w:tr>
      <w:tr w14:paraId="749EA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B85394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245" w:type="dxa"/>
            <w:noWrap w:val="0"/>
            <w:vAlign w:val="center"/>
          </w:tcPr>
          <w:p w14:paraId="7B0F3AFB">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教师电脑</w:t>
            </w:r>
            <w:r>
              <w:rPr>
                <w:rFonts w:hint="eastAsia" w:ascii="宋体" w:hAnsi="宋体" w:cs="宋体"/>
                <w:color w:val="auto"/>
                <w:sz w:val="21"/>
                <w:szCs w:val="21"/>
                <w:highlight w:val="none"/>
                <w:lang w:eastAsia="zh-CN"/>
              </w:rPr>
              <w:t>工作台</w:t>
            </w:r>
          </w:p>
        </w:tc>
        <w:tc>
          <w:tcPr>
            <w:tcW w:w="5472" w:type="dxa"/>
            <w:noWrap w:val="0"/>
            <w:vAlign w:val="center"/>
          </w:tcPr>
          <w:p w14:paraId="10016002">
            <w:pPr>
              <w:spacing w:before="68" w:line="223" w:lineRule="auto"/>
              <w:ind w:left="0" w:lef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约</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eastAsia="zh-CN"/>
              </w:rPr>
              <w:t>长</w:t>
            </w:r>
            <w:r>
              <w:rPr>
                <w:rFonts w:hint="eastAsia" w:ascii="宋体" w:hAnsi="宋体" w:eastAsia="宋体" w:cs="宋体"/>
                <w:color w:val="auto"/>
                <w:sz w:val="21"/>
                <w:szCs w:val="21"/>
                <w:highlight w:val="none"/>
              </w:rPr>
              <w:t>700-760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宽</w:t>
            </w:r>
            <w:r>
              <w:rPr>
                <w:rFonts w:hint="eastAsia" w:ascii="宋体" w:hAnsi="宋体" w:eastAsia="宋体" w:cs="宋体"/>
                <w:color w:val="auto"/>
                <w:sz w:val="21"/>
                <w:szCs w:val="21"/>
                <w:highlight w:val="none"/>
              </w:rPr>
              <w:t>1200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高</w:t>
            </w:r>
            <w:r>
              <w:rPr>
                <w:rFonts w:hint="eastAsia" w:ascii="宋体" w:hAnsi="宋体" w:eastAsia="宋体" w:cs="宋体"/>
                <w:color w:val="auto"/>
                <w:sz w:val="21"/>
                <w:szCs w:val="21"/>
                <w:highlight w:val="none"/>
              </w:rPr>
              <w:t>600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木制</w:t>
            </w:r>
            <w:r>
              <w:rPr>
                <w:rFonts w:hint="eastAsia" w:ascii="宋体" w:hAnsi="宋体" w:cs="宋体"/>
                <w:color w:val="auto"/>
                <w:sz w:val="21"/>
                <w:szCs w:val="21"/>
                <w:highlight w:val="none"/>
                <w:lang w:eastAsia="zh-CN"/>
              </w:rPr>
              <w:t>工作台配套凳</w:t>
            </w:r>
          </w:p>
        </w:tc>
        <w:tc>
          <w:tcPr>
            <w:tcW w:w="603" w:type="dxa"/>
            <w:noWrap w:val="0"/>
            <w:vAlign w:val="center"/>
          </w:tcPr>
          <w:p w14:paraId="1A5EDA7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4AB8B16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1931C64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980</w:t>
            </w:r>
          </w:p>
        </w:tc>
        <w:tc>
          <w:tcPr>
            <w:tcW w:w="635" w:type="dxa"/>
            <w:noWrap w:val="0"/>
            <w:vAlign w:val="center"/>
          </w:tcPr>
          <w:p w14:paraId="7B09D8A5">
            <w:pPr>
              <w:spacing w:before="65" w:line="189" w:lineRule="auto"/>
              <w:ind w:left="182"/>
              <w:jc w:val="center"/>
              <w:rPr>
                <w:rFonts w:hint="eastAsia" w:ascii="宋体" w:hAnsi="宋体" w:eastAsia="宋体" w:cs="宋体"/>
                <w:color w:val="auto"/>
                <w:sz w:val="21"/>
                <w:szCs w:val="21"/>
                <w:highlight w:val="none"/>
              </w:rPr>
            </w:pPr>
          </w:p>
        </w:tc>
      </w:tr>
      <w:tr w14:paraId="0399C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833211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245" w:type="dxa"/>
            <w:noWrap w:val="0"/>
            <w:vAlign w:val="center"/>
          </w:tcPr>
          <w:p w14:paraId="7E14E654">
            <w:pPr>
              <w:keepNext w:val="0"/>
              <w:keepLines w:val="0"/>
              <w:widowControl/>
              <w:suppressLineNumbers w:val="0"/>
              <w:ind w:left="0" w:leftChars="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网络布线</w:t>
            </w:r>
          </w:p>
        </w:tc>
        <w:tc>
          <w:tcPr>
            <w:tcW w:w="5472" w:type="dxa"/>
            <w:noWrap w:val="0"/>
            <w:vAlign w:val="center"/>
          </w:tcPr>
          <w:p w14:paraId="5ED632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电脑搬运及上桌、6类网线、6类水晶头、空气开关、线槽线管、插座、电线、机柜、辅材。</w:t>
            </w:r>
          </w:p>
        </w:tc>
        <w:tc>
          <w:tcPr>
            <w:tcW w:w="603" w:type="dxa"/>
            <w:noWrap w:val="0"/>
            <w:vAlign w:val="center"/>
          </w:tcPr>
          <w:p w14:paraId="5F4AB51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1DAEAB7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6B7EBBC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7000</w:t>
            </w:r>
          </w:p>
        </w:tc>
        <w:tc>
          <w:tcPr>
            <w:tcW w:w="635" w:type="dxa"/>
            <w:noWrap w:val="0"/>
            <w:vAlign w:val="center"/>
          </w:tcPr>
          <w:p w14:paraId="63F75140">
            <w:pPr>
              <w:spacing w:before="65" w:line="189" w:lineRule="auto"/>
              <w:ind w:left="182"/>
              <w:jc w:val="center"/>
              <w:rPr>
                <w:rFonts w:hint="eastAsia" w:ascii="宋体" w:hAnsi="宋体" w:eastAsia="宋体" w:cs="宋体"/>
                <w:color w:val="auto"/>
                <w:sz w:val="21"/>
                <w:szCs w:val="21"/>
                <w:highlight w:val="none"/>
              </w:rPr>
            </w:pPr>
          </w:p>
        </w:tc>
      </w:tr>
      <w:tr w14:paraId="188F9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0765AAD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45" w:type="dxa"/>
            <w:shd w:val="clear" w:color="auto" w:fill="auto"/>
            <w:noWrap w:val="0"/>
            <w:vAlign w:val="center"/>
          </w:tcPr>
          <w:p w14:paraId="6D216DA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环境创设服务</w:t>
            </w:r>
          </w:p>
        </w:tc>
        <w:tc>
          <w:tcPr>
            <w:tcW w:w="5472" w:type="dxa"/>
            <w:noWrap w:val="0"/>
            <w:vAlign w:val="center"/>
          </w:tcPr>
          <w:p w14:paraId="7D4554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使用≥15mmPVC板制作，</w:t>
            </w:r>
            <w:r>
              <w:rPr>
                <w:rFonts w:hint="eastAsia" w:ascii="宋体" w:hAnsi="宋体" w:cs="宋体"/>
                <w:color w:val="auto"/>
                <w:sz w:val="21"/>
                <w:szCs w:val="21"/>
                <w:highlight w:val="none"/>
                <w:lang w:eastAsia="zh-CN"/>
              </w:rPr>
              <w:t>含约</w:t>
            </w:r>
            <w:r>
              <w:rPr>
                <w:rFonts w:hint="eastAsia" w:ascii="宋体" w:hAnsi="宋体" w:eastAsia="宋体" w:cs="宋体"/>
                <w:color w:val="auto"/>
                <w:sz w:val="21"/>
                <w:szCs w:val="21"/>
                <w:highlight w:val="none"/>
              </w:rPr>
              <w:t>40cm×80cm宣传板6块，</w:t>
            </w:r>
            <w:r>
              <w:rPr>
                <w:rFonts w:hint="eastAsia" w:ascii="宋体" w:hAnsi="宋体" w:cs="宋体"/>
                <w:color w:val="auto"/>
                <w:sz w:val="21"/>
                <w:szCs w:val="21"/>
                <w:highlight w:val="none"/>
                <w:lang w:eastAsia="zh-CN"/>
              </w:rPr>
              <w:t>约</w:t>
            </w:r>
            <w:r>
              <w:rPr>
                <w:rFonts w:hint="eastAsia" w:ascii="宋体" w:hAnsi="宋体" w:eastAsia="宋体" w:cs="宋体"/>
                <w:color w:val="auto"/>
                <w:sz w:val="21"/>
                <w:szCs w:val="21"/>
                <w:highlight w:val="none"/>
              </w:rPr>
              <w:t>900cmx500cm教室后墙装修字及图案，颜色及内容根据学校要求制作。</w:t>
            </w:r>
          </w:p>
        </w:tc>
        <w:tc>
          <w:tcPr>
            <w:tcW w:w="603" w:type="dxa"/>
            <w:noWrap w:val="0"/>
            <w:vAlign w:val="center"/>
          </w:tcPr>
          <w:p w14:paraId="54B595C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1E876D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间</w:t>
            </w:r>
          </w:p>
        </w:tc>
        <w:tc>
          <w:tcPr>
            <w:tcW w:w="1110" w:type="dxa"/>
            <w:noWrap w:val="0"/>
            <w:vAlign w:val="center"/>
          </w:tcPr>
          <w:p w14:paraId="1A1E759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2000</w:t>
            </w:r>
          </w:p>
        </w:tc>
        <w:tc>
          <w:tcPr>
            <w:tcW w:w="635" w:type="dxa"/>
            <w:noWrap w:val="0"/>
            <w:vAlign w:val="center"/>
          </w:tcPr>
          <w:p w14:paraId="27C8C241">
            <w:pPr>
              <w:spacing w:before="65" w:line="189" w:lineRule="auto"/>
              <w:ind w:left="182"/>
              <w:jc w:val="center"/>
              <w:rPr>
                <w:rFonts w:hint="eastAsia" w:ascii="宋体" w:hAnsi="宋体" w:eastAsia="宋体" w:cs="宋体"/>
                <w:color w:val="auto"/>
                <w:sz w:val="21"/>
                <w:szCs w:val="21"/>
                <w:highlight w:val="none"/>
              </w:rPr>
            </w:pPr>
          </w:p>
        </w:tc>
      </w:tr>
      <w:tr w14:paraId="3B5D3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B6621A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245" w:type="dxa"/>
            <w:noWrap w:val="0"/>
            <w:vAlign w:val="center"/>
          </w:tcPr>
          <w:p w14:paraId="644310E6">
            <w:pPr>
              <w:spacing w:before="65" w:line="279" w:lineRule="auto"/>
              <w:ind w:left="0" w:leftChars="0" w:right="115"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防静电地板</w:t>
            </w:r>
          </w:p>
        </w:tc>
        <w:tc>
          <w:tcPr>
            <w:tcW w:w="5472" w:type="dxa"/>
            <w:noWrap w:val="0"/>
            <w:vAlign w:val="center"/>
          </w:tcPr>
          <w:p w14:paraId="1E6802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尺寸规格</w:t>
            </w:r>
          </w:p>
          <w:p w14:paraId="6AC02A1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标准尺寸：约600mm×600mm×45mm​</w:t>
            </w:r>
          </w:p>
          <w:p w14:paraId="7E00E9F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防静电性能</w:t>
            </w:r>
          </w:p>
          <w:p w14:paraId="7615B30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系统电阻</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1×10⁶Ω 至 1×10⁹Ω（满足导静电型或静电耗散型要求）  ​</w:t>
            </w:r>
          </w:p>
          <w:p w14:paraId="36E173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静电起电电压</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&lt;100V​</w:t>
            </w:r>
          </w:p>
          <w:p w14:paraId="47092C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半衰时间</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&lt;0.5s​</w:t>
            </w:r>
          </w:p>
          <w:p w14:paraId="6A9564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物理性能</w:t>
            </w:r>
          </w:p>
          <w:p w14:paraId="6EF3715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均布载荷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≥1600kg/m²（部分高性能型号可达 23000N/m²）  集中载荷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≥1000kg（极限值可达 4450N 或更高）  ​</w:t>
            </w:r>
          </w:p>
          <w:p w14:paraId="58AF6E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挠度</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≤2mm​</w:t>
            </w:r>
          </w:p>
          <w:p w14:paraId="614D66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表面硬度</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莫氏硬度 ≥7（陶瓷面特性）  ​</w:t>
            </w:r>
          </w:p>
          <w:p w14:paraId="4C7064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耐磨性</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抗磨损性强，适用于高频走动区域​</w:t>
            </w:r>
          </w:p>
          <w:p w14:paraId="16DC30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防火性能</w:t>
            </w:r>
          </w:p>
          <w:p w14:paraId="16A5D51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阻燃等级：A级（GB50222-95），不燃材料  ​</w:t>
            </w:r>
          </w:p>
          <w:p w14:paraId="0CDD2A1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外观与装饰性</w:t>
            </w:r>
          </w:p>
          <w:p w14:paraId="33C2D32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表面为仿瓷/陶瓷贴面，光滑细腻，易于清洁</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接缝细小，整体铺装效果高档​</w:t>
            </w:r>
          </w:p>
          <w:p w14:paraId="462B18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安装结构</w:t>
            </w:r>
          </w:p>
          <w:p w14:paraId="07B00F1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基材为全钢结构，四周采用导电胶条封边，确保静电有效导出支撑系统由可调支架和横梁组成，便于后期维护与线缆管理</w:t>
            </w:r>
          </w:p>
        </w:tc>
        <w:tc>
          <w:tcPr>
            <w:tcW w:w="603" w:type="dxa"/>
            <w:noWrap w:val="0"/>
            <w:vAlign w:val="center"/>
          </w:tcPr>
          <w:p w14:paraId="16491EC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108</w:t>
            </w:r>
          </w:p>
        </w:tc>
        <w:tc>
          <w:tcPr>
            <w:tcW w:w="600" w:type="dxa"/>
            <w:noWrap w:val="0"/>
            <w:vAlign w:val="center"/>
          </w:tcPr>
          <w:p w14:paraId="279F81A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c>
          <w:tcPr>
            <w:tcW w:w="1110" w:type="dxa"/>
            <w:noWrap w:val="0"/>
            <w:vAlign w:val="center"/>
          </w:tcPr>
          <w:p w14:paraId="6301B61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w:t>
            </w:r>
          </w:p>
        </w:tc>
        <w:tc>
          <w:tcPr>
            <w:tcW w:w="635" w:type="dxa"/>
            <w:noWrap w:val="0"/>
            <w:vAlign w:val="center"/>
          </w:tcPr>
          <w:p w14:paraId="026DCEC9">
            <w:pPr>
              <w:spacing w:before="65" w:line="189" w:lineRule="auto"/>
              <w:ind w:left="182"/>
              <w:jc w:val="center"/>
              <w:rPr>
                <w:rFonts w:hint="eastAsia" w:ascii="宋体" w:hAnsi="宋体" w:eastAsia="宋体" w:cs="宋体"/>
                <w:color w:val="auto"/>
                <w:sz w:val="21"/>
                <w:szCs w:val="21"/>
                <w:highlight w:val="none"/>
              </w:rPr>
            </w:pPr>
          </w:p>
        </w:tc>
      </w:tr>
      <w:tr w14:paraId="4EAA4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55" w:type="dxa"/>
            <w:noWrap w:val="0"/>
            <w:vAlign w:val="center"/>
          </w:tcPr>
          <w:p w14:paraId="25F45F3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245" w:type="dxa"/>
            <w:noWrap w:val="0"/>
            <w:vAlign w:val="center"/>
          </w:tcPr>
          <w:p w14:paraId="230797AC">
            <w:pPr>
              <w:spacing w:before="65" w:line="279" w:lineRule="auto"/>
              <w:ind w:left="0" w:leftChars="0" w:right="115"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护眼灯</w:t>
            </w:r>
          </w:p>
        </w:tc>
        <w:tc>
          <w:tcPr>
            <w:tcW w:w="5472" w:type="dxa"/>
            <w:noWrap w:val="0"/>
            <w:vAlign w:val="center"/>
          </w:tcPr>
          <w:p w14:paraId="6273B6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全光谱LED光源</w:t>
            </w:r>
          </w:p>
          <w:p w14:paraId="57CF02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显指：Ra≥98</w:t>
            </w:r>
          </w:p>
          <w:p w14:paraId="011742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色温:3300K-5300K</w:t>
            </w:r>
          </w:p>
          <w:p w14:paraId="2E3805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材质:亚克力＋ABS</w:t>
            </w:r>
          </w:p>
          <w:p w14:paraId="19F00F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电压:220V</w:t>
            </w:r>
          </w:p>
          <w:p w14:paraId="08EE55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显指:压铸／打磨</w:t>
            </w:r>
          </w:p>
          <w:p w14:paraId="35091A7E">
            <w:pPr>
              <w:spacing w:before="68" w:line="223" w:lineRule="auto"/>
              <w:ind w:left="0" w:lef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使用层高:2.5-3</w:t>
            </w:r>
            <w:r>
              <w:rPr>
                <w:rFonts w:hint="eastAsia" w:ascii="宋体" w:hAnsi="宋体" w:cs="宋体"/>
                <w:color w:val="auto"/>
                <w:sz w:val="21"/>
                <w:szCs w:val="21"/>
                <w:highlight w:val="none"/>
                <w:lang w:val="en-US" w:eastAsia="zh-CN"/>
              </w:rPr>
              <w:t>m</w:t>
            </w:r>
          </w:p>
          <w:p w14:paraId="1ABA22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规格:约118*28.8*5cm</w:t>
            </w:r>
          </w:p>
          <w:p w14:paraId="5DDD4A7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功率:≤36W</w:t>
            </w:r>
          </w:p>
          <w:p w14:paraId="136712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维持平均照度≥300Ix</w:t>
            </w:r>
          </w:p>
          <w:p w14:paraId="38DCF93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眩光值≤16UGR</w:t>
            </w:r>
          </w:p>
          <w:p w14:paraId="15169C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均匀度≥0.7（越趋近1越舒适）</w:t>
            </w:r>
          </w:p>
          <w:p w14:paraId="78F1E6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光输出波形频率&gt;3125HzHz</w:t>
            </w:r>
          </w:p>
          <w:p w14:paraId="71EB2D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显色指数&gt;80CRI(Ra)</w:t>
            </w:r>
          </w:p>
          <w:p w14:paraId="44535D90">
            <w:pPr>
              <w:spacing w:before="68" w:line="223" w:lineRule="auto"/>
              <w:ind w:left="0" w:leftChars="0" w:firstLine="0" w:firstLineChars="0"/>
              <w:jc w:val="left"/>
              <w:rPr>
                <w:rFonts w:hint="eastAsia"/>
                <w:color w:val="auto"/>
                <w:highlight w:val="none"/>
              </w:rPr>
            </w:pPr>
            <w:r>
              <w:rPr>
                <w:rFonts w:hint="eastAsia" w:ascii="宋体" w:hAnsi="宋体" w:eastAsia="宋体" w:cs="宋体"/>
                <w:color w:val="auto"/>
                <w:sz w:val="21"/>
                <w:szCs w:val="21"/>
                <w:highlight w:val="none"/>
              </w:rPr>
              <w:t>饱和红&gt;50R9</w:t>
            </w:r>
          </w:p>
          <w:p w14:paraId="623F30C5">
            <w:pPr>
              <w:spacing w:before="68" w:line="223" w:lineRule="auto"/>
              <w:ind w:left="0" w:leftChars="0" w:firstLine="0" w:firstLineChars="0"/>
              <w:jc w:val="left"/>
              <w:rPr>
                <w:rFonts w:hint="eastAsia"/>
                <w:color w:val="auto"/>
                <w:highlight w:val="none"/>
              </w:rPr>
            </w:pPr>
            <w:r>
              <w:rPr>
                <w:rFonts w:hint="eastAsia" w:ascii="宋体" w:hAnsi="宋体" w:eastAsia="宋体" w:cs="宋体"/>
                <w:color w:val="auto"/>
                <w:sz w:val="21"/>
                <w:szCs w:val="21"/>
                <w:highlight w:val="none"/>
              </w:rPr>
              <w:t>配备伸缩</w:t>
            </w:r>
            <w:r>
              <w:rPr>
                <w:rFonts w:hint="eastAsia" w:ascii="宋体" w:hAnsi="宋体" w:cs="宋体"/>
                <w:color w:val="auto"/>
                <w:sz w:val="21"/>
                <w:szCs w:val="21"/>
                <w:highlight w:val="none"/>
                <w:lang w:val="en-US" w:eastAsia="zh-CN"/>
              </w:rPr>
              <w:t>杆</w:t>
            </w:r>
            <w:r>
              <w:rPr>
                <w:rFonts w:hint="eastAsia" w:ascii="宋体" w:hAnsi="宋体" w:eastAsia="宋体" w:cs="宋体"/>
                <w:color w:val="auto"/>
                <w:sz w:val="21"/>
                <w:szCs w:val="21"/>
                <w:highlight w:val="none"/>
              </w:rPr>
              <w:t>，包安装</w:t>
            </w:r>
          </w:p>
        </w:tc>
        <w:tc>
          <w:tcPr>
            <w:tcW w:w="603" w:type="dxa"/>
            <w:noWrap w:val="0"/>
            <w:vAlign w:val="center"/>
          </w:tcPr>
          <w:p w14:paraId="56C70ED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600" w:type="dxa"/>
            <w:noWrap w:val="0"/>
            <w:vAlign w:val="center"/>
          </w:tcPr>
          <w:p w14:paraId="05A6985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盏</w:t>
            </w:r>
          </w:p>
        </w:tc>
        <w:tc>
          <w:tcPr>
            <w:tcW w:w="1110" w:type="dxa"/>
            <w:noWrap w:val="0"/>
            <w:vAlign w:val="center"/>
          </w:tcPr>
          <w:p w14:paraId="7954BD9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280</w:t>
            </w:r>
          </w:p>
        </w:tc>
        <w:tc>
          <w:tcPr>
            <w:tcW w:w="635" w:type="dxa"/>
            <w:noWrap w:val="0"/>
            <w:vAlign w:val="center"/>
          </w:tcPr>
          <w:p w14:paraId="705BAE77">
            <w:pPr>
              <w:spacing w:before="65" w:line="189" w:lineRule="auto"/>
              <w:ind w:left="182"/>
              <w:jc w:val="center"/>
              <w:rPr>
                <w:rFonts w:hint="eastAsia" w:ascii="宋体" w:hAnsi="宋体" w:eastAsia="宋体" w:cs="宋体"/>
                <w:color w:val="auto"/>
                <w:sz w:val="21"/>
                <w:szCs w:val="21"/>
                <w:highlight w:val="none"/>
              </w:rPr>
            </w:pPr>
          </w:p>
        </w:tc>
      </w:tr>
      <w:tr w14:paraId="2CE93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7306A679">
            <w:pPr>
              <w:spacing w:before="65" w:line="279" w:lineRule="auto"/>
              <w:ind w:left="125" w:right="115" w:firstLine="95"/>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本项合计</w:t>
            </w:r>
          </w:p>
        </w:tc>
        <w:tc>
          <w:tcPr>
            <w:tcW w:w="5472" w:type="dxa"/>
            <w:noWrap w:val="0"/>
            <w:vAlign w:val="center"/>
          </w:tcPr>
          <w:p w14:paraId="755283C6">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40E68472">
            <w:pPr>
              <w:spacing w:before="65" w:line="187" w:lineRule="auto"/>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shd w:val="clear"/>
                <w:lang w:val="en-US" w:eastAsia="zh-CN"/>
              </w:rPr>
              <w:t>65724.00</w:t>
            </w:r>
          </w:p>
        </w:tc>
        <w:tc>
          <w:tcPr>
            <w:tcW w:w="635" w:type="dxa"/>
            <w:noWrap w:val="0"/>
            <w:vAlign w:val="center"/>
          </w:tcPr>
          <w:p w14:paraId="6465AEF2">
            <w:pPr>
              <w:spacing w:before="65" w:line="189" w:lineRule="auto"/>
              <w:ind w:left="182"/>
              <w:jc w:val="center"/>
              <w:rPr>
                <w:rFonts w:hint="eastAsia" w:ascii="宋体" w:hAnsi="宋体" w:eastAsia="宋体" w:cs="宋体"/>
                <w:color w:val="auto"/>
                <w:sz w:val="21"/>
                <w:szCs w:val="21"/>
                <w:highlight w:val="none"/>
              </w:rPr>
            </w:pPr>
          </w:p>
        </w:tc>
      </w:tr>
      <w:tr w14:paraId="39760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895E997">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val="en-US" w:eastAsia="zh-CN" w:bidi="ar"/>
              </w:rPr>
              <w:t>二、</w:t>
            </w:r>
            <w:r>
              <w:rPr>
                <w:rFonts w:hint="eastAsia" w:ascii="宋体" w:hAnsi="宋体" w:eastAsia="宋体" w:cs="宋体"/>
                <w:b/>
                <w:bCs/>
                <w:color w:val="auto"/>
                <w:kern w:val="0"/>
                <w:sz w:val="21"/>
                <w:szCs w:val="21"/>
                <w:highlight w:val="none"/>
                <w:lang w:val="en-US" w:eastAsia="zh-CN" w:bidi="ar"/>
              </w:rPr>
              <w:t>精品互动录播室</w:t>
            </w:r>
          </w:p>
        </w:tc>
      </w:tr>
      <w:tr w14:paraId="2CCA3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23E7EAAD">
            <w:pPr>
              <w:spacing w:before="65" w:line="189"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显示系统</w:t>
            </w:r>
          </w:p>
        </w:tc>
      </w:tr>
      <w:tr w14:paraId="7DB14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B881B29">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245" w:type="dxa"/>
            <w:noWrap w:val="0"/>
            <w:vAlign w:val="center"/>
          </w:tcPr>
          <w:p w14:paraId="097789D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智慧黑板</w:t>
            </w:r>
          </w:p>
        </w:tc>
        <w:tc>
          <w:tcPr>
            <w:tcW w:w="5472" w:type="dxa"/>
            <w:noWrap w:val="0"/>
            <w:vAlign w:val="center"/>
          </w:tcPr>
          <w:p w14:paraId="1515BB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25761BEB">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35B5BD39">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5558C5CD">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5C3B766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764911F3">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6241FED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537D27FC">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2C080A3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261490B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1CF41EA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1C3D8EB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09BFE20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4F6783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1EDC7B1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2E4B7E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7A0D9D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68CBEBD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7B6A13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1086CE2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7DE752E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703B39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65DBB6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013FA4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3507DAA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6A4786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162BED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620AB99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1547D10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0DDE71F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3A794D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254F24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654C7C5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2F998C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77B3F9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62E1EC7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59FC73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0F8104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17ADC2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6F640B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1C3714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64CEFA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6394AE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4C81EC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3D4950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0CDC10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2E44FA8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127D20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56079D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5AF53F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0EEAEC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0FEDFA6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62E2C8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2E66E10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0263EF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50D8678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3D9CB8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2758985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2A6AC05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342E807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72BFC5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6EA843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1EC0166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7189BB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1FB55D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4150FE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77F395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389EC7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7BB334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7824B9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3ED7E8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4F7AE09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2D9D16F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0FD3204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591DCF4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198AC21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33196CB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7B3A16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0CC591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20AF5C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77811E7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50C1A0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2732D4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209A87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67FD45F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5FD5B0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271375F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5D2F762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78F365C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4C0A39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2A7B36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1681970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065959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514F4B3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3EC3D8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4623725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47FF2C1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30D768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5EDEDBB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2D5C424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72C868F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1F56F80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0253924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66A8F3D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512C88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389A7C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33FDBE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51EB52E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241A646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6BF6360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7D9CFA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206855D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4D2853F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6AC4B7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20FECFA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5A2B2AA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046C0A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7C136D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733882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3942A8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466D478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33B0B61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5C2D99B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0EE93B8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6253B4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7703BD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13EEC2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38252A1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491DB3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3A0603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4D0AA99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5BC645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5D9CCD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516280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0E7F79A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68AAAF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1F7855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369F52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0BA5B8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600FD08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012C34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7BBD48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0CE8EB5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48062C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1413B6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59BDDD3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615A132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66751D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26BAEF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0C37687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01355BF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48D689A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3725AEC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6DB4C8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127165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52DDC1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1EC258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63755A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4DC8931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45934B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75052BA1">
            <w:pPr>
              <w:keepNext w:val="0"/>
              <w:keepLines w:val="0"/>
              <w:widowControl/>
              <w:numPr>
                <w:ilvl w:val="0"/>
                <w:numId w:val="0"/>
              </w:numPr>
              <w:suppressLineNumbers w:val="0"/>
              <w:jc w:val="left"/>
              <w:textAlignment w:val="center"/>
              <w:rPr>
                <w:rFonts w:hint="eastAsia" w:eastAsia="黑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0CAEB72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A5FA3D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1039FEA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24400</w:t>
            </w:r>
          </w:p>
        </w:tc>
        <w:tc>
          <w:tcPr>
            <w:tcW w:w="635" w:type="dxa"/>
            <w:noWrap w:val="0"/>
            <w:vAlign w:val="center"/>
          </w:tcPr>
          <w:p w14:paraId="6406EF18">
            <w:pPr>
              <w:spacing w:before="65" w:line="189" w:lineRule="auto"/>
              <w:ind w:left="182"/>
              <w:jc w:val="center"/>
              <w:rPr>
                <w:rFonts w:hint="eastAsia" w:ascii="宋体" w:hAnsi="宋体" w:eastAsia="宋体" w:cs="宋体"/>
                <w:color w:val="auto"/>
                <w:sz w:val="21"/>
                <w:szCs w:val="21"/>
                <w:highlight w:val="none"/>
              </w:rPr>
            </w:pPr>
          </w:p>
        </w:tc>
      </w:tr>
      <w:tr w14:paraId="6649F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34C96A5">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245" w:type="dxa"/>
            <w:noWrap w:val="0"/>
            <w:vAlign w:val="center"/>
          </w:tcPr>
          <w:p w14:paraId="4FA9006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高清壁挂展台</w:t>
            </w:r>
          </w:p>
        </w:tc>
        <w:tc>
          <w:tcPr>
            <w:tcW w:w="5472" w:type="dxa"/>
            <w:noWrap w:val="0"/>
            <w:vAlign w:val="center"/>
          </w:tcPr>
          <w:p w14:paraId="1845ED34">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智慧黑板同品牌高清壁挂展台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一）硬件部分：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1、整机采用圆弧式设计，无锐角；同时托板采用磁吸吸附式机构，防止托板打落，方便打开及固定，避免机械式锁具故障率高的问题。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3、A4大小拍摄幅面，1080P动态视频预览达到30帧/秒；托板及挂墙部分采用金属加强，托板可承重3kg，整机壁挂式安装。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4、支持展台成像画面实时批注，预设多种笔划粗细及颜色供选择，且支持对展台成像画面联同批注内容进行同步缩放、移动。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5、展示托板正上方具备LED补光灯，保证展示区域的亮度及展示效果，补光灯开关采用触摸按键设计，同时可通过交互智能平板中的软件直接控制开关。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6、带自动对焦摄像头；外壳在摄像头部分带保护镜片密封，防止灰尘沾染摄像头，防护等级达到IP4X级别。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7、具有故障自动检测功能：在调用展台却无法出现镜头采集画面信号时，可自动出现检测链接，并给出导致性原因（如硬件连接、摄像头占用、配套软件版本等问题）。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（二）软件部分：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1、支持对展台实时画面进行放大、缩小、旋转、自适应、冻结画面等操作。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2、支持展台画面实时批注，预设多种笔划粗细及颜色供选择，且支持对展台画面联同批注内容进行同步缩放、移动。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3、支持展台画面拍照截图并进行多图预览，可对任一图片进行全屏显示。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4、老师可在一体机或电脑上选择延时拍照功能，支持5秒或10秒延时模式，预留充足时间以便调整拍摄内容。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5、可选择图像、文本或动态三种情景模式，适应不同展示内容。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6、具备图像增强功能，可自动裁剪背景并增强文字显示，使文档画面更清晰。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34B0568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D6E0E0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33738A7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635" w:type="dxa"/>
            <w:noWrap w:val="0"/>
            <w:vAlign w:val="center"/>
          </w:tcPr>
          <w:p w14:paraId="10F50BC0">
            <w:pPr>
              <w:spacing w:before="65" w:line="189" w:lineRule="auto"/>
              <w:ind w:left="182"/>
              <w:jc w:val="center"/>
              <w:rPr>
                <w:rFonts w:hint="eastAsia" w:ascii="宋体" w:hAnsi="宋体" w:eastAsia="宋体" w:cs="宋体"/>
                <w:color w:val="auto"/>
                <w:sz w:val="21"/>
                <w:szCs w:val="21"/>
                <w:highlight w:val="none"/>
              </w:rPr>
            </w:pPr>
          </w:p>
        </w:tc>
      </w:tr>
      <w:tr w14:paraId="37C3D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50B6CDAF">
            <w:pPr>
              <w:spacing w:before="65" w:line="279" w:lineRule="auto"/>
              <w:ind w:left="125" w:right="115" w:firstLine="95"/>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54D9B557">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64BBB042">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25000.00</w:t>
            </w:r>
          </w:p>
        </w:tc>
        <w:tc>
          <w:tcPr>
            <w:tcW w:w="635" w:type="dxa"/>
            <w:noWrap w:val="0"/>
            <w:vAlign w:val="center"/>
          </w:tcPr>
          <w:p w14:paraId="51630756">
            <w:pPr>
              <w:spacing w:before="65" w:line="189" w:lineRule="auto"/>
              <w:ind w:left="182"/>
              <w:jc w:val="center"/>
              <w:rPr>
                <w:rFonts w:hint="eastAsia" w:ascii="宋体" w:hAnsi="宋体" w:eastAsia="宋体" w:cs="宋体"/>
                <w:color w:val="auto"/>
                <w:sz w:val="21"/>
                <w:szCs w:val="21"/>
                <w:highlight w:val="none"/>
              </w:rPr>
            </w:pPr>
          </w:p>
        </w:tc>
      </w:tr>
      <w:tr w14:paraId="774D0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3195115">
            <w:pPr>
              <w:spacing w:before="65" w:line="189"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录播系统</w:t>
            </w:r>
          </w:p>
        </w:tc>
      </w:tr>
      <w:tr w14:paraId="1C282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3E7314E">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245" w:type="dxa"/>
            <w:noWrap w:val="0"/>
            <w:vAlign w:val="center"/>
          </w:tcPr>
          <w:p w14:paraId="05D7C95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录播主机</w:t>
            </w:r>
          </w:p>
        </w:tc>
        <w:tc>
          <w:tcPr>
            <w:tcW w:w="5472" w:type="dxa"/>
            <w:noWrap w:val="0"/>
            <w:vAlign w:val="center"/>
          </w:tcPr>
          <w:p w14:paraId="75C2633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1.内置LCD屏，显示设备运行状态、参数信息、硬盘容量、音频状态、资源通道录制状态、文件拷贝进度。设备具备≥4个物理按键，具备一键录制、停止、直播以及一键拷贝录制文件的能力。</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具备≥6路HDMI信号输入接口，全HDMI接口视频≥4K分辨率画面采集，具备≥1路Type-C接口采集画面，≥1080P分辨率采集画面。具备≥4路HDMI信号输出接口，其中≥2路4K分辨率以及音频同时输出；其他≥2路HDMI输出口具备自定义通道画面输出。具备≥1路3.5mm音频接口以及≥2路凤凰端子采集音频；≥1路3.5mm音频接口以及≥2路凤凰端子输出音频。</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具备≥3路RS-232凤凰端子接口和≥1路RS-485凤凰端子接口，其中≥1路RS232和≥1路RS485带12V电压供电，可对接各种串口协议设备并对该设备进行供电；具备≥5路USB接口，用于接U盘拷贝文件或者键盘鼠标操作内嵌导播台；具备≥1路802.3ab 1000Base-T千兆RJ45网络接口，≥1路光纤接口，支持IPv4地址和IPv6地址。</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4.设备可实现≥8路4K网络摄像头同时接入解码，具备≥6路资源画面合成输出≥4K分辨率PGM画面。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具备嵌入式导播控制台，可实时预览≥9路画面，≥1路PGM画面预览和≥8路资源通道预览，≥9路视频流同时录制，录制的文件格式支持MP4、AVI、MOV、FLV、TS和MKV格式。具备独立录制功能，各路录制可自由绑定音频通道，可独立录制控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6.异常修复：具备供电异常导致的损坏的视频文件可进行文件修复，修复的文件格式包括但不限于MP4、AVI、MOV、FLV和MKV视频封装格式。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具备软件中控，在录播管理界面填写好中控指令，即可通过界面进行中控操作，对接其它设备进行一键控制；支持录播安卓APP对接和控制；支持对接私有云平台服务器。对接成功后，云平台可对设备进行统一的管控，方便对多台录播设备进行管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音视频互动模式下，可实现HDMI输出主会场和分会场的画面，当主会场开启辅流共享时，主会场和分会场的HDMI接口都输出主会场的电脑课件内容；主会场不开启辅流共享时，主会场的HDMI接口输出主会场的电脑课件内容，分会场的HDMI接口输出分会场的电脑课件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9.加密录制：可实现对录制文件加密录制，≥2种加密方式；可实现对录制视频进行加密操作或通过可配置多个加密狗对录制文件进行加密；加密视频需使用解密播放器进行播放，需使用U盾或密码对加密视频进行授权播放。</w:t>
            </w:r>
            <w:r>
              <w:rPr>
                <w:rFonts w:hint="eastAsia" w:ascii="宋体" w:hAnsi="宋体" w:eastAsia="宋体" w:cs="宋体"/>
                <w:b/>
                <w:bCs/>
                <w:color w:val="auto"/>
                <w:sz w:val="21"/>
                <w:szCs w:val="21"/>
                <w:highlight w:val="none"/>
                <w:lang w:val="en-US" w:eastAsia="zh-CN"/>
              </w:rPr>
              <w:t>(需提供得到CMA或CNAS认可的检测机构出具的检测报告作为该技术参数证明材料)</w:t>
            </w:r>
            <w:r>
              <w:rPr>
                <w:rFonts w:hint="eastAsia" w:ascii="宋体" w:hAnsi="宋体" w:eastAsia="宋体" w:cs="宋体"/>
                <w:b/>
                <w:bCs/>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10.具备用户模式和高级模式设置。用户设置：支持一键设置超高清、高清，标清，流畅四个等级；高级设置：可自定义分辨率、码率、帧率。码率支持256kbps~20Mbps，支持动态编码以及静态编码选择；支持自定义分辨率，不同分辨率比例设置，包括9:16、16:9、32:9设置，支持≥4K分辨率。</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11.音频编码支持多种格式，支持AAC、PCM、G.711A、G.711U、ADPCM格式，音频采样率支持48K、44.1K、8K。提供音频管理功能，支持音频混音管理，对≥5路音频输入混音设置以及每路通道音量大小单独控制。</w:t>
            </w:r>
          </w:p>
        </w:tc>
        <w:tc>
          <w:tcPr>
            <w:tcW w:w="603" w:type="dxa"/>
            <w:noWrap w:val="0"/>
            <w:vAlign w:val="center"/>
          </w:tcPr>
          <w:p w14:paraId="048E157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258651C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239F358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19656</w:t>
            </w:r>
          </w:p>
        </w:tc>
        <w:tc>
          <w:tcPr>
            <w:tcW w:w="635" w:type="dxa"/>
            <w:noWrap w:val="0"/>
            <w:vAlign w:val="center"/>
          </w:tcPr>
          <w:p w14:paraId="59AC147B">
            <w:pPr>
              <w:spacing w:before="65" w:line="189" w:lineRule="auto"/>
              <w:ind w:left="182"/>
              <w:jc w:val="center"/>
              <w:rPr>
                <w:rFonts w:hint="eastAsia" w:ascii="宋体" w:hAnsi="宋体" w:eastAsia="宋体" w:cs="宋体"/>
                <w:color w:val="auto"/>
                <w:sz w:val="21"/>
                <w:szCs w:val="21"/>
                <w:highlight w:val="none"/>
              </w:rPr>
            </w:pPr>
          </w:p>
        </w:tc>
      </w:tr>
      <w:tr w14:paraId="3DEA9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35C5A6C">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1245" w:type="dxa"/>
            <w:noWrap w:val="0"/>
            <w:vAlign w:val="center"/>
          </w:tcPr>
          <w:p w14:paraId="4EFD4E8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录播导播控制屏</w:t>
            </w:r>
          </w:p>
        </w:tc>
        <w:tc>
          <w:tcPr>
            <w:tcW w:w="5472" w:type="dxa"/>
            <w:noWrap w:val="0"/>
            <w:vAlign w:val="center"/>
          </w:tcPr>
          <w:p w14:paraId="4A31C96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英寸电容式触摸屏，一体化硬件设计，具有录制功能、导播模式、直播、画面切换、开关机≥5大模块，实现开始、暂停、结束录制、设置手动导播或者自动导播、控制开启或关闭直播、切换画面、控制主机的开机或关机多种功能，易用易维护安全性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2.录制功能：支持开始、暂停、结束录制功能；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3.导播模式：支持设置手动导播或者自动导播功能；支持≥8个通道画面进行切换导播。</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4.直播：控制开启或者关闭直播功能；</w:t>
            </w:r>
          </w:p>
        </w:tc>
        <w:tc>
          <w:tcPr>
            <w:tcW w:w="603" w:type="dxa"/>
            <w:noWrap w:val="0"/>
            <w:vAlign w:val="center"/>
          </w:tcPr>
          <w:p w14:paraId="61C6376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467FE9E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7506605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1124</w:t>
            </w:r>
          </w:p>
        </w:tc>
        <w:tc>
          <w:tcPr>
            <w:tcW w:w="635" w:type="dxa"/>
            <w:noWrap w:val="0"/>
            <w:vAlign w:val="center"/>
          </w:tcPr>
          <w:p w14:paraId="753E746E">
            <w:pPr>
              <w:spacing w:before="65" w:line="189" w:lineRule="auto"/>
              <w:ind w:left="182"/>
              <w:jc w:val="center"/>
              <w:rPr>
                <w:rFonts w:hint="eastAsia" w:ascii="宋体" w:hAnsi="宋体" w:eastAsia="宋体" w:cs="宋体"/>
                <w:color w:val="auto"/>
                <w:sz w:val="21"/>
                <w:szCs w:val="21"/>
                <w:highlight w:val="none"/>
              </w:rPr>
            </w:pPr>
          </w:p>
        </w:tc>
      </w:tr>
      <w:tr w14:paraId="07CFE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844DEDA">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1245" w:type="dxa"/>
            <w:noWrap w:val="0"/>
            <w:vAlign w:val="center"/>
          </w:tcPr>
          <w:p w14:paraId="152AFA4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摄像机</w:t>
            </w:r>
          </w:p>
        </w:tc>
        <w:tc>
          <w:tcPr>
            <w:tcW w:w="5472" w:type="dxa"/>
            <w:noWrap w:val="0"/>
            <w:vAlign w:val="center"/>
          </w:tcPr>
          <w:p w14:paraId="51D42DB0">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1.采用1/2.8英寸、≥846万有效像素的高品质UHDCMOS传感器，可实现4K高分辨率，并且向下兼容1080P、720P等多种分辨率。</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2.具有≥12倍光学变焦，水平视场角可达≥72.5°。</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3.支持HDMI、3G-SDI、UVC、LAN输出，支持其中三路视频可同时输出，可支持≥4K@30fps（其中3G-SDI最高支持1080P@60fps）并且支持向下兼容输出。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4.支持Visca、Pecol-d/Pecol-p、Onvif、GB/T28181等多种控制协议，可通过红外遥控器、RS-232、RS-485以及网络多种方式对摄像机进行远程控制。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5.支持H.264、H.265、MJPEG视频编码标准，双码流输出，分辨率可支持≥3840×2160输出；具有图像水平翻转和垂直翻转功能。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6.具备≥1路HDMI接口、≥1路SDI接口、≥2路USB接口、≥2路串口（1×232IN，1×232OUT/485）、≥1路音频输入、≥1路TF卡接口。</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7.支持POE供电。</w:t>
            </w:r>
          </w:p>
        </w:tc>
        <w:tc>
          <w:tcPr>
            <w:tcW w:w="603" w:type="dxa"/>
            <w:noWrap w:val="0"/>
            <w:vAlign w:val="center"/>
          </w:tcPr>
          <w:p w14:paraId="32D6406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600" w:type="dxa"/>
            <w:noWrap w:val="0"/>
            <w:vAlign w:val="center"/>
          </w:tcPr>
          <w:p w14:paraId="2D54553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4F3F0DE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10186</w:t>
            </w:r>
          </w:p>
        </w:tc>
        <w:tc>
          <w:tcPr>
            <w:tcW w:w="635" w:type="dxa"/>
            <w:noWrap w:val="0"/>
            <w:vAlign w:val="center"/>
          </w:tcPr>
          <w:p w14:paraId="048358C8">
            <w:pPr>
              <w:spacing w:before="65" w:line="189" w:lineRule="auto"/>
              <w:ind w:left="182"/>
              <w:jc w:val="center"/>
              <w:rPr>
                <w:rFonts w:hint="eastAsia" w:ascii="宋体" w:hAnsi="宋体" w:eastAsia="宋体" w:cs="宋体"/>
                <w:color w:val="auto"/>
                <w:sz w:val="21"/>
                <w:szCs w:val="21"/>
                <w:highlight w:val="none"/>
              </w:rPr>
            </w:pPr>
          </w:p>
        </w:tc>
      </w:tr>
      <w:tr w14:paraId="6B7A3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AE9CC9C">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1245" w:type="dxa"/>
            <w:noWrap w:val="0"/>
            <w:vAlign w:val="center"/>
          </w:tcPr>
          <w:p w14:paraId="1FC055B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倒装支架</w:t>
            </w:r>
          </w:p>
        </w:tc>
        <w:tc>
          <w:tcPr>
            <w:tcW w:w="5472" w:type="dxa"/>
            <w:noWrap w:val="0"/>
            <w:vAlign w:val="center"/>
          </w:tcPr>
          <w:p w14:paraId="5B6C27B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尺寸：</w:t>
            </w:r>
            <w:r>
              <w:rPr>
                <w:rFonts w:hint="eastAsia" w:ascii="宋体" w:hAnsi="宋体" w:cs="宋体"/>
                <w:color w:val="auto"/>
                <w:sz w:val="21"/>
                <w:szCs w:val="21"/>
                <w:highlight w:val="none"/>
                <w:lang w:val="en-US" w:eastAsia="zh-CN"/>
              </w:rPr>
              <w:t>约</w:t>
            </w:r>
            <w:r>
              <w:rPr>
                <w:rFonts w:hint="eastAsia" w:ascii="宋体" w:hAnsi="宋体" w:eastAsia="宋体" w:cs="宋体"/>
                <w:color w:val="auto"/>
                <w:sz w:val="21"/>
                <w:szCs w:val="21"/>
                <w:highlight w:val="none"/>
                <w:lang w:val="en-US" w:eastAsia="zh-CN"/>
              </w:rPr>
              <w:t>164.3mm×141.5mm×12.4mm</w:t>
            </w:r>
          </w:p>
        </w:tc>
        <w:tc>
          <w:tcPr>
            <w:tcW w:w="603" w:type="dxa"/>
            <w:noWrap w:val="0"/>
            <w:vAlign w:val="center"/>
          </w:tcPr>
          <w:p w14:paraId="29A2E55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6272934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DEC74D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138</w:t>
            </w:r>
          </w:p>
        </w:tc>
        <w:tc>
          <w:tcPr>
            <w:tcW w:w="635" w:type="dxa"/>
            <w:noWrap w:val="0"/>
            <w:vAlign w:val="center"/>
          </w:tcPr>
          <w:p w14:paraId="75E3ECD3">
            <w:pPr>
              <w:spacing w:before="65" w:line="189" w:lineRule="auto"/>
              <w:ind w:left="182"/>
              <w:jc w:val="center"/>
              <w:rPr>
                <w:rFonts w:hint="eastAsia" w:ascii="宋体" w:hAnsi="宋体" w:eastAsia="宋体" w:cs="宋体"/>
                <w:color w:val="auto"/>
                <w:sz w:val="21"/>
                <w:szCs w:val="21"/>
                <w:highlight w:val="none"/>
              </w:rPr>
            </w:pPr>
          </w:p>
        </w:tc>
      </w:tr>
      <w:tr w14:paraId="66EE3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E0FC28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5</w:t>
            </w:r>
          </w:p>
        </w:tc>
        <w:tc>
          <w:tcPr>
            <w:tcW w:w="1245" w:type="dxa"/>
            <w:noWrap w:val="0"/>
            <w:vAlign w:val="center"/>
          </w:tcPr>
          <w:p w14:paraId="557A5F5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摄像机（教师全景）</w:t>
            </w:r>
          </w:p>
        </w:tc>
        <w:tc>
          <w:tcPr>
            <w:tcW w:w="5472" w:type="dxa"/>
            <w:noWrap w:val="0"/>
            <w:vAlign w:val="center"/>
          </w:tcPr>
          <w:p w14:paraId="465B2C1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1.支持≥846万像素，≥1/2.8英寸CMOS传感器，支持数字变焦功能。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2.支持≥3840x2160@30fps分辨率网络流的输出，并向下兼容。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3.摄像机水平场视角≥44°，垂直≥25°。</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4.支持四路码流同时输出，即特写镜头两路码流，全景镜头两路码流，并可支持特写和全景同时RTMP推流。</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5.内置基于深度学习的老师跟踪或学生定位智能视频算法，单摄像机同时实现全景景别和跟踪特写景别拍摄。</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6.应用基于骨骼关键点的行为识别算法，教师机可直接识别教师板书动作。</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7.基于深度学习的学生跟踪算法，在误检率极低的情况下大幅提高检测率。</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8.学生跟踪算法可适应各种站立角度和各种不规则的站立过程。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9.具备≥1路USB接口，支持UVC功能，兼容各种主流会议软件和平台软件。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10.具备≥1路RJ45网口接口，支持POE功能。</w:t>
            </w:r>
          </w:p>
        </w:tc>
        <w:tc>
          <w:tcPr>
            <w:tcW w:w="603" w:type="dxa"/>
            <w:noWrap w:val="0"/>
            <w:vAlign w:val="center"/>
          </w:tcPr>
          <w:p w14:paraId="358EA01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63A1A4D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7E5C115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3146</w:t>
            </w:r>
          </w:p>
        </w:tc>
        <w:tc>
          <w:tcPr>
            <w:tcW w:w="635" w:type="dxa"/>
            <w:noWrap w:val="0"/>
            <w:vAlign w:val="center"/>
          </w:tcPr>
          <w:p w14:paraId="5AEE5CCF">
            <w:pPr>
              <w:spacing w:before="65" w:line="189" w:lineRule="auto"/>
              <w:ind w:left="182"/>
              <w:jc w:val="center"/>
              <w:rPr>
                <w:rFonts w:hint="eastAsia" w:ascii="宋体" w:hAnsi="宋体" w:eastAsia="宋体" w:cs="宋体"/>
                <w:color w:val="auto"/>
                <w:sz w:val="21"/>
                <w:szCs w:val="21"/>
                <w:highlight w:val="none"/>
              </w:rPr>
            </w:pPr>
          </w:p>
        </w:tc>
      </w:tr>
      <w:tr w14:paraId="555AF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5A7988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6</w:t>
            </w:r>
          </w:p>
        </w:tc>
        <w:tc>
          <w:tcPr>
            <w:tcW w:w="1245" w:type="dxa"/>
            <w:noWrap w:val="0"/>
            <w:vAlign w:val="center"/>
          </w:tcPr>
          <w:p w14:paraId="7CA50BA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天花倒装支架</w:t>
            </w:r>
          </w:p>
        </w:tc>
        <w:tc>
          <w:tcPr>
            <w:tcW w:w="5472" w:type="dxa"/>
            <w:noWrap w:val="0"/>
            <w:vAlign w:val="center"/>
          </w:tcPr>
          <w:p w14:paraId="78D9F6E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1.尺寸：</w:t>
            </w:r>
            <w:r>
              <w:rPr>
                <w:rFonts w:hint="eastAsia" w:ascii="宋体" w:hAnsi="宋体" w:cs="宋体"/>
                <w:color w:val="auto"/>
                <w:sz w:val="21"/>
                <w:szCs w:val="21"/>
                <w:highlight w:val="none"/>
                <w:lang w:val="en-US" w:eastAsia="zh-CN"/>
              </w:rPr>
              <w:t>约</w:t>
            </w:r>
            <w:r>
              <w:rPr>
                <w:rFonts w:hint="eastAsia" w:ascii="宋体" w:hAnsi="宋体" w:eastAsia="宋体" w:cs="宋体"/>
                <w:color w:val="auto"/>
                <w:sz w:val="21"/>
                <w:szCs w:val="21"/>
                <w:highlight w:val="none"/>
                <w:lang w:val="en-US" w:eastAsia="zh-CN"/>
              </w:rPr>
              <w:t>75-150cm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2.表面处理：高温喷漆闪银色；材料：铝合金</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4.旋转角度：360度。</w:t>
            </w:r>
          </w:p>
        </w:tc>
        <w:tc>
          <w:tcPr>
            <w:tcW w:w="603" w:type="dxa"/>
            <w:noWrap w:val="0"/>
            <w:vAlign w:val="center"/>
          </w:tcPr>
          <w:p w14:paraId="0236EC2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3F0F70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753E12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208</w:t>
            </w:r>
          </w:p>
        </w:tc>
        <w:tc>
          <w:tcPr>
            <w:tcW w:w="635" w:type="dxa"/>
            <w:noWrap w:val="0"/>
            <w:vAlign w:val="center"/>
          </w:tcPr>
          <w:p w14:paraId="5B7C3586">
            <w:pPr>
              <w:spacing w:before="65" w:line="189" w:lineRule="auto"/>
              <w:ind w:left="182"/>
              <w:jc w:val="center"/>
              <w:rPr>
                <w:rFonts w:hint="eastAsia" w:ascii="宋体" w:hAnsi="宋体" w:eastAsia="宋体" w:cs="宋体"/>
                <w:color w:val="auto"/>
                <w:sz w:val="21"/>
                <w:szCs w:val="21"/>
                <w:highlight w:val="none"/>
              </w:rPr>
            </w:pPr>
          </w:p>
        </w:tc>
      </w:tr>
      <w:tr w14:paraId="6709B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1AD00F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7</w:t>
            </w:r>
          </w:p>
        </w:tc>
        <w:tc>
          <w:tcPr>
            <w:tcW w:w="1245" w:type="dxa"/>
            <w:noWrap w:val="0"/>
            <w:vAlign w:val="center"/>
          </w:tcPr>
          <w:p w14:paraId="5533B97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摄像机（学生全景）</w:t>
            </w:r>
          </w:p>
        </w:tc>
        <w:tc>
          <w:tcPr>
            <w:tcW w:w="5472" w:type="dxa"/>
            <w:noWrap w:val="0"/>
            <w:vAlign w:val="center"/>
          </w:tcPr>
          <w:p w14:paraId="54305DB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1.支持≥846万像素，≥1/2.8英寸CMOS传感器，支持数字变焦功能。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2.支持≥3840x2160@30fps分辨率网络流的输出，并向下兼容。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3.摄像机水平场视角≥82°，垂直≥51°。</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4.支持四路码流同时输出，即特写镜头两路码流，全景镜头两路码流，并可支持特写和全景同时RTMP推流。</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5.内置基于深度学习的老师跟踪或学生定位智能视频算法，单摄像机同时实现全景景别和跟踪特写景别拍摄。</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6.应用基于骨骼关键点的行为识别算法，教师机可直接识别教师板书动作。</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7.基于深度学习的学生跟踪算法，在误检率极低的情况下大幅提高检测率。</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8.学生跟踪算法可适应各种站立角度和各种不规则的站立过程。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9.具备≥1路USB接口，支持UVC功能，兼容各种主流会议软件和平台软件。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10.具备≥1路RJ45网口接口，支持POE功能。</w:t>
            </w:r>
          </w:p>
        </w:tc>
        <w:tc>
          <w:tcPr>
            <w:tcW w:w="603" w:type="dxa"/>
            <w:noWrap w:val="0"/>
            <w:vAlign w:val="center"/>
          </w:tcPr>
          <w:p w14:paraId="7249A79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2BAB677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3C6A16F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3146</w:t>
            </w:r>
          </w:p>
        </w:tc>
        <w:tc>
          <w:tcPr>
            <w:tcW w:w="635" w:type="dxa"/>
            <w:noWrap w:val="0"/>
            <w:vAlign w:val="center"/>
          </w:tcPr>
          <w:p w14:paraId="1DEE1E62">
            <w:pPr>
              <w:spacing w:before="65" w:line="189" w:lineRule="auto"/>
              <w:ind w:left="182"/>
              <w:jc w:val="center"/>
              <w:rPr>
                <w:rFonts w:hint="eastAsia" w:ascii="宋体" w:hAnsi="宋体" w:eastAsia="宋体" w:cs="宋体"/>
                <w:color w:val="auto"/>
                <w:sz w:val="21"/>
                <w:szCs w:val="21"/>
                <w:highlight w:val="none"/>
              </w:rPr>
            </w:pPr>
          </w:p>
        </w:tc>
      </w:tr>
      <w:tr w14:paraId="2436A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F71E7BA">
            <w:pPr>
              <w:spacing w:before="65" w:line="279" w:lineRule="auto"/>
              <w:ind w:left="125" w:right="115" w:firstLine="95"/>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5CC8AB77">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2447EB00">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58114.00</w:t>
            </w:r>
          </w:p>
        </w:tc>
        <w:tc>
          <w:tcPr>
            <w:tcW w:w="635" w:type="dxa"/>
            <w:noWrap w:val="0"/>
            <w:vAlign w:val="center"/>
          </w:tcPr>
          <w:p w14:paraId="3B49DAD5">
            <w:pPr>
              <w:spacing w:before="65" w:line="189" w:lineRule="auto"/>
              <w:ind w:left="182"/>
              <w:jc w:val="center"/>
              <w:rPr>
                <w:rFonts w:hint="eastAsia" w:ascii="宋体" w:hAnsi="宋体" w:eastAsia="宋体" w:cs="宋体"/>
                <w:color w:val="auto"/>
                <w:sz w:val="21"/>
                <w:szCs w:val="21"/>
                <w:highlight w:val="none"/>
              </w:rPr>
            </w:pPr>
          </w:p>
        </w:tc>
      </w:tr>
      <w:tr w14:paraId="04DD8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A1FCB52">
            <w:pPr>
              <w:spacing w:before="65" w:line="189"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音频系统</w:t>
            </w:r>
          </w:p>
        </w:tc>
      </w:tr>
      <w:tr w14:paraId="622E4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563246F">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1245" w:type="dxa"/>
            <w:noWrap w:val="0"/>
            <w:vAlign w:val="center"/>
          </w:tcPr>
          <w:p w14:paraId="526603A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麦克风</w:t>
            </w:r>
          </w:p>
        </w:tc>
        <w:tc>
          <w:tcPr>
            <w:tcW w:w="5472" w:type="dxa"/>
            <w:noWrap w:val="0"/>
            <w:vAlign w:val="center"/>
          </w:tcPr>
          <w:p w14:paraId="45792133">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1.采用高灵敏度全指向性咪头，全向拾音。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2.内置专用音频信号处理功能。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3.支持48V幻象供电，平衡输出。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4.信号处理电路：专用音频信号处理电路</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5.内置雷击保护、电源极性反接保护和静电保护。</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6.拾音范围等同或优于：5-50㎡</w:t>
            </w:r>
          </w:p>
        </w:tc>
        <w:tc>
          <w:tcPr>
            <w:tcW w:w="603" w:type="dxa"/>
            <w:noWrap w:val="0"/>
            <w:vAlign w:val="center"/>
          </w:tcPr>
          <w:p w14:paraId="4FC5C4A6">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2D8B58C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54F9C2C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1284</w:t>
            </w:r>
          </w:p>
        </w:tc>
        <w:tc>
          <w:tcPr>
            <w:tcW w:w="635" w:type="dxa"/>
            <w:noWrap w:val="0"/>
            <w:vAlign w:val="center"/>
          </w:tcPr>
          <w:p w14:paraId="7C484378">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0A55E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56BF104">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c>
          <w:tcPr>
            <w:tcW w:w="1245" w:type="dxa"/>
            <w:noWrap w:val="0"/>
            <w:vAlign w:val="center"/>
          </w:tcPr>
          <w:p w14:paraId="587D807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音频处理器</w:t>
            </w:r>
          </w:p>
        </w:tc>
        <w:tc>
          <w:tcPr>
            <w:tcW w:w="5472" w:type="dxa"/>
            <w:noWrap w:val="0"/>
            <w:vAlign w:val="center"/>
          </w:tcPr>
          <w:p w14:paraId="4167B6F6">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1.集成自动噪音抑制技术。具备回声消除功能，远程回声消除延迟能力有128ms，256ms，512ms。</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2.具备≥8路平衡输入接口，支持差分输入，支持48V幻象供电，支持≥16段EQ处理功能；具备≥4路单声道LINE IN输入接口；具备≥4路平衡输出接口。</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3.支持≥8路智能混音。支持NOMA功能，根据开启的MIC 数量自动调整系统的输出电平。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4.支持灵活的配置方式，支持通过网口、RS485接口进行软件升级和参数配置输入/输出增益、EQ、AGC、降噪等级等参数。可通过网络进行监听，软件升级和参数配置。</w:t>
            </w:r>
          </w:p>
        </w:tc>
        <w:tc>
          <w:tcPr>
            <w:tcW w:w="603" w:type="dxa"/>
            <w:noWrap w:val="0"/>
            <w:vAlign w:val="center"/>
          </w:tcPr>
          <w:p w14:paraId="1853F47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234572E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3517FFE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9308</w:t>
            </w:r>
          </w:p>
        </w:tc>
        <w:tc>
          <w:tcPr>
            <w:tcW w:w="635" w:type="dxa"/>
            <w:noWrap w:val="0"/>
            <w:vAlign w:val="center"/>
          </w:tcPr>
          <w:p w14:paraId="1706EDD0">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58CA7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C8DE820">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w:t>
            </w:r>
          </w:p>
        </w:tc>
        <w:tc>
          <w:tcPr>
            <w:tcW w:w="1245" w:type="dxa"/>
            <w:noWrap w:val="0"/>
            <w:vAlign w:val="center"/>
          </w:tcPr>
          <w:p w14:paraId="488F473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无线话筒</w:t>
            </w:r>
          </w:p>
        </w:tc>
        <w:tc>
          <w:tcPr>
            <w:tcW w:w="5472" w:type="dxa"/>
            <w:noWrap w:val="0"/>
            <w:vAlign w:val="center"/>
          </w:tcPr>
          <w:p w14:paraId="18C277C8">
            <w:pPr>
              <w:numPr>
                <w:ilvl w:val="0"/>
                <w:numId w:val="3"/>
              </w:num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基于数字U段的传输技术，pi/4-DQPSK调制方式，采用国产主控芯片，传输距离≥80米，接收机具有≥2路平衡输出、≥1路非平衡混音输出；具有混响、均衡、智能静音、音频加密、功率调节功能。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2.具有≥1台接收主机、≥1只手持发射机、≥1只头戴腰包发射机；频率范围等同或优于470MHz-510MHz、540MHz-590MHz、640MHz-690MHz、807MHz-830MHz四个频段使用。</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接收机前面板具有≥2个TFT-LCD显示屏、≥2个编码旋钮、≥2个频率扫描实体按键、≥2个红外对频实体按键、≥1个电源开关按键、≥1个二合一指示灯（红外发射管+对频指示灯）；后面板具有≥1个LINE-OUT接口、≥2个XLR-OUT接口、≥2个BNC接口、≥1个DC接口。腰包发射机具有≥1个显示屏、≥4个实体按键（包括≥1个静音键、≥1个音量减少键、≥1个音量增加键、≥1个电源开关键）、≥1个电源状态指示灯、≥1个静音指示灯。手持发射机具有≥1个OLED 显示屏、≥1个开关机/静音按键、≥1个工作状态指示灯、≥1个红外对频指示灯。</w:t>
            </w:r>
          </w:p>
          <w:p w14:paraId="1617F79D">
            <w:pPr>
              <w:numPr>
                <w:ilvl w:val="0"/>
                <w:numId w:val="0"/>
              </w:numPr>
              <w:spacing w:before="65" w:line="240" w:lineRule="auto"/>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4.具有自动静音功能，麦克风跌落、抛掷时，毫秒级自动静音，避免冲击声；实时监测设备姿态，静置≥5秒静音，≥8分钟关机，无需手动干预。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5.具有多档位混响调节功能，混响效果≥15625个，效果占比、回响延时、混响幅度调节，三种音效各具有≥25档调节方式。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6.具有多频段均衡调节功能，均衡调节≥2197种，麦克风均衡器调节功能，具有高、中、低音三种调节档位，每种效果支持≥13档调节。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7.具有长时间续航，发射机连续使用时长≥10小时。</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8.具有ID码防串扰功能，采用32位唯一ID码，用于接收和发射配对，收发ID码必须相同才能对码，能够有效防止相同频率的信号相互串台。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9.接收机具有≥2个2.2英寸的TFT-LCD显示屏；发射机具有≥0.96英寸OLED显示屏，能够显示频率信息、音频加密状态、功率挡位、静音状态、电量格数信息。</w:t>
            </w:r>
          </w:p>
        </w:tc>
        <w:tc>
          <w:tcPr>
            <w:tcW w:w="603" w:type="dxa"/>
            <w:noWrap w:val="0"/>
            <w:vAlign w:val="center"/>
          </w:tcPr>
          <w:p w14:paraId="52A34105">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w:t>
            </w:r>
          </w:p>
        </w:tc>
        <w:tc>
          <w:tcPr>
            <w:tcW w:w="600" w:type="dxa"/>
            <w:noWrap w:val="0"/>
            <w:vAlign w:val="center"/>
          </w:tcPr>
          <w:p w14:paraId="20C15FF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24D4609">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4468</w:t>
            </w:r>
          </w:p>
        </w:tc>
        <w:tc>
          <w:tcPr>
            <w:tcW w:w="635" w:type="dxa"/>
            <w:noWrap w:val="0"/>
            <w:vAlign w:val="center"/>
          </w:tcPr>
          <w:p w14:paraId="5C4F1D4B">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0A7F7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6975DC">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w:t>
            </w:r>
          </w:p>
        </w:tc>
        <w:tc>
          <w:tcPr>
            <w:tcW w:w="1245" w:type="dxa"/>
            <w:noWrap w:val="0"/>
            <w:vAlign w:val="center"/>
          </w:tcPr>
          <w:p w14:paraId="72F16B6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话筒天线</w:t>
            </w:r>
          </w:p>
        </w:tc>
        <w:tc>
          <w:tcPr>
            <w:tcW w:w="5472" w:type="dxa"/>
            <w:noWrap w:val="0"/>
            <w:vAlign w:val="center"/>
          </w:tcPr>
          <w:p w14:paraId="52AA611C">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1.射频频率范围等同或优于470～950MHz</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2.驻波比：≤2.0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3.输入阻抗：≤50Ω</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4.指向性：≥180度指向</w:t>
            </w:r>
          </w:p>
        </w:tc>
        <w:tc>
          <w:tcPr>
            <w:tcW w:w="603" w:type="dxa"/>
            <w:noWrap w:val="0"/>
            <w:vAlign w:val="center"/>
          </w:tcPr>
          <w:p w14:paraId="320FBBA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w:t>
            </w:r>
          </w:p>
        </w:tc>
        <w:tc>
          <w:tcPr>
            <w:tcW w:w="600" w:type="dxa"/>
            <w:noWrap w:val="0"/>
            <w:vAlign w:val="center"/>
          </w:tcPr>
          <w:p w14:paraId="230FD88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FE2FAF9">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2984</w:t>
            </w:r>
          </w:p>
        </w:tc>
        <w:tc>
          <w:tcPr>
            <w:tcW w:w="635" w:type="dxa"/>
            <w:noWrap w:val="0"/>
            <w:vAlign w:val="center"/>
          </w:tcPr>
          <w:p w14:paraId="32300F98">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50101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1C3211D">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22</w:t>
            </w:r>
          </w:p>
        </w:tc>
        <w:tc>
          <w:tcPr>
            <w:tcW w:w="1245" w:type="dxa"/>
            <w:noWrap w:val="0"/>
            <w:vAlign w:val="center"/>
          </w:tcPr>
          <w:p w14:paraId="5EE22E0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专业音箱</w:t>
            </w:r>
          </w:p>
        </w:tc>
        <w:tc>
          <w:tcPr>
            <w:tcW w:w="5472" w:type="dxa"/>
            <w:noWrap w:val="0"/>
            <w:vAlign w:val="center"/>
          </w:tcPr>
          <w:p w14:paraId="057602AF">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1.阻抗≤8Ω</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2.频响等同或优于70Hz-20KHz</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3.额定功率≥150W</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4.灵敏度≥96dB/W/M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5.水平覆盖角≥100°，垂直覆盖角≥80°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6.高音≥3"锥形高音单元×2</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7.低音≥8"低音×1</w:t>
            </w:r>
          </w:p>
        </w:tc>
        <w:tc>
          <w:tcPr>
            <w:tcW w:w="603" w:type="dxa"/>
            <w:noWrap w:val="0"/>
            <w:vAlign w:val="center"/>
          </w:tcPr>
          <w:p w14:paraId="0018313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4</w:t>
            </w:r>
          </w:p>
        </w:tc>
        <w:tc>
          <w:tcPr>
            <w:tcW w:w="600" w:type="dxa"/>
            <w:noWrap w:val="0"/>
            <w:vAlign w:val="center"/>
          </w:tcPr>
          <w:p w14:paraId="5A3C5BA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只</w:t>
            </w:r>
          </w:p>
        </w:tc>
        <w:tc>
          <w:tcPr>
            <w:tcW w:w="1110" w:type="dxa"/>
            <w:noWrap w:val="0"/>
            <w:vAlign w:val="center"/>
          </w:tcPr>
          <w:p w14:paraId="1888CFA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2602</w:t>
            </w:r>
          </w:p>
        </w:tc>
        <w:tc>
          <w:tcPr>
            <w:tcW w:w="635" w:type="dxa"/>
            <w:noWrap w:val="0"/>
            <w:vAlign w:val="center"/>
          </w:tcPr>
          <w:p w14:paraId="5FE333EE">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73BD7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9E96175">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23</w:t>
            </w:r>
          </w:p>
        </w:tc>
        <w:tc>
          <w:tcPr>
            <w:tcW w:w="1245" w:type="dxa"/>
            <w:noWrap w:val="0"/>
            <w:vAlign w:val="center"/>
          </w:tcPr>
          <w:p w14:paraId="366E178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支架</w:t>
            </w:r>
          </w:p>
        </w:tc>
        <w:tc>
          <w:tcPr>
            <w:tcW w:w="5472" w:type="dxa"/>
            <w:noWrap w:val="0"/>
            <w:vAlign w:val="center"/>
          </w:tcPr>
          <w:p w14:paraId="265E4FE7">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固定面板固定孔尺寸（长*宽）：约34mm*34mm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箱体固定面板固定孔尺寸：约110mm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重量：≤0.31Kg</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类型：音箱支架</w:t>
            </w:r>
          </w:p>
        </w:tc>
        <w:tc>
          <w:tcPr>
            <w:tcW w:w="603" w:type="dxa"/>
            <w:noWrap w:val="0"/>
            <w:vAlign w:val="center"/>
          </w:tcPr>
          <w:p w14:paraId="317A44C5">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4</w:t>
            </w:r>
          </w:p>
        </w:tc>
        <w:tc>
          <w:tcPr>
            <w:tcW w:w="600" w:type="dxa"/>
            <w:noWrap w:val="0"/>
            <w:vAlign w:val="center"/>
          </w:tcPr>
          <w:p w14:paraId="0834F455">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只</w:t>
            </w:r>
          </w:p>
        </w:tc>
        <w:tc>
          <w:tcPr>
            <w:tcW w:w="1110" w:type="dxa"/>
            <w:noWrap w:val="0"/>
            <w:vAlign w:val="center"/>
          </w:tcPr>
          <w:p w14:paraId="3F484767">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136</w:t>
            </w:r>
          </w:p>
        </w:tc>
        <w:tc>
          <w:tcPr>
            <w:tcW w:w="635" w:type="dxa"/>
            <w:noWrap w:val="0"/>
            <w:vAlign w:val="center"/>
          </w:tcPr>
          <w:p w14:paraId="2648710D">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4FCDD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8DDAC36">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1245" w:type="dxa"/>
            <w:noWrap w:val="0"/>
            <w:vAlign w:val="center"/>
          </w:tcPr>
          <w:p w14:paraId="4F06A49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专业功放</w:t>
            </w:r>
          </w:p>
        </w:tc>
        <w:tc>
          <w:tcPr>
            <w:tcW w:w="5472" w:type="dxa"/>
            <w:noWrap w:val="0"/>
            <w:vAlign w:val="center"/>
          </w:tcPr>
          <w:p w14:paraId="58079F25">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1.标准≤1U机箱设计，采用D类数字功放设计方案。</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2.标准XLR输入接口，和LINK输出口。</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3.电源采用开关电源技术，效率高，有效的抑制电源谐波。</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 xml:space="preserve">4.内置智能削峰限幅器，支持开机软启动，防止开机时向电网吸收大电流，干扰其它用电设备。 </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5.具有：过压保护，欠压保护，过流保护，直流保护，输出短路保护，温控风扇等功能。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6.输出功率：立体声@8Ω：≥200W×2；立体声@4Ω：≥400W×2。</w:t>
            </w:r>
          </w:p>
        </w:tc>
        <w:tc>
          <w:tcPr>
            <w:tcW w:w="603" w:type="dxa"/>
            <w:noWrap w:val="0"/>
            <w:vAlign w:val="center"/>
          </w:tcPr>
          <w:p w14:paraId="27D78D6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2</w:t>
            </w:r>
          </w:p>
        </w:tc>
        <w:tc>
          <w:tcPr>
            <w:tcW w:w="600" w:type="dxa"/>
            <w:noWrap w:val="0"/>
            <w:vAlign w:val="center"/>
          </w:tcPr>
          <w:p w14:paraId="1BC21407">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7F8F361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3982</w:t>
            </w:r>
          </w:p>
        </w:tc>
        <w:tc>
          <w:tcPr>
            <w:tcW w:w="635" w:type="dxa"/>
            <w:noWrap w:val="0"/>
            <w:vAlign w:val="center"/>
          </w:tcPr>
          <w:p w14:paraId="1F60B9CE">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64784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9201DD1">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w:t>
            </w:r>
          </w:p>
        </w:tc>
        <w:tc>
          <w:tcPr>
            <w:tcW w:w="1245" w:type="dxa"/>
            <w:noWrap w:val="0"/>
            <w:vAlign w:val="center"/>
          </w:tcPr>
          <w:p w14:paraId="12ED669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电源管理器</w:t>
            </w:r>
          </w:p>
        </w:tc>
        <w:tc>
          <w:tcPr>
            <w:tcW w:w="5472" w:type="dxa"/>
            <w:noWrap w:val="0"/>
            <w:vAlign w:val="center"/>
          </w:tcPr>
          <w:p w14:paraId="681758B3">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1.配备LCD显示屏，支持显示温度信息，实时输入电压信息、时间信息、IP信息，定时任务信息。</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2.具有≥8路单通道≥10A电源输出插座，总输出电流≥30A，支持实时监控插座功率。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3.具有≥2个10M/100M网口，≥2路RS-485接口，≥1路USB接口提供照明灯供电；配备≥1个监听扬声器，支持人声报警提示。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4.支持过载、短路保护功能；支持连接PC可视化界面进行远程操控；支持网络远程固件升级，支持主从机级联，支持通过一路网口接入局域网使用软件控制所有级联设备。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5.具备对每一路电源输出进行定时编程，支持每路开关时序间隔动作延迟时间调节设置。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6.支持实时检测设备温度，支持拓展外接温湿度传感器，显示外部环境温湿度。</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7.具备自定义设置电源锁开启后每个通道开启、关闭、保持关闭前状态；支持设置对应通道的上下限位值、对应的超限动作和动作延时，支持调节报警音量大小。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8.支持电压、电流或温湿度超过限定值播放相应的人声报警，恢复正常时自动停止。</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9.支持通过主设备电源锁可一键开启或关闭所有从设备；支持独立控制每一路电源输出，支持一键全开或全关；支持一键紧急打开或者关闭全部电源。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10.支持PC界面控制、定时控制、手动控制、串口控制方式。</w:t>
            </w:r>
          </w:p>
        </w:tc>
        <w:tc>
          <w:tcPr>
            <w:tcW w:w="603" w:type="dxa"/>
            <w:noWrap w:val="0"/>
            <w:vAlign w:val="center"/>
          </w:tcPr>
          <w:p w14:paraId="72202BA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w:t>
            </w:r>
          </w:p>
        </w:tc>
        <w:tc>
          <w:tcPr>
            <w:tcW w:w="600" w:type="dxa"/>
            <w:noWrap w:val="0"/>
            <w:vAlign w:val="center"/>
          </w:tcPr>
          <w:p w14:paraId="1EAEC8C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31E97A89">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3932</w:t>
            </w:r>
          </w:p>
        </w:tc>
        <w:tc>
          <w:tcPr>
            <w:tcW w:w="635" w:type="dxa"/>
            <w:noWrap w:val="0"/>
            <w:vAlign w:val="center"/>
          </w:tcPr>
          <w:p w14:paraId="7AF0A477">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582B9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9EE7080">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26</w:t>
            </w:r>
          </w:p>
        </w:tc>
        <w:tc>
          <w:tcPr>
            <w:tcW w:w="1245" w:type="dxa"/>
            <w:noWrap w:val="0"/>
            <w:vAlign w:val="center"/>
          </w:tcPr>
          <w:p w14:paraId="4290E08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麦克风</w:t>
            </w:r>
          </w:p>
        </w:tc>
        <w:tc>
          <w:tcPr>
            <w:tcW w:w="5472" w:type="dxa"/>
            <w:noWrap w:val="0"/>
            <w:vAlign w:val="center"/>
          </w:tcPr>
          <w:p w14:paraId="4B31096A">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1.采用高灵敏度全指向性咪头，全向拾音。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2.内置专用音频信号处理功能。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3.支持48V幻象供电，平衡输出。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4.信号处理电路：专用音频信号处理电路</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5.内置雷击保护、电源极性反接保护和静电保护。</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6.拾音范围等同或优于：5-50㎡</w:t>
            </w:r>
          </w:p>
        </w:tc>
        <w:tc>
          <w:tcPr>
            <w:tcW w:w="603" w:type="dxa"/>
            <w:noWrap w:val="0"/>
            <w:vAlign w:val="center"/>
          </w:tcPr>
          <w:p w14:paraId="174B8DC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690F590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5F02796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1284</w:t>
            </w:r>
          </w:p>
        </w:tc>
        <w:tc>
          <w:tcPr>
            <w:tcW w:w="635" w:type="dxa"/>
            <w:noWrap w:val="0"/>
            <w:vAlign w:val="center"/>
          </w:tcPr>
          <w:p w14:paraId="3F9B00FE">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44F98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7484B18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7B8E61BC">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2313" w:type="dxa"/>
            <w:gridSpan w:val="3"/>
            <w:noWrap w:val="0"/>
            <w:vAlign w:val="center"/>
          </w:tcPr>
          <w:p w14:paraId="39A84EC8">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44744.00</w:t>
            </w:r>
          </w:p>
        </w:tc>
        <w:tc>
          <w:tcPr>
            <w:tcW w:w="635" w:type="dxa"/>
            <w:noWrap w:val="0"/>
            <w:vAlign w:val="center"/>
          </w:tcPr>
          <w:p w14:paraId="3DCAED03">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1D4EA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4C3C6677">
            <w:pPr>
              <w:spacing w:before="65" w:line="185" w:lineRule="auto"/>
              <w:ind w:left="0" w:leftChars="0" w:firstLine="210" w:firstLineChars="1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观摩室</w:t>
            </w:r>
          </w:p>
        </w:tc>
      </w:tr>
      <w:tr w14:paraId="35977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6A8D84B">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w:t>
            </w:r>
          </w:p>
        </w:tc>
        <w:tc>
          <w:tcPr>
            <w:tcW w:w="1245" w:type="dxa"/>
            <w:noWrap w:val="0"/>
            <w:vAlign w:val="center"/>
          </w:tcPr>
          <w:p w14:paraId="7C09908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电视机</w:t>
            </w:r>
          </w:p>
        </w:tc>
        <w:tc>
          <w:tcPr>
            <w:tcW w:w="5472" w:type="dxa"/>
            <w:noWrap w:val="0"/>
            <w:vAlign w:val="center"/>
          </w:tcPr>
          <w:p w14:paraId="3AB236C4">
            <w:pPr>
              <w:numPr>
                <w:ilvl w:val="0"/>
                <w:numId w:val="4"/>
              </w:num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≥55英寸4K超高清全面屏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2.屏幕刷新率≥120hz</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3.配备蓝牙5.0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4.≥10.7亿色彩显示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5.运行内存：≥2G</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6.存储内存：≥32G</w:t>
            </w:r>
          </w:p>
          <w:p w14:paraId="247B1616">
            <w:pPr>
              <w:pStyle w:val="44"/>
              <w:numPr>
                <w:ilvl w:val="0"/>
                <w:numId w:val="0"/>
              </w:numPr>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0B06CB0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4275B3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6B3E994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6480</w:t>
            </w:r>
          </w:p>
        </w:tc>
        <w:tc>
          <w:tcPr>
            <w:tcW w:w="635" w:type="dxa"/>
            <w:noWrap w:val="0"/>
            <w:vAlign w:val="center"/>
          </w:tcPr>
          <w:p w14:paraId="74C85A51">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2542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B9EB659">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w:t>
            </w:r>
          </w:p>
        </w:tc>
        <w:tc>
          <w:tcPr>
            <w:tcW w:w="1245" w:type="dxa"/>
            <w:noWrap w:val="0"/>
            <w:vAlign w:val="center"/>
          </w:tcPr>
          <w:p w14:paraId="0C0466F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显示屏</w:t>
            </w:r>
          </w:p>
        </w:tc>
        <w:tc>
          <w:tcPr>
            <w:tcW w:w="5472" w:type="dxa"/>
            <w:noWrap w:val="0"/>
            <w:vAlign w:val="center"/>
          </w:tcPr>
          <w:p w14:paraId="4B7FDAEB">
            <w:pPr>
              <w:numPr>
                <w:ilvl w:val="0"/>
                <w:numId w:val="5"/>
              </w:num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屏幕尺寸：≥21.5英寸</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2.面板类型：VA技术</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3.分辨率：1920*1080@75Hz</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4.接口：HDMI、VGA</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5.响应时间：≤8ms</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6.亮度：≥300cd/m²</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7.毛重/净重：3.01/2.09kg</w:t>
            </w:r>
          </w:p>
          <w:p w14:paraId="6818B394">
            <w:pPr>
              <w:pStyle w:val="44"/>
              <w:numPr>
                <w:ilvl w:val="0"/>
                <w:numId w:val="0"/>
              </w:numPr>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136C351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11A5DD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1E7E159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1200</w:t>
            </w:r>
          </w:p>
        </w:tc>
        <w:tc>
          <w:tcPr>
            <w:tcW w:w="635" w:type="dxa"/>
            <w:noWrap w:val="0"/>
            <w:vAlign w:val="center"/>
          </w:tcPr>
          <w:p w14:paraId="32A019F9">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1D5A8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D017DAC">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29</w:t>
            </w:r>
          </w:p>
        </w:tc>
        <w:tc>
          <w:tcPr>
            <w:tcW w:w="1245" w:type="dxa"/>
            <w:noWrap w:val="0"/>
            <w:vAlign w:val="center"/>
          </w:tcPr>
          <w:p w14:paraId="473B823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无线鼠标键盘</w:t>
            </w:r>
          </w:p>
        </w:tc>
        <w:tc>
          <w:tcPr>
            <w:tcW w:w="5472" w:type="dxa"/>
            <w:noWrap w:val="0"/>
            <w:vAlign w:val="center"/>
          </w:tcPr>
          <w:p w14:paraId="2325715C">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1.无线键鼠套装</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2.带无线2.4G接收器</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3.键盘供电：2节7号电池；鼠标供电：2节5号电池</w:t>
            </w:r>
          </w:p>
        </w:tc>
        <w:tc>
          <w:tcPr>
            <w:tcW w:w="603" w:type="dxa"/>
            <w:noWrap w:val="0"/>
            <w:vAlign w:val="center"/>
          </w:tcPr>
          <w:p w14:paraId="1D7C72F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76C0AC3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B4874A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500</w:t>
            </w:r>
          </w:p>
        </w:tc>
        <w:tc>
          <w:tcPr>
            <w:tcW w:w="635" w:type="dxa"/>
            <w:noWrap w:val="0"/>
            <w:vAlign w:val="center"/>
          </w:tcPr>
          <w:p w14:paraId="4FEED233">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2CD2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4526AC0">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1245" w:type="dxa"/>
            <w:noWrap w:val="0"/>
            <w:vAlign w:val="center"/>
          </w:tcPr>
          <w:p w14:paraId="295D0F9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有源音箱</w:t>
            </w:r>
          </w:p>
        </w:tc>
        <w:tc>
          <w:tcPr>
            <w:tcW w:w="5472" w:type="dxa"/>
            <w:noWrap w:val="0"/>
            <w:vAlign w:val="center"/>
          </w:tcPr>
          <w:p w14:paraId="6A508FCD">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1.有源音箱内置高保真扬声器，额定输出功率支持≥2×25W，支持4-8Ω输出阻抗。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2.支持≥1路话筒和≥1路立体声线路输入接口、≥1路立体声线路输出接口，带默音功能，话筒优先于线路输入。具有≥1个麦克风音量调节，≥1个线路输入音量调节，≥2个高低音调节。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3.支持≥100V广播输入接口。</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4.具有输出过载、过压、短路保护。</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5.信噪比≥70dB，频率响应等同或优于40Hz~20KHz(≤±3dB)，谐波失真≤1%。</w:t>
            </w:r>
          </w:p>
        </w:tc>
        <w:tc>
          <w:tcPr>
            <w:tcW w:w="603" w:type="dxa"/>
            <w:noWrap w:val="0"/>
            <w:vAlign w:val="center"/>
          </w:tcPr>
          <w:p w14:paraId="0F07486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E933AA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6DD1436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1872</w:t>
            </w:r>
          </w:p>
        </w:tc>
        <w:tc>
          <w:tcPr>
            <w:tcW w:w="635" w:type="dxa"/>
            <w:noWrap w:val="0"/>
            <w:vAlign w:val="center"/>
          </w:tcPr>
          <w:p w14:paraId="3FDE08EB">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630B3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1E2FC95">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w:t>
            </w:r>
          </w:p>
        </w:tc>
        <w:tc>
          <w:tcPr>
            <w:tcW w:w="1245" w:type="dxa"/>
            <w:noWrap w:val="0"/>
            <w:vAlign w:val="center"/>
          </w:tcPr>
          <w:p w14:paraId="3A23F8A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导播键盘</w:t>
            </w:r>
          </w:p>
        </w:tc>
        <w:tc>
          <w:tcPr>
            <w:tcW w:w="5472" w:type="dxa"/>
            <w:noWrap w:val="0"/>
            <w:vAlign w:val="center"/>
          </w:tcPr>
          <w:p w14:paraId="2123230B">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1.具有≥63个按键、≥1个三轴操纵杆、≥1个T型视频推杆、≥4路音量调节推子，具有通信接口：≥1个USB接口、≥1个RS232接口、≥1个RS422接口。</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2.支持对≥4个通道音量开关及音量大小的调整，支持一键启动、暂停、停止录制，支持智能导播拍摄方式切换，可一键设置为自动或手动导播，支持一键启动直播推流和一键停止直播推流功能。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3.支持拍摄录制画面切换，支持通过≥6个快捷按键切换多种画面组合录制模式，包括有画中画、三画面、四画面及自定义画面等。</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4.支持通过按键将≥8个通道画面切换至预览窗口，并且可通过T型视频推杆将预览PVW窗口画面切换至输出画面PGM，T型视频推杆具有LED进度指示功能。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5.支持通过按键选中对应通道的画面，并且通过三轴操纵杆进行快、慢速拍摄调节（上下左右、变倍等），通过搭配按键实现≥8个预置位的调用和存储。</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6.支持按键调用字幕OSD预设1、OSD预设2功能，并且可一键清除字幕OSD预设功能。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7.支持听讲申请加入互动教室、听讲申请退出互动教室、听讲申请发言、主讲同意听讲1发言、主讲同意听讲2发言、主讲同意听讲3发言。</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8.支持特效切换功能，画面切换特效一键式搞定，支持一键设置为渐变切换效果、一键设置为百叶窗切换效果、一键清除效果。</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9.支持一键锁屏/取消锁屏。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10.支持中控指令控制功能，通过连接录播主机完成中控指令的一键下发，具备有≥5个按键可自定义中控指令。</w:t>
            </w:r>
          </w:p>
        </w:tc>
        <w:tc>
          <w:tcPr>
            <w:tcW w:w="603" w:type="dxa"/>
            <w:noWrap w:val="0"/>
            <w:vAlign w:val="center"/>
          </w:tcPr>
          <w:p w14:paraId="33477E6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30EB71B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815943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14770</w:t>
            </w:r>
          </w:p>
        </w:tc>
        <w:tc>
          <w:tcPr>
            <w:tcW w:w="635" w:type="dxa"/>
            <w:noWrap w:val="0"/>
            <w:vAlign w:val="center"/>
          </w:tcPr>
          <w:p w14:paraId="4533786E">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2893F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91C547">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32</w:t>
            </w:r>
          </w:p>
        </w:tc>
        <w:tc>
          <w:tcPr>
            <w:tcW w:w="1245" w:type="dxa"/>
            <w:noWrap w:val="0"/>
            <w:vAlign w:val="center"/>
          </w:tcPr>
          <w:p w14:paraId="47FE605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观摩室工位</w:t>
            </w:r>
          </w:p>
        </w:tc>
        <w:tc>
          <w:tcPr>
            <w:tcW w:w="5472" w:type="dxa"/>
            <w:noWrap w:val="0"/>
            <w:vAlign w:val="center"/>
          </w:tcPr>
          <w:p w14:paraId="1617A828">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尺寸：约2000cm(长)*700cm(宽)*750cm(高)。</w:t>
            </w:r>
          </w:p>
        </w:tc>
        <w:tc>
          <w:tcPr>
            <w:tcW w:w="603" w:type="dxa"/>
            <w:noWrap w:val="0"/>
            <w:vAlign w:val="center"/>
          </w:tcPr>
          <w:p w14:paraId="5599CB7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600" w:type="dxa"/>
            <w:noWrap w:val="0"/>
            <w:vAlign w:val="center"/>
          </w:tcPr>
          <w:p w14:paraId="4AA35D9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张</w:t>
            </w:r>
          </w:p>
        </w:tc>
        <w:tc>
          <w:tcPr>
            <w:tcW w:w="1110" w:type="dxa"/>
            <w:noWrap w:val="0"/>
            <w:vAlign w:val="center"/>
          </w:tcPr>
          <w:p w14:paraId="494631A9">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500</w:t>
            </w:r>
          </w:p>
        </w:tc>
        <w:tc>
          <w:tcPr>
            <w:tcW w:w="635" w:type="dxa"/>
            <w:noWrap w:val="0"/>
            <w:vAlign w:val="center"/>
          </w:tcPr>
          <w:p w14:paraId="2C7F2C6F">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14383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E295717">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w:t>
            </w:r>
          </w:p>
        </w:tc>
        <w:tc>
          <w:tcPr>
            <w:tcW w:w="1245" w:type="dxa"/>
            <w:noWrap w:val="0"/>
            <w:vAlign w:val="center"/>
          </w:tcPr>
          <w:p w14:paraId="7A2A1EE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观摩室工位</w:t>
            </w:r>
          </w:p>
        </w:tc>
        <w:tc>
          <w:tcPr>
            <w:tcW w:w="5472" w:type="dxa"/>
            <w:noWrap w:val="0"/>
            <w:vAlign w:val="center"/>
          </w:tcPr>
          <w:p w14:paraId="28779F6A">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带书写板，颐达麻布、PU椅背联接杆，PE塑料写字板，1.2cm厚旦管银色四脚架</w:t>
            </w:r>
          </w:p>
        </w:tc>
        <w:tc>
          <w:tcPr>
            <w:tcW w:w="603" w:type="dxa"/>
            <w:noWrap w:val="0"/>
            <w:vAlign w:val="center"/>
          </w:tcPr>
          <w:p w14:paraId="2D4F30C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600" w:type="dxa"/>
            <w:noWrap w:val="0"/>
            <w:vAlign w:val="center"/>
          </w:tcPr>
          <w:p w14:paraId="6F11787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张</w:t>
            </w:r>
          </w:p>
        </w:tc>
        <w:tc>
          <w:tcPr>
            <w:tcW w:w="1110" w:type="dxa"/>
            <w:noWrap w:val="0"/>
            <w:vAlign w:val="center"/>
          </w:tcPr>
          <w:p w14:paraId="69B72C0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350</w:t>
            </w:r>
          </w:p>
        </w:tc>
        <w:tc>
          <w:tcPr>
            <w:tcW w:w="635" w:type="dxa"/>
            <w:noWrap w:val="0"/>
            <w:vAlign w:val="center"/>
          </w:tcPr>
          <w:p w14:paraId="7D392E71">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3A841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18FB3C9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4FE34529">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c>
          <w:tcPr>
            <w:tcW w:w="2313" w:type="dxa"/>
            <w:gridSpan w:val="3"/>
            <w:noWrap w:val="0"/>
            <w:vAlign w:val="center"/>
          </w:tcPr>
          <w:p w14:paraId="07D359A9">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37822.00</w:t>
            </w:r>
          </w:p>
        </w:tc>
        <w:tc>
          <w:tcPr>
            <w:tcW w:w="635" w:type="dxa"/>
            <w:noWrap w:val="0"/>
            <w:vAlign w:val="center"/>
          </w:tcPr>
          <w:p w14:paraId="0B934798">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B0E1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60019A7">
            <w:pPr>
              <w:spacing w:before="65" w:line="185" w:lineRule="auto"/>
              <w:ind w:left="0" w:leftChars="0" w:firstLine="420" w:firstLineChars="20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辅助线材</w:t>
            </w:r>
          </w:p>
        </w:tc>
      </w:tr>
      <w:tr w14:paraId="7EACC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3BF6034">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34</w:t>
            </w:r>
          </w:p>
        </w:tc>
        <w:tc>
          <w:tcPr>
            <w:tcW w:w="1245" w:type="dxa"/>
            <w:noWrap w:val="0"/>
            <w:vAlign w:val="center"/>
          </w:tcPr>
          <w:p w14:paraId="3D94185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音频连接线</w:t>
            </w:r>
          </w:p>
        </w:tc>
        <w:tc>
          <w:tcPr>
            <w:tcW w:w="5472" w:type="dxa"/>
            <w:noWrap w:val="0"/>
            <w:vAlign w:val="center"/>
          </w:tcPr>
          <w:p w14:paraId="3E70F5F7">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1.8米音频连接线：卡侬头（母）-卡侬头（公）</w:t>
            </w:r>
          </w:p>
        </w:tc>
        <w:tc>
          <w:tcPr>
            <w:tcW w:w="603" w:type="dxa"/>
            <w:noWrap w:val="0"/>
            <w:vAlign w:val="center"/>
          </w:tcPr>
          <w:p w14:paraId="05F245A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600" w:type="dxa"/>
            <w:noWrap w:val="0"/>
            <w:vAlign w:val="center"/>
          </w:tcPr>
          <w:p w14:paraId="2F8E368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w:t>
            </w:r>
          </w:p>
        </w:tc>
        <w:tc>
          <w:tcPr>
            <w:tcW w:w="1110" w:type="dxa"/>
            <w:noWrap w:val="0"/>
            <w:vAlign w:val="center"/>
          </w:tcPr>
          <w:p w14:paraId="5443125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40</w:t>
            </w:r>
          </w:p>
        </w:tc>
        <w:tc>
          <w:tcPr>
            <w:tcW w:w="635" w:type="dxa"/>
            <w:noWrap w:val="0"/>
            <w:vAlign w:val="center"/>
          </w:tcPr>
          <w:p w14:paraId="76D90390">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19689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E6FE33C">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w:t>
            </w:r>
          </w:p>
        </w:tc>
        <w:tc>
          <w:tcPr>
            <w:tcW w:w="1245" w:type="dxa"/>
            <w:noWrap w:val="0"/>
            <w:vAlign w:val="center"/>
          </w:tcPr>
          <w:p w14:paraId="2352082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音频连接线</w:t>
            </w:r>
          </w:p>
        </w:tc>
        <w:tc>
          <w:tcPr>
            <w:tcW w:w="5472" w:type="dxa"/>
            <w:noWrap w:val="0"/>
            <w:vAlign w:val="center"/>
          </w:tcPr>
          <w:p w14:paraId="799AD59D">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1.8米音频连接线：莲花（RCA）-6.35话筒插头</w:t>
            </w:r>
          </w:p>
        </w:tc>
        <w:tc>
          <w:tcPr>
            <w:tcW w:w="603" w:type="dxa"/>
            <w:noWrap w:val="0"/>
            <w:vAlign w:val="center"/>
          </w:tcPr>
          <w:p w14:paraId="337331B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600" w:type="dxa"/>
            <w:noWrap w:val="0"/>
            <w:vAlign w:val="center"/>
          </w:tcPr>
          <w:p w14:paraId="47D6E78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w:t>
            </w:r>
          </w:p>
        </w:tc>
        <w:tc>
          <w:tcPr>
            <w:tcW w:w="1110" w:type="dxa"/>
            <w:noWrap w:val="0"/>
            <w:vAlign w:val="center"/>
          </w:tcPr>
          <w:p w14:paraId="7FB3625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635" w:type="dxa"/>
            <w:noWrap w:val="0"/>
            <w:vAlign w:val="center"/>
          </w:tcPr>
          <w:p w14:paraId="375BB2C3">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3E5CC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9F2272A">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36</w:t>
            </w:r>
          </w:p>
        </w:tc>
        <w:tc>
          <w:tcPr>
            <w:tcW w:w="1245" w:type="dxa"/>
            <w:noWrap w:val="0"/>
            <w:vAlign w:val="center"/>
          </w:tcPr>
          <w:p w14:paraId="7724627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音频连接线</w:t>
            </w:r>
          </w:p>
        </w:tc>
        <w:tc>
          <w:tcPr>
            <w:tcW w:w="5472" w:type="dxa"/>
            <w:noWrap w:val="0"/>
            <w:vAlign w:val="center"/>
          </w:tcPr>
          <w:p w14:paraId="2BC51827">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1.8米音频连接线：3.5（耳机插头）-双莲花（RCA）</w:t>
            </w:r>
          </w:p>
        </w:tc>
        <w:tc>
          <w:tcPr>
            <w:tcW w:w="603" w:type="dxa"/>
            <w:noWrap w:val="0"/>
            <w:vAlign w:val="center"/>
          </w:tcPr>
          <w:p w14:paraId="775ABDE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421A11A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w:t>
            </w:r>
          </w:p>
        </w:tc>
        <w:tc>
          <w:tcPr>
            <w:tcW w:w="1110" w:type="dxa"/>
            <w:noWrap w:val="0"/>
            <w:vAlign w:val="center"/>
          </w:tcPr>
          <w:p w14:paraId="1044E89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635" w:type="dxa"/>
            <w:noWrap w:val="0"/>
            <w:vAlign w:val="center"/>
          </w:tcPr>
          <w:p w14:paraId="35CFA279">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79774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57A179">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w:t>
            </w:r>
          </w:p>
        </w:tc>
        <w:tc>
          <w:tcPr>
            <w:tcW w:w="1245" w:type="dxa"/>
            <w:noWrap w:val="0"/>
            <w:vAlign w:val="center"/>
          </w:tcPr>
          <w:p w14:paraId="196EFF96">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交换机</w:t>
            </w:r>
          </w:p>
        </w:tc>
        <w:tc>
          <w:tcPr>
            <w:tcW w:w="5472" w:type="dxa"/>
            <w:noWrap w:val="0"/>
            <w:vAlign w:val="center"/>
          </w:tcPr>
          <w:p w14:paraId="321C21DF">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1.24个10/100/1000Base-T RJ45端口（支持PoE+供电）</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2.2个独立千兆SFP端口,整机最大PoE供电功率为225W，单端口最大PoE供电功率为30W</w:t>
            </w:r>
          </w:p>
        </w:tc>
        <w:tc>
          <w:tcPr>
            <w:tcW w:w="603" w:type="dxa"/>
            <w:noWrap w:val="0"/>
            <w:vAlign w:val="center"/>
          </w:tcPr>
          <w:p w14:paraId="18B203E9">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7976A9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3E1FBD2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4000</w:t>
            </w:r>
          </w:p>
        </w:tc>
        <w:tc>
          <w:tcPr>
            <w:tcW w:w="635" w:type="dxa"/>
            <w:noWrap w:val="0"/>
            <w:vAlign w:val="center"/>
          </w:tcPr>
          <w:p w14:paraId="3F81521B">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BCD6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704560D">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38</w:t>
            </w:r>
          </w:p>
        </w:tc>
        <w:tc>
          <w:tcPr>
            <w:tcW w:w="1245" w:type="dxa"/>
            <w:noWrap w:val="0"/>
            <w:vAlign w:val="center"/>
          </w:tcPr>
          <w:p w14:paraId="5164E55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机柜</w:t>
            </w:r>
          </w:p>
        </w:tc>
        <w:tc>
          <w:tcPr>
            <w:tcW w:w="5472" w:type="dxa"/>
            <w:noWrap w:val="0"/>
            <w:vAlign w:val="center"/>
          </w:tcPr>
          <w:p w14:paraId="095DFF7D">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1.尺寸:约600×800×1166mm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2.容量:约22U</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3.配置: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8位10A PDU插排一个</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固定板1块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风扇部件2组</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4只两寸重型脚轮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M6方螺母钉20套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内六角扳手一只</w:t>
            </w:r>
          </w:p>
        </w:tc>
        <w:tc>
          <w:tcPr>
            <w:tcW w:w="603" w:type="dxa"/>
            <w:noWrap w:val="0"/>
            <w:vAlign w:val="center"/>
          </w:tcPr>
          <w:p w14:paraId="62A14A2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2A8AB2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1A3257E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3500</w:t>
            </w:r>
          </w:p>
        </w:tc>
        <w:tc>
          <w:tcPr>
            <w:tcW w:w="635" w:type="dxa"/>
            <w:noWrap w:val="0"/>
            <w:vAlign w:val="center"/>
          </w:tcPr>
          <w:p w14:paraId="1DC985D4">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31B71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ED632E5">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39</w:t>
            </w:r>
          </w:p>
        </w:tc>
        <w:tc>
          <w:tcPr>
            <w:tcW w:w="1245" w:type="dxa"/>
            <w:noWrap w:val="0"/>
            <w:vAlign w:val="center"/>
          </w:tcPr>
          <w:p w14:paraId="5943459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辅料及安装调试</w:t>
            </w:r>
          </w:p>
        </w:tc>
        <w:tc>
          <w:tcPr>
            <w:tcW w:w="5472" w:type="dxa"/>
            <w:noWrap w:val="0"/>
            <w:vAlign w:val="center"/>
          </w:tcPr>
          <w:p w14:paraId="1CC697B9">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含录播教室的所有安装工程、线材、辅材、调试。</w:t>
            </w:r>
          </w:p>
        </w:tc>
        <w:tc>
          <w:tcPr>
            <w:tcW w:w="603" w:type="dxa"/>
            <w:noWrap w:val="0"/>
            <w:vAlign w:val="center"/>
          </w:tcPr>
          <w:p w14:paraId="0105D42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2F94647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批</w:t>
            </w:r>
          </w:p>
        </w:tc>
        <w:tc>
          <w:tcPr>
            <w:tcW w:w="1110" w:type="dxa"/>
            <w:noWrap w:val="0"/>
            <w:vAlign w:val="center"/>
          </w:tcPr>
          <w:p w14:paraId="2BE94A8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20000</w:t>
            </w:r>
          </w:p>
        </w:tc>
        <w:tc>
          <w:tcPr>
            <w:tcW w:w="635" w:type="dxa"/>
            <w:noWrap w:val="0"/>
            <w:vAlign w:val="center"/>
          </w:tcPr>
          <w:p w14:paraId="1DB7E166">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79B17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79582F7">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03541E3F">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c>
          <w:tcPr>
            <w:tcW w:w="2313" w:type="dxa"/>
            <w:gridSpan w:val="3"/>
            <w:noWrap w:val="0"/>
            <w:vAlign w:val="center"/>
          </w:tcPr>
          <w:p w14:paraId="567C75D9">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27990.00</w:t>
            </w:r>
          </w:p>
        </w:tc>
        <w:tc>
          <w:tcPr>
            <w:tcW w:w="635" w:type="dxa"/>
            <w:noWrap w:val="0"/>
            <w:vAlign w:val="center"/>
          </w:tcPr>
          <w:p w14:paraId="297FDC16">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25549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61095EE">
            <w:pPr>
              <w:spacing w:before="65" w:line="185" w:lineRule="auto"/>
              <w:ind w:left="0" w:leftChars="0" w:firstLine="210" w:firstLineChars="10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录播教室、观摩室装修</w:t>
            </w:r>
          </w:p>
        </w:tc>
      </w:tr>
      <w:tr w14:paraId="7E91A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6662AD7">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40</w:t>
            </w:r>
          </w:p>
        </w:tc>
        <w:tc>
          <w:tcPr>
            <w:tcW w:w="1245" w:type="dxa"/>
            <w:noWrap w:val="0"/>
            <w:vAlign w:val="center"/>
          </w:tcPr>
          <w:p w14:paraId="694D4FD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隔音门</w:t>
            </w:r>
          </w:p>
        </w:tc>
        <w:tc>
          <w:tcPr>
            <w:tcW w:w="5472" w:type="dxa"/>
            <w:noWrap w:val="0"/>
            <w:vAlign w:val="center"/>
          </w:tcPr>
          <w:p w14:paraId="2A03A7FC">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约1m×2.2m，厚度≥80mm</w:t>
            </w:r>
          </w:p>
        </w:tc>
        <w:tc>
          <w:tcPr>
            <w:tcW w:w="603" w:type="dxa"/>
            <w:noWrap w:val="0"/>
            <w:vAlign w:val="center"/>
          </w:tcPr>
          <w:p w14:paraId="26B96F3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600" w:type="dxa"/>
            <w:noWrap w:val="0"/>
            <w:vAlign w:val="center"/>
          </w:tcPr>
          <w:p w14:paraId="0DEBC9D6">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扇</w:t>
            </w:r>
          </w:p>
        </w:tc>
        <w:tc>
          <w:tcPr>
            <w:tcW w:w="1110" w:type="dxa"/>
            <w:noWrap w:val="0"/>
            <w:vAlign w:val="center"/>
          </w:tcPr>
          <w:p w14:paraId="3832365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5000</w:t>
            </w:r>
          </w:p>
        </w:tc>
        <w:tc>
          <w:tcPr>
            <w:tcW w:w="635" w:type="dxa"/>
            <w:noWrap w:val="0"/>
            <w:vAlign w:val="center"/>
          </w:tcPr>
          <w:p w14:paraId="0CE38823">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4B51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4D85367">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41</w:t>
            </w:r>
          </w:p>
        </w:tc>
        <w:tc>
          <w:tcPr>
            <w:tcW w:w="1245" w:type="dxa"/>
            <w:noWrap w:val="0"/>
            <w:vAlign w:val="center"/>
          </w:tcPr>
          <w:p w14:paraId="3D45E08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室内灯光处理</w:t>
            </w:r>
          </w:p>
        </w:tc>
        <w:tc>
          <w:tcPr>
            <w:tcW w:w="5472" w:type="dxa"/>
            <w:noWrap w:val="0"/>
            <w:vAlign w:val="center"/>
          </w:tcPr>
          <w:p w14:paraId="196CF651">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约600mm*600mm反光灯盘配三基色≥4000K色温灯管，保证所录制每一个点灯光统一，人脸清晰，达到高清效果</w:t>
            </w:r>
          </w:p>
        </w:tc>
        <w:tc>
          <w:tcPr>
            <w:tcW w:w="603" w:type="dxa"/>
            <w:noWrap w:val="0"/>
            <w:vAlign w:val="center"/>
          </w:tcPr>
          <w:p w14:paraId="7C2D3147">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FA74AB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w:t>
            </w:r>
          </w:p>
        </w:tc>
        <w:tc>
          <w:tcPr>
            <w:tcW w:w="1110" w:type="dxa"/>
            <w:noWrap w:val="0"/>
            <w:vAlign w:val="center"/>
          </w:tcPr>
          <w:p w14:paraId="480B56F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10000</w:t>
            </w:r>
          </w:p>
        </w:tc>
        <w:tc>
          <w:tcPr>
            <w:tcW w:w="635" w:type="dxa"/>
            <w:noWrap w:val="0"/>
            <w:vAlign w:val="center"/>
          </w:tcPr>
          <w:p w14:paraId="181B0577">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6EA16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40AC00D">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42</w:t>
            </w:r>
          </w:p>
        </w:tc>
        <w:tc>
          <w:tcPr>
            <w:tcW w:w="1245" w:type="dxa"/>
            <w:noWrap w:val="0"/>
            <w:vAlign w:val="center"/>
          </w:tcPr>
          <w:p w14:paraId="65747E2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室内天花板吊顶吸音处理</w:t>
            </w:r>
          </w:p>
        </w:tc>
        <w:tc>
          <w:tcPr>
            <w:tcW w:w="5472" w:type="dxa"/>
            <w:noWrap w:val="0"/>
            <w:vAlign w:val="center"/>
          </w:tcPr>
          <w:p w14:paraId="3FC92E9C">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轻钢龙骨≥9mm厚，约600mm*600mm吸音、消音棉埃特板或消音铝扣板。</w:t>
            </w:r>
          </w:p>
        </w:tc>
        <w:tc>
          <w:tcPr>
            <w:tcW w:w="603" w:type="dxa"/>
            <w:noWrap w:val="0"/>
            <w:vAlign w:val="center"/>
          </w:tcPr>
          <w:p w14:paraId="48315F3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78.8</w:t>
            </w:r>
          </w:p>
        </w:tc>
        <w:tc>
          <w:tcPr>
            <w:tcW w:w="600" w:type="dxa"/>
            <w:noWrap w:val="0"/>
            <w:vAlign w:val="center"/>
          </w:tcPr>
          <w:p w14:paraId="21D9DD36">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平方米</w:t>
            </w:r>
          </w:p>
        </w:tc>
        <w:tc>
          <w:tcPr>
            <w:tcW w:w="1110" w:type="dxa"/>
            <w:noWrap w:val="0"/>
            <w:vAlign w:val="center"/>
          </w:tcPr>
          <w:p w14:paraId="093807B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317</w:t>
            </w:r>
          </w:p>
        </w:tc>
        <w:tc>
          <w:tcPr>
            <w:tcW w:w="635" w:type="dxa"/>
            <w:noWrap w:val="0"/>
            <w:vAlign w:val="center"/>
          </w:tcPr>
          <w:p w14:paraId="5F178F80">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17C91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2AEC98">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43</w:t>
            </w:r>
          </w:p>
        </w:tc>
        <w:tc>
          <w:tcPr>
            <w:tcW w:w="1245" w:type="dxa"/>
            <w:noWrap w:val="0"/>
            <w:vAlign w:val="center"/>
          </w:tcPr>
          <w:p w14:paraId="649F9BC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室内吸音处理</w:t>
            </w:r>
          </w:p>
        </w:tc>
        <w:tc>
          <w:tcPr>
            <w:tcW w:w="5472" w:type="dxa"/>
            <w:noWrap w:val="0"/>
            <w:vAlign w:val="center"/>
          </w:tcPr>
          <w:p w14:paraId="1E1E7789">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≥15mm高密度板打底，4边磨45°斜边，规格:≥20m厚吸音棉填充，扪布饰面，颜色:配合整体装修风格。</w:t>
            </w:r>
          </w:p>
        </w:tc>
        <w:tc>
          <w:tcPr>
            <w:tcW w:w="603" w:type="dxa"/>
            <w:noWrap w:val="0"/>
            <w:vAlign w:val="center"/>
          </w:tcPr>
          <w:p w14:paraId="1003DAF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132</w:t>
            </w:r>
          </w:p>
        </w:tc>
        <w:tc>
          <w:tcPr>
            <w:tcW w:w="600" w:type="dxa"/>
            <w:noWrap w:val="0"/>
            <w:vAlign w:val="center"/>
          </w:tcPr>
          <w:p w14:paraId="2E5B47C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平方米</w:t>
            </w:r>
          </w:p>
        </w:tc>
        <w:tc>
          <w:tcPr>
            <w:tcW w:w="1110" w:type="dxa"/>
            <w:noWrap w:val="0"/>
            <w:vAlign w:val="center"/>
          </w:tcPr>
          <w:p w14:paraId="0C3F53B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198</w:t>
            </w:r>
          </w:p>
        </w:tc>
        <w:tc>
          <w:tcPr>
            <w:tcW w:w="635" w:type="dxa"/>
            <w:noWrap w:val="0"/>
            <w:vAlign w:val="center"/>
          </w:tcPr>
          <w:p w14:paraId="265B91AC">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51C3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1236312">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44</w:t>
            </w:r>
          </w:p>
        </w:tc>
        <w:tc>
          <w:tcPr>
            <w:tcW w:w="1245" w:type="dxa"/>
            <w:noWrap w:val="0"/>
            <w:vAlign w:val="center"/>
          </w:tcPr>
          <w:p w14:paraId="1FE6A09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室内地面地胶铺设</w:t>
            </w:r>
          </w:p>
        </w:tc>
        <w:tc>
          <w:tcPr>
            <w:tcW w:w="5472" w:type="dxa"/>
            <w:noWrap w:val="0"/>
            <w:vAlign w:val="center"/>
          </w:tcPr>
          <w:p w14:paraId="129628C2">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地板，声学处理，1.2强化地板。铺设面积为108平方米.</w:t>
            </w:r>
          </w:p>
        </w:tc>
        <w:tc>
          <w:tcPr>
            <w:tcW w:w="603" w:type="dxa"/>
            <w:noWrap w:val="0"/>
            <w:vAlign w:val="center"/>
          </w:tcPr>
          <w:p w14:paraId="787A05A6">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108</w:t>
            </w:r>
          </w:p>
        </w:tc>
        <w:tc>
          <w:tcPr>
            <w:tcW w:w="600" w:type="dxa"/>
            <w:noWrap w:val="0"/>
            <w:vAlign w:val="center"/>
          </w:tcPr>
          <w:p w14:paraId="6886105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平方米</w:t>
            </w:r>
          </w:p>
        </w:tc>
        <w:tc>
          <w:tcPr>
            <w:tcW w:w="1110" w:type="dxa"/>
            <w:noWrap w:val="0"/>
            <w:vAlign w:val="center"/>
          </w:tcPr>
          <w:p w14:paraId="5F44697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250</w:t>
            </w:r>
          </w:p>
        </w:tc>
        <w:tc>
          <w:tcPr>
            <w:tcW w:w="635" w:type="dxa"/>
            <w:noWrap w:val="0"/>
            <w:vAlign w:val="center"/>
          </w:tcPr>
          <w:p w14:paraId="08DC784E">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5AA24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A2E92DD">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45</w:t>
            </w:r>
          </w:p>
        </w:tc>
        <w:tc>
          <w:tcPr>
            <w:tcW w:w="1245" w:type="dxa"/>
            <w:noWrap w:val="0"/>
            <w:vAlign w:val="center"/>
          </w:tcPr>
          <w:p w14:paraId="718D6F1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砌隔断墙</w:t>
            </w:r>
          </w:p>
        </w:tc>
        <w:tc>
          <w:tcPr>
            <w:tcW w:w="5472" w:type="dxa"/>
            <w:noWrap w:val="0"/>
            <w:vAlign w:val="center"/>
          </w:tcPr>
          <w:p w14:paraId="11D41B28">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录播教室砌隔断墙面积为34.6平方米，含垃圾清运，观摩室入口门朝向为与录播室连通。</w:t>
            </w:r>
          </w:p>
        </w:tc>
        <w:tc>
          <w:tcPr>
            <w:tcW w:w="603" w:type="dxa"/>
            <w:noWrap w:val="0"/>
            <w:vAlign w:val="center"/>
          </w:tcPr>
          <w:p w14:paraId="15CCDDF7">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34.6</w:t>
            </w:r>
          </w:p>
        </w:tc>
        <w:tc>
          <w:tcPr>
            <w:tcW w:w="600" w:type="dxa"/>
            <w:noWrap w:val="0"/>
            <w:vAlign w:val="center"/>
          </w:tcPr>
          <w:p w14:paraId="0F1A29B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平方米</w:t>
            </w:r>
          </w:p>
        </w:tc>
        <w:tc>
          <w:tcPr>
            <w:tcW w:w="1110" w:type="dxa"/>
            <w:noWrap w:val="0"/>
            <w:vAlign w:val="center"/>
          </w:tcPr>
          <w:p w14:paraId="60CF1CB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115</w:t>
            </w:r>
          </w:p>
        </w:tc>
        <w:tc>
          <w:tcPr>
            <w:tcW w:w="635" w:type="dxa"/>
            <w:noWrap w:val="0"/>
            <w:vAlign w:val="center"/>
          </w:tcPr>
          <w:p w14:paraId="6AEE9581">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79DAE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213127">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46</w:t>
            </w:r>
          </w:p>
        </w:tc>
        <w:tc>
          <w:tcPr>
            <w:tcW w:w="1245" w:type="dxa"/>
            <w:noWrap w:val="0"/>
            <w:vAlign w:val="center"/>
          </w:tcPr>
          <w:p w14:paraId="4625339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玻璃幕墙</w:t>
            </w:r>
          </w:p>
        </w:tc>
        <w:tc>
          <w:tcPr>
            <w:tcW w:w="5472" w:type="dxa"/>
            <w:noWrap w:val="0"/>
            <w:vAlign w:val="center"/>
          </w:tcPr>
          <w:p w14:paraId="686D79CF">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钢化玻璃安装尺寸约为3m×2m</w:t>
            </w:r>
          </w:p>
        </w:tc>
        <w:tc>
          <w:tcPr>
            <w:tcW w:w="603" w:type="dxa"/>
            <w:noWrap w:val="0"/>
            <w:vAlign w:val="center"/>
          </w:tcPr>
          <w:p w14:paraId="4E40F10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AA8482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面</w:t>
            </w:r>
          </w:p>
        </w:tc>
        <w:tc>
          <w:tcPr>
            <w:tcW w:w="1110" w:type="dxa"/>
            <w:noWrap w:val="0"/>
            <w:vAlign w:val="center"/>
          </w:tcPr>
          <w:p w14:paraId="227CF42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23531</w:t>
            </w:r>
          </w:p>
        </w:tc>
        <w:tc>
          <w:tcPr>
            <w:tcW w:w="635" w:type="dxa"/>
            <w:noWrap w:val="0"/>
            <w:vAlign w:val="center"/>
          </w:tcPr>
          <w:p w14:paraId="4695B94B">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40A1B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D0BB95F">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47</w:t>
            </w:r>
          </w:p>
        </w:tc>
        <w:tc>
          <w:tcPr>
            <w:tcW w:w="1245" w:type="dxa"/>
            <w:noWrap w:val="0"/>
            <w:vAlign w:val="center"/>
          </w:tcPr>
          <w:p w14:paraId="3BF28D9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刮腻子（观摩室）</w:t>
            </w:r>
          </w:p>
        </w:tc>
        <w:tc>
          <w:tcPr>
            <w:tcW w:w="5472" w:type="dxa"/>
            <w:noWrap w:val="0"/>
            <w:vAlign w:val="center"/>
          </w:tcPr>
          <w:p w14:paraId="58D6CF03">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刮腻子面积为64平方米</w:t>
            </w:r>
          </w:p>
        </w:tc>
        <w:tc>
          <w:tcPr>
            <w:tcW w:w="603" w:type="dxa"/>
            <w:noWrap w:val="0"/>
            <w:vAlign w:val="center"/>
          </w:tcPr>
          <w:p w14:paraId="0DFAC3D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64</w:t>
            </w:r>
          </w:p>
        </w:tc>
        <w:tc>
          <w:tcPr>
            <w:tcW w:w="600" w:type="dxa"/>
            <w:noWrap w:val="0"/>
            <w:vAlign w:val="center"/>
          </w:tcPr>
          <w:p w14:paraId="103D9F3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平方米</w:t>
            </w:r>
          </w:p>
        </w:tc>
        <w:tc>
          <w:tcPr>
            <w:tcW w:w="1110" w:type="dxa"/>
            <w:noWrap w:val="0"/>
            <w:vAlign w:val="center"/>
          </w:tcPr>
          <w:p w14:paraId="273AC5F5">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62.5</w:t>
            </w:r>
          </w:p>
        </w:tc>
        <w:tc>
          <w:tcPr>
            <w:tcW w:w="635" w:type="dxa"/>
            <w:noWrap w:val="0"/>
            <w:vAlign w:val="center"/>
          </w:tcPr>
          <w:p w14:paraId="32F749BD">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2AB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D5F112">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1245" w:type="dxa"/>
            <w:noWrap w:val="0"/>
            <w:vAlign w:val="center"/>
          </w:tcPr>
          <w:p w14:paraId="6463377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墙裙（观摩室）</w:t>
            </w:r>
          </w:p>
        </w:tc>
        <w:tc>
          <w:tcPr>
            <w:tcW w:w="5472" w:type="dxa"/>
            <w:noWrap w:val="0"/>
            <w:vAlign w:val="center"/>
          </w:tcPr>
          <w:p w14:paraId="74320C45">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20mm厚吸音棉填充，扪布饰面，颜色:配合整体装修风格。</w:t>
            </w:r>
          </w:p>
        </w:tc>
        <w:tc>
          <w:tcPr>
            <w:tcW w:w="603" w:type="dxa"/>
            <w:noWrap w:val="0"/>
            <w:vAlign w:val="center"/>
          </w:tcPr>
          <w:p w14:paraId="04B4D78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w:t>
            </w:r>
          </w:p>
        </w:tc>
        <w:tc>
          <w:tcPr>
            <w:tcW w:w="600" w:type="dxa"/>
            <w:noWrap w:val="0"/>
            <w:vAlign w:val="center"/>
          </w:tcPr>
          <w:p w14:paraId="3EABC8D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平方米</w:t>
            </w:r>
          </w:p>
        </w:tc>
        <w:tc>
          <w:tcPr>
            <w:tcW w:w="1110" w:type="dxa"/>
            <w:noWrap w:val="0"/>
            <w:vAlign w:val="center"/>
          </w:tcPr>
          <w:p w14:paraId="6BFA662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140</w:t>
            </w:r>
          </w:p>
        </w:tc>
        <w:tc>
          <w:tcPr>
            <w:tcW w:w="635" w:type="dxa"/>
            <w:noWrap w:val="0"/>
            <w:vAlign w:val="center"/>
          </w:tcPr>
          <w:p w14:paraId="15B5A598">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4F946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2CEEF95">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49</w:t>
            </w:r>
          </w:p>
        </w:tc>
        <w:tc>
          <w:tcPr>
            <w:tcW w:w="1245" w:type="dxa"/>
            <w:noWrap w:val="0"/>
            <w:vAlign w:val="center"/>
          </w:tcPr>
          <w:p w14:paraId="7812384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装修材料及垃圾清运</w:t>
            </w:r>
          </w:p>
        </w:tc>
        <w:tc>
          <w:tcPr>
            <w:tcW w:w="5472" w:type="dxa"/>
            <w:noWrap w:val="0"/>
            <w:vAlign w:val="center"/>
          </w:tcPr>
          <w:p w14:paraId="07C28EB2">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装修材料及垃圾清运</w:t>
            </w:r>
          </w:p>
        </w:tc>
        <w:tc>
          <w:tcPr>
            <w:tcW w:w="603" w:type="dxa"/>
            <w:noWrap w:val="0"/>
            <w:vAlign w:val="center"/>
          </w:tcPr>
          <w:p w14:paraId="75FA48C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532B0F5">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w:t>
            </w:r>
          </w:p>
        </w:tc>
        <w:tc>
          <w:tcPr>
            <w:tcW w:w="1110" w:type="dxa"/>
            <w:noWrap w:val="0"/>
            <w:vAlign w:val="center"/>
          </w:tcPr>
          <w:p w14:paraId="4B71028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3000</w:t>
            </w:r>
          </w:p>
        </w:tc>
        <w:tc>
          <w:tcPr>
            <w:tcW w:w="635" w:type="dxa"/>
            <w:noWrap w:val="0"/>
            <w:vAlign w:val="center"/>
          </w:tcPr>
          <w:p w14:paraId="4216BE6F">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51F81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7F338B7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26E691EB">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c>
          <w:tcPr>
            <w:tcW w:w="2313" w:type="dxa"/>
            <w:gridSpan w:val="3"/>
            <w:noWrap w:val="0"/>
            <w:vAlign w:val="center"/>
          </w:tcPr>
          <w:p w14:paraId="46AF75A0">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136131.00</w:t>
            </w:r>
          </w:p>
        </w:tc>
        <w:tc>
          <w:tcPr>
            <w:tcW w:w="635" w:type="dxa"/>
            <w:noWrap w:val="0"/>
            <w:vAlign w:val="center"/>
          </w:tcPr>
          <w:p w14:paraId="3A079934">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6CC0D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748DF40">
            <w:pPr>
              <w:spacing w:before="65" w:line="185" w:lineRule="auto"/>
              <w:ind w:left="0" w:leftChars="0" w:firstLine="420" w:firstLineChars="20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工位及讲台</w:t>
            </w:r>
          </w:p>
        </w:tc>
      </w:tr>
      <w:tr w14:paraId="2BF86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8253B68">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w:t>
            </w:r>
          </w:p>
        </w:tc>
        <w:tc>
          <w:tcPr>
            <w:tcW w:w="1245" w:type="dxa"/>
            <w:noWrap w:val="0"/>
            <w:vAlign w:val="center"/>
          </w:tcPr>
          <w:p w14:paraId="2E6C837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学生工位</w:t>
            </w:r>
          </w:p>
        </w:tc>
        <w:tc>
          <w:tcPr>
            <w:tcW w:w="5472" w:type="dxa"/>
            <w:noWrap w:val="0"/>
            <w:vAlign w:val="center"/>
          </w:tcPr>
          <w:p w14:paraId="656C578E">
            <w:pPr>
              <w:spacing w:before="65" w:line="240" w:lineRule="auto"/>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一、环保学生工位规格：桌子≥1100*400*760mm，椅子≥395*355*420mm最高处780mm</w:t>
            </w:r>
          </w:p>
          <w:p w14:paraId="61437182">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“环保学生工位桌”要求：符合检验依据QB/T 4071-2021《课桌椅》,GB/T 35607-2017《绿色产品评价 家具》,GB 28481-2012《塑料家具中有害物质限量》,GB/T 32487-2016《塑料家具通用技术条件》等检测标准：课桌椅形状和位置公差：翘曲度≤0.2mm，平整度≤0.1mm，邻边垂直度均≤1mm，底脚平稳性≤0.1mm，表面理化性能要求金属件喷涂层附着力≤1级（0级为最高）；有害物质限量：甲醛释放量≤0.1mg/L，塑料件中有害物质限量：邻苯二甲酸酯（DBP、BBP、DEHP、DNOP、DINP、DIDP）、重金属（可溶性铅、可溶性镉、可溶性铬、可溶性汞）均未检出，多环芳烃：苯并[a]芘未检出,16种多环芳烃（PAH)总量未检出；产品有害物质（家具涂层可迁元素）：镉、铅、铬、汞、锑、钡、硒、砷均未检出，产品有害物质：甲醛释放量≤0.02mg/m³,苯、甲苯、二甲苯、总挥发性有机化合物（TVOC）均未检出；防霉性能：对8种或以上霉类防霉等级检测结果为0级；塑料表面抗菌性能：对8种或以上菌类，检测结果达到99%以上；中性盐雾≥200h，镀（涂）层对基体的保护等级为10级，镀（涂）层本身耐腐蚀等级为10级。</w:t>
            </w:r>
          </w:p>
          <w:p w14:paraId="577B8DFB">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1、课桌面规格：桌面尺寸规格1100×400mm采用厚度18mm优质白橡色高密度双饰面中纤板，注塑封边一次成型。</w:t>
            </w:r>
          </w:p>
          <w:p w14:paraId="44C1621A">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“E1级三聚氰胺饰面中纤板”要求：依据GB/T 15102-2017《浸渍胶膜纸饰面纤维板和刨花板》,GB 18580-2017《室内装饰装修材料人造板及其制品中甲醛释放限量》,HJ 571-2010《环境标志产品技术要求 人造板及其制品》等检测标准：浸渍胶膜纸饰面纤维板理化性能，弹性模量≥2500MPa，静曲强度≥26MPa，内结合强度≥0.6MPa,24h吸水厚度膨胀率≤6%，含水率≤8%，表面胶合强度≥0.7MPa，表面耐磨磨耗值≤40mg/100r，甲醛释放量≤0.02mg/m³；总挥发性有机化合物（TVOC）未检出。</w:t>
            </w:r>
            <w:r>
              <w:rPr>
                <w:rFonts w:hint="eastAsia" w:ascii="宋体" w:hAnsi="宋体" w:cs="宋体"/>
                <w:b/>
                <w:bCs/>
                <w:color w:val="auto"/>
                <w:sz w:val="21"/>
                <w:szCs w:val="21"/>
                <w:highlight w:val="none"/>
                <w:lang w:val="en-US" w:eastAsia="zh-CN"/>
              </w:rPr>
              <w:t>（提供第三方检测报告佐证技术参数，并提供国家监督管理总局编号查询截图）</w:t>
            </w:r>
          </w:p>
          <w:p w14:paraId="48C3202D">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2、课桌斗采用优质冷轧钢板，厚度0.8mm。</w:t>
            </w:r>
          </w:p>
          <w:p w14:paraId="1BE4F1FD">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3、桌下方挡板选用0.6mm的优质冷轧钢板，表面带有透气孔。</w:t>
            </w:r>
          </w:p>
          <w:p w14:paraId="27E1CD15">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“冷轧钢板”要求：依据GB/T3325-2017《金属家具通用技术条件》、QB/T3826-1999《轻工产品金属镀层和化学处理层的耐腐蚀试验方法中性盐雾性试验(NSS)法》、GB/T35607-2017《绿色产品评价 家具》、QB/3832-1999《轻工产品金属镀层腐蚀试验结果评价》等检测标准：金属喷漆（塑）涂层理化性能中硬度＞4H；附着力为0级；金属表面耐腐蚀【中性盐雾≥200小时涂层本身的耐腐蚀等级为10级，涂层对基体的保护等级为10级】；品质属性产品有害物质【铅、镉、铬、汞、锑、钡、硒、砷】＜5mg/kg。</w:t>
            </w:r>
          </w:p>
          <w:p w14:paraId="1C4D8E78">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4、课桌腿选用25*54mm 壁厚为1.2mm 椭圆钢管。</w:t>
            </w:r>
          </w:p>
          <w:p w14:paraId="71D2E8D8">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“钢管”要求：符合GB/T3325-2017《金属家具通用技术条件》、QB/T3826-1999《轻工产品金属镀层和化学处理层的耐腐蚀试验方法中性盐雾性试验(NSS)法》、GB/T35607-2017《绿色产品评价 家具》、QB/3832-1999《轻工产品金属镀层腐蚀试验结果的评价》等检测标准：金属喷漆（塑）涂层理化性能硬度＞4H；耐腐蚀符合要求；附着力为0级；品质属性产品有害物质【铅、镉、铬、汞、锑、钡、硒、砷】＜5mg/kg。金属表面耐腐蚀【中性盐雾≥200小时，涂层本身的耐腐蚀等级为10级；涂层对基体的保护等级为10级】。</w:t>
            </w:r>
          </w:p>
          <w:p w14:paraId="14F423CE">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5、椅面板规格：座板395*355*18mm，靠背板规格：395*180*18mm。材质为：E1级三聚氰胺饰面中纤板注塑封边，颜色为白橡色，四周注塑封边颜色为湖蓝色，板面不可出现拼接。</w:t>
            </w:r>
          </w:p>
          <w:p w14:paraId="21F3F2B9">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6、椅腿选用25*54*1.2mm，钢材表面经过除锈，酸洗，静电喷涂等工艺。</w:t>
            </w:r>
          </w:p>
          <w:p w14:paraId="65CFAD36">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“环保学生工位椅”要求：依据QB/T 4071-2021《课桌椅》,GB/T 35607-2017《绿色产品评价 家具》,GB 28481-2012《塑料家具中有害物质限量》,GB/T 32487-2016《塑料家具通用技术条件》等检测标准：课桌椅形状和位置公差：翘曲度≤0.1mm，平整度≤0.1mm，底脚平稳性≤0.2mm，表面理化性能要求金属件喷涂层附着力≤1级（0级为最高）；有害物质限量：甲醛释放量≤0.1mg/L，塑料件中有害物质限量：邻苯二甲酸酯（DBP、BBP、DEHP、DNOP、DINP、DIDP）、重金属（可溶性铅、可溶性镉、可溶性铬、可溶性汞）均未检出，多环芳烃：苯并[a]芘未检出,16种多环芳烃（PAH)总量未检出；产品有害物质（家具涂层可迁元素）：镉、铅、铬、汞、锑、钡、硒、砷均未检出，产品有害物质：甲醛释放量≤0.02mg/m³,苯、甲苯、二甲苯、总挥发性有机化合物（TVOC）均未检出；防霉性能：对8种或以上霉类防霉等级检测结果为0级；塑料表面抗菌性能：对8种或以上菌类，检测结果达到99%以上；中性盐雾≥200h，镀（涂）层对基体的保护等级为10级，镀（涂）层本身耐腐蚀等级为10级。</w:t>
            </w:r>
          </w:p>
          <w:p w14:paraId="42786F74">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三、工艺要求</w:t>
            </w:r>
          </w:p>
          <w:p w14:paraId="3725069C">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1、桌椅采用止退防松螺丝连接固定，防止脱落。</w:t>
            </w:r>
          </w:p>
          <w:p w14:paraId="68E03E14">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“止退防松螺丝”要求：符合检验依据GB/T3325-2017《金属家具通用技术条件》，QB/T4371-2012《家具抗菌性能的评价》等检测标准，外观性能要求合格；中性盐雾试验≥200h，镀（涂）层对基体的保护等级≥9 级，镀（涂）层本身耐腐蚀等级≥9 级；抗菌性能：至少对 8 种菌的抑菌率达到 99%以上；耐霉菌性：至少对 8 种霉的耐霉菌性等级（防霉等级）为0级。</w:t>
            </w:r>
          </w:p>
          <w:p w14:paraId="417846FB">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2、脚套采用防潮塑料脚套，增加桌椅使用寿命。</w:t>
            </w:r>
          </w:p>
          <w:p w14:paraId="440B3999">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“防潮塑料脚套”要求：符合检验依据GB/T 24128-2018《塑料 塑料防霉剂的防霉效果评估》；GB/T 32487-2016《塑料家具通用技术条件》；QB/T 4371-2012《家具抗菌性能的评价》；GB 28481-2012《塑料家具中有害物质限量》理化性能：塑料件：耐冷热循环【应无裂纹、鼓泡、变色、起皱】、硬度≥HD70；塑料材料理化性能：耐老化性：冲击强度的保持率≥70%，耐老化性：外观颜色变色评级≥5级；重金属【可溶性铅、可溶性汞、可溶性铬、可溶性镉】&lt;5mg/kg；多溴联苯(PBB)≤5mg/kg；多溴二苯醚(PBDE)≤5mg/kg；多环芳烃【苯并[a]芘、16种多环芳烃(PAH)总量】≤0.1mg/kg；邻苯二甲酸酯【邻苯二甲酸二丁酯(DBP)、邻苯二甲酸二异癸酯(DIDP)、邻苯二甲酸二异壬酯(DINP)、邻苯二甲酸二正辛酯(DNOP)】≤0.001%、【邻苯二甲酸丁酯苄酯(BBP)、邻苯二甲酸-2-乙基已基酯(DEHP)】≤0.005%；防霉性能：对8种或以上霉类防霉等级均为0级；抗菌性能：对8种或以上菌类抑菌率均不小于99%。</w:t>
            </w:r>
          </w:p>
          <w:p w14:paraId="4A8B7D6C">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3、焊接后表面无毛刺起渣，钢架经酸洗磷化处理后采用环氧树脂静电粉末静电喷涂，钢架整体光滑色泽亮丽。</w:t>
            </w:r>
          </w:p>
          <w:p w14:paraId="72BCB651">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“环氧树脂静电粉末”要求：符合检验依据HG/T 3950-2007《抗菌涂料》；HG/T《热固性和热塑性粉末涂料》：表面光滑无毛刺。①附着力（干附着力）不低于1级（0级最优），②铅笔硬度（内聚破坏中擦伤）≥2H③耐冲击性（正向冲击）④光泽⑤耐碱性(168h)⑥耐酸性(≥200h)⑦耐湿性（≥200h）⑧耐盐雾性（中性盐雾≥200h）防霉性能：对8种或以上霉类防霉等级均为0级；抗菌性能：对8种或以上菌类抑菌率均不小于99%。</w:t>
            </w:r>
          </w:p>
        </w:tc>
        <w:tc>
          <w:tcPr>
            <w:tcW w:w="603" w:type="dxa"/>
            <w:noWrap w:val="0"/>
            <w:vAlign w:val="center"/>
          </w:tcPr>
          <w:p w14:paraId="700E1927">
            <w:pPr>
              <w:keepNext w:val="0"/>
              <w:keepLines w:val="0"/>
              <w:widowControl/>
              <w:suppressLineNumbers w:val="0"/>
              <w:ind w:left="0" w:leftChars="0" w:firstLine="0" w:firstLineChars="0"/>
              <w:jc w:val="center"/>
              <w:textAlignment w:val="center"/>
              <w:rPr>
                <w:rFonts w:hint="eastAsia" w:ascii="宋体" w:hAnsi="宋体" w:cs="宋体"/>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27</w:t>
            </w:r>
          </w:p>
        </w:tc>
        <w:tc>
          <w:tcPr>
            <w:tcW w:w="600" w:type="dxa"/>
            <w:noWrap w:val="0"/>
            <w:vAlign w:val="center"/>
          </w:tcPr>
          <w:p w14:paraId="6E36D984">
            <w:pPr>
              <w:keepNext w:val="0"/>
              <w:keepLines w:val="0"/>
              <w:widowControl/>
              <w:suppressLineNumbers w:val="0"/>
              <w:ind w:left="0" w:leftChars="0" w:firstLine="0" w:firstLineChars="0"/>
              <w:jc w:val="center"/>
              <w:textAlignment w:val="center"/>
              <w:rPr>
                <w:rFonts w:hint="eastAsia" w:ascii="宋体" w:hAnsi="宋体" w:cs="宋体"/>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4D4F7E51">
            <w:pPr>
              <w:keepNext w:val="0"/>
              <w:keepLines w:val="0"/>
              <w:widowControl/>
              <w:suppressLineNumbers w:val="0"/>
              <w:ind w:left="0" w:leftChars="0" w:firstLine="0" w:firstLineChars="0"/>
              <w:jc w:val="center"/>
              <w:textAlignment w:val="center"/>
              <w:rPr>
                <w:rFonts w:hint="eastAsia" w:ascii="宋体" w:hAnsi="宋体" w:cs="宋体"/>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740</w:t>
            </w:r>
          </w:p>
        </w:tc>
        <w:tc>
          <w:tcPr>
            <w:tcW w:w="635" w:type="dxa"/>
            <w:noWrap w:val="0"/>
            <w:vAlign w:val="center"/>
          </w:tcPr>
          <w:p w14:paraId="0D63E5E1">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5DDC8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677DE3F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0258090F">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c>
          <w:tcPr>
            <w:tcW w:w="2313" w:type="dxa"/>
            <w:gridSpan w:val="3"/>
            <w:noWrap w:val="0"/>
            <w:vAlign w:val="center"/>
          </w:tcPr>
          <w:p w14:paraId="75AFD6B0">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19980.00</w:t>
            </w:r>
          </w:p>
        </w:tc>
        <w:tc>
          <w:tcPr>
            <w:tcW w:w="635" w:type="dxa"/>
            <w:noWrap w:val="0"/>
            <w:vAlign w:val="center"/>
          </w:tcPr>
          <w:p w14:paraId="7FA7AD48">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50177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CECA91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b/>
                <w:bCs/>
                <w:color w:val="auto"/>
                <w:sz w:val="21"/>
                <w:szCs w:val="21"/>
                <w:highlight w:val="none"/>
                <w:lang w:eastAsia="zh-CN"/>
              </w:rPr>
              <w:t>第二</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2CF8E84A">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c>
          <w:tcPr>
            <w:tcW w:w="2313" w:type="dxa"/>
            <w:gridSpan w:val="3"/>
            <w:noWrap w:val="0"/>
            <w:vAlign w:val="center"/>
          </w:tcPr>
          <w:p w14:paraId="53535181">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349781.00</w:t>
            </w:r>
          </w:p>
        </w:tc>
        <w:tc>
          <w:tcPr>
            <w:tcW w:w="635" w:type="dxa"/>
            <w:noWrap w:val="0"/>
            <w:vAlign w:val="center"/>
          </w:tcPr>
          <w:p w14:paraId="71681F58">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2650F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721CAA61">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val="en-US" w:eastAsia="zh-CN" w:bidi="ar"/>
              </w:rPr>
              <w:t>三、</w:t>
            </w:r>
            <w:r>
              <w:rPr>
                <w:rFonts w:hint="eastAsia" w:ascii="宋体" w:hAnsi="宋体" w:eastAsia="宋体" w:cs="宋体"/>
                <w:b/>
                <w:bCs/>
                <w:color w:val="auto"/>
                <w:kern w:val="0"/>
                <w:sz w:val="21"/>
                <w:szCs w:val="21"/>
                <w:highlight w:val="none"/>
                <w:lang w:val="en-US" w:eastAsia="zh-CN" w:bidi="ar"/>
              </w:rPr>
              <w:t>实验室设备</w:t>
            </w:r>
          </w:p>
        </w:tc>
      </w:tr>
      <w:tr w14:paraId="1284E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15D3F87">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51</w:t>
            </w:r>
          </w:p>
        </w:tc>
        <w:tc>
          <w:tcPr>
            <w:tcW w:w="1245" w:type="dxa"/>
            <w:noWrap w:val="0"/>
            <w:vAlign w:val="center"/>
          </w:tcPr>
          <w:p w14:paraId="42F15D8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智慧黑板</w:t>
            </w:r>
          </w:p>
        </w:tc>
        <w:tc>
          <w:tcPr>
            <w:tcW w:w="5472" w:type="dxa"/>
            <w:noWrap w:val="0"/>
            <w:vAlign w:val="center"/>
          </w:tcPr>
          <w:p w14:paraId="59860EF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781A2172">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7CAC37D5">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213884AA">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00F3933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5B6932D1">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6B93D9A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31829000">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7654C6EB">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1509B76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5F4574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46A723C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1B9CE81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0599BBD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62D37FC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69A8FA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3C152F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13C047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5312B3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24C957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0D4A2F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579675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07AD682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44911F4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527415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35FB15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4F7FD2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356859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6C4EA1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1C6F07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3136C4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35FDA3C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383BBF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5AD2B1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09322C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3244E81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23332EC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7EB142C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1CD9E2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114A0E6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44F2AD2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064AED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4881BC3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1DDB1D7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062FAE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0CC1B4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5D7B5E3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2EC7B92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5ECA37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3D88C98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6E212EA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56A83E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47F756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415B3A4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5E6E29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135EFD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4EED62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4E8E3B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5D32FF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609D80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131ABF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276AC91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52CC7C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422D43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16B601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733AA8D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487F27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108B88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19D630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346088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63BEB4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18A7835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6E76F1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644B891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299F221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002BE1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33C405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668744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4582F0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56123B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632CD1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4CDC5B0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14F9831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65EA8D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360886C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57ADBC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67C4E1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05B632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50F45A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11CC14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601DBEB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65EFA7D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0A6409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644D4EC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55AEF2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2BF859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4626CB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0BA586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3EAE26C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4875DA2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1F3E10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70E4B5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576DE6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2961059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0F67B4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48D5FB7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785B6E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0850176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7BE4836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0387AD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2C238B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0DA539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7F266BE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205731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015570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2B7DA6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60EFD42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042248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2E1374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6848271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0869F3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685C2A6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6E66B3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5F897F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6A4A46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723D17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4AE01D5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2B4933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6393274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5188BE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659481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4601F9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5833ADB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6DBBE3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7E31967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18A5C1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20AB31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43A3E5F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396267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546201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01B128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7FD918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1C76980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242B413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1793005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3705A8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3E30CB6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3038BC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7D7A1C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5C9746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708B56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41046B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004715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25EA1E9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1E6C6F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7C88E7F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012428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2D9217A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578D79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7B12FE0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22063559">
            <w:pPr>
              <w:numPr>
                <w:ilvl w:val="0"/>
                <w:numId w:val="0"/>
              </w:numPr>
              <w:spacing w:before="65" w:line="240" w:lineRule="auto"/>
              <w:jc w:val="left"/>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43504EC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17B0A62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943672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24400</w:t>
            </w:r>
          </w:p>
        </w:tc>
        <w:tc>
          <w:tcPr>
            <w:tcW w:w="635" w:type="dxa"/>
            <w:noWrap w:val="0"/>
            <w:vAlign w:val="center"/>
          </w:tcPr>
          <w:p w14:paraId="2558FE68">
            <w:pPr>
              <w:jc w:val="center"/>
              <w:rPr>
                <w:rFonts w:hint="eastAsia" w:ascii="宋体" w:hAnsi="宋体" w:eastAsia="宋体" w:cs="宋体"/>
                <w:color w:val="auto"/>
                <w:sz w:val="21"/>
                <w:szCs w:val="21"/>
                <w:highlight w:val="none"/>
              </w:rPr>
            </w:pPr>
          </w:p>
        </w:tc>
      </w:tr>
      <w:tr w14:paraId="1EBA0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4924EFB">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52</w:t>
            </w:r>
          </w:p>
        </w:tc>
        <w:tc>
          <w:tcPr>
            <w:tcW w:w="1245" w:type="dxa"/>
            <w:noWrap w:val="0"/>
            <w:vAlign w:val="center"/>
          </w:tcPr>
          <w:p w14:paraId="25FB4F9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高清壁挂展台</w:t>
            </w:r>
          </w:p>
        </w:tc>
        <w:tc>
          <w:tcPr>
            <w:tcW w:w="5472" w:type="dxa"/>
            <w:noWrap w:val="0"/>
            <w:vAlign w:val="center"/>
          </w:tcPr>
          <w:p w14:paraId="1082CD8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智慧黑板同品牌高清壁挂展台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一）硬件部分：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1、整机采用圆弧式设计，无锐角；同时托板采用磁吸吸附式机构，防止托板打落，方便打开及固定，避免机械式锁具故障率高的问题。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3、A4大小拍摄幅面，1080P动态视频预览达到30帧/秒；托板及挂墙部分采用金属加强，托板可承重3kg，整机壁挂式安装。</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4、支持展台成像画面实时批注，预设多种笔划粗细及颜色供选择，且支持对展台成像画面联同批注内容进行同步缩放、移动。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5、展示托板正上方具备LED补光灯，保证展示区域的亮度及展示效果，补光灯开关采用触摸按键设计，同时可通过交互智能平板中的软件直接控制开关。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6、带自动对焦摄像头；外壳在摄像头部分带保护镜片密封，防止灰尘沾染摄像头，防护等级达到IP4X级别。</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7、具有故障自动检测功能：在调用展台却无法出现镜头采集画面信号时，可自动出现检测链接，并给出导致性原因（如硬件连接、摄像头占用、配套软件版本等问题）。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（二）软件部分：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1、支持对展台实时画面进行放大、缩小、旋转、自适应、冻结画面等操作。</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2、支持展台画面实时批注，预设多种笔划粗细及颜色供选择，且支持对展台画面联同批注内容进行同步缩放、移动。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3、支持展台画面拍照截图并进行多图预览，可对任一图片进行全屏显示。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4、老师可在一体机或电脑上选择延时拍照功能，支持5秒或10秒延时模式，预留充足时间以便调整拍摄内容。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5、可选择图像、文本或动态三种情景模式，适应不同展示内容。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6、具备图像增强功能，可自动裁剪背景并增强文字显示，使文档画面更清晰。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08BC3CD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D74EF4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1EE776E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w:t>
            </w:r>
          </w:p>
        </w:tc>
        <w:tc>
          <w:tcPr>
            <w:tcW w:w="635" w:type="dxa"/>
            <w:noWrap w:val="0"/>
            <w:vAlign w:val="center"/>
          </w:tcPr>
          <w:p w14:paraId="0B2FDECB">
            <w:pPr>
              <w:jc w:val="center"/>
              <w:rPr>
                <w:rFonts w:hint="eastAsia" w:ascii="宋体" w:hAnsi="宋体" w:eastAsia="宋体" w:cs="宋体"/>
                <w:color w:val="auto"/>
                <w:sz w:val="21"/>
                <w:szCs w:val="21"/>
                <w:highlight w:val="none"/>
              </w:rPr>
            </w:pPr>
          </w:p>
        </w:tc>
      </w:tr>
      <w:tr w14:paraId="7AA12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02D33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3</w:t>
            </w:r>
          </w:p>
        </w:tc>
        <w:tc>
          <w:tcPr>
            <w:tcW w:w="1245" w:type="dxa"/>
            <w:noWrap w:val="0"/>
            <w:vAlign w:val="center"/>
          </w:tcPr>
          <w:p w14:paraId="47AB11C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教师演示台</w:t>
            </w:r>
          </w:p>
        </w:tc>
        <w:tc>
          <w:tcPr>
            <w:tcW w:w="5472" w:type="dxa"/>
            <w:noWrap w:val="0"/>
            <w:vAlign w:val="center"/>
          </w:tcPr>
          <w:p w14:paraId="0E6482C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w:t>
            </w:r>
            <w:r>
              <w:rPr>
                <w:rFonts w:hint="eastAsia" w:ascii="宋体" w:hAnsi="宋体" w:eastAsia="宋体" w:cs="宋体"/>
                <w:color w:val="auto"/>
                <w:sz w:val="21"/>
                <w:szCs w:val="21"/>
                <w:highlight w:val="none"/>
                <w:lang w:val="en-US" w:eastAsia="zh-CN"/>
              </w:rPr>
              <w:t>2400*800*850mm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台面板材：一体化台面，采用 12mm厚实芯板成型制作。四周加厚至24mm厚，抗弯、易清洁、耐磨、耐辐射、耐高温、耐冲击、防水、防火。</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台身结构：“新型铝木框架结构”，立柱：模具成型专用铝镁合金60*50mm/60*60mm/70*60mm，</w:t>
            </w:r>
          </w:p>
        </w:tc>
        <w:tc>
          <w:tcPr>
            <w:tcW w:w="603" w:type="dxa"/>
            <w:noWrap w:val="0"/>
            <w:vAlign w:val="center"/>
          </w:tcPr>
          <w:p w14:paraId="38A1C3F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9D4886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1110" w:type="dxa"/>
            <w:noWrap w:val="0"/>
            <w:vAlign w:val="center"/>
          </w:tcPr>
          <w:p w14:paraId="675021A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3850</w:t>
            </w:r>
          </w:p>
        </w:tc>
        <w:tc>
          <w:tcPr>
            <w:tcW w:w="635" w:type="dxa"/>
            <w:noWrap w:val="0"/>
            <w:vAlign w:val="center"/>
          </w:tcPr>
          <w:p w14:paraId="1C601151">
            <w:pPr>
              <w:jc w:val="center"/>
              <w:rPr>
                <w:rFonts w:hint="eastAsia" w:ascii="宋体" w:hAnsi="宋体" w:eastAsia="宋体" w:cs="宋体"/>
                <w:color w:val="auto"/>
                <w:sz w:val="21"/>
                <w:szCs w:val="21"/>
                <w:highlight w:val="none"/>
              </w:rPr>
            </w:pPr>
          </w:p>
        </w:tc>
      </w:tr>
      <w:tr w14:paraId="25420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7BF6C3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4</w:t>
            </w:r>
          </w:p>
        </w:tc>
        <w:tc>
          <w:tcPr>
            <w:tcW w:w="1245" w:type="dxa"/>
            <w:noWrap w:val="0"/>
            <w:vAlign w:val="center"/>
          </w:tcPr>
          <w:p w14:paraId="2B89E34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学生实验</w:t>
            </w:r>
            <w:r>
              <w:rPr>
                <w:rFonts w:hint="eastAsia" w:ascii="宋体" w:hAnsi="宋体" w:cs="宋体"/>
                <w:color w:val="auto"/>
                <w:sz w:val="21"/>
                <w:szCs w:val="21"/>
                <w:highlight w:val="none"/>
                <w:lang w:val="en-US" w:eastAsia="zh-CN"/>
              </w:rPr>
              <w:t>台</w:t>
            </w:r>
            <w:r>
              <w:rPr>
                <w:rFonts w:hint="eastAsia" w:ascii="宋体" w:hAnsi="宋体" w:eastAsia="宋体" w:cs="宋体"/>
                <w:color w:val="auto"/>
                <w:sz w:val="21"/>
                <w:szCs w:val="21"/>
                <w:highlight w:val="none"/>
                <w:lang w:val="en-US" w:eastAsia="zh-CN"/>
              </w:rPr>
              <w:t>(6人)</w:t>
            </w:r>
          </w:p>
        </w:tc>
        <w:tc>
          <w:tcPr>
            <w:tcW w:w="5472" w:type="dxa"/>
            <w:noWrap w:val="0"/>
            <w:vAlign w:val="center"/>
          </w:tcPr>
          <w:p w14:paraId="27BF16D0">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color w:val="auto"/>
                <w:highlight w:val="none"/>
                <w:lang w:eastAsia="zh-CN"/>
              </w:rPr>
              <w:t>边</w:t>
            </w:r>
            <w:r>
              <w:rPr>
                <w:rFonts w:hint="eastAsia" w:ascii="宋体" w:hAnsi="宋体" w:cs="宋体"/>
                <w:color w:val="auto"/>
                <w:sz w:val="21"/>
                <w:szCs w:val="21"/>
                <w:highlight w:val="none"/>
                <w:lang w:val="en-US" w:eastAsia="zh-CN"/>
              </w:rPr>
              <w:t>长为700mm(</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5mm),高为750mm的正六边形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台面板材：一体化台面，采用 12mm厚实芯板成型制作。四周加厚至24mm厚，抗弯、易清洁、耐磨、耐辐射、耐高温、耐冲击、防水、防火。</w:t>
            </w:r>
          </w:p>
        </w:tc>
        <w:tc>
          <w:tcPr>
            <w:tcW w:w="603" w:type="dxa"/>
            <w:noWrap w:val="0"/>
            <w:vAlign w:val="center"/>
          </w:tcPr>
          <w:p w14:paraId="68A1449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600" w:type="dxa"/>
            <w:noWrap w:val="0"/>
            <w:vAlign w:val="center"/>
          </w:tcPr>
          <w:p w14:paraId="7DBF42D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1110" w:type="dxa"/>
            <w:noWrap w:val="0"/>
            <w:vAlign w:val="center"/>
          </w:tcPr>
          <w:p w14:paraId="602FBD8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3750</w:t>
            </w:r>
          </w:p>
        </w:tc>
        <w:tc>
          <w:tcPr>
            <w:tcW w:w="635" w:type="dxa"/>
            <w:noWrap w:val="0"/>
            <w:vAlign w:val="center"/>
          </w:tcPr>
          <w:p w14:paraId="5EC4FD63">
            <w:pPr>
              <w:jc w:val="center"/>
              <w:rPr>
                <w:rFonts w:hint="eastAsia" w:ascii="宋体" w:hAnsi="宋体" w:eastAsia="宋体" w:cs="宋体"/>
                <w:color w:val="auto"/>
                <w:sz w:val="21"/>
                <w:szCs w:val="21"/>
                <w:highlight w:val="none"/>
              </w:rPr>
            </w:pPr>
          </w:p>
        </w:tc>
      </w:tr>
      <w:tr w14:paraId="021BF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488C97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5</w:t>
            </w:r>
          </w:p>
        </w:tc>
        <w:tc>
          <w:tcPr>
            <w:tcW w:w="1245" w:type="dxa"/>
            <w:noWrap w:val="0"/>
            <w:vAlign w:val="center"/>
          </w:tcPr>
          <w:p w14:paraId="412BC0F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教师</w:t>
            </w:r>
            <w:r>
              <w:rPr>
                <w:rFonts w:hint="eastAsia" w:ascii="宋体" w:hAnsi="宋体" w:cs="宋体"/>
                <w:color w:val="auto"/>
                <w:sz w:val="21"/>
                <w:szCs w:val="21"/>
                <w:highlight w:val="none"/>
                <w:lang w:val="en-US" w:eastAsia="zh-CN"/>
              </w:rPr>
              <w:t>工作位</w:t>
            </w:r>
          </w:p>
        </w:tc>
        <w:tc>
          <w:tcPr>
            <w:tcW w:w="5472" w:type="dxa"/>
            <w:noWrap w:val="0"/>
            <w:vAlign w:val="center"/>
          </w:tcPr>
          <w:p w14:paraId="571C456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约500*500*800mm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1.椅面/椅背选用优质网布面料；背垫/座垫选用一体成型高密度发泡成型棉；具有透气性强，回弹性好，不易变型,不老化，依人体工学设计.使人体各部均匀受力</w:t>
            </w:r>
          </w:p>
        </w:tc>
        <w:tc>
          <w:tcPr>
            <w:tcW w:w="603" w:type="dxa"/>
            <w:noWrap w:val="0"/>
            <w:vAlign w:val="center"/>
          </w:tcPr>
          <w:p w14:paraId="070066D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2D40EEB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1110" w:type="dxa"/>
            <w:noWrap w:val="0"/>
            <w:vAlign w:val="center"/>
          </w:tcPr>
          <w:p w14:paraId="0E18F14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350</w:t>
            </w:r>
          </w:p>
        </w:tc>
        <w:tc>
          <w:tcPr>
            <w:tcW w:w="635" w:type="dxa"/>
            <w:noWrap w:val="0"/>
            <w:vAlign w:val="center"/>
          </w:tcPr>
          <w:p w14:paraId="34EF67CF">
            <w:pPr>
              <w:jc w:val="center"/>
              <w:rPr>
                <w:rFonts w:hint="eastAsia" w:ascii="宋体" w:hAnsi="宋体" w:eastAsia="宋体" w:cs="宋体"/>
                <w:color w:val="auto"/>
                <w:sz w:val="21"/>
                <w:szCs w:val="21"/>
                <w:highlight w:val="none"/>
              </w:rPr>
            </w:pPr>
          </w:p>
        </w:tc>
      </w:tr>
      <w:tr w14:paraId="40655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EA1E6A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6</w:t>
            </w:r>
          </w:p>
        </w:tc>
        <w:tc>
          <w:tcPr>
            <w:tcW w:w="1245" w:type="dxa"/>
            <w:noWrap w:val="0"/>
            <w:vAlign w:val="center"/>
          </w:tcPr>
          <w:p w14:paraId="0A76EA1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学生坐凳</w:t>
            </w:r>
          </w:p>
        </w:tc>
        <w:tc>
          <w:tcPr>
            <w:tcW w:w="5472" w:type="dxa"/>
            <w:noWrap w:val="0"/>
            <w:vAlign w:val="center"/>
          </w:tcPr>
          <w:p w14:paraId="1973FE0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规格：约340*240*420mm，钢木结构</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凳面规格：约340*240*20mm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采用18mm厚优质环保三聚氰胺贴面板，四周磨具一次成型封套，防水，耐磨耐用。</w:t>
            </w:r>
          </w:p>
        </w:tc>
        <w:tc>
          <w:tcPr>
            <w:tcW w:w="603" w:type="dxa"/>
            <w:noWrap w:val="0"/>
            <w:vAlign w:val="center"/>
          </w:tcPr>
          <w:p w14:paraId="0E24065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54</w:t>
            </w:r>
          </w:p>
        </w:tc>
        <w:tc>
          <w:tcPr>
            <w:tcW w:w="600" w:type="dxa"/>
            <w:noWrap w:val="0"/>
            <w:vAlign w:val="center"/>
          </w:tcPr>
          <w:p w14:paraId="1448DEB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1110" w:type="dxa"/>
            <w:noWrap w:val="0"/>
            <w:vAlign w:val="center"/>
          </w:tcPr>
          <w:p w14:paraId="7B2D455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w:t>
            </w:r>
          </w:p>
        </w:tc>
        <w:tc>
          <w:tcPr>
            <w:tcW w:w="635" w:type="dxa"/>
            <w:noWrap w:val="0"/>
            <w:vAlign w:val="center"/>
          </w:tcPr>
          <w:p w14:paraId="53FDADF2">
            <w:pPr>
              <w:jc w:val="center"/>
              <w:rPr>
                <w:rFonts w:hint="eastAsia" w:ascii="宋体" w:hAnsi="宋体" w:eastAsia="宋体" w:cs="宋体"/>
                <w:color w:val="auto"/>
                <w:sz w:val="21"/>
                <w:szCs w:val="21"/>
                <w:highlight w:val="none"/>
              </w:rPr>
            </w:pPr>
          </w:p>
        </w:tc>
      </w:tr>
      <w:tr w14:paraId="1A455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A75324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7</w:t>
            </w:r>
          </w:p>
        </w:tc>
        <w:tc>
          <w:tcPr>
            <w:tcW w:w="1245" w:type="dxa"/>
            <w:noWrap w:val="0"/>
            <w:vAlign w:val="center"/>
          </w:tcPr>
          <w:p w14:paraId="2409288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教师电源</w:t>
            </w:r>
          </w:p>
        </w:tc>
        <w:tc>
          <w:tcPr>
            <w:tcW w:w="5472" w:type="dxa"/>
            <w:noWrap w:val="0"/>
            <w:vAlign w:val="center"/>
          </w:tcPr>
          <w:p w14:paraId="7A7C023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电源设在抽屉内，输出电源由电表显示，满足生物各种实验所需电源，集中控制、漏电保护、功能齐全，性能稳定，操作简单。</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1.教师控制电源部分采用钢制抽屉式电源输入AC220V±10%，频率50Hz。</w:t>
            </w:r>
          </w:p>
        </w:tc>
        <w:tc>
          <w:tcPr>
            <w:tcW w:w="603" w:type="dxa"/>
            <w:noWrap w:val="0"/>
            <w:vAlign w:val="center"/>
          </w:tcPr>
          <w:p w14:paraId="49A41A9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ABF459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ACF554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1250</w:t>
            </w:r>
          </w:p>
        </w:tc>
        <w:tc>
          <w:tcPr>
            <w:tcW w:w="635" w:type="dxa"/>
            <w:noWrap w:val="0"/>
            <w:vAlign w:val="center"/>
          </w:tcPr>
          <w:p w14:paraId="71029192">
            <w:pPr>
              <w:jc w:val="center"/>
              <w:rPr>
                <w:rFonts w:hint="eastAsia" w:ascii="宋体" w:hAnsi="宋体" w:eastAsia="宋体" w:cs="宋体"/>
                <w:color w:val="auto"/>
                <w:sz w:val="21"/>
                <w:szCs w:val="21"/>
                <w:highlight w:val="none"/>
              </w:rPr>
            </w:pPr>
          </w:p>
        </w:tc>
      </w:tr>
      <w:tr w14:paraId="75391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59821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8</w:t>
            </w:r>
          </w:p>
        </w:tc>
        <w:tc>
          <w:tcPr>
            <w:tcW w:w="1245" w:type="dxa"/>
            <w:noWrap w:val="0"/>
            <w:vAlign w:val="center"/>
          </w:tcPr>
          <w:p w14:paraId="449662F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学生桌面高压电源</w:t>
            </w:r>
          </w:p>
        </w:tc>
        <w:tc>
          <w:tcPr>
            <w:tcW w:w="5472" w:type="dxa"/>
            <w:noWrap w:val="0"/>
            <w:vAlign w:val="center"/>
          </w:tcPr>
          <w:p w14:paraId="02B2867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五孔插座隐藏按压式，220V市电输出，受教师台控制。通过3C认证。</w:t>
            </w:r>
          </w:p>
        </w:tc>
        <w:tc>
          <w:tcPr>
            <w:tcW w:w="603" w:type="dxa"/>
            <w:noWrap w:val="0"/>
            <w:vAlign w:val="center"/>
          </w:tcPr>
          <w:p w14:paraId="2D83279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00" w:type="dxa"/>
            <w:noWrap w:val="0"/>
            <w:vAlign w:val="center"/>
          </w:tcPr>
          <w:p w14:paraId="09F35A5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CF3880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145</w:t>
            </w:r>
          </w:p>
        </w:tc>
        <w:tc>
          <w:tcPr>
            <w:tcW w:w="635" w:type="dxa"/>
            <w:noWrap w:val="0"/>
            <w:vAlign w:val="center"/>
          </w:tcPr>
          <w:p w14:paraId="4781C38C">
            <w:pPr>
              <w:jc w:val="center"/>
              <w:rPr>
                <w:rFonts w:hint="eastAsia" w:ascii="宋体" w:hAnsi="宋体" w:eastAsia="宋体" w:cs="宋体"/>
                <w:color w:val="auto"/>
                <w:sz w:val="21"/>
                <w:szCs w:val="21"/>
                <w:highlight w:val="none"/>
              </w:rPr>
            </w:pPr>
          </w:p>
        </w:tc>
      </w:tr>
      <w:tr w14:paraId="08E66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1A86F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9</w:t>
            </w:r>
          </w:p>
        </w:tc>
        <w:tc>
          <w:tcPr>
            <w:tcW w:w="1245" w:type="dxa"/>
            <w:noWrap w:val="0"/>
            <w:vAlign w:val="center"/>
          </w:tcPr>
          <w:p w14:paraId="5BB5769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水槽台</w:t>
            </w:r>
          </w:p>
        </w:tc>
        <w:tc>
          <w:tcPr>
            <w:tcW w:w="5472" w:type="dxa"/>
            <w:noWrap w:val="0"/>
            <w:vAlign w:val="center"/>
          </w:tcPr>
          <w:p w14:paraId="2E0430DF">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约2400*600*730mm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台面板材：一体化台面，采用≥ 12mm厚实芯板成型制作。四周加厚至≥24mm厚，抗弯、易清洁、耐磨、耐辐射、耐高温、耐冲击、防水、防火。</w:t>
            </w:r>
          </w:p>
        </w:tc>
        <w:tc>
          <w:tcPr>
            <w:tcW w:w="603" w:type="dxa"/>
            <w:noWrap w:val="0"/>
            <w:vAlign w:val="center"/>
          </w:tcPr>
          <w:p w14:paraId="61B8582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75069B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1110" w:type="dxa"/>
            <w:noWrap w:val="0"/>
            <w:vAlign w:val="center"/>
          </w:tcPr>
          <w:p w14:paraId="731D599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2100</w:t>
            </w:r>
          </w:p>
        </w:tc>
        <w:tc>
          <w:tcPr>
            <w:tcW w:w="635" w:type="dxa"/>
            <w:noWrap w:val="0"/>
            <w:vAlign w:val="center"/>
          </w:tcPr>
          <w:p w14:paraId="174E5C2E">
            <w:pPr>
              <w:jc w:val="center"/>
              <w:rPr>
                <w:rFonts w:hint="eastAsia" w:ascii="宋体" w:hAnsi="宋体" w:eastAsia="宋体" w:cs="宋体"/>
                <w:color w:val="auto"/>
                <w:sz w:val="21"/>
                <w:szCs w:val="21"/>
                <w:highlight w:val="none"/>
              </w:rPr>
            </w:pPr>
          </w:p>
        </w:tc>
      </w:tr>
      <w:tr w14:paraId="2FF63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E8DDCC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0</w:t>
            </w:r>
          </w:p>
        </w:tc>
        <w:tc>
          <w:tcPr>
            <w:tcW w:w="1245" w:type="dxa"/>
            <w:noWrap w:val="0"/>
            <w:vAlign w:val="center"/>
          </w:tcPr>
          <w:p w14:paraId="5905FE2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水槽</w:t>
            </w:r>
          </w:p>
        </w:tc>
        <w:tc>
          <w:tcPr>
            <w:tcW w:w="5472" w:type="dxa"/>
            <w:noWrap w:val="0"/>
            <w:vAlign w:val="center"/>
          </w:tcPr>
          <w:p w14:paraId="0916AEC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约440*320*200mm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PP黑色  化验专用</w:t>
            </w:r>
          </w:p>
        </w:tc>
        <w:tc>
          <w:tcPr>
            <w:tcW w:w="603" w:type="dxa"/>
            <w:noWrap w:val="0"/>
            <w:vAlign w:val="center"/>
          </w:tcPr>
          <w:p w14:paraId="01606A7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600" w:type="dxa"/>
            <w:noWrap w:val="0"/>
            <w:vAlign w:val="center"/>
          </w:tcPr>
          <w:p w14:paraId="00F9701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06A041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35" w:type="dxa"/>
            <w:noWrap w:val="0"/>
            <w:vAlign w:val="center"/>
          </w:tcPr>
          <w:p w14:paraId="239CE81D">
            <w:pPr>
              <w:jc w:val="center"/>
              <w:rPr>
                <w:rFonts w:hint="eastAsia" w:ascii="宋体" w:hAnsi="宋体" w:eastAsia="宋体" w:cs="宋体"/>
                <w:color w:val="auto"/>
                <w:sz w:val="21"/>
                <w:szCs w:val="21"/>
                <w:highlight w:val="none"/>
              </w:rPr>
            </w:pPr>
          </w:p>
        </w:tc>
      </w:tr>
      <w:tr w14:paraId="38FE6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E59DF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1</w:t>
            </w:r>
          </w:p>
        </w:tc>
        <w:tc>
          <w:tcPr>
            <w:tcW w:w="1245" w:type="dxa"/>
            <w:noWrap w:val="0"/>
            <w:vAlign w:val="center"/>
          </w:tcPr>
          <w:p w14:paraId="6799E41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学生三联水嘴</w:t>
            </w:r>
          </w:p>
        </w:tc>
        <w:tc>
          <w:tcPr>
            <w:tcW w:w="5472" w:type="dxa"/>
            <w:noWrap w:val="0"/>
            <w:vAlign w:val="center"/>
          </w:tcPr>
          <w:p w14:paraId="2D402C7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一高两低、铜芯喷塑。</w:t>
            </w:r>
          </w:p>
          <w:p w14:paraId="6FFAB7CE">
            <w:pPr>
              <w:pStyle w:val="44"/>
              <w:ind w:left="0" w:leftChars="0" w:firstLine="0" w:firstLineChars="0"/>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1281A69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600" w:type="dxa"/>
            <w:noWrap w:val="0"/>
            <w:vAlign w:val="center"/>
          </w:tcPr>
          <w:p w14:paraId="118208D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AAF55F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195</w:t>
            </w:r>
          </w:p>
        </w:tc>
        <w:tc>
          <w:tcPr>
            <w:tcW w:w="635" w:type="dxa"/>
            <w:noWrap w:val="0"/>
            <w:vAlign w:val="center"/>
          </w:tcPr>
          <w:p w14:paraId="1EEA959C">
            <w:pPr>
              <w:jc w:val="center"/>
              <w:rPr>
                <w:rFonts w:hint="eastAsia" w:ascii="宋体" w:hAnsi="宋体" w:eastAsia="宋体" w:cs="宋体"/>
                <w:color w:val="auto"/>
                <w:sz w:val="21"/>
                <w:szCs w:val="21"/>
                <w:highlight w:val="none"/>
              </w:rPr>
            </w:pPr>
          </w:p>
        </w:tc>
      </w:tr>
      <w:tr w14:paraId="7452E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E5E938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2</w:t>
            </w:r>
          </w:p>
        </w:tc>
        <w:tc>
          <w:tcPr>
            <w:tcW w:w="1245" w:type="dxa"/>
            <w:noWrap w:val="0"/>
            <w:vAlign w:val="center"/>
          </w:tcPr>
          <w:p w14:paraId="3990D82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室内布线部分</w:t>
            </w:r>
          </w:p>
        </w:tc>
        <w:tc>
          <w:tcPr>
            <w:tcW w:w="5472" w:type="dxa"/>
            <w:noWrap w:val="0"/>
            <w:vAlign w:val="center"/>
          </w:tcPr>
          <w:p w14:paraId="051EE4AB">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铜芯线、线管（现场测量后为准）</w:t>
            </w:r>
          </w:p>
        </w:tc>
        <w:tc>
          <w:tcPr>
            <w:tcW w:w="603" w:type="dxa"/>
            <w:noWrap w:val="0"/>
            <w:vAlign w:val="center"/>
          </w:tcPr>
          <w:p w14:paraId="54403FA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5EEFB3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10" w:type="dxa"/>
            <w:noWrap w:val="0"/>
            <w:vAlign w:val="center"/>
          </w:tcPr>
          <w:p w14:paraId="4A23284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2850</w:t>
            </w:r>
          </w:p>
        </w:tc>
        <w:tc>
          <w:tcPr>
            <w:tcW w:w="635" w:type="dxa"/>
            <w:noWrap w:val="0"/>
            <w:vAlign w:val="center"/>
          </w:tcPr>
          <w:p w14:paraId="166DFDDC">
            <w:pPr>
              <w:jc w:val="center"/>
              <w:rPr>
                <w:rFonts w:hint="eastAsia" w:ascii="宋体" w:hAnsi="宋体" w:eastAsia="宋体" w:cs="宋体"/>
                <w:color w:val="auto"/>
                <w:sz w:val="21"/>
                <w:szCs w:val="21"/>
                <w:highlight w:val="none"/>
              </w:rPr>
            </w:pPr>
          </w:p>
        </w:tc>
      </w:tr>
      <w:tr w14:paraId="4AA16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C8B2C0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3</w:t>
            </w:r>
          </w:p>
        </w:tc>
        <w:tc>
          <w:tcPr>
            <w:tcW w:w="1245" w:type="dxa"/>
            <w:noWrap w:val="0"/>
            <w:vAlign w:val="center"/>
          </w:tcPr>
          <w:p w14:paraId="2D620F2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学生电脑电源</w:t>
            </w:r>
          </w:p>
        </w:tc>
        <w:tc>
          <w:tcPr>
            <w:tcW w:w="5472" w:type="dxa"/>
            <w:noWrap w:val="0"/>
            <w:vAlign w:val="center"/>
          </w:tcPr>
          <w:p w14:paraId="7A9A129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交流220V到桌，电源系统符合JY/T0374-2004《教学实验室设备 电源系统》标准。</w:t>
            </w:r>
          </w:p>
        </w:tc>
        <w:tc>
          <w:tcPr>
            <w:tcW w:w="603" w:type="dxa"/>
            <w:noWrap w:val="0"/>
            <w:vAlign w:val="center"/>
          </w:tcPr>
          <w:p w14:paraId="5BD4F5B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00" w:type="dxa"/>
            <w:noWrap w:val="0"/>
            <w:vAlign w:val="center"/>
          </w:tcPr>
          <w:p w14:paraId="64E0348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3402D9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635" w:type="dxa"/>
            <w:noWrap w:val="0"/>
            <w:vAlign w:val="center"/>
          </w:tcPr>
          <w:p w14:paraId="038DAFE6">
            <w:pPr>
              <w:jc w:val="center"/>
              <w:rPr>
                <w:rFonts w:hint="eastAsia" w:ascii="宋体" w:hAnsi="宋体" w:eastAsia="宋体" w:cs="宋体"/>
                <w:color w:val="auto"/>
                <w:sz w:val="21"/>
                <w:szCs w:val="21"/>
                <w:highlight w:val="none"/>
              </w:rPr>
            </w:pPr>
          </w:p>
        </w:tc>
      </w:tr>
      <w:tr w14:paraId="212F6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47F2D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4</w:t>
            </w:r>
          </w:p>
        </w:tc>
        <w:tc>
          <w:tcPr>
            <w:tcW w:w="1245" w:type="dxa"/>
            <w:noWrap w:val="0"/>
            <w:vAlign w:val="center"/>
          </w:tcPr>
          <w:p w14:paraId="16F4C18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不锈钢槽保护管线</w:t>
            </w:r>
          </w:p>
        </w:tc>
        <w:tc>
          <w:tcPr>
            <w:tcW w:w="5472" w:type="dxa"/>
            <w:noWrap w:val="0"/>
            <w:vAlign w:val="center"/>
          </w:tcPr>
          <w:p w14:paraId="21DBF6C4">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地面开槽复原或采用不锈钢板加工成成型，美观精致。</w:t>
            </w:r>
          </w:p>
        </w:tc>
        <w:tc>
          <w:tcPr>
            <w:tcW w:w="603" w:type="dxa"/>
            <w:noWrap w:val="0"/>
            <w:vAlign w:val="center"/>
          </w:tcPr>
          <w:p w14:paraId="60CE764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w:t>
            </w:r>
          </w:p>
        </w:tc>
        <w:tc>
          <w:tcPr>
            <w:tcW w:w="600" w:type="dxa"/>
            <w:noWrap w:val="0"/>
            <w:vAlign w:val="center"/>
          </w:tcPr>
          <w:p w14:paraId="10631A7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米</w:t>
            </w:r>
          </w:p>
        </w:tc>
        <w:tc>
          <w:tcPr>
            <w:tcW w:w="1110" w:type="dxa"/>
            <w:noWrap w:val="0"/>
            <w:vAlign w:val="center"/>
          </w:tcPr>
          <w:p w14:paraId="7A32BA5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w:t>
            </w:r>
          </w:p>
        </w:tc>
        <w:tc>
          <w:tcPr>
            <w:tcW w:w="635" w:type="dxa"/>
            <w:noWrap w:val="0"/>
            <w:vAlign w:val="center"/>
          </w:tcPr>
          <w:p w14:paraId="36C49AB3">
            <w:pPr>
              <w:jc w:val="center"/>
              <w:rPr>
                <w:rFonts w:hint="eastAsia" w:ascii="宋体" w:hAnsi="宋体" w:eastAsia="宋体" w:cs="宋体"/>
                <w:color w:val="auto"/>
                <w:sz w:val="21"/>
                <w:szCs w:val="21"/>
                <w:highlight w:val="none"/>
              </w:rPr>
            </w:pPr>
          </w:p>
        </w:tc>
      </w:tr>
      <w:tr w14:paraId="55715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B3408D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5</w:t>
            </w:r>
          </w:p>
        </w:tc>
        <w:tc>
          <w:tcPr>
            <w:tcW w:w="1245" w:type="dxa"/>
            <w:noWrap w:val="0"/>
            <w:vAlign w:val="center"/>
          </w:tcPr>
          <w:p w14:paraId="5F7C0E4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设备辅助材料等费用</w:t>
            </w:r>
          </w:p>
        </w:tc>
        <w:tc>
          <w:tcPr>
            <w:tcW w:w="5472" w:type="dxa"/>
            <w:noWrap w:val="0"/>
            <w:vAlign w:val="center"/>
          </w:tcPr>
          <w:p w14:paraId="7E18DC7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胶布、胶带、焊锡丝、玻璃胶、扎带定位片等辅材。</w:t>
            </w:r>
          </w:p>
        </w:tc>
        <w:tc>
          <w:tcPr>
            <w:tcW w:w="603" w:type="dxa"/>
            <w:noWrap w:val="0"/>
            <w:vAlign w:val="center"/>
          </w:tcPr>
          <w:p w14:paraId="2EA3503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DA9296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46F3DE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3500</w:t>
            </w:r>
          </w:p>
        </w:tc>
        <w:tc>
          <w:tcPr>
            <w:tcW w:w="635" w:type="dxa"/>
            <w:noWrap w:val="0"/>
            <w:vAlign w:val="center"/>
          </w:tcPr>
          <w:p w14:paraId="509869D4">
            <w:pPr>
              <w:jc w:val="center"/>
              <w:rPr>
                <w:rFonts w:hint="eastAsia" w:ascii="宋体" w:hAnsi="宋体" w:eastAsia="宋体" w:cs="宋体"/>
                <w:color w:val="auto"/>
                <w:sz w:val="21"/>
                <w:szCs w:val="21"/>
                <w:highlight w:val="none"/>
              </w:rPr>
            </w:pPr>
          </w:p>
        </w:tc>
      </w:tr>
      <w:tr w14:paraId="736D5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15A3E0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6</w:t>
            </w:r>
          </w:p>
        </w:tc>
        <w:tc>
          <w:tcPr>
            <w:tcW w:w="1245" w:type="dxa"/>
            <w:noWrap w:val="0"/>
            <w:vAlign w:val="center"/>
          </w:tcPr>
          <w:p w14:paraId="08834B3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文化布置</w:t>
            </w:r>
            <w:r>
              <w:rPr>
                <w:rFonts w:hint="eastAsia" w:ascii="宋体" w:hAnsi="宋体" w:cs="宋体"/>
                <w:color w:val="auto"/>
                <w:sz w:val="21"/>
                <w:szCs w:val="21"/>
                <w:highlight w:val="none"/>
                <w:lang w:val="en-US" w:eastAsia="zh-CN"/>
              </w:rPr>
              <w:t>服务</w:t>
            </w:r>
          </w:p>
        </w:tc>
        <w:tc>
          <w:tcPr>
            <w:tcW w:w="5472" w:type="dxa"/>
            <w:noWrap w:val="0"/>
            <w:vAlign w:val="center"/>
          </w:tcPr>
          <w:p w14:paraId="517F8794">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使用≥15mmPVC板制作，包约40cm×80cm宣传板6块，约900cm×500cm教室后墙装修字及图案，颜色及内容根据学校要求制作。</w:t>
            </w:r>
          </w:p>
        </w:tc>
        <w:tc>
          <w:tcPr>
            <w:tcW w:w="603" w:type="dxa"/>
            <w:noWrap w:val="0"/>
            <w:vAlign w:val="center"/>
          </w:tcPr>
          <w:p w14:paraId="35BBC66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89B55D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10" w:type="dxa"/>
            <w:noWrap w:val="0"/>
            <w:vAlign w:val="center"/>
          </w:tcPr>
          <w:p w14:paraId="7A3F7FE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w:t>
            </w:r>
          </w:p>
        </w:tc>
        <w:tc>
          <w:tcPr>
            <w:tcW w:w="635" w:type="dxa"/>
            <w:noWrap w:val="0"/>
            <w:vAlign w:val="center"/>
          </w:tcPr>
          <w:p w14:paraId="423932AD">
            <w:pPr>
              <w:jc w:val="center"/>
              <w:rPr>
                <w:rFonts w:hint="eastAsia" w:ascii="宋体" w:hAnsi="宋体" w:eastAsia="宋体" w:cs="宋体"/>
                <w:color w:val="auto"/>
                <w:sz w:val="21"/>
                <w:szCs w:val="21"/>
                <w:highlight w:val="none"/>
              </w:rPr>
            </w:pPr>
          </w:p>
        </w:tc>
      </w:tr>
      <w:tr w14:paraId="62EC2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7317F10D">
            <w:pPr>
              <w:jc w:val="both"/>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第三项</w:t>
            </w:r>
            <w:r>
              <w:rPr>
                <w:rFonts w:hint="eastAsia" w:ascii="宋体" w:hAnsi="宋体" w:eastAsia="宋体" w:cs="宋体"/>
                <w:b/>
                <w:bCs/>
                <w:color w:val="auto"/>
                <w:sz w:val="21"/>
                <w:szCs w:val="21"/>
                <w:highlight w:val="none"/>
                <w:lang w:eastAsia="zh-CN"/>
              </w:rPr>
              <w:t>合计</w:t>
            </w:r>
          </w:p>
        </w:tc>
        <w:tc>
          <w:tcPr>
            <w:tcW w:w="5472" w:type="dxa"/>
            <w:noWrap w:val="0"/>
            <w:vAlign w:val="center"/>
          </w:tcPr>
          <w:p w14:paraId="6D03B80E">
            <w:pPr>
              <w:jc w:val="center"/>
              <w:rPr>
                <w:rFonts w:hint="eastAsia" w:ascii="宋体" w:hAnsi="宋体" w:eastAsia="宋体" w:cs="宋体"/>
                <w:color w:val="auto"/>
                <w:sz w:val="21"/>
                <w:szCs w:val="21"/>
                <w:highlight w:val="none"/>
              </w:rPr>
            </w:pPr>
          </w:p>
        </w:tc>
        <w:tc>
          <w:tcPr>
            <w:tcW w:w="2313" w:type="dxa"/>
            <w:gridSpan w:val="3"/>
            <w:noWrap w:val="0"/>
            <w:vAlign w:val="center"/>
          </w:tcPr>
          <w:p w14:paraId="04E6483F">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87640.00</w:t>
            </w:r>
          </w:p>
        </w:tc>
        <w:tc>
          <w:tcPr>
            <w:tcW w:w="635" w:type="dxa"/>
            <w:noWrap w:val="0"/>
            <w:vAlign w:val="center"/>
          </w:tcPr>
          <w:p w14:paraId="192C1B6B">
            <w:pPr>
              <w:jc w:val="center"/>
              <w:rPr>
                <w:rFonts w:hint="eastAsia" w:ascii="宋体" w:hAnsi="宋体" w:eastAsia="宋体" w:cs="宋体"/>
                <w:color w:val="auto"/>
                <w:sz w:val="21"/>
                <w:szCs w:val="21"/>
                <w:highlight w:val="none"/>
              </w:rPr>
            </w:pPr>
          </w:p>
        </w:tc>
      </w:tr>
      <w:tr w14:paraId="0AC16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97D56FD">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eastAsia="zh-CN" w:bidi="ar"/>
              </w:rPr>
              <w:t>四</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仪器室</w:t>
            </w:r>
          </w:p>
        </w:tc>
      </w:tr>
      <w:tr w14:paraId="3E895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4CDAA35">
            <w:pPr>
              <w:ind w:left="0" w:leftChars="0" w:firstLine="210" w:firstLineChars="100"/>
              <w:jc w:val="both"/>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数学仪器</w:t>
            </w:r>
          </w:p>
        </w:tc>
      </w:tr>
      <w:tr w14:paraId="7C023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309E6A6">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67</w:t>
            </w:r>
          </w:p>
        </w:tc>
        <w:tc>
          <w:tcPr>
            <w:tcW w:w="1245" w:type="dxa"/>
            <w:noWrap w:val="0"/>
            <w:vAlign w:val="center"/>
          </w:tcPr>
          <w:p w14:paraId="3A61B2C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计算器</w:t>
            </w:r>
          </w:p>
        </w:tc>
        <w:tc>
          <w:tcPr>
            <w:tcW w:w="5472" w:type="dxa"/>
            <w:noWrap w:val="0"/>
            <w:vAlign w:val="center"/>
          </w:tcPr>
          <w:p w14:paraId="5A7A5250">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10+2 位数、有统计运算功能、有分数计算功能、双行 LCD 显示、有函数运算功能、有多行重视功能、有方程编辑及显示、查看功能、有独立储存器功能（具备保留运算过程功能，关机后能清除原运算过程及数据）、有临时储存器功能、有普通四则运算功能、有自动关机功能、保留普通计算器的其他功能。执行国家《GB-T4967-1995》（电子计算器通用条件）及教育部 JY/T0382－2007《学生计算器》标准，与国家教育部颁布的《课程标准》要求相符合。</w:t>
            </w:r>
          </w:p>
        </w:tc>
        <w:tc>
          <w:tcPr>
            <w:tcW w:w="603" w:type="dxa"/>
            <w:noWrap w:val="0"/>
            <w:vAlign w:val="center"/>
          </w:tcPr>
          <w:p w14:paraId="3140D05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600" w:type="dxa"/>
            <w:noWrap w:val="0"/>
            <w:vAlign w:val="center"/>
          </w:tcPr>
          <w:p w14:paraId="5AF45A2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7C26138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45.5</w:t>
            </w:r>
          </w:p>
        </w:tc>
        <w:tc>
          <w:tcPr>
            <w:tcW w:w="635" w:type="dxa"/>
            <w:noWrap w:val="0"/>
            <w:vAlign w:val="center"/>
          </w:tcPr>
          <w:p w14:paraId="3F5AAB97">
            <w:pPr>
              <w:ind w:left="0" w:leftChars="0" w:firstLine="0" w:firstLineChars="0"/>
              <w:jc w:val="center"/>
              <w:rPr>
                <w:rFonts w:hint="eastAsia" w:ascii="宋体" w:hAnsi="宋体" w:eastAsia="宋体" w:cs="宋体"/>
                <w:color w:val="auto"/>
                <w:sz w:val="21"/>
                <w:szCs w:val="21"/>
                <w:highlight w:val="none"/>
                <w:lang w:val="en-US" w:eastAsia="zh-CN"/>
              </w:rPr>
            </w:pPr>
          </w:p>
        </w:tc>
      </w:tr>
      <w:tr w14:paraId="2914D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483929">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68</w:t>
            </w:r>
          </w:p>
        </w:tc>
        <w:tc>
          <w:tcPr>
            <w:tcW w:w="1245" w:type="dxa"/>
            <w:noWrap w:val="0"/>
            <w:vAlign w:val="center"/>
          </w:tcPr>
          <w:p w14:paraId="0F55A18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软尺</w:t>
            </w:r>
          </w:p>
        </w:tc>
        <w:tc>
          <w:tcPr>
            <w:tcW w:w="5472" w:type="dxa"/>
            <w:noWrap w:val="0"/>
            <w:vAlign w:val="center"/>
          </w:tcPr>
          <w:p w14:paraId="343B8850">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2.材质：PVC，</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3.测量范围：≥2000（mm），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4.类型：皮卷尺，有金属包头，</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5.精度：1mm，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6.规格：不小于 16mm×2000mm。</w:t>
            </w:r>
          </w:p>
        </w:tc>
        <w:tc>
          <w:tcPr>
            <w:tcW w:w="603" w:type="dxa"/>
            <w:noWrap w:val="0"/>
            <w:vAlign w:val="center"/>
          </w:tcPr>
          <w:p w14:paraId="6316F4E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4AD7D02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22B08C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635" w:type="dxa"/>
            <w:noWrap w:val="0"/>
            <w:vAlign w:val="center"/>
          </w:tcPr>
          <w:p w14:paraId="534E08A1">
            <w:pPr>
              <w:ind w:left="0" w:leftChars="0" w:firstLine="0" w:firstLineChars="0"/>
              <w:jc w:val="center"/>
              <w:rPr>
                <w:rFonts w:hint="eastAsia" w:ascii="宋体" w:hAnsi="宋体" w:eastAsia="宋体" w:cs="宋体"/>
                <w:color w:val="auto"/>
                <w:sz w:val="21"/>
                <w:szCs w:val="21"/>
                <w:highlight w:val="none"/>
                <w:lang w:val="en-US" w:eastAsia="zh-CN"/>
              </w:rPr>
            </w:pPr>
          </w:p>
        </w:tc>
      </w:tr>
      <w:tr w14:paraId="6F4AB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231FC53">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69</w:t>
            </w:r>
          </w:p>
        </w:tc>
        <w:tc>
          <w:tcPr>
            <w:tcW w:w="1245" w:type="dxa"/>
            <w:noWrap w:val="0"/>
            <w:vAlign w:val="center"/>
          </w:tcPr>
          <w:p w14:paraId="687D425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卷尺</w:t>
            </w:r>
          </w:p>
        </w:tc>
        <w:tc>
          <w:tcPr>
            <w:tcW w:w="5472" w:type="dxa"/>
            <w:noWrap w:val="0"/>
            <w:vAlign w:val="center"/>
          </w:tcPr>
          <w:p w14:paraId="7CA2BD28">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1、≥20m，尺带入口有滚动轴，尺带进出灵活，尺带有防锈镀层，弹性适宜，尺盒上装有铜制手摇回卷装置，手柄可折叠，1 米长示值允许误差范围±8mm。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2、0.1 米长示值允许误差范围±0.3mm，刻线均匀、清晰、垂直纵边、无断线。</w:t>
            </w:r>
          </w:p>
        </w:tc>
        <w:tc>
          <w:tcPr>
            <w:tcW w:w="603" w:type="dxa"/>
            <w:noWrap w:val="0"/>
            <w:vAlign w:val="center"/>
          </w:tcPr>
          <w:p w14:paraId="0B435B8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0A21BE2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FBF200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9.6</w:t>
            </w:r>
          </w:p>
        </w:tc>
        <w:tc>
          <w:tcPr>
            <w:tcW w:w="635" w:type="dxa"/>
            <w:noWrap w:val="0"/>
            <w:vAlign w:val="center"/>
          </w:tcPr>
          <w:p w14:paraId="32541E5D">
            <w:pPr>
              <w:ind w:left="0" w:leftChars="0" w:firstLine="0" w:firstLineChars="0"/>
              <w:jc w:val="center"/>
              <w:rPr>
                <w:rFonts w:hint="eastAsia" w:ascii="宋体" w:hAnsi="宋体" w:eastAsia="宋体" w:cs="宋体"/>
                <w:color w:val="auto"/>
                <w:sz w:val="21"/>
                <w:szCs w:val="21"/>
                <w:highlight w:val="none"/>
                <w:lang w:val="en-US" w:eastAsia="zh-CN"/>
              </w:rPr>
            </w:pPr>
          </w:p>
        </w:tc>
      </w:tr>
      <w:tr w14:paraId="7313B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555" w:type="dxa"/>
            <w:noWrap w:val="0"/>
            <w:vAlign w:val="center"/>
          </w:tcPr>
          <w:p w14:paraId="515A4C54">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70</w:t>
            </w:r>
          </w:p>
        </w:tc>
        <w:tc>
          <w:tcPr>
            <w:tcW w:w="1245" w:type="dxa"/>
            <w:noWrap w:val="0"/>
            <w:vAlign w:val="center"/>
          </w:tcPr>
          <w:p w14:paraId="43E32DB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托盘天平</w:t>
            </w:r>
          </w:p>
        </w:tc>
        <w:tc>
          <w:tcPr>
            <w:tcW w:w="5472" w:type="dxa"/>
            <w:noWrap w:val="0"/>
            <w:vAlign w:val="center"/>
          </w:tcPr>
          <w:p w14:paraId="50345FB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1、称重范围 500g,1g。</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2、双盘、单杠杆、等臂，非封闭式横梁由铝合金制成，刀子：钢或玛瑙制成标尺最大称量</w:t>
            </w:r>
          </w:p>
          <w:p w14:paraId="6E91037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不小于 500g，分度值 0.5g。</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3、秤量允许误差为±0.5d（分度值）。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4、镊子的材质为塑料制，厚度适合取最大法码。</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5、标尺应光洁平直，连接部位应固紧，分度线应均匀，游码起点应对准零线，移动时松紧适宜，当杠杆受到轻微冲击时，游码不应移位。</w:t>
            </w:r>
          </w:p>
        </w:tc>
        <w:tc>
          <w:tcPr>
            <w:tcW w:w="603" w:type="dxa"/>
            <w:noWrap w:val="0"/>
            <w:vAlign w:val="center"/>
          </w:tcPr>
          <w:p w14:paraId="4BAD359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75964A6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088D610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162.5</w:t>
            </w:r>
          </w:p>
        </w:tc>
        <w:tc>
          <w:tcPr>
            <w:tcW w:w="635" w:type="dxa"/>
            <w:noWrap w:val="0"/>
            <w:vAlign w:val="center"/>
          </w:tcPr>
          <w:p w14:paraId="1E391EB1">
            <w:pPr>
              <w:ind w:left="0" w:leftChars="0" w:firstLine="0" w:firstLineChars="0"/>
              <w:jc w:val="center"/>
              <w:rPr>
                <w:rFonts w:hint="eastAsia" w:ascii="宋体" w:hAnsi="宋体" w:eastAsia="宋体" w:cs="宋体"/>
                <w:color w:val="auto"/>
                <w:sz w:val="21"/>
                <w:szCs w:val="21"/>
                <w:highlight w:val="none"/>
                <w:lang w:val="en-US" w:eastAsia="zh-CN"/>
              </w:rPr>
            </w:pPr>
          </w:p>
        </w:tc>
      </w:tr>
      <w:tr w14:paraId="7EDB8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9F6950">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71</w:t>
            </w:r>
          </w:p>
        </w:tc>
        <w:tc>
          <w:tcPr>
            <w:tcW w:w="1245" w:type="dxa"/>
            <w:noWrap w:val="0"/>
            <w:vAlign w:val="center"/>
          </w:tcPr>
          <w:p w14:paraId="1D77A49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简易天平</w:t>
            </w:r>
          </w:p>
        </w:tc>
        <w:tc>
          <w:tcPr>
            <w:tcW w:w="5472" w:type="dxa"/>
            <w:noWrap w:val="0"/>
            <w:vAlign w:val="center"/>
          </w:tcPr>
          <w:p w14:paraId="548285A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1.最大载荷 200g,分度值 1g。</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2.由底座，横梁、托盘架圈（2 件）、托盘筒（2 件 200ml）、游码 1 个、10 克槽码 16 个，5 克槽码 8 个组成，简易天平主件均采用工程塑料制成。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3.横梁上有印有读数刻度线，装有秤重游码做秤量读数之用，每一格刻度线的秤量最小读数精度为 1 克。托盘筒为 200ml 塑料量筒，即可称量一般几何形状的固体物质，又可称量液体类流体。</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4.横梁带托盘总长 325mm。整个仪器高约 79mm。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6850C7B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350BE9C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3C9DD73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33.8</w:t>
            </w:r>
          </w:p>
        </w:tc>
        <w:tc>
          <w:tcPr>
            <w:tcW w:w="635" w:type="dxa"/>
            <w:noWrap w:val="0"/>
            <w:vAlign w:val="center"/>
          </w:tcPr>
          <w:p w14:paraId="764CBC63">
            <w:pPr>
              <w:ind w:left="0" w:leftChars="0" w:firstLine="0" w:firstLineChars="0"/>
              <w:jc w:val="center"/>
              <w:rPr>
                <w:rFonts w:hint="eastAsia" w:ascii="宋体" w:hAnsi="宋体" w:eastAsia="宋体" w:cs="宋体"/>
                <w:color w:val="auto"/>
                <w:sz w:val="21"/>
                <w:szCs w:val="21"/>
                <w:highlight w:val="none"/>
                <w:lang w:val="en-US" w:eastAsia="zh-CN"/>
              </w:rPr>
            </w:pPr>
          </w:p>
        </w:tc>
      </w:tr>
      <w:tr w14:paraId="7CDB9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C1FB2AD">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72</w:t>
            </w:r>
          </w:p>
        </w:tc>
        <w:tc>
          <w:tcPr>
            <w:tcW w:w="1245" w:type="dxa"/>
            <w:noWrap w:val="0"/>
            <w:vAlign w:val="center"/>
          </w:tcPr>
          <w:p w14:paraId="552A8C6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弹簧度盘秤</w:t>
            </w:r>
          </w:p>
        </w:tc>
        <w:tc>
          <w:tcPr>
            <w:tcW w:w="5472" w:type="dxa"/>
            <w:noWrap w:val="0"/>
            <w:vAlign w:val="center"/>
          </w:tcPr>
          <w:p w14:paraId="1CDAC53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1.秤重范围：1kg，0.5g。</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2.材质：pp。</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3.尺寸：约 15*15*21 厘米。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4.重约：450g。</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5.环保 PS 塑料载物盆及外壳,执行 GB/T11883 标准</w:t>
            </w:r>
          </w:p>
        </w:tc>
        <w:tc>
          <w:tcPr>
            <w:tcW w:w="603" w:type="dxa"/>
            <w:noWrap w:val="0"/>
            <w:vAlign w:val="center"/>
          </w:tcPr>
          <w:p w14:paraId="6D513E8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7E1E3FB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6E68CC5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33.8</w:t>
            </w:r>
          </w:p>
        </w:tc>
        <w:tc>
          <w:tcPr>
            <w:tcW w:w="635" w:type="dxa"/>
            <w:noWrap w:val="0"/>
            <w:vAlign w:val="center"/>
          </w:tcPr>
          <w:p w14:paraId="2ABE6A21">
            <w:pPr>
              <w:ind w:left="0" w:leftChars="0" w:firstLine="0" w:firstLineChars="0"/>
              <w:jc w:val="center"/>
              <w:rPr>
                <w:rFonts w:hint="eastAsia" w:ascii="宋体" w:hAnsi="宋体" w:eastAsia="宋体" w:cs="宋体"/>
                <w:color w:val="auto"/>
                <w:sz w:val="21"/>
                <w:szCs w:val="21"/>
                <w:highlight w:val="none"/>
                <w:lang w:val="en-US" w:eastAsia="zh-CN"/>
              </w:rPr>
            </w:pPr>
          </w:p>
        </w:tc>
      </w:tr>
      <w:tr w14:paraId="344C2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8E2B9F">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73</w:t>
            </w:r>
          </w:p>
        </w:tc>
        <w:tc>
          <w:tcPr>
            <w:tcW w:w="1245" w:type="dxa"/>
            <w:noWrap w:val="0"/>
            <w:vAlign w:val="center"/>
          </w:tcPr>
          <w:p w14:paraId="3C52411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弹簧秤</w:t>
            </w:r>
          </w:p>
        </w:tc>
        <w:tc>
          <w:tcPr>
            <w:tcW w:w="5472" w:type="dxa"/>
            <w:noWrap w:val="0"/>
            <w:vAlign w:val="center"/>
          </w:tcPr>
          <w:p w14:paraId="438ADDA9">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外管为不锈钢管，内置不锈铁深腐蚀刻度，刻度清晰永不磨损，金属挂钩</w:t>
            </w:r>
          </w:p>
        </w:tc>
        <w:tc>
          <w:tcPr>
            <w:tcW w:w="603" w:type="dxa"/>
            <w:noWrap w:val="0"/>
            <w:vAlign w:val="center"/>
          </w:tcPr>
          <w:p w14:paraId="4B49F00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2FDF584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C50F4E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35" w:type="dxa"/>
            <w:noWrap w:val="0"/>
            <w:vAlign w:val="center"/>
          </w:tcPr>
          <w:p w14:paraId="13FDA239">
            <w:pPr>
              <w:ind w:left="0" w:leftChars="0" w:firstLine="0" w:firstLineChars="0"/>
              <w:jc w:val="center"/>
              <w:rPr>
                <w:rFonts w:hint="eastAsia" w:ascii="宋体" w:hAnsi="宋体" w:eastAsia="宋体" w:cs="宋体"/>
                <w:color w:val="auto"/>
                <w:sz w:val="21"/>
                <w:szCs w:val="21"/>
                <w:highlight w:val="none"/>
                <w:lang w:val="en-US" w:eastAsia="zh-CN"/>
              </w:rPr>
            </w:pPr>
          </w:p>
        </w:tc>
      </w:tr>
      <w:tr w14:paraId="7AC3E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5124B77">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74</w:t>
            </w:r>
          </w:p>
        </w:tc>
        <w:tc>
          <w:tcPr>
            <w:tcW w:w="1245" w:type="dxa"/>
            <w:noWrap w:val="0"/>
            <w:vAlign w:val="center"/>
          </w:tcPr>
          <w:p w14:paraId="60CE395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电子停表</w:t>
            </w:r>
          </w:p>
        </w:tc>
        <w:tc>
          <w:tcPr>
            <w:tcW w:w="5472" w:type="dxa"/>
            <w:noWrap w:val="0"/>
            <w:vAlign w:val="center"/>
          </w:tcPr>
          <w:p w14:paraId="0E146B5C">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1.有石英谐振器，分辨率为 0.01S，以标称电压为 DC1.5V 或 DC3.0V 的扣式电池为能源，液晶显示。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2.具有计时（含累加计时）等功能、附挂绳。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3.表玻璃透明无伤、印字清楚正确、表壳与玻璃后盖配合紧密，无明显的缝隙。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4.使用可靠，各功能显示及相互转换正常。零部、组件不得自行脱落，字段显示清晰、无误。</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5.其它符合 QB/T1908《液晶数字式石英秒表》标准等有关要求。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568DDE1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3876652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块</w:t>
            </w:r>
          </w:p>
        </w:tc>
        <w:tc>
          <w:tcPr>
            <w:tcW w:w="1110" w:type="dxa"/>
            <w:noWrap w:val="0"/>
            <w:vAlign w:val="center"/>
          </w:tcPr>
          <w:p w14:paraId="38951C5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45.6</w:t>
            </w:r>
          </w:p>
        </w:tc>
        <w:tc>
          <w:tcPr>
            <w:tcW w:w="635" w:type="dxa"/>
            <w:noWrap w:val="0"/>
            <w:vAlign w:val="center"/>
          </w:tcPr>
          <w:p w14:paraId="08B6475F">
            <w:pPr>
              <w:ind w:left="0" w:leftChars="0" w:firstLine="0" w:firstLineChars="0"/>
              <w:jc w:val="center"/>
              <w:rPr>
                <w:rFonts w:hint="eastAsia" w:ascii="宋体" w:hAnsi="宋体" w:eastAsia="宋体" w:cs="宋体"/>
                <w:color w:val="auto"/>
                <w:sz w:val="21"/>
                <w:szCs w:val="21"/>
                <w:highlight w:val="none"/>
                <w:lang w:val="en-US" w:eastAsia="zh-CN"/>
              </w:rPr>
            </w:pPr>
          </w:p>
        </w:tc>
      </w:tr>
      <w:tr w14:paraId="02165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6E685E5">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75</w:t>
            </w:r>
          </w:p>
        </w:tc>
        <w:tc>
          <w:tcPr>
            <w:tcW w:w="1245" w:type="dxa"/>
            <w:noWrap w:val="0"/>
            <w:vAlign w:val="center"/>
          </w:tcPr>
          <w:p w14:paraId="4BB3E31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三角板</w:t>
            </w:r>
          </w:p>
        </w:tc>
        <w:tc>
          <w:tcPr>
            <w:tcW w:w="5472" w:type="dxa"/>
            <w:noWrap w:val="0"/>
            <w:vAlign w:val="center"/>
          </w:tcPr>
          <w:p w14:paraId="41BEE65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1．三角板分 60°、45°各 1 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2．材料用塑料注塑成型,色泽为黄色；三角板中间位置设有可拆卸画线工作手把，把手应脱卸方便。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3．等腰直角三角形，其斜边为不少于 500mm，两底角为 45 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4．直角三角形的长直角边为不少于 500mm，但与斜边的夹角为 30 度，另一底角为 60 度，所有角度误差不超过±1 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5．量程：三角板量程为不少于 500mm。外形尺寸：厚约为 10mm，手把实际高度约为 20mm，长度为不少于 90mm。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6.刻度标记：三角板直边印刻线，每 0.5cm 一小格,每 1cm 一中格,每 5cm 一长格,每 10cm一长格并标有以 10 为单位的读数值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7．三角板平面度误差不超过 1mm，各边的直线度误差不超过 1mm。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8．三角板的刻度线应垂直达到尺边，刻线和数码应清晰、正确、不得有重线、断线、缺字。</w:t>
            </w:r>
          </w:p>
        </w:tc>
        <w:tc>
          <w:tcPr>
            <w:tcW w:w="603" w:type="dxa"/>
            <w:noWrap w:val="0"/>
            <w:vAlign w:val="center"/>
          </w:tcPr>
          <w:p w14:paraId="2A71943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1DB2E84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30FC2A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19.5</w:t>
            </w:r>
          </w:p>
        </w:tc>
        <w:tc>
          <w:tcPr>
            <w:tcW w:w="635" w:type="dxa"/>
            <w:noWrap w:val="0"/>
            <w:vAlign w:val="center"/>
          </w:tcPr>
          <w:p w14:paraId="41563065">
            <w:pPr>
              <w:ind w:left="0" w:leftChars="0" w:firstLine="0" w:firstLineChars="0"/>
              <w:jc w:val="center"/>
              <w:rPr>
                <w:rFonts w:hint="eastAsia" w:ascii="宋体" w:hAnsi="宋体" w:eastAsia="宋体" w:cs="宋体"/>
                <w:color w:val="auto"/>
                <w:sz w:val="21"/>
                <w:szCs w:val="21"/>
                <w:highlight w:val="none"/>
                <w:lang w:val="en-US" w:eastAsia="zh-CN"/>
              </w:rPr>
            </w:pPr>
          </w:p>
        </w:tc>
      </w:tr>
      <w:tr w14:paraId="3BEF1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58D5618">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76</w:t>
            </w:r>
          </w:p>
        </w:tc>
        <w:tc>
          <w:tcPr>
            <w:tcW w:w="1245" w:type="dxa"/>
            <w:noWrap w:val="0"/>
            <w:vAlign w:val="center"/>
          </w:tcPr>
          <w:p w14:paraId="18DD5B6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圆规</w:t>
            </w:r>
          </w:p>
        </w:tc>
        <w:tc>
          <w:tcPr>
            <w:tcW w:w="5472" w:type="dxa"/>
            <w:noWrap w:val="0"/>
            <w:vAlign w:val="center"/>
          </w:tcPr>
          <w:p w14:paraId="059D541D">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1.演示用，仿木教学圆规，由规身、粉笔套、规脚等三部份组成，总长为不少于 450mm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2.规身由粉笔套柱和规脚，规身表面应无缺陷、无丝裂，不易变形。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3.规脚由塑料吸盘组成。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4.适合在黑板上画圆，附橡胶定位脚</w:t>
            </w:r>
          </w:p>
        </w:tc>
        <w:tc>
          <w:tcPr>
            <w:tcW w:w="603" w:type="dxa"/>
            <w:noWrap w:val="0"/>
            <w:vAlign w:val="center"/>
          </w:tcPr>
          <w:p w14:paraId="1660255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4C1209A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8160D3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35" w:type="dxa"/>
            <w:noWrap w:val="0"/>
            <w:vAlign w:val="center"/>
          </w:tcPr>
          <w:p w14:paraId="6E78132C">
            <w:pPr>
              <w:ind w:left="0" w:leftChars="0" w:firstLine="0" w:firstLineChars="0"/>
              <w:jc w:val="center"/>
              <w:rPr>
                <w:rFonts w:hint="eastAsia" w:ascii="宋体" w:hAnsi="宋体" w:eastAsia="宋体" w:cs="宋体"/>
                <w:color w:val="auto"/>
                <w:sz w:val="21"/>
                <w:szCs w:val="21"/>
                <w:highlight w:val="none"/>
                <w:lang w:val="en-US" w:eastAsia="zh-CN"/>
              </w:rPr>
            </w:pPr>
          </w:p>
        </w:tc>
      </w:tr>
      <w:tr w14:paraId="67A54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8BD400">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77</w:t>
            </w:r>
          </w:p>
        </w:tc>
        <w:tc>
          <w:tcPr>
            <w:tcW w:w="1245" w:type="dxa"/>
            <w:noWrap w:val="0"/>
            <w:vAlign w:val="center"/>
          </w:tcPr>
          <w:p w14:paraId="2E6037B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量角器</w:t>
            </w:r>
          </w:p>
        </w:tc>
        <w:tc>
          <w:tcPr>
            <w:tcW w:w="5472" w:type="dxa"/>
            <w:noWrap w:val="0"/>
            <w:vAlign w:val="center"/>
          </w:tcPr>
          <w:p w14:paraId="688AD8C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由塑料注塑成型,色泽为黄色。量角器中间位置设有可拆卸画线工作手把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1.外形尺寸：约 500mm×282mm×10（±0.2）mm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2.有效工作尺寸为</w:t>
            </w:r>
            <w:r>
              <w:rPr>
                <w:rFonts w:hint="eastAsia" w:ascii="宋体" w:hAnsi="宋体" w:eastAsia="宋体" w:cs="宋体"/>
                <w:color w:val="auto"/>
                <w:sz w:val="21"/>
                <w:szCs w:val="21"/>
                <w:highlight w:val="none"/>
                <w:lang w:val="en-US" w:eastAsia="zh-CN"/>
              </w:rPr>
              <w:t>≥500mm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3.有效测量角度为 0～180°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4.手把实际高度 52mm、长度 119mm，</w:t>
            </w:r>
            <w:r>
              <w:rPr>
                <w:rFonts w:hint="eastAsia" w:ascii="宋体" w:hAnsi="宋体" w:eastAsia="宋体" w:cs="宋体"/>
                <w:color w:val="auto"/>
                <w:sz w:val="21"/>
                <w:szCs w:val="21"/>
                <w:highlight w:val="none"/>
                <w:lang w:val="en-US" w:eastAsia="zh-CN"/>
              </w:rPr>
              <w:t>公差±0.1mm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5.量角器直边印有 0～50cm 刻线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6.每 0.5cm 一小格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7.每 1cm 一中格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8.每 5cm 一长格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9.每 10cm 一长格，并标有以 10 为单位的读数值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10.顺时针方向和逆时针方向均印有 0～180°数字读数值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11.角度分度格线为每 1°为一小格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12.每 5°为一长格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13.每 10°为一长格，并标有以 10°为单位和角度读数值</w:t>
            </w:r>
          </w:p>
        </w:tc>
        <w:tc>
          <w:tcPr>
            <w:tcW w:w="603" w:type="dxa"/>
            <w:noWrap w:val="0"/>
            <w:vAlign w:val="center"/>
          </w:tcPr>
          <w:p w14:paraId="3E41ED8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1AC7013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F55AEE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27.6</w:t>
            </w:r>
          </w:p>
        </w:tc>
        <w:tc>
          <w:tcPr>
            <w:tcW w:w="635" w:type="dxa"/>
            <w:noWrap w:val="0"/>
            <w:vAlign w:val="center"/>
          </w:tcPr>
          <w:p w14:paraId="5D9EF675">
            <w:pPr>
              <w:ind w:left="0" w:leftChars="0" w:firstLine="0" w:firstLineChars="0"/>
              <w:jc w:val="center"/>
              <w:rPr>
                <w:rFonts w:hint="eastAsia" w:ascii="宋体" w:hAnsi="宋体" w:cs="宋体"/>
                <w:color w:val="auto"/>
                <w:sz w:val="21"/>
                <w:szCs w:val="21"/>
                <w:highlight w:val="none"/>
                <w:lang w:val="en-US" w:eastAsia="zh-CN"/>
              </w:rPr>
            </w:pPr>
          </w:p>
        </w:tc>
      </w:tr>
      <w:tr w14:paraId="1718B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E5C4A16">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78</w:t>
            </w:r>
          </w:p>
        </w:tc>
        <w:tc>
          <w:tcPr>
            <w:tcW w:w="1245" w:type="dxa"/>
            <w:noWrap w:val="0"/>
            <w:vAlign w:val="center"/>
          </w:tcPr>
          <w:p w14:paraId="236D195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专用直尺</w:t>
            </w:r>
          </w:p>
        </w:tc>
        <w:tc>
          <w:tcPr>
            <w:tcW w:w="5472" w:type="dxa"/>
            <w:noWrap w:val="0"/>
            <w:vAlign w:val="center"/>
          </w:tcPr>
          <w:p w14:paraId="720E0387">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木制或者塑料，长1m，有 m、dm、cm、mm 四种单位，刻度清晰无变形开裂现象。</w:t>
            </w:r>
          </w:p>
        </w:tc>
        <w:tc>
          <w:tcPr>
            <w:tcW w:w="603" w:type="dxa"/>
            <w:noWrap w:val="0"/>
            <w:vAlign w:val="center"/>
          </w:tcPr>
          <w:p w14:paraId="59229C7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0172227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w:t>
            </w:r>
          </w:p>
        </w:tc>
        <w:tc>
          <w:tcPr>
            <w:tcW w:w="1110" w:type="dxa"/>
            <w:noWrap w:val="0"/>
            <w:vAlign w:val="center"/>
          </w:tcPr>
          <w:p w14:paraId="18107F6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9.1</w:t>
            </w:r>
          </w:p>
        </w:tc>
        <w:tc>
          <w:tcPr>
            <w:tcW w:w="635" w:type="dxa"/>
            <w:noWrap w:val="0"/>
            <w:vAlign w:val="center"/>
          </w:tcPr>
          <w:p w14:paraId="6213B98B">
            <w:pPr>
              <w:ind w:left="0" w:leftChars="0" w:firstLine="0" w:firstLineChars="0"/>
              <w:jc w:val="center"/>
              <w:rPr>
                <w:rFonts w:hint="eastAsia" w:ascii="宋体" w:hAnsi="宋体" w:cs="宋体"/>
                <w:color w:val="auto"/>
                <w:sz w:val="21"/>
                <w:szCs w:val="21"/>
                <w:highlight w:val="none"/>
                <w:lang w:val="en-US" w:eastAsia="zh-CN"/>
              </w:rPr>
            </w:pPr>
          </w:p>
        </w:tc>
      </w:tr>
      <w:tr w14:paraId="121AE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38EEED">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79</w:t>
            </w:r>
          </w:p>
        </w:tc>
        <w:tc>
          <w:tcPr>
            <w:tcW w:w="1245" w:type="dxa"/>
            <w:noWrap w:val="0"/>
            <w:vAlign w:val="center"/>
          </w:tcPr>
          <w:p w14:paraId="008BA60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标杆</w:t>
            </w:r>
          </w:p>
        </w:tc>
        <w:tc>
          <w:tcPr>
            <w:tcW w:w="5472" w:type="dxa"/>
            <w:noWrap w:val="0"/>
            <w:vAlign w:val="center"/>
          </w:tcPr>
          <w:p w14:paraId="68A913FB">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1.不低于1.6m.有木杆和插地铁脚两部分；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2.杆身光滑，刷有红、白10cm相间的油漆，铁脚淋化防锈喷塑处理。</w:t>
            </w:r>
          </w:p>
        </w:tc>
        <w:tc>
          <w:tcPr>
            <w:tcW w:w="603" w:type="dxa"/>
            <w:noWrap w:val="0"/>
            <w:vAlign w:val="center"/>
          </w:tcPr>
          <w:p w14:paraId="35D3ABE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25DA3C7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w:t>
            </w:r>
          </w:p>
        </w:tc>
        <w:tc>
          <w:tcPr>
            <w:tcW w:w="1110" w:type="dxa"/>
            <w:noWrap w:val="0"/>
            <w:vAlign w:val="center"/>
          </w:tcPr>
          <w:p w14:paraId="38C1292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37.7</w:t>
            </w:r>
          </w:p>
        </w:tc>
        <w:tc>
          <w:tcPr>
            <w:tcW w:w="635" w:type="dxa"/>
            <w:noWrap w:val="0"/>
            <w:vAlign w:val="center"/>
          </w:tcPr>
          <w:p w14:paraId="762CCC6B">
            <w:pPr>
              <w:ind w:left="0" w:leftChars="0" w:firstLine="0" w:firstLineChars="0"/>
              <w:jc w:val="center"/>
              <w:rPr>
                <w:rFonts w:hint="eastAsia" w:ascii="宋体" w:hAnsi="宋体" w:cs="宋体"/>
                <w:color w:val="auto"/>
                <w:sz w:val="21"/>
                <w:szCs w:val="21"/>
                <w:highlight w:val="none"/>
                <w:lang w:val="en-US" w:eastAsia="zh-CN"/>
              </w:rPr>
            </w:pPr>
          </w:p>
        </w:tc>
      </w:tr>
      <w:tr w14:paraId="51577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D51C001">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80</w:t>
            </w:r>
          </w:p>
        </w:tc>
        <w:tc>
          <w:tcPr>
            <w:tcW w:w="1245" w:type="dxa"/>
            <w:noWrap w:val="0"/>
            <w:vAlign w:val="center"/>
          </w:tcPr>
          <w:p w14:paraId="55EBB6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测绳</w:t>
            </w:r>
          </w:p>
        </w:tc>
        <w:tc>
          <w:tcPr>
            <w:tcW w:w="5472" w:type="dxa"/>
            <w:noWrap w:val="0"/>
            <w:vAlign w:val="center"/>
          </w:tcPr>
          <w:p w14:paraId="46EF2712">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1.长≥50m，丙纶丝+麻线+钢丝 1.标称测量范围 50m,绳粗≥2.5mm，分度值1m，分度标记清晰,与测绳结合牢固。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2.在正常使用情况下及常温贮存一年以上,其总长度变化≤50mm,总长允差≤300mm。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3.测绳两端装有塑料拉环，与绳结合牢固。</w:t>
            </w:r>
          </w:p>
        </w:tc>
        <w:tc>
          <w:tcPr>
            <w:tcW w:w="603" w:type="dxa"/>
            <w:noWrap w:val="0"/>
            <w:vAlign w:val="center"/>
          </w:tcPr>
          <w:p w14:paraId="6D11C58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600" w:type="dxa"/>
            <w:noWrap w:val="0"/>
            <w:vAlign w:val="center"/>
          </w:tcPr>
          <w:p w14:paraId="042B1E9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条</w:t>
            </w:r>
          </w:p>
        </w:tc>
        <w:tc>
          <w:tcPr>
            <w:tcW w:w="1110" w:type="dxa"/>
            <w:noWrap w:val="0"/>
            <w:vAlign w:val="center"/>
          </w:tcPr>
          <w:p w14:paraId="6F49BF4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29.9</w:t>
            </w:r>
          </w:p>
        </w:tc>
        <w:tc>
          <w:tcPr>
            <w:tcW w:w="635" w:type="dxa"/>
            <w:noWrap w:val="0"/>
            <w:vAlign w:val="center"/>
          </w:tcPr>
          <w:p w14:paraId="74242E05">
            <w:pPr>
              <w:ind w:left="0" w:leftChars="0" w:firstLine="0" w:firstLineChars="0"/>
              <w:jc w:val="center"/>
              <w:rPr>
                <w:rFonts w:hint="eastAsia" w:ascii="宋体" w:hAnsi="宋体" w:cs="宋体"/>
                <w:color w:val="auto"/>
                <w:sz w:val="21"/>
                <w:szCs w:val="21"/>
                <w:highlight w:val="none"/>
                <w:lang w:val="en-US" w:eastAsia="zh-CN"/>
              </w:rPr>
            </w:pPr>
          </w:p>
        </w:tc>
      </w:tr>
      <w:tr w14:paraId="1E37B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59C702C">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81</w:t>
            </w:r>
          </w:p>
        </w:tc>
        <w:tc>
          <w:tcPr>
            <w:tcW w:w="1245" w:type="dxa"/>
            <w:noWrap w:val="0"/>
            <w:vAlign w:val="center"/>
          </w:tcPr>
          <w:p w14:paraId="7F58885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塑料球</w:t>
            </w:r>
          </w:p>
        </w:tc>
        <w:tc>
          <w:tcPr>
            <w:tcW w:w="5472" w:type="dxa"/>
            <w:noWrap w:val="0"/>
            <w:vAlign w:val="center"/>
          </w:tcPr>
          <w:p w14:paraId="233213BC">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1.三种颜色，外径≥20mm，每色 10 个。</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2.球体表面光洁、无形变、配有红色不透明布袋,规格：约170mm×130mm，袋口配松紧绳，可收合自如。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3.产品符合 JY0001-2003《教学仪器设备产品一般质量要求》。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4.标志、说明书、包装、运输、贮存等符合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67E98A9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542E6C9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284EE8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35" w:type="dxa"/>
            <w:noWrap w:val="0"/>
            <w:vAlign w:val="center"/>
          </w:tcPr>
          <w:p w14:paraId="5C678A79">
            <w:pPr>
              <w:ind w:left="0" w:leftChars="0" w:firstLine="0" w:firstLineChars="0"/>
              <w:jc w:val="center"/>
              <w:rPr>
                <w:rFonts w:hint="eastAsia" w:ascii="宋体" w:hAnsi="宋体" w:cs="宋体"/>
                <w:color w:val="auto"/>
                <w:sz w:val="21"/>
                <w:szCs w:val="21"/>
                <w:highlight w:val="none"/>
                <w:lang w:val="en-US" w:eastAsia="zh-CN"/>
              </w:rPr>
            </w:pPr>
          </w:p>
        </w:tc>
      </w:tr>
      <w:tr w14:paraId="61FAD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0F857E9">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82</w:t>
            </w:r>
          </w:p>
        </w:tc>
        <w:tc>
          <w:tcPr>
            <w:tcW w:w="1245" w:type="dxa"/>
            <w:noWrap w:val="0"/>
            <w:vAlign w:val="center"/>
          </w:tcPr>
          <w:p w14:paraId="7F97232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塑料小球</w:t>
            </w:r>
          </w:p>
        </w:tc>
        <w:tc>
          <w:tcPr>
            <w:tcW w:w="5472" w:type="dxa"/>
            <w:noWrap w:val="0"/>
            <w:vAlign w:val="center"/>
          </w:tcPr>
          <w:p w14:paraId="635E3F58">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1.塑料制品，无毒无味，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2.圆形球体，由五种颜色制作，每种 10 个，小球外径为≥6mm。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3.满足小学数学教学需求。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4.符合 GB21746－2008《教学仪器设备安全要求总则》教学仪器设备安全的国家强制性标准的要求。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 xml:space="preserve"> 的有关规定。</w:t>
            </w:r>
          </w:p>
        </w:tc>
        <w:tc>
          <w:tcPr>
            <w:tcW w:w="603" w:type="dxa"/>
            <w:noWrap w:val="0"/>
            <w:vAlign w:val="center"/>
          </w:tcPr>
          <w:p w14:paraId="0712303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73BCA2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2CCBD7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8.4</w:t>
            </w:r>
          </w:p>
        </w:tc>
        <w:tc>
          <w:tcPr>
            <w:tcW w:w="635" w:type="dxa"/>
            <w:noWrap w:val="0"/>
            <w:vAlign w:val="center"/>
          </w:tcPr>
          <w:p w14:paraId="2FA6FCA2">
            <w:pPr>
              <w:ind w:left="0" w:leftChars="0" w:firstLine="0" w:firstLineChars="0"/>
              <w:jc w:val="center"/>
              <w:rPr>
                <w:rFonts w:hint="eastAsia" w:ascii="宋体" w:hAnsi="宋体" w:cs="宋体"/>
                <w:color w:val="auto"/>
                <w:sz w:val="21"/>
                <w:szCs w:val="21"/>
                <w:highlight w:val="none"/>
                <w:lang w:val="en-US" w:eastAsia="zh-CN"/>
              </w:rPr>
            </w:pPr>
          </w:p>
        </w:tc>
      </w:tr>
      <w:tr w14:paraId="24FE7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AC1A885">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83</w:t>
            </w:r>
          </w:p>
        </w:tc>
        <w:tc>
          <w:tcPr>
            <w:tcW w:w="1245" w:type="dxa"/>
            <w:noWrap w:val="0"/>
            <w:vAlign w:val="center"/>
          </w:tcPr>
          <w:p w14:paraId="40E627F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计数片</w:t>
            </w:r>
          </w:p>
        </w:tc>
        <w:tc>
          <w:tcPr>
            <w:tcW w:w="5472" w:type="dxa"/>
            <w:noWrap w:val="0"/>
            <w:vAlign w:val="center"/>
          </w:tcPr>
          <w:p w14:paraId="3500A156">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透明塑料一次成型，圆形不小于φ15mm，正方形不小于 15mm×15mm，正三角形边长不小于</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15mm，各片厚不小于 1mm</w:t>
            </w:r>
          </w:p>
        </w:tc>
        <w:tc>
          <w:tcPr>
            <w:tcW w:w="603" w:type="dxa"/>
            <w:noWrap w:val="0"/>
            <w:vAlign w:val="center"/>
          </w:tcPr>
          <w:p w14:paraId="50AFF17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044125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AAA73C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w:t>
            </w:r>
          </w:p>
        </w:tc>
        <w:tc>
          <w:tcPr>
            <w:tcW w:w="635" w:type="dxa"/>
            <w:noWrap w:val="0"/>
            <w:vAlign w:val="center"/>
          </w:tcPr>
          <w:p w14:paraId="3D0CCB4A">
            <w:pPr>
              <w:ind w:left="0" w:leftChars="0" w:firstLine="0" w:firstLineChars="0"/>
              <w:jc w:val="center"/>
              <w:rPr>
                <w:rFonts w:hint="eastAsia" w:ascii="宋体" w:hAnsi="宋体" w:cs="宋体"/>
                <w:color w:val="auto"/>
                <w:sz w:val="21"/>
                <w:szCs w:val="21"/>
                <w:highlight w:val="none"/>
                <w:lang w:val="en-US" w:eastAsia="zh-CN"/>
              </w:rPr>
            </w:pPr>
          </w:p>
        </w:tc>
      </w:tr>
      <w:tr w14:paraId="54ED0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AA699EC">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w:t>
            </w:r>
          </w:p>
        </w:tc>
        <w:tc>
          <w:tcPr>
            <w:tcW w:w="1245" w:type="dxa"/>
            <w:noWrap w:val="0"/>
            <w:vAlign w:val="center"/>
          </w:tcPr>
          <w:p w14:paraId="1CFCC74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竖式计数器</w:t>
            </w:r>
          </w:p>
        </w:tc>
        <w:tc>
          <w:tcPr>
            <w:tcW w:w="5472" w:type="dxa"/>
            <w:noWrap w:val="0"/>
            <w:vAlign w:val="center"/>
          </w:tcPr>
          <w:p w14:paraId="64F2B2FD">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演示用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1.竖式三档，每档 10 个数珠，珠径为 30 ㎜数珠每档颜色统一，三档各不相同。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2.外形尺寸不小于 260mm×220mm×100mm。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3.外观无明显变形，塑料件表面平整无划痕、溶迹、缩迹、汽泡、夹生现象，边缘不得有毛刺、破边、凸凹不平等缺陷。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4.金属杆直径 4mm，有镀层，表面无锈蚀，且颜色各不相同。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5.组装牢固端正，放置平稳。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261D1DD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2506B10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B1971C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635" w:type="dxa"/>
            <w:noWrap w:val="0"/>
            <w:vAlign w:val="center"/>
          </w:tcPr>
          <w:p w14:paraId="57AD4570">
            <w:pPr>
              <w:ind w:left="0" w:leftChars="0" w:firstLine="0" w:firstLineChars="0"/>
              <w:jc w:val="center"/>
              <w:rPr>
                <w:rFonts w:hint="eastAsia" w:ascii="宋体" w:hAnsi="宋体" w:cs="宋体"/>
                <w:color w:val="auto"/>
                <w:sz w:val="21"/>
                <w:szCs w:val="21"/>
                <w:highlight w:val="none"/>
                <w:lang w:val="en-US" w:eastAsia="zh-CN"/>
              </w:rPr>
            </w:pPr>
          </w:p>
        </w:tc>
      </w:tr>
      <w:tr w14:paraId="4F81C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EA78D6">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85</w:t>
            </w:r>
          </w:p>
        </w:tc>
        <w:tc>
          <w:tcPr>
            <w:tcW w:w="1245" w:type="dxa"/>
            <w:noWrap w:val="0"/>
            <w:vAlign w:val="center"/>
          </w:tcPr>
          <w:p w14:paraId="0479D23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竖式计数器</w:t>
            </w:r>
          </w:p>
        </w:tc>
        <w:tc>
          <w:tcPr>
            <w:tcW w:w="5472" w:type="dxa"/>
            <w:noWrap w:val="0"/>
            <w:vAlign w:val="center"/>
          </w:tcPr>
          <w:p w14:paraId="42854F67">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演示用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1.竖式五档，每档 10 个数珠，珠径为 30 ㎜数珠每档颜色统一，五档各不相同。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2.外形尺寸不小于 260mm×220mm×100mm。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3.外观无明显变形，塑料件表面平整无划痕、溶迹、缩迹、汽泡、夹生现象，边缘不得有毛刺、破边、凸凹不平等缺陷。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4.金属杆直径 4mm，有镀层，表面无锈蚀，且颜色各不相同。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5.组装牢固端正，放置平稳。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46CF113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31D0794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CCC279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45.5</w:t>
            </w:r>
          </w:p>
        </w:tc>
        <w:tc>
          <w:tcPr>
            <w:tcW w:w="635" w:type="dxa"/>
            <w:noWrap w:val="0"/>
            <w:vAlign w:val="center"/>
          </w:tcPr>
          <w:p w14:paraId="00A2E2E0">
            <w:pPr>
              <w:ind w:left="0" w:leftChars="0" w:firstLine="0" w:firstLineChars="0"/>
              <w:jc w:val="center"/>
              <w:rPr>
                <w:rFonts w:hint="eastAsia" w:ascii="宋体" w:hAnsi="宋体" w:cs="宋体"/>
                <w:color w:val="auto"/>
                <w:sz w:val="21"/>
                <w:szCs w:val="21"/>
                <w:highlight w:val="none"/>
                <w:lang w:val="en-US" w:eastAsia="zh-CN"/>
              </w:rPr>
            </w:pPr>
          </w:p>
        </w:tc>
      </w:tr>
      <w:tr w14:paraId="34FB0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DE7190">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86</w:t>
            </w:r>
          </w:p>
        </w:tc>
        <w:tc>
          <w:tcPr>
            <w:tcW w:w="1245" w:type="dxa"/>
            <w:noWrap w:val="0"/>
            <w:vAlign w:val="center"/>
          </w:tcPr>
          <w:p w14:paraId="2E970C0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竖式计数器</w:t>
            </w:r>
          </w:p>
        </w:tc>
        <w:tc>
          <w:tcPr>
            <w:tcW w:w="5472" w:type="dxa"/>
            <w:noWrap w:val="0"/>
            <w:vAlign w:val="center"/>
          </w:tcPr>
          <w:p w14:paraId="542BD952">
            <w:pPr>
              <w:numPr>
                <w:ilvl w:val="0"/>
                <w:numId w:val="6"/>
              </w:num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五档，学生用。外形尺寸不小于 120mm*58mm*100mm。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2.底座用塑料制成，色泽鲜亮，在相应的档位上标有“个、十、百、千、万”字样，字迹清晰、无断线。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3.面板上附九九乘法口诀及基本长度、质量换算公式。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4.金属应有镀层，表面无锈蚀，金属杆直径不小于 2mm。</w:t>
            </w:r>
          </w:p>
          <w:p w14:paraId="4E42BE7D">
            <w:pPr>
              <w:numPr>
                <w:ilvl w:val="0"/>
                <w:numId w:val="0"/>
              </w:numPr>
              <w:spacing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5.珠径不小于 11mm。</w:t>
            </w:r>
          </w:p>
        </w:tc>
        <w:tc>
          <w:tcPr>
            <w:tcW w:w="603" w:type="dxa"/>
            <w:noWrap w:val="0"/>
            <w:vAlign w:val="center"/>
          </w:tcPr>
          <w:p w14:paraId="7BD4093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59FA82D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DE5837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15.6</w:t>
            </w:r>
          </w:p>
        </w:tc>
        <w:tc>
          <w:tcPr>
            <w:tcW w:w="635" w:type="dxa"/>
            <w:noWrap w:val="0"/>
            <w:vAlign w:val="center"/>
          </w:tcPr>
          <w:p w14:paraId="1B6DA2C7">
            <w:pPr>
              <w:ind w:left="0" w:leftChars="0" w:firstLine="0" w:firstLineChars="0"/>
              <w:jc w:val="center"/>
              <w:rPr>
                <w:rFonts w:hint="eastAsia" w:ascii="宋体" w:hAnsi="宋体" w:cs="宋体"/>
                <w:color w:val="auto"/>
                <w:sz w:val="21"/>
                <w:szCs w:val="21"/>
                <w:highlight w:val="none"/>
                <w:lang w:val="en-US" w:eastAsia="zh-CN"/>
              </w:rPr>
            </w:pPr>
          </w:p>
        </w:tc>
      </w:tr>
      <w:tr w14:paraId="76230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B657D51">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87</w:t>
            </w:r>
          </w:p>
        </w:tc>
        <w:tc>
          <w:tcPr>
            <w:tcW w:w="1245" w:type="dxa"/>
            <w:noWrap w:val="0"/>
            <w:vAlign w:val="center"/>
          </w:tcPr>
          <w:p w14:paraId="2B8C9EF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演示算盘</w:t>
            </w:r>
          </w:p>
        </w:tc>
        <w:tc>
          <w:tcPr>
            <w:tcW w:w="5472" w:type="dxa"/>
            <w:noWrap w:val="0"/>
            <w:vAlign w:val="center"/>
          </w:tcPr>
          <w:p w14:paraId="21B902D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1.算盘的位数不少于 17 挡,算珠在中梁上下颗数为上二,下五，全塑料制。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2.外形尺寸不小于 723mm×225mm×36mm，外形美观大气。</w:t>
            </w:r>
          </w:p>
        </w:tc>
        <w:tc>
          <w:tcPr>
            <w:tcW w:w="603" w:type="dxa"/>
            <w:noWrap w:val="0"/>
            <w:vAlign w:val="center"/>
          </w:tcPr>
          <w:p w14:paraId="4E8EA8B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36DCF66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AC8449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97.5</w:t>
            </w:r>
          </w:p>
        </w:tc>
        <w:tc>
          <w:tcPr>
            <w:tcW w:w="635" w:type="dxa"/>
            <w:noWrap w:val="0"/>
            <w:vAlign w:val="center"/>
          </w:tcPr>
          <w:p w14:paraId="1A78AD11">
            <w:pPr>
              <w:ind w:left="0" w:leftChars="0" w:firstLine="0" w:firstLineChars="0"/>
              <w:jc w:val="center"/>
              <w:rPr>
                <w:rFonts w:hint="eastAsia" w:ascii="宋体" w:hAnsi="宋体" w:cs="宋体"/>
                <w:color w:val="auto"/>
                <w:sz w:val="21"/>
                <w:szCs w:val="21"/>
                <w:highlight w:val="none"/>
                <w:lang w:val="en-US" w:eastAsia="zh-CN"/>
              </w:rPr>
            </w:pPr>
          </w:p>
        </w:tc>
      </w:tr>
      <w:tr w14:paraId="146B4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2F0872">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88</w:t>
            </w:r>
          </w:p>
        </w:tc>
        <w:tc>
          <w:tcPr>
            <w:tcW w:w="1245" w:type="dxa"/>
            <w:noWrap w:val="0"/>
            <w:vAlign w:val="center"/>
          </w:tcPr>
          <w:p w14:paraId="0B0BD50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计数棒</w:t>
            </w:r>
          </w:p>
        </w:tc>
        <w:tc>
          <w:tcPr>
            <w:tcW w:w="5472" w:type="dxa"/>
            <w:noWrap w:val="0"/>
            <w:vAlign w:val="center"/>
          </w:tcPr>
          <w:p w14:paraId="7EF056F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1.演示用，每 10 根一捆，10 捆，长度不小于 100CM，外径不小于 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2.产品的颜色为红、黄、蓝、绿、白（基本色），若为塑料材料制品，必须有足够强度。</w:t>
            </w:r>
          </w:p>
        </w:tc>
        <w:tc>
          <w:tcPr>
            <w:tcW w:w="603" w:type="dxa"/>
            <w:noWrap w:val="0"/>
            <w:vAlign w:val="center"/>
          </w:tcPr>
          <w:p w14:paraId="18AA425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1B0E149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7C9FDF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635" w:type="dxa"/>
            <w:noWrap w:val="0"/>
            <w:vAlign w:val="center"/>
          </w:tcPr>
          <w:p w14:paraId="11C44FEC">
            <w:pPr>
              <w:ind w:left="0" w:leftChars="0" w:firstLine="0" w:firstLineChars="0"/>
              <w:jc w:val="center"/>
              <w:rPr>
                <w:rFonts w:hint="eastAsia" w:ascii="宋体" w:hAnsi="宋体" w:cs="宋体"/>
                <w:color w:val="auto"/>
                <w:sz w:val="21"/>
                <w:szCs w:val="21"/>
                <w:highlight w:val="none"/>
                <w:lang w:val="en-US" w:eastAsia="zh-CN"/>
              </w:rPr>
            </w:pPr>
          </w:p>
        </w:tc>
      </w:tr>
      <w:tr w14:paraId="759E9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DF78C38">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89</w:t>
            </w:r>
          </w:p>
        </w:tc>
        <w:tc>
          <w:tcPr>
            <w:tcW w:w="1245" w:type="dxa"/>
            <w:noWrap w:val="0"/>
            <w:vAlign w:val="center"/>
          </w:tcPr>
          <w:p w14:paraId="1A83FBF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计数棍</w:t>
            </w:r>
          </w:p>
        </w:tc>
        <w:tc>
          <w:tcPr>
            <w:tcW w:w="5472" w:type="dxa"/>
            <w:noWrap w:val="0"/>
            <w:vAlign w:val="center"/>
          </w:tcPr>
          <w:p w14:paraId="6CFB315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1.学生用、棒长 100mm，截面直径为φ10±1mm，数量 100 支。</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2、计数棒五种不同颜色，每 20 根一捆，5 捆</w:t>
            </w:r>
          </w:p>
        </w:tc>
        <w:tc>
          <w:tcPr>
            <w:tcW w:w="603" w:type="dxa"/>
            <w:noWrap w:val="0"/>
            <w:vAlign w:val="center"/>
          </w:tcPr>
          <w:p w14:paraId="56C328A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3134F0D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10AB1A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635" w:type="dxa"/>
            <w:noWrap w:val="0"/>
            <w:vAlign w:val="center"/>
          </w:tcPr>
          <w:p w14:paraId="5DC90333">
            <w:pPr>
              <w:ind w:left="0" w:leftChars="0" w:firstLine="0" w:firstLineChars="0"/>
              <w:jc w:val="center"/>
              <w:rPr>
                <w:rFonts w:hint="eastAsia" w:ascii="宋体" w:hAnsi="宋体" w:cs="宋体"/>
                <w:color w:val="auto"/>
                <w:sz w:val="21"/>
                <w:szCs w:val="21"/>
                <w:highlight w:val="none"/>
                <w:lang w:val="en-US" w:eastAsia="zh-CN"/>
              </w:rPr>
            </w:pPr>
          </w:p>
        </w:tc>
      </w:tr>
      <w:tr w14:paraId="1E5E2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496595A">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90</w:t>
            </w:r>
          </w:p>
        </w:tc>
        <w:tc>
          <w:tcPr>
            <w:tcW w:w="1245" w:type="dxa"/>
            <w:noWrap w:val="0"/>
            <w:vAlign w:val="center"/>
          </w:tcPr>
          <w:p w14:paraId="3392FBA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钉板</w:t>
            </w:r>
          </w:p>
        </w:tc>
        <w:tc>
          <w:tcPr>
            <w:tcW w:w="5472" w:type="dxa"/>
            <w:noWrap w:val="0"/>
            <w:vAlign w:val="center"/>
          </w:tcPr>
          <w:p w14:paraId="24D2E7C8">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1.演示钉板不低于 390mm×590mm，重约：1500g，木制胶合板，橡皮筋等组成。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2.利用板上的钉子及橡皮圈来围成各种直线型的几何平面。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3.各种几何平面图形的认识,</w:t>
            </w:r>
          </w:p>
        </w:tc>
        <w:tc>
          <w:tcPr>
            <w:tcW w:w="603" w:type="dxa"/>
            <w:noWrap w:val="0"/>
            <w:vAlign w:val="center"/>
          </w:tcPr>
          <w:p w14:paraId="00BFE73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148E532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0B43E4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62.4</w:t>
            </w:r>
          </w:p>
        </w:tc>
        <w:tc>
          <w:tcPr>
            <w:tcW w:w="635" w:type="dxa"/>
            <w:noWrap w:val="0"/>
            <w:vAlign w:val="center"/>
          </w:tcPr>
          <w:p w14:paraId="7E61407A">
            <w:pPr>
              <w:ind w:left="0" w:leftChars="0" w:firstLine="0" w:firstLineChars="0"/>
              <w:jc w:val="center"/>
              <w:rPr>
                <w:rFonts w:hint="eastAsia" w:ascii="宋体" w:hAnsi="宋体" w:cs="宋体"/>
                <w:color w:val="auto"/>
                <w:sz w:val="21"/>
                <w:szCs w:val="21"/>
                <w:highlight w:val="none"/>
                <w:lang w:val="en-US" w:eastAsia="zh-CN"/>
              </w:rPr>
            </w:pPr>
          </w:p>
        </w:tc>
      </w:tr>
      <w:tr w14:paraId="0C681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991E9E1">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91</w:t>
            </w:r>
          </w:p>
        </w:tc>
        <w:tc>
          <w:tcPr>
            <w:tcW w:w="1245" w:type="dxa"/>
            <w:noWrap w:val="0"/>
            <w:vAlign w:val="center"/>
          </w:tcPr>
          <w:p w14:paraId="692ACE3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钉板</w:t>
            </w:r>
          </w:p>
        </w:tc>
        <w:tc>
          <w:tcPr>
            <w:tcW w:w="5472" w:type="dxa"/>
            <w:noWrap w:val="0"/>
            <w:vAlign w:val="center"/>
          </w:tcPr>
          <w:p w14:paraId="64004E03">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1.透明，不低于 200mm×200mm,材料：PVC,由塑料钉板和两条皮筋组成。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2.钉板的正面有边长 10mm 的方格，钉子的位置在方格的交点。</w:t>
            </w:r>
          </w:p>
        </w:tc>
        <w:tc>
          <w:tcPr>
            <w:tcW w:w="603" w:type="dxa"/>
            <w:noWrap w:val="0"/>
            <w:vAlign w:val="center"/>
          </w:tcPr>
          <w:p w14:paraId="13B0418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286EC91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C65BE8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22.8</w:t>
            </w:r>
          </w:p>
        </w:tc>
        <w:tc>
          <w:tcPr>
            <w:tcW w:w="635" w:type="dxa"/>
            <w:noWrap w:val="0"/>
            <w:vAlign w:val="center"/>
          </w:tcPr>
          <w:p w14:paraId="3A22E3D8">
            <w:pPr>
              <w:ind w:left="0" w:leftChars="0" w:firstLine="0" w:firstLineChars="0"/>
              <w:jc w:val="center"/>
              <w:rPr>
                <w:rFonts w:hint="eastAsia" w:ascii="宋体" w:hAnsi="宋体" w:cs="宋体"/>
                <w:color w:val="auto"/>
                <w:sz w:val="21"/>
                <w:szCs w:val="21"/>
                <w:highlight w:val="none"/>
                <w:lang w:val="en-US" w:eastAsia="zh-CN"/>
              </w:rPr>
            </w:pPr>
          </w:p>
        </w:tc>
      </w:tr>
      <w:tr w14:paraId="31A70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A77C21">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92</w:t>
            </w:r>
          </w:p>
        </w:tc>
        <w:tc>
          <w:tcPr>
            <w:tcW w:w="1245" w:type="dxa"/>
            <w:noWrap w:val="0"/>
            <w:vAlign w:val="center"/>
          </w:tcPr>
          <w:p w14:paraId="21892E9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钉板</w:t>
            </w:r>
          </w:p>
        </w:tc>
        <w:tc>
          <w:tcPr>
            <w:tcW w:w="5472" w:type="dxa"/>
            <w:noWrap w:val="0"/>
            <w:vAlign w:val="center"/>
          </w:tcPr>
          <w:p w14:paraId="6DCD41E6">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1.学生，塑料钉板和两条皮筋组成。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2.钉板的正面有边长约 10mm 的方格，钉子的位置在方格的交点。</w:t>
            </w:r>
          </w:p>
        </w:tc>
        <w:tc>
          <w:tcPr>
            <w:tcW w:w="603" w:type="dxa"/>
            <w:noWrap w:val="0"/>
            <w:vAlign w:val="center"/>
          </w:tcPr>
          <w:p w14:paraId="53311B4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7C4DE46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121557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635" w:type="dxa"/>
            <w:noWrap w:val="0"/>
            <w:vAlign w:val="center"/>
          </w:tcPr>
          <w:p w14:paraId="1A77FE31">
            <w:pPr>
              <w:ind w:left="0" w:leftChars="0" w:firstLine="0" w:firstLineChars="0"/>
              <w:jc w:val="center"/>
              <w:rPr>
                <w:rFonts w:hint="eastAsia" w:ascii="宋体" w:hAnsi="宋体" w:cs="宋体"/>
                <w:color w:val="auto"/>
                <w:sz w:val="21"/>
                <w:szCs w:val="21"/>
                <w:highlight w:val="none"/>
                <w:lang w:val="en-US" w:eastAsia="zh-CN"/>
              </w:rPr>
            </w:pPr>
          </w:p>
        </w:tc>
      </w:tr>
      <w:tr w14:paraId="3C6B0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6942C0">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93</w:t>
            </w:r>
          </w:p>
        </w:tc>
        <w:tc>
          <w:tcPr>
            <w:tcW w:w="1245" w:type="dxa"/>
            <w:noWrap w:val="0"/>
            <w:vAlign w:val="center"/>
          </w:tcPr>
          <w:p w14:paraId="19DA3BB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塑料插接块</w:t>
            </w:r>
          </w:p>
        </w:tc>
        <w:tc>
          <w:tcPr>
            <w:tcW w:w="5472" w:type="dxa"/>
            <w:noWrap w:val="0"/>
            <w:vAlign w:val="center"/>
          </w:tcPr>
          <w:p w14:paraId="7D52BC8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1.塑料压制而成，每块为单位，规格：不少于 10mm×10mm×10mm，五种颜色，每种颜色 20块，共 100 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2.每块其中一面带有插接条，三面带有凹槽。各块之间可互相插接。接口松紧适宜，不易掉落，切块平整，无毛刺。</w:t>
            </w:r>
          </w:p>
        </w:tc>
        <w:tc>
          <w:tcPr>
            <w:tcW w:w="603" w:type="dxa"/>
            <w:noWrap w:val="0"/>
            <w:vAlign w:val="center"/>
          </w:tcPr>
          <w:p w14:paraId="79E5363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568D9F2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C1FE29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22.8</w:t>
            </w:r>
          </w:p>
        </w:tc>
        <w:tc>
          <w:tcPr>
            <w:tcW w:w="635" w:type="dxa"/>
            <w:noWrap w:val="0"/>
            <w:vAlign w:val="center"/>
          </w:tcPr>
          <w:p w14:paraId="0E5E28D3">
            <w:pPr>
              <w:ind w:left="0" w:leftChars="0" w:firstLine="0" w:firstLineChars="0"/>
              <w:jc w:val="center"/>
              <w:rPr>
                <w:rFonts w:hint="eastAsia" w:ascii="宋体" w:hAnsi="宋体" w:cs="宋体"/>
                <w:color w:val="auto"/>
                <w:sz w:val="21"/>
                <w:szCs w:val="21"/>
                <w:highlight w:val="none"/>
                <w:lang w:val="en-US" w:eastAsia="zh-CN"/>
              </w:rPr>
            </w:pPr>
          </w:p>
        </w:tc>
      </w:tr>
      <w:tr w14:paraId="5851F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BF4967">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94</w:t>
            </w:r>
          </w:p>
        </w:tc>
        <w:tc>
          <w:tcPr>
            <w:tcW w:w="1245" w:type="dxa"/>
            <w:noWrap w:val="0"/>
            <w:vAlign w:val="center"/>
          </w:tcPr>
          <w:p w14:paraId="2A6C80B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塑料连接链</w:t>
            </w:r>
          </w:p>
        </w:tc>
        <w:tc>
          <w:tcPr>
            <w:tcW w:w="5472" w:type="dxa"/>
            <w:noWrap w:val="0"/>
            <w:vAlign w:val="center"/>
          </w:tcPr>
          <w:p w14:paraId="3BB8C45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有三种颜色组成，每种演示 10 个，单色连接长度不小于 20CM</w:t>
            </w:r>
          </w:p>
        </w:tc>
        <w:tc>
          <w:tcPr>
            <w:tcW w:w="603" w:type="dxa"/>
            <w:noWrap w:val="0"/>
            <w:vAlign w:val="center"/>
          </w:tcPr>
          <w:p w14:paraId="0BA47EF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917753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E8278F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14.4</w:t>
            </w:r>
          </w:p>
        </w:tc>
        <w:tc>
          <w:tcPr>
            <w:tcW w:w="635" w:type="dxa"/>
            <w:noWrap w:val="0"/>
            <w:vAlign w:val="center"/>
          </w:tcPr>
          <w:p w14:paraId="4635A885">
            <w:pPr>
              <w:ind w:left="0" w:leftChars="0" w:firstLine="0" w:firstLineChars="0"/>
              <w:jc w:val="center"/>
              <w:rPr>
                <w:rFonts w:hint="eastAsia" w:ascii="宋体" w:hAnsi="宋体" w:cs="宋体"/>
                <w:color w:val="auto"/>
                <w:sz w:val="21"/>
                <w:szCs w:val="21"/>
                <w:highlight w:val="none"/>
                <w:lang w:val="en-US" w:eastAsia="zh-CN"/>
              </w:rPr>
            </w:pPr>
          </w:p>
        </w:tc>
      </w:tr>
      <w:tr w14:paraId="6E6FC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7136846">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95</w:t>
            </w:r>
          </w:p>
        </w:tc>
        <w:tc>
          <w:tcPr>
            <w:tcW w:w="1245" w:type="dxa"/>
            <w:noWrap w:val="0"/>
            <w:vAlign w:val="center"/>
          </w:tcPr>
          <w:p w14:paraId="1A7FC6C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数字骰子</w:t>
            </w:r>
          </w:p>
        </w:tc>
        <w:tc>
          <w:tcPr>
            <w:tcW w:w="5472" w:type="dxa"/>
            <w:noWrap w:val="0"/>
            <w:vAlign w:val="center"/>
          </w:tcPr>
          <w:p w14:paraId="07DE9DAD">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不小于 12mm×12mm×12mm，每个侧面上有不同的数字，不少于 3 个</w:t>
            </w:r>
          </w:p>
        </w:tc>
        <w:tc>
          <w:tcPr>
            <w:tcW w:w="603" w:type="dxa"/>
            <w:noWrap w:val="0"/>
            <w:vAlign w:val="center"/>
          </w:tcPr>
          <w:p w14:paraId="664EFF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5F5D975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B29DE7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738B16C2">
            <w:pPr>
              <w:ind w:left="0" w:leftChars="0" w:firstLine="0" w:firstLineChars="0"/>
              <w:jc w:val="center"/>
              <w:rPr>
                <w:rFonts w:hint="eastAsia" w:ascii="宋体" w:hAnsi="宋体" w:cs="宋体"/>
                <w:color w:val="auto"/>
                <w:sz w:val="21"/>
                <w:szCs w:val="21"/>
                <w:highlight w:val="none"/>
                <w:lang w:val="en-US" w:eastAsia="zh-CN"/>
              </w:rPr>
            </w:pPr>
          </w:p>
        </w:tc>
      </w:tr>
      <w:tr w14:paraId="774D9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EAEF20D">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96</w:t>
            </w:r>
          </w:p>
        </w:tc>
        <w:tc>
          <w:tcPr>
            <w:tcW w:w="1245" w:type="dxa"/>
            <w:noWrap w:val="0"/>
            <w:vAlign w:val="center"/>
          </w:tcPr>
          <w:p w14:paraId="6C99808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空白骰子</w:t>
            </w:r>
          </w:p>
        </w:tc>
        <w:tc>
          <w:tcPr>
            <w:tcW w:w="5472" w:type="dxa"/>
            <w:noWrap w:val="0"/>
            <w:vAlign w:val="center"/>
          </w:tcPr>
          <w:p w14:paraId="7E417F21">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不小于 12mm×12mm×12mm，每个侧面光滑，不少于 2 个</w:t>
            </w:r>
          </w:p>
        </w:tc>
        <w:tc>
          <w:tcPr>
            <w:tcW w:w="603" w:type="dxa"/>
            <w:noWrap w:val="0"/>
            <w:vAlign w:val="center"/>
          </w:tcPr>
          <w:p w14:paraId="7C65E60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5F5B221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DE532C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5E3B633C">
            <w:pPr>
              <w:ind w:left="0" w:leftChars="0" w:firstLine="0" w:firstLineChars="0"/>
              <w:jc w:val="center"/>
              <w:rPr>
                <w:rFonts w:hint="eastAsia" w:ascii="宋体" w:hAnsi="宋体" w:cs="宋体"/>
                <w:color w:val="auto"/>
                <w:sz w:val="21"/>
                <w:szCs w:val="21"/>
                <w:highlight w:val="none"/>
                <w:lang w:val="en-US" w:eastAsia="zh-CN"/>
              </w:rPr>
            </w:pPr>
          </w:p>
        </w:tc>
      </w:tr>
      <w:tr w14:paraId="56091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8D221E2">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97</w:t>
            </w:r>
          </w:p>
        </w:tc>
        <w:tc>
          <w:tcPr>
            <w:tcW w:w="1245" w:type="dxa"/>
            <w:noWrap w:val="0"/>
            <w:vAlign w:val="center"/>
          </w:tcPr>
          <w:p w14:paraId="5DB24C6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数字转盘</w:t>
            </w:r>
          </w:p>
        </w:tc>
        <w:tc>
          <w:tcPr>
            <w:tcW w:w="5472" w:type="dxa"/>
            <w:noWrap w:val="0"/>
            <w:vAlign w:val="center"/>
          </w:tcPr>
          <w:p w14:paraId="5165E71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1.由底座、立桩、转盘片、指针组成。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2.转盘片直径为≥137mm，厚≥8mm，整体呈黄色、ABS 工程塑料制成，转盘侧面均匀分布齿凸，增加拨动转盘的摩擦力。转盘表面均匀分为 10 个区，每区上分别印有 0--9 的数字，字体清楚、清晰、美观大方。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3.指针为红色。整个转盘转动灵活。</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60CB133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5C0D9CA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7A35A5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w:t>
            </w:r>
          </w:p>
        </w:tc>
        <w:tc>
          <w:tcPr>
            <w:tcW w:w="635" w:type="dxa"/>
            <w:noWrap w:val="0"/>
            <w:vAlign w:val="center"/>
          </w:tcPr>
          <w:p w14:paraId="23B069D2">
            <w:pPr>
              <w:ind w:left="0" w:leftChars="0" w:firstLine="0" w:firstLineChars="0"/>
              <w:jc w:val="center"/>
              <w:rPr>
                <w:rFonts w:hint="eastAsia" w:ascii="宋体" w:hAnsi="宋体" w:cs="宋体"/>
                <w:color w:val="auto"/>
                <w:sz w:val="21"/>
                <w:szCs w:val="21"/>
                <w:highlight w:val="none"/>
                <w:lang w:val="en-US" w:eastAsia="zh-CN"/>
              </w:rPr>
            </w:pPr>
          </w:p>
        </w:tc>
      </w:tr>
      <w:tr w14:paraId="76306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D63EF46">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98</w:t>
            </w:r>
          </w:p>
        </w:tc>
        <w:tc>
          <w:tcPr>
            <w:tcW w:w="1245" w:type="dxa"/>
            <w:noWrap w:val="0"/>
            <w:vAlign w:val="center"/>
          </w:tcPr>
          <w:p w14:paraId="7642D35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色块转盘</w:t>
            </w:r>
          </w:p>
        </w:tc>
        <w:tc>
          <w:tcPr>
            <w:tcW w:w="5472" w:type="dxa"/>
            <w:noWrap w:val="0"/>
            <w:vAlign w:val="center"/>
          </w:tcPr>
          <w:p w14:paraId="039BAD5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1.由底座、立桩、转盘片、指针组成。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2.转盘片直径为≥137mm，厚≥8mm，整体呈黄色、ABS 工程塑料制成，转盘侧面均匀分布齿凸，增加拨动转盘的摩擦力。转盘表面均匀分为 12 个区，每区涂色，红、蓝、白相间，色泽均匀、鲜艳。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3.指针为红色。整个转盘转动灵活。</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36A87BA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11983B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A2CC12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w:t>
            </w:r>
          </w:p>
        </w:tc>
        <w:tc>
          <w:tcPr>
            <w:tcW w:w="635" w:type="dxa"/>
            <w:noWrap w:val="0"/>
            <w:vAlign w:val="center"/>
          </w:tcPr>
          <w:p w14:paraId="2A440157">
            <w:pPr>
              <w:ind w:left="0" w:leftChars="0" w:firstLine="0" w:firstLineChars="0"/>
              <w:jc w:val="center"/>
              <w:rPr>
                <w:rFonts w:hint="eastAsia" w:ascii="宋体" w:hAnsi="宋体" w:cs="宋体"/>
                <w:color w:val="auto"/>
                <w:sz w:val="21"/>
                <w:szCs w:val="21"/>
                <w:highlight w:val="none"/>
                <w:lang w:val="en-US" w:eastAsia="zh-CN"/>
              </w:rPr>
            </w:pPr>
          </w:p>
        </w:tc>
      </w:tr>
      <w:tr w14:paraId="550D9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876DBF">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99</w:t>
            </w:r>
          </w:p>
        </w:tc>
        <w:tc>
          <w:tcPr>
            <w:tcW w:w="1245" w:type="dxa"/>
            <w:noWrap w:val="0"/>
            <w:vAlign w:val="center"/>
          </w:tcPr>
          <w:p w14:paraId="47F1AFC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空白转盘</w:t>
            </w:r>
          </w:p>
        </w:tc>
        <w:tc>
          <w:tcPr>
            <w:tcW w:w="5472" w:type="dxa"/>
            <w:noWrap w:val="0"/>
            <w:vAlign w:val="center"/>
          </w:tcPr>
          <w:p w14:paraId="4685EB7B">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1.由底座、立桩、转盘片、指针组成。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2.转盘片直径为≥137mm，厚≥8mm，成体呈黄色、ABS 工程塑料制成。转盘表面为白色，可用水笔填写。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3.指针为红色。整个转盘转动灵活。</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48B5D22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999F3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D17D89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w:t>
            </w:r>
          </w:p>
        </w:tc>
        <w:tc>
          <w:tcPr>
            <w:tcW w:w="635" w:type="dxa"/>
            <w:noWrap w:val="0"/>
            <w:vAlign w:val="center"/>
          </w:tcPr>
          <w:p w14:paraId="02C821F7">
            <w:pPr>
              <w:ind w:left="0" w:leftChars="0" w:firstLine="0" w:firstLineChars="0"/>
              <w:jc w:val="center"/>
              <w:rPr>
                <w:rFonts w:hint="eastAsia" w:ascii="宋体" w:hAnsi="宋体" w:cs="宋体"/>
                <w:color w:val="auto"/>
                <w:sz w:val="21"/>
                <w:szCs w:val="21"/>
                <w:highlight w:val="none"/>
                <w:lang w:val="en-US" w:eastAsia="zh-CN"/>
              </w:rPr>
            </w:pPr>
          </w:p>
        </w:tc>
      </w:tr>
      <w:tr w14:paraId="698DA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FBC2FCA">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100</w:t>
            </w:r>
          </w:p>
        </w:tc>
        <w:tc>
          <w:tcPr>
            <w:tcW w:w="1245" w:type="dxa"/>
            <w:noWrap w:val="0"/>
            <w:vAlign w:val="center"/>
          </w:tcPr>
          <w:p w14:paraId="0BEB5E9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几何图形片</w:t>
            </w:r>
          </w:p>
        </w:tc>
        <w:tc>
          <w:tcPr>
            <w:tcW w:w="5472" w:type="dxa"/>
            <w:noWrap w:val="0"/>
            <w:vAlign w:val="center"/>
          </w:tcPr>
          <w:p w14:paraId="053DD3D9">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1.包括正方形 1 片、长方形 1 片、直角三角形 1 片、等边三角形 1 片、平行四边形 1 片、</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梯形 1 片、圆形 1 片，用塑料注塑而成，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2.正方形尺寸：≥40mm×40mm×1.5mm；长方形尺寸：≥60mm×30mm×1.5mm；直角三角形：≥60mm×30mm×65mm；等边三角形边长为 40mm±0.1mm，厚 1.5mm±0.1mm；平行四边形底边长 40mm±0.1mm，厚度 1.5mm±0.1mm；梯形上底：30mm±0.1mm，下底 60mm±0.1mm，厚度 1.5mm±0.1mm；圆形Φ40mm±0.1mm。</w:t>
            </w:r>
          </w:p>
        </w:tc>
        <w:tc>
          <w:tcPr>
            <w:tcW w:w="603" w:type="dxa"/>
            <w:noWrap w:val="0"/>
            <w:vAlign w:val="center"/>
          </w:tcPr>
          <w:p w14:paraId="4ADC426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AAA9D6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396146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8.4</w:t>
            </w:r>
          </w:p>
        </w:tc>
        <w:tc>
          <w:tcPr>
            <w:tcW w:w="635" w:type="dxa"/>
            <w:noWrap w:val="0"/>
            <w:vAlign w:val="center"/>
          </w:tcPr>
          <w:p w14:paraId="26EBF2E6">
            <w:pPr>
              <w:ind w:left="0" w:leftChars="0" w:firstLine="0" w:firstLineChars="0"/>
              <w:jc w:val="center"/>
              <w:rPr>
                <w:rFonts w:hint="eastAsia" w:ascii="宋体" w:hAnsi="宋体" w:cs="宋体"/>
                <w:color w:val="auto"/>
                <w:sz w:val="21"/>
                <w:szCs w:val="21"/>
                <w:highlight w:val="none"/>
                <w:lang w:val="en-US" w:eastAsia="zh-CN"/>
              </w:rPr>
            </w:pPr>
          </w:p>
        </w:tc>
      </w:tr>
      <w:tr w14:paraId="47728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404C60C">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101</w:t>
            </w:r>
          </w:p>
        </w:tc>
        <w:tc>
          <w:tcPr>
            <w:tcW w:w="1245" w:type="dxa"/>
            <w:noWrap w:val="0"/>
            <w:vAlign w:val="center"/>
          </w:tcPr>
          <w:p w14:paraId="2F458D3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集合圈</w:t>
            </w:r>
          </w:p>
        </w:tc>
        <w:tc>
          <w:tcPr>
            <w:tcW w:w="5472" w:type="dxa"/>
            <w:noWrap w:val="0"/>
            <w:vAlign w:val="center"/>
          </w:tcPr>
          <w:p w14:paraId="59616B9B">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折叠式，两种颜色组成，片款不小于 5MM 共 8 片，单圆连接直径不小于 22CM</w:t>
            </w:r>
          </w:p>
        </w:tc>
        <w:tc>
          <w:tcPr>
            <w:tcW w:w="603" w:type="dxa"/>
            <w:noWrap w:val="0"/>
            <w:vAlign w:val="center"/>
          </w:tcPr>
          <w:p w14:paraId="5C46B30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4F42DD9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DDA35C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9.1</w:t>
            </w:r>
          </w:p>
        </w:tc>
        <w:tc>
          <w:tcPr>
            <w:tcW w:w="635" w:type="dxa"/>
            <w:noWrap w:val="0"/>
            <w:vAlign w:val="center"/>
          </w:tcPr>
          <w:p w14:paraId="624832A2">
            <w:pPr>
              <w:ind w:left="0" w:leftChars="0" w:firstLine="0" w:firstLineChars="0"/>
              <w:jc w:val="center"/>
              <w:rPr>
                <w:rFonts w:hint="eastAsia" w:ascii="宋体" w:hAnsi="宋体" w:cs="宋体"/>
                <w:color w:val="auto"/>
                <w:sz w:val="21"/>
                <w:szCs w:val="21"/>
                <w:highlight w:val="none"/>
                <w:lang w:val="en-US" w:eastAsia="zh-CN"/>
              </w:rPr>
            </w:pPr>
          </w:p>
        </w:tc>
      </w:tr>
      <w:tr w14:paraId="093B1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DC614DC">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102</w:t>
            </w:r>
          </w:p>
        </w:tc>
        <w:tc>
          <w:tcPr>
            <w:tcW w:w="1245" w:type="dxa"/>
            <w:noWrap w:val="0"/>
            <w:vAlign w:val="center"/>
          </w:tcPr>
          <w:p w14:paraId="5156E75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计数多层积木</w:t>
            </w:r>
          </w:p>
        </w:tc>
        <w:tc>
          <w:tcPr>
            <w:tcW w:w="5472" w:type="dxa"/>
            <w:noWrap w:val="0"/>
            <w:vAlign w:val="center"/>
          </w:tcPr>
          <w:p w14:paraId="77B53BA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由≥10mm×10mm×10mm 的 10 个、≥100mm×10mm×10mm 的 9 个、≥100mm×100mm×10mm 的9 块三种规格的积木块组成。</w:t>
            </w:r>
          </w:p>
        </w:tc>
        <w:tc>
          <w:tcPr>
            <w:tcW w:w="603" w:type="dxa"/>
            <w:noWrap w:val="0"/>
            <w:vAlign w:val="center"/>
          </w:tcPr>
          <w:p w14:paraId="23D63E0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35F9BEC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E3E755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60.45</w:t>
            </w:r>
          </w:p>
        </w:tc>
        <w:tc>
          <w:tcPr>
            <w:tcW w:w="635" w:type="dxa"/>
            <w:noWrap w:val="0"/>
            <w:vAlign w:val="center"/>
          </w:tcPr>
          <w:p w14:paraId="0EFC5B00">
            <w:pPr>
              <w:ind w:left="0" w:leftChars="0" w:firstLine="0" w:firstLineChars="0"/>
              <w:jc w:val="center"/>
              <w:rPr>
                <w:rFonts w:hint="eastAsia" w:ascii="宋体" w:hAnsi="宋体" w:cs="宋体"/>
                <w:color w:val="auto"/>
                <w:sz w:val="21"/>
                <w:szCs w:val="21"/>
                <w:highlight w:val="none"/>
                <w:lang w:val="en-US" w:eastAsia="zh-CN"/>
              </w:rPr>
            </w:pPr>
          </w:p>
        </w:tc>
      </w:tr>
      <w:tr w14:paraId="2F647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C0E296">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103</w:t>
            </w:r>
          </w:p>
        </w:tc>
        <w:tc>
          <w:tcPr>
            <w:tcW w:w="1245" w:type="dxa"/>
            <w:noWrap w:val="0"/>
            <w:vAlign w:val="center"/>
          </w:tcPr>
          <w:p w14:paraId="43B7F68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七巧板</w:t>
            </w:r>
          </w:p>
        </w:tc>
        <w:tc>
          <w:tcPr>
            <w:tcW w:w="5472" w:type="dxa"/>
            <w:noWrap w:val="0"/>
            <w:vAlign w:val="center"/>
          </w:tcPr>
          <w:p w14:paraId="1131C75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1.七种颜色，所拼成的正方形尺寸为≥83mm×83mm，厚度≥2mm。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2.塑料盒子尺寸：≥60*60*15mm。</w:t>
            </w:r>
          </w:p>
        </w:tc>
        <w:tc>
          <w:tcPr>
            <w:tcW w:w="603" w:type="dxa"/>
            <w:noWrap w:val="0"/>
            <w:vAlign w:val="center"/>
          </w:tcPr>
          <w:p w14:paraId="3BAC851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6C55E66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1B3DDF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9.6</w:t>
            </w:r>
          </w:p>
        </w:tc>
        <w:tc>
          <w:tcPr>
            <w:tcW w:w="635" w:type="dxa"/>
            <w:noWrap w:val="0"/>
            <w:vAlign w:val="center"/>
          </w:tcPr>
          <w:p w14:paraId="0DC23DBA">
            <w:pPr>
              <w:ind w:left="0" w:leftChars="0" w:firstLine="0" w:firstLineChars="0"/>
              <w:jc w:val="center"/>
              <w:rPr>
                <w:rFonts w:hint="eastAsia" w:ascii="宋体" w:hAnsi="宋体" w:cs="宋体"/>
                <w:color w:val="auto"/>
                <w:sz w:val="21"/>
                <w:szCs w:val="21"/>
                <w:highlight w:val="none"/>
                <w:lang w:val="en-US" w:eastAsia="zh-CN"/>
              </w:rPr>
            </w:pPr>
          </w:p>
        </w:tc>
      </w:tr>
      <w:tr w14:paraId="5459B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0A844F5">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104</w:t>
            </w:r>
          </w:p>
        </w:tc>
        <w:tc>
          <w:tcPr>
            <w:tcW w:w="1245" w:type="dxa"/>
            <w:noWrap w:val="0"/>
            <w:vAlign w:val="center"/>
          </w:tcPr>
          <w:p w14:paraId="4AF3181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角操作材料</w:t>
            </w:r>
          </w:p>
        </w:tc>
        <w:tc>
          <w:tcPr>
            <w:tcW w:w="5472" w:type="dxa"/>
            <w:noWrap w:val="0"/>
            <w:vAlign w:val="center"/>
          </w:tcPr>
          <w:p w14:paraId="5F239EA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1.仪器由三根塑料条和量角器组成。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2.三根塑料条可通过钉孔连接组合成各种类似的三角形。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3.塑料条长约 100mm，宽约 7mm，厚约 2mm。</w:t>
            </w:r>
          </w:p>
        </w:tc>
        <w:tc>
          <w:tcPr>
            <w:tcW w:w="603" w:type="dxa"/>
            <w:noWrap w:val="0"/>
            <w:vAlign w:val="center"/>
          </w:tcPr>
          <w:p w14:paraId="01DC76E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601647D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603F6D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428FF0A5">
            <w:pPr>
              <w:ind w:left="0" w:leftChars="0" w:firstLine="0" w:firstLineChars="0"/>
              <w:jc w:val="center"/>
              <w:rPr>
                <w:rFonts w:hint="eastAsia" w:ascii="宋体" w:hAnsi="宋体" w:cs="宋体"/>
                <w:color w:val="auto"/>
                <w:sz w:val="21"/>
                <w:szCs w:val="21"/>
                <w:highlight w:val="none"/>
                <w:lang w:val="en-US" w:eastAsia="zh-CN"/>
              </w:rPr>
            </w:pPr>
          </w:p>
        </w:tc>
      </w:tr>
      <w:tr w14:paraId="05435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858447A">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105</w:t>
            </w:r>
          </w:p>
        </w:tc>
        <w:tc>
          <w:tcPr>
            <w:tcW w:w="1245" w:type="dxa"/>
            <w:noWrap w:val="0"/>
            <w:vAlign w:val="center"/>
          </w:tcPr>
          <w:p w14:paraId="052E815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图形变换操作材料</w:t>
            </w:r>
          </w:p>
        </w:tc>
        <w:tc>
          <w:tcPr>
            <w:tcW w:w="5472" w:type="dxa"/>
            <w:noWrap w:val="0"/>
            <w:vAlign w:val="center"/>
          </w:tcPr>
          <w:p w14:paraId="3505BF67">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1.由 PVC 透明胶片不少于 110MM*110MM1 张、平行四边形 2 片、直角梯形 2 片、直角三角形2 片组成。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2.平行四边形尺寸：底边长约 45mm，厚约 1.5mm；直角梯形：(上底 30mm+上底 60mm）×高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30mm±1mm，厚度：约 1.5mm；三角形尺寸：不少于 60mm×30×6.5mm，厚度约 1.5mm；可演示平移、旋转、对称等内容。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3.产品选用聚丙稀全新塑料注塑而成，无毒、环保、性能好。</w:t>
            </w:r>
          </w:p>
        </w:tc>
        <w:tc>
          <w:tcPr>
            <w:tcW w:w="603" w:type="dxa"/>
            <w:noWrap w:val="0"/>
            <w:vAlign w:val="center"/>
          </w:tcPr>
          <w:p w14:paraId="5A1E58A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2852619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7E4AD9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7.2</w:t>
            </w:r>
          </w:p>
        </w:tc>
        <w:tc>
          <w:tcPr>
            <w:tcW w:w="635" w:type="dxa"/>
            <w:noWrap w:val="0"/>
            <w:vAlign w:val="center"/>
          </w:tcPr>
          <w:p w14:paraId="2BB39EBF">
            <w:pPr>
              <w:ind w:left="0" w:leftChars="0" w:firstLine="0" w:firstLineChars="0"/>
              <w:jc w:val="center"/>
              <w:rPr>
                <w:rFonts w:hint="eastAsia" w:ascii="宋体" w:hAnsi="宋体" w:cs="宋体"/>
                <w:color w:val="auto"/>
                <w:sz w:val="21"/>
                <w:szCs w:val="21"/>
                <w:highlight w:val="none"/>
                <w:lang w:val="en-US" w:eastAsia="zh-CN"/>
              </w:rPr>
            </w:pPr>
          </w:p>
        </w:tc>
      </w:tr>
      <w:tr w14:paraId="5DD48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88EBE3C">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106</w:t>
            </w:r>
          </w:p>
        </w:tc>
        <w:tc>
          <w:tcPr>
            <w:tcW w:w="1245" w:type="dxa"/>
            <w:noWrap w:val="0"/>
            <w:vAlign w:val="center"/>
          </w:tcPr>
          <w:p w14:paraId="343A900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面积测量器</w:t>
            </w:r>
          </w:p>
        </w:tc>
        <w:tc>
          <w:tcPr>
            <w:tcW w:w="5472" w:type="dxa"/>
            <w:noWrap w:val="0"/>
            <w:vAlign w:val="center"/>
          </w:tcPr>
          <w:p w14:paraId="2BFCD70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透明 PVC 胶片，不小于 100mm×100mm</w:t>
            </w:r>
          </w:p>
        </w:tc>
        <w:tc>
          <w:tcPr>
            <w:tcW w:w="603" w:type="dxa"/>
            <w:noWrap w:val="0"/>
            <w:vAlign w:val="center"/>
          </w:tcPr>
          <w:p w14:paraId="3734C6F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36C15B9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672A86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7706044C">
            <w:pPr>
              <w:ind w:left="0" w:leftChars="0" w:firstLine="0" w:firstLineChars="0"/>
              <w:jc w:val="center"/>
              <w:rPr>
                <w:rFonts w:hint="eastAsia" w:ascii="宋体" w:hAnsi="宋体" w:cs="宋体"/>
                <w:color w:val="auto"/>
                <w:sz w:val="21"/>
                <w:szCs w:val="21"/>
                <w:highlight w:val="none"/>
                <w:lang w:val="en-US" w:eastAsia="zh-CN"/>
              </w:rPr>
            </w:pPr>
          </w:p>
        </w:tc>
      </w:tr>
      <w:tr w14:paraId="66106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AFC2ADD">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107</w:t>
            </w:r>
          </w:p>
        </w:tc>
        <w:tc>
          <w:tcPr>
            <w:tcW w:w="1245" w:type="dxa"/>
            <w:noWrap w:val="0"/>
            <w:vAlign w:val="center"/>
          </w:tcPr>
          <w:p w14:paraId="32BCC4D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探索几何图形面积计算公式材料</w:t>
            </w:r>
          </w:p>
        </w:tc>
        <w:tc>
          <w:tcPr>
            <w:tcW w:w="5472" w:type="dxa"/>
            <w:noWrap w:val="0"/>
            <w:vAlign w:val="center"/>
          </w:tcPr>
          <w:p w14:paraId="54501F41">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1.仪器由各有色图形透明塑料片及面积器等组成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2.有色图形透明塑料片由正方形 1 块、长方形 1 块、等边三角形 1 块、直角三角形 1 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平行四边形 1 块、梯形 1 块、圆形（由 2 个 8 等分扇形组合而成，也可穿插组合成类平行四边形）1 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3.面积器测量范围为 100mm×100mm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4.正方形外形尺寸为 40mm×40mm；长方形外形尺寸为 60mm×30mm；等边三角形边长为 40mm；直角三角形两直角边分别为 30mm×60mm；平行四边形尺寸底边 45mm，高 30mm；梯形下底 60mm，上底 30mm，高 30mm；组合后的圆形直径为 40mm。厚度为 1.5mm。</w:t>
            </w:r>
          </w:p>
        </w:tc>
        <w:tc>
          <w:tcPr>
            <w:tcW w:w="603" w:type="dxa"/>
            <w:noWrap w:val="0"/>
            <w:vAlign w:val="center"/>
          </w:tcPr>
          <w:p w14:paraId="059CE82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48788A1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927DC7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9.6</w:t>
            </w:r>
          </w:p>
        </w:tc>
        <w:tc>
          <w:tcPr>
            <w:tcW w:w="635" w:type="dxa"/>
            <w:noWrap w:val="0"/>
            <w:vAlign w:val="center"/>
          </w:tcPr>
          <w:p w14:paraId="252FC48D">
            <w:pPr>
              <w:ind w:left="0" w:leftChars="0" w:firstLine="0" w:firstLineChars="0"/>
              <w:jc w:val="center"/>
              <w:rPr>
                <w:rFonts w:hint="eastAsia" w:ascii="宋体" w:hAnsi="宋体" w:cs="宋体"/>
                <w:color w:val="auto"/>
                <w:sz w:val="21"/>
                <w:szCs w:val="21"/>
                <w:highlight w:val="none"/>
                <w:lang w:val="en-US" w:eastAsia="zh-CN"/>
              </w:rPr>
            </w:pPr>
          </w:p>
        </w:tc>
      </w:tr>
      <w:tr w14:paraId="0C054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2C0D10">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108</w:t>
            </w:r>
          </w:p>
        </w:tc>
        <w:tc>
          <w:tcPr>
            <w:tcW w:w="1245" w:type="dxa"/>
            <w:noWrap w:val="0"/>
            <w:vAlign w:val="center"/>
          </w:tcPr>
          <w:p w14:paraId="10C7B68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探索几何形体体积计算公式材料</w:t>
            </w:r>
          </w:p>
        </w:tc>
        <w:tc>
          <w:tcPr>
            <w:tcW w:w="5472" w:type="dxa"/>
            <w:noWrap w:val="0"/>
            <w:vAlign w:val="center"/>
          </w:tcPr>
          <w:p w14:paraId="4D03924C">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1.仪器为塑料制，由圆锥体、圆柱体、厘米立方块、圆柱形（由 2 个 8 等分扇形组合而成）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2.圆锥体底径 60mm，高 60mm，圆柱形直径 60mm，高 60mm，厘米立方块 8 个，圆柱形（由 2个 8 等分扇形组合而成）高 30mm，直径 30mm。</w:t>
            </w:r>
          </w:p>
        </w:tc>
        <w:tc>
          <w:tcPr>
            <w:tcW w:w="603" w:type="dxa"/>
            <w:noWrap w:val="0"/>
            <w:vAlign w:val="center"/>
          </w:tcPr>
          <w:p w14:paraId="560C824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61C50C9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AF5795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w:t>
            </w:r>
          </w:p>
        </w:tc>
        <w:tc>
          <w:tcPr>
            <w:tcW w:w="635" w:type="dxa"/>
            <w:noWrap w:val="0"/>
            <w:vAlign w:val="center"/>
          </w:tcPr>
          <w:p w14:paraId="4DAF172D">
            <w:pPr>
              <w:ind w:left="0" w:leftChars="0" w:firstLine="0" w:firstLineChars="0"/>
              <w:jc w:val="center"/>
              <w:rPr>
                <w:rFonts w:hint="eastAsia" w:ascii="宋体" w:hAnsi="宋体" w:cs="宋体"/>
                <w:color w:val="auto"/>
                <w:sz w:val="21"/>
                <w:szCs w:val="21"/>
                <w:highlight w:val="none"/>
                <w:lang w:val="en-US" w:eastAsia="zh-CN"/>
              </w:rPr>
            </w:pPr>
          </w:p>
        </w:tc>
      </w:tr>
      <w:tr w14:paraId="4CA09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BA35B97">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109</w:t>
            </w:r>
          </w:p>
        </w:tc>
        <w:tc>
          <w:tcPr>
            <w:tcW w:w="1245" w:type="dxa"/>
            <w:noWrap w:val="0"/>
            <w:vAlign w:val="center"/>
          </w:tcPr>
          <w:p w14:paraId="5A2DB2C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口算练习器</w:t>
            </w:r>
          </w:p>
        </w:tc>
        <w:tc>
          <w:tcPr>
            <w:tcW w:w="5472" w:type="dxa"/>
            <w:noWrap w:val="0"/>
            <w:vAlign w:val="center"/>
          </w:tcPr>
          <w:p w14:paraId="4D23ECE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1.插卡式，产品由塑料板、支架、数字卡片及符号组装</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2.塑料板尺寸 32CM*21CM*25CM,塑料板有八个卡槽，卡片尺寸 4CM,整体高度不小于 23CM，可做分解计算。</w:t>
            </w:r>
          </w:p>
        </w:tc>
        <w:tc>
          <w:tcPr>
            <w:tcW w:w="603" w:type="dxa"/>
            <w:noWrap w:val="0"/>
            <w:vAlign w:val="center"/>
          </w:tcPr>
          <w:p w14:paraId="145ED9C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5845359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D57B96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45.5</w:t>
            </w:r>
          </w:p>
        </w:tc>
        <w:tc>
          <w:tcPr>
            <w:tcW w:w="635" w:type="dxa"/>
            <w:noWrap w:val="0"/>
            <w:vAlign w:val="center"/>
          </w:tcPr>
          <w:p w14:paraId="5DC75AA9">
            <w:pPr>
              <w:ind w:left="0" w:leftChars="0" w:firstLine="0" w:firstLineChars="0"/>
              <w:jc w:val="center"/>
              <w:rPr>
                <w:rFonts w:hint="eastAsia" w:ascii="宋体" w:hAnsi="宋体" w:cs="宋体"/>
                <w:color w:val="auto"/>
                <w:sz w:val="21"/>
                <w:szCs w:val="21"/>
                <w:highlight w:val="none"/>
                <w:lang w:val="en-US" w:eastAsia="zh-CN"/>
              </w:rPr>
            </w:pPr>
          </w:p>
        </w:tc>
      </w:tr>
      <w:tr w14:paraId="43DB7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F5C782C">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110</w:t>
            </w:r>
          </w:p>
        </w:tc>
        <w:tc>
          <w:tcPr>
            <w:tcW w:w="1245" w:type="dxa"/>
            <w:noWrap w:val="0"/>
            <w:vAlign w:val="center"/>
          </w:tcPr>
          <w:p w14:paraId="5E8069E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分数片</w:t>
            </w:r>
          </w:p>
        </w:tc>
        <w:tc>
          <w:tcPr>
            <w:tcW w:w="5472" w:type="dxa"/>
            <w:noWrap w:val="0"/>
            <w:vAlign w:val="center"/>
          </w:tcPr>
          <w:p w14:paraId="483FCEB1">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透明 PVC 片，印刷不同颜色，直径约 60mm，产品由整圆、1/2、1/3…1/12 等 12 个圆片组成。</w:t>
            </w:r>
          </w:p>
        </w:tc>
        <w:tc>
          <w:tcPr>
            <w:tcW w:w="603" w:type="dxa"/>
            <w:noWrap w:val="0"/>
            <w:vAlign w:val="center"/>
          </w:tcPr>
          <w:p w14:paraId="33379AC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2F36E82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2307FE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0A3A0658">
            <w:pPr>
              <w:ind w:left="0" w:leftChars="0" w:firstLine="0" w:firstLineChars="0"/>
              <w:jc w:val="center"/>
              <w:rPr>
                <w:rFonts w:hint="eastAsia" w:ascii="宋体" w:hAnsi="宋体" w:cs="宋体"/>
                <w:color w:val="auto"/>
                <w:sz w:val="21"/>
                <w:szCs w:val="21"/>
                <w:highlight w:val="none"/>
                <w:lang w:val="en-US" w:eastAsia="zh-CN"/>
              </w:rPr>
            </w:pPr>
          </w:p>
        </w:tc>
      </w:tr>
      <w:tr w14:paraId="12D11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EB35B9">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111</w:t>
            </w:r>
          </w:p>
        </w:tc>
        <w:tc>
          <w:tcPr>
            <w:tcW w:w="1245" w:type="dxa"/>
            <w:noWrap w:val="0"/>
            <w:vAlign w:val="center"/>
          </w:tcPr>
          <w:p w14:paraId="1CF2D8A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计数彩条</w:t>
            </w:r>
          </w:p>
        </w:tc>
        <w:tc>
          <w:tcPr>
            <w:tcW w:w="5472" w:type="dxa"/>
            <w:noWrap w:val="0"/>
            <w:vAlign w:val="center"/>
          </w:tcPr>
          <w:p w14:paraId="0C31EAC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由三种不同颜色尺寸不小于 18mm×75mm 的塑料条组成，厚度不小于 0.1mm，每种颜色不少于 10 条。</w:t>
            </w:r>
          </w:p>
        </w:tc>
        <w:tc>
          <w:tcPr>
            <w:tcW w:w="603" w:type="dxa"/>
            <w:noWrap w:val="0"/>
            <w:vAlign w:val="center"/>
          </w:tcPr>
          <w:p w14:paraId="4A7C8CD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2DB48F2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3C620F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w:t>
            </w:r>
          </w:p>
        </w:tc>
        <w:tc>
          <w:tcPr>
            <w:tcW w:w="635" w:type="dxa"/>
            <w:noWrap w:val="0"/>
            <w:vAlign w:val="center"/>
          </w:tcPr>
          <w:p w14:paraId="2A4305EB">
            <w:pPr>
              <w:ind w:left="0" w:leftChars="0" w:firstLine="0" w:firstLineChars="0"/>
              <w:jc w:val="center"/>
              <w:rPr>
                <w:rFonts w:hint="eastAsia" w:ascii="宋体" w:hAnsi="宋体" w:cs="宋体"/>
                <w:color w:val="auto"/>
                <w:sz w:val="21"/>
                <w:szCs w:val="21"/>
                <w:highlight w:val="none"/>
                <w:lang w:val="en-US" w:eastAsia="zh-CN"/>
              </w:rPr>
            </w:pPr>
          </w:p>
        </w:tc>
      </w:tr>
      <w:tr w14:paraId="15109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B241E80">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112</w:t>
            </w:r>
          </w:p>
        </w:tc>
        <w:tc>
          <w:tcPr>
            <w:tcW w:w="1245" w:type="dxa"/>
            <w:noWrap w:val="0"/>
            <w:vAlign w:val="center"/>
          </w:tcPr>
          <w:p w14:paraId="5EB3A9C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塑料量杯</w:t>
            </w:r>
          </w:p>
        </w:tc>
        <w:tc>
          <w:tcPr>
            <w:tcW w:w="5472" w:type="dxa"/>
            <w:noWrap w:val="0"/>
            <w:vAlign w:val="center"/>
          </w:tcPr>
          <w:p w14:paraId="2A0C9C02">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1.半透明优质塑料制品，呈圆柱形，刻度值 ml，杯量值应为 2000mL，最小分度值应为 50ml，带手柄，成型良好、壁厚薄均匀、光滑，刻度线和字迹清晰、量值准确。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2.外形尺寸：≥Ф124*225mm。符合 JY0001－2003《教学仪器一般质量要求》的有关规定。</w:t>
            </w:r>
          </w:p>
        </w:tc>
        <w:tc>
          <w:tcPr>
            <w:tcW w:w="603" w:type="dxa"/>
            <w:noWrap w:val="0"/>
            <w:vAlign w:val="center"/>
          </w:tcPr>
          <w:p w14:paraId="7DDEC5F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03F1BBD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D40068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35" w:type="dxa"/>
            <w:noWrap w:val="0"/>
            <w:vAlign w:val="center"/>
          </w:tcPr>
          <w:p w14:paraId="2CC9E3C4">
            <w:pPr>
              <w:ind w:left="0" w:leftChars="0" w:firstLine="0" w:firstLineChars="0"/>
              <w:jc w:val="center"/>
              <w:rPr>
                <w:rFonts w:hint="eastAsia" w:ascii="宋体" w:hAnsi="宋体" w:cs="宋体"/>
                <w:color w:val="auto"/>
                <w:sz w:val="21"/>
                <w:szCs w:val="21"/>
                <w:highlight w:val="none"/>
                <w:lang w:val="en-US" w:eastAsia="zh-CN"/>
              </w:rPr>
            </w:pPr>
          </w:p>
        </w:tc>
      </w:tr>
      <w:tr w14:paraId="62A3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992AFA4">
            <w:pPr>
              <w:numPr>
                <w:ilvl w:val="0"/>
                <w:numId w:val="0"/>
              </w:numPr>
              <w:ind w:lef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113</w:t>
            </w:r>
          </w:p>
        </w:tc>
        <w:tc>
          <w:tcPr>
            <w:tcW w:w="1245" w:type="dxa"/>
            <w:noWrap w:val="0"/>
            <w:vAlign w:val="center"/>
          </w:tcPr>
          <w:p w14:paraId="73CD276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塑料量杯</w:t>
            </w:r>
          </w:p>
        </w:tc>
        <w:tc>
          <w:tcPr>
            <w:tcW w:w="5472" w:type="dxa"/>
            <w:noWrap w:val="0"/>
            <w:vAlign w:val="center"/>
          </w:tcPr>
          <w:p w14:paraId="564E480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1.半透明优质塑料制品，呈六棱柱形，刻度值 ml，杯量值应为 1500mL，最小分度值应为 50ml，带手柄，成型良好、壁厚薄均匀、光滑，刻度线和字迹清晰、量值准确。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2.外形尺寸：Ф110*165mm。符合 JY0001－2003《教学仪器一般质量要求》的有关规定。</w:t>
            </w:r>
          </w:p>
        </w:tc>
        <w:tc>
          <w:tcPr>
            <w:tcW w:w="603" w:type="dxa"/>
            <w:noWrap w:val="0"/>
            <w:vAlign w:val="center"/>
          </w:tcPr>
          <w:p w14:paraId="5FE90C4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0C071DC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DDE17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w:t>
            </w:r>
          </w:p>
        </w:tc>
        <w:tc>
          <w:tcPr>
            <w:tcW w:w="635" w:type="dxa"/>
            <w:noWrap w:val="0"/>
            <w:vAlign w:val="center"/>
          </w:tcPr>
          <w:p w14:paraId="78FAFFAD">
            <w:pPr>
              <w:ind w:left="0" w:leftChars="0" w:firstLine="0" w:firstLineChars="0"/>
              <w:jc w:val="center"/>
              <w:rPr>
                <w:rFonts w:hint="eastAsia" w:ascii="宋体" w:hAnsi="宋体" w:cs="宋体"/>
                <w:color w:val="auto"/>
                <w:sz w:val="21"/>
                <w:szCs w:val="21"/>
                <w:highlight w:val="none"/>
                <w:lang w:val="en-US" w:eastAsia="zh-CN"/>
              </w:rPr>
            </w:pPr>
          </w:p>
        </w:tc>
      </w:tr>
      <w:tr w14:paraId="4281B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A079582">
            <w:pPr>
              <w:numPr>
                <w:ilvl w:val="0"/>
                <w:numId w:val="0"/>
              </w:numPr>
              <w:ind w:lef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114</w:t>
            </w:r>
          </w:p>
        </w:tc>
        <w:tc>
          <w:tcPr>
            <w:tcW w:w="1245" w:type="dxa"/>
            <w:noWrap w:val="0"/>
            <w:vAlign w:val="center"/>
          </w:tcPr>
          <w:p w14:paraId="6675BD3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塑料量杯</w:t>
            </w:r>
          </w:p>
        </w:tc>
        <w:tc>
          <w:tcPr>
            <w:tcW w:w="5472" w:type="dxa"/>
            <w:noWrap w:val="0"/>
            <w:vAlign w:val="center"/>
          </w:tcPr>
          <w:p w14:paraId="3CC6FBC3">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1.半透明优质塑料制品，呈圆柱形,带手柄，刻度值 ml，杯量值应为 1000mL，最小分度值应为 50ml，带手柄，成型良好、壁厚薄均匀、光滑，刻度线和字迹清晰、量值准确。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2.外形尺寸：≥Ф112*142mm。符合 JY0001－2003《教学仪器一般质量要求》的有关规定。</w:t>
            </w:r>
          </w:p>
        </w:tc>
        <w:tc>
          <w:tcPr>
            <w:tcW w:w="603" w:type="dxa"/>
            <w:noWrap w:val="0"/>
            <w:vAlign w:val="center"/>
          </w:tcPr>
          <w:p w14:paraId="276231E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B41585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43BF88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14.4</w:t>
            </w:r>
          </w:p>
        </w:tc>
        <w:tc>
          <w:tcPr>
            <w:tcW w:w="635" w:type="dxa"/>
            <w:noWrap w:val="0"/>
            <w:vAlign w:val="center"/>
          </w:tcPr>
          <w:p w14:paraId="5C850FEB">
            <w:pPr>
              <w:ind w:left="0" w:leftChars="0" w:firstLine="0" w:firstLineChars="0"/>
              <w:jc w:val="center"/>
              <w:rPr>
                <w:rFonts w:hint="eastAsia" w:ascii="宋体" w:hAnsi="宋体" w:cs="宋体"/>
                <w:color w:val="auto"/>
                <w:sz w:val="21"/>
                <w:szCs w:val="21"/>
                <w:highlight w:val="none"/>
                <w:lang w:val="en-US" w:eastAsia="zh-CN"/>
              </w:rPr>
            </w:pPr>
          </w:p>
        </w:tc>
      </w:tr>
      <w:tr w14:paraId="2E892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00960FA">
            <w:pPr>
              <w:numPr>
                <w:ilvl w:val="0"/>
                <w:numId w:val="0"/>
              </w:numPr>
              <w:ind w:leftChars="0"/>
              <w:jc w:val="center"/>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115</w:t>
            </w:r>
          </w:p>
        </w:tc>
        <w:tc>
          <w:tcPr>
            <w:tcW w:w="1245" w:type="dxa"/>
            <w:noWrap w:val="0"/>
            <w:vAlign w:val="center"/>
          </w:tcPr>
          <w:p w14:paraId="7A98E2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钟表模型</w:t>
            </w:r>
          </w:p>
        </w:tc>
        <w:tc>
          <w:tcPr>
            <w:tcW w:w="5472" w:type="dxa"/>
            <w:noWrap w:val="0"/>
            <w:vAlign w:val="center"/>
          </w:tcPr>
          <w:p w14:paraId="0DF55073">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1.用于小学数学和幼儿教学“时、分、秒”的认识、读法及加减演示。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2.规格：表盘的直径为≥260mm，整体高约 310mm。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3.钟面模具为座式，由基座、表盘、指针（两针）组成，盘面印有 12 时的整点标记和分钟标记。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4.钟表模型表盘和盘底采用工程塑料一次性注塑而成。整体为黄色，指针为红色。</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5.有表盘、指针（两针）、非联动装置各部分，表盘直径不低于 300mm。12 时表示。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6.符合国家教委标准《钟面模型》JY0061-91 的要求。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287573B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6E983A5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464BF0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34.8</w:t>
            </w:r>
          </w:p>
        </w:tc>
        <w:tc>
          <w:tcPr>
            <w:tcW w:w="635" w:type="dxa"/>
            <w:noWrap w:val="0"/>
            <w:vAlign w:val="center"/>
          </w:tcPr>
          <w:p w14:paraId="316EB153">
            <w:pPr>
              <w:ind w:left="0" w:leftChars="0" w:firstLine="0" w:firstLineChars="0"/>
              <w:jc w:val="center"/>
              <w:rPr>
                <w:rFonts w:hint="eastAsia" w:ascii="宋体" w:hAnsi="宋体" w:cs="宋体"/>
                <w:color w:val="auto"/>
                <w:sz w:val="21"/>
                <w:szCs w:val="21"/>
                <w:highlight w:val="none"/>
                <w:lang w:val="en-US" w:eastAsia="zh-CN"/>
              </w:rPr>
            </w:pPr>
          </w:p>
        </w:tc>
      </w:tr>
      <w:tr w14:paraId="5A79F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B24496E">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0F104C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钟表模型</w:t>
            </w:r>
          </w:p>
        </w:tc>
        <w:tc>
          <w:tcPr>
            <w:tcW w:w="5472" w:type="dxa"/>
            <w:noWrap w:val="0"/>
            <w:vAlign w:val="center"/>
          </w:tcPr>
          <w:p w14:paraId="03BF8A8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1.用于小学数学和幼儿教学“时、分、秒”的认识、读法及加减演示。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2.规格：表盘的直径为≥260mm，整体高约 310mm。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3.钟面模具为座式，由基座、表盘、指针（三针）、联动装置组成，盘面印有 24 时的整点标记和分钟标记。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4.钟表模型表盘和盘底采用工程塑料一次性注塑而成。整体为黄色，指针为红色。</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5.有表盘、指针（三针）、联动装置各部分，表盘直径≥300mm。24 时表示。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0F34CFA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35A5618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98C203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34.8</w:t>
            </w:r>
          </w:p>
        </w:tc>
        <w:tc>
          <w:tcPr>
            <w:tcW w:w="635" w:type="dxa"/>
            <w:noWrap w:val="0"/>
            <w:vAlign w:val="center"/>
          </w:tcPr>
          <w:p w14:paraId="0C55A5FB">
            <w:pPr>
              <w:ind w:left="0" w:leftChars="0" w:firstLine="0" w:firstLineChars="0"/>
              <w:jc w:val="center"/>
              <w:rPr>
                <w:rFonts w:hint="eastAsia" w:ascii="宋体" w:hAnsi="宋体" w:cs="宋体"/>
                <w:color w:val="auto"/>
                <w:sz w:val="21"/>
                <w:szCs w:val="21"/>
                <w:highlight w:val="none"/>
                <w:lang w:val="en-US" w:eastAsia="zh-CN"/>
              </w:rPr>
            </w:pPr>
          </w:p>
        </w:tc>
      </w:tr>
      <w:tr w14:paraId="38791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6C3D8AF">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FEDD6F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钟表模型</w:t>
            </w:r>
          </w:p>
        </w:tc>
        <w:tc>
          <w:tcPr>
            <w:tcW w:w="5472" w:type="dxa"/>
            <w:noWrap w:val="0"/>
            <w:vAlign w:val="center"/>
          </w:tcPr>
          <w:p w14:paraId="6C2D1152">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学生用，两针，非联动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1.用于小学数学和幼儿教学“时、分、秒”的认识、读法及加减演示。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2.规格：表盘的直径为≥85mm，高约 90mm。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3.钟面模具为座式，由支脚、表盘、指针（两针）组成，盘面印有 12 时的整点标记和分钟标记。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4.钟表模型表盘和盘底采用工程塑料一次性注塑而成。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6.符合国家教委标准《钟面模型》JY0061-91 的要求。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5E1FBBD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2C4CC07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54801E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13.2</w:t>
            </w:r>
          </w:p>
        </w:tc>
        <w:tc>
          <w:tcPr>
            <w:tcW w:w="635" w:type="dxa"/>
            <w:noWrap w:val="0"/>
            <w:vAlign w:val="center"/>
          </w:tcPr>
          <w:p w14:paraId="07A9F266">
            <w:pPr>
              <w:ind w:left="0" w:leftChars="0" w:firstLine="0" w:firstLineChars="0"/>
              <w:jc w:val="center"/>
              <w:rPr>
                <w:rFonts w:hint="eastAsia" w:ascii="宋体" w:hAnsi="宋体" w:cs="宋体"/>
                <w:color w:val="auto"/>
                <w:sz w:val="21"/>
                <w:szCs w:val="21"/>
                <w:highlight w:val="none"/>
                <w:lang w:val="en-US" w:eastAsia="zh-CN"/>
              </w:rPr>
            </w:pPr>
          </w:p>
        </w:tc>
      </w:tr>
      <w:tr w14:paraId="5022E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7ED8984">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1DC96E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钟表模型</w:t>
            </w:r>
          </w:p>
        </w:tc>
        <w:tc>
          <w:tcPr>
            <w:tcW w:w="5472" w:type="dxa"/>
            <w:noWrap w:val="0"/>
            <w:vAlign w:val="center"/>
          </w:tcPr>
          <w:p w14:paraId="59E1F391">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学生用，三针，联动。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1.本标准适用于小学数学和幼儿教学“时、分、秒”的认识、读法及加减演示用的钟表模型。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2.规格：表盘的直径为≥85mm，高约 90mm。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3.钟面模具为座式，由基座、表盘、指针（三针）、联动装置组成，盘面印有 12 时的整点标记和分钟标记。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4.钟表模型表盘和盘底采用工程塑料一次性注塑而成。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6.应符合国家教委标准《钟面模型》JY0061-91。</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 xml:space="preserve"> 的有关规定。</w:t>
            </w:r>
          </w:p>
        </w:tc>
        <w:tc>
          <w:tcPr>
            <w:tcW w:w="603" w:type="dxa"/>
            <w:noWrap w:val="0"/>
            <w:vAlign w:val="center"/>
          </w:tcPr>
          <w:p w14:paraId="6B6BF88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3C53A22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2B24AF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13.2</w:t>
            </w:r>
          </w:p>
        </w:tc>
        <w:tc>
          <w:tcPr>
            <w:tcW w:w="635" w:type="dxa"/>
            <w:noWrap w:val="0"/>
            <w:vAlign w:val="center"/>
          </w:tcPr>
          <w:p w14:paraId="78026F4A">
            <w:pPr>
              <w:ind w:left="0" w:leftChars="0" w:firstLine="0" w:firstLineChars="0"/>
              <w:jc w:val="center"/>
              <w:rPr>
                <w:rFonts w:hint="eastAsia" w:ascii="宋体" w:hAnsi="宋体" w:cs="宋体"/>
                <w:color w:val="auto"/>
                <w:sz w:val="21"/>
                <w:szCs w:val="21"/>
                <w:highlight w:val="none"/>
                <w:lang w:val="en-US" w:eastAsia="zh-CN"/>
              </w:rPr>
            </w:pPr>
          </w:p>
        </w:tc>
      </w:tr>
      <w:tr w14:paraId="1FEF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5156E12">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0C4E8E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几何形体模型</w:t>
            </w:r>
          </w:p>
        </w:tc>
        <w:tc>
          <w:tcPr>
            <w:tcW w:w="5472" w:type="dxa"/>
            <w:noWrap w:val="0"/>
            <w:vAlign w:val="center"/>
          </w:tcPr>
          <w:p w14:paraId="2BB798BD">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几何形体模型为塑料制品，其组成为长方体（一般和特殊）、正方体、实心圆柱、空心圆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柱、圆锥体（等底等高、等底不等高等、等高不等底）球等。</w:t>
            </w:r>
          </w:p>
        </w:tc>
        <w:tc>
          <w:tcPr>
            <w:tcW w:w="603" w:type="dxa"/>
            <w:noWrap w:val="0"/>
            <w:vAlign w:val="center"/>
          </w:tcPr>
          <w:p w14:paraId="40F64D4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D12E99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9FF479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47.45</w:t>
            </w:r>
          </w:p>
        </w:tc>
        <w:tc>
          <w:tcPr>
            <w:tcW w:w="635" w:type="dxa"/>
            <w:noWrap w:val="0"/>
            <w:vAlign w:val="center"/>
          </w:tcPr>
          <w:p w14:paraId="2FD95140">
            <w:pPr>
              <w:ind w:left="0" w:leftChars="0" w:firstLine="0" w:firstLineChars="0"/>
              <w:jc w:val="center"/>
              <w:rPr>
                <w:rFonts w:hint="eastAsia" w:ascii="宋体" w:hAnsi="宋体" w:cs="宋体"/>
                <w:color w:val="auto"/>
                <w:sz w:val="21"/>
                <w:szCs w:val="21"/>
                <w:highlight w:val="none"/>
                <w:lang w:val="en-US" w:eastAsia="zh-CN"/>
              </w:rPr>
            </w:pPr>
          </w:p>
        </w:tc>
      </w:tr>
      <w:tr w14:paraId="77A91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54DE32">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6F7A1D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厘米立方块</w:t>
            </w:r>
          </w:p>
        </w:tc>
        <w:tc>
          <w:tcPr>
            <w:tcW w:w="5472" w:type="dxa"/>
            <w:noWrap w:val="0"/>
            <w:vAlign w:val="center"/>
          </w:tcPr>
          <w:p w14:paraId="708FE3AD">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尺寸为≥10mm×10mm×10mm，每块为单色，颜色种类 5 种，每种 10 粒</w:t>
            </w:r>
          </w:p>
        </w:tc>
        <w:tc>
          <w:tcPr>
            <w:tcW w:w="603" w:type="dxa"/>
            <w:noWrap w:val="0"/>
            <w:vAlign w:val="center"/>
          </w:tcPr>
          <w:p w14:paraId="154E082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4B05454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014EF0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635" w:type="dxa"/>
            <w:noWrap w:val="0"/>
            <w:vAlign w:val="center"/>
          </w:tcPr>
          <w:p w14:paraId="2BDE5DBF">
            <w:pPr>
              <w:ind w:left="0" w:leftChars="0" w:firstLine="0" w:firstLineChars="0"/>
              <w:jc w:val="center"/>
              <w:rPr>
                <w:rFonts w:hint="eastAsia" w:ascii="宋体" w:hAnsi="宋体" w:cs="宋体"/>
                <w:color w:val="auto"/>
                <w:sz w:val="21"/>
                <w:szCs w:val="21"/>
                <w:highlight w:val="none"/>
                <w:lang w:val="en-US" w:eastAsia="zh-CN"/>
              </w:rPr>
            </w:pPr>
          </w:p>
        </w:tc>
      </w:tr>
      <w:tr w14:paraId="3219C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3F05AE1">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E02D9C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几何形体表面积展开模型</w:t>
            </w:r>
          </w:p>
        </w:tc>
        <w:tc>
          <w:tcPr>
            <w:tcW w:w="5472" w:type="dxa"/>
            <w:noWrap w:val="0"/>
            <w:vAlign w:val="center"/>
          </w:tcPr>
          <w:p w14:paraId="665F1C7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1.仪器由塑料制成的长方体、正方体、圆柱体及它们的表面积展开图形组成。展开图形由硬纸片印刷而成。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2.长方体外形尺寸为 60mm×30mm×10mm；正方体外形尺寸为 30mm×30mm×30mm(可从中间对半分开）；圆柱体外形尺寸为Φ30mm×60mm</w:t>
            </w:r>
          </w:p>
        </w:tc>
        <w:tc>
          <w:tcPr>
            <w:tcW w:w="603" w:type="dxa"/>
            <w:noWrap w:val="0"/>
            <w:vAlign w:val="center"/>
          </w:tcPr>
          <w:p w14:paraId="729CA66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376257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445673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15.6</w:t>
            </w:r>
          </w:p>
        </w:tc>
        <w:tc>
          <w:tcPr>
            <w:tcW w:w="635" w:type="dxa"/>
            <w:noWrap w:val="0"/>
            <w:vAlign w:val="center"/>
          </w:tcPr>
          <w:p w14:paraId="3231231B">
            <w:pPr>
              <w:ind w:left="0" w:leftChars="0" w:firstLine="0" w:firstLineChars="0"/>
              <w:jc w:val="center"/>
              <w:rPr>
                <w:rFonts w:hint="eastAsia" w:ascii="宋体" w:hAnsi="宋体" w:cs="宋体"/>
                <w:color w:val="auto"/>
                <w:sz w:val="21"/>
                <w:szCs w:val="21"/>
                <w:highlight w:val="none"/>
                <w:lang w:val="en-US" w:eastAsia="zh-CN"/>
              </w:rPr>
            </w:pPr>
          </w:p>
        </w:tc>
      </w:tr>
      <w:tr w14:paraId="5E578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934988E">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E05518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圆面积、圆周率计算公式推导演示模型</w:t>
            </w:r>
          </w:p>
        </w:tc>
        <w:tc>
          <w:tcPr>
            <w:tcW w:w="5472" w:type="dxa"/>
            <w:noWrap w:val="0"/>
            <w:vAlign w:val="center"/>
          </w:tcPr>
          <w:p w14:paraId="5769CB73">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1、塑料制品表面平整、光滑、色泽均匀，边缘无毛刺、选用优质塑料制作。</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2、推导板外形由圆形和长方形组成，长方形一边带有齿槽，外形尺寸不小于 475×225× 10mm。</w:t>
            </w:r>
          </w:p>
        </w:tc>
        <w:tc>
          <w:tcPr>
            <w:tcW w:w="603" w:type="dxa"/>
            <w:noWrap w:val="0"/>
            <w:vAlign w:val="center"/>
          </w:tcPr>
          <w:p w14:paraId="7A8CDBD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48B1A90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D31092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46.54</w:t>
            </w:r>
          </w:p>
        </w:tc>
        <w:tc>
          <w:tcPr>
            <w:tcW w:w="635" w:type="dxa"/>
            <w:noWrap w:val="0"/>
            <w:vAlign w:val="center"/>
          </w:tcPr>
          <w:p w14:paraId="02A94581">
            <w:pPr>
              <w:ind w:left="0" w:leftChars="0" w:firstLine="0" w:firstLineChars="0"/>
              <w:jc w:val="center"/>
              <w:rPr>
                <w:rFonts w:hint="eastAsia" w:ascii="宋体" w:hAnsi="宋体" w:cs="宋体"/>
                <w:color w:val="auto"/>
                <w:sz w:val="21"/>
                <w:szCs w:val="21"/>
                <w:highlight w:val="none"/>
                <w:lang w:val="en-US" w:eastAsia="zh-CN"/>
              </w:rPr>
            </w:pPr>
          </w:p>
        </w:tc>
      </w:tr>
      <w:tr w14:paraId="2F26A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E4953B">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81EE0D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物品卡片</w:t>
            </w:r>
          </w:p>
        </w:tc>
        <w:tc>
          <w:tcPr>
            <w:tcW w:w="5472" w:type="dxa"/>
            <w:noWrap w:val="0"/>
            <w:vAlign w:val="center"/>
          </w:tcPr>
          <w:p w14:paraId="5E95BBA8">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1.购物游戏用，硬纸片，规格 80mm×60mm×0.1mm，物品有学习用品、生活用品、食品、玩具、废品五类。</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2.产品实物图片 36 种，每张卡片的内容不得重复，卡片上均采用彩色喷绘实物图案、名称 (中文、拼音）、价格，实物图案不小于 20mm，中文字体高度不小于 10mm，拼音及价格高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度不小于 5mm。图案清晰富有立体感，无模糊感，无叠影。</w:t>
            </w:r>
          </w:p>
        </w:tc>
        <w:tc>
          <w:tcPr>
            <w:tcW w:w="603" w:type="dxa"/>
            <w:noWrap w:val="0"/>
            <w:vAlign w:val="center"/>
          </w:tcPr>
          <w:p w14:paraId="0BA33ED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67970D3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04E43E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17.16</w:t>
            </w:r>
          </w:p>
        </w:tc>
        <w:tc>
          <w:tcPr>
            <w:tcW w:w="635" w:type="dxa"/>
            <w:noWrap w:val="0"/>
            <w:vAlign w:val="center"/>
          </w:tcPr>
          <w:p w14:paraId="6A58D34A">
            <w:pPr>
              <w:ind w:left="0" w:leftChars="0" w:firstLine="0" w:firstLineChars="0"/>
              <w:jc w:val="center"/>
              <w:rPr>
                <w:rFonts w:hint="eastAsia" w:ascii="宋体" w:hAnsi="宋体" w:cs="宋体"/>
                <w:color w:val="auto"/>
                <w:sz w:val="21"/>
                <w:szCs w:val="21"/>
                <w:highlight w:val="none"/>
                <w:lang w:val="en-US" w:eastAsia="zh-CN"/>
              </w:rPr>
            </w:pPr>
          </w:p>
        </w:tc>
      </w:tr>
      <w:tr w14:paraId="3561F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3082686">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66A8AD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小学数学数与代数部分教学挂图</w:t>
            </w:r>
          </w:p>
        </w:tc>
        <w:tc>
          <w:tcPr>
            <w:tcW w:w="5472" w:type="dxa"/>
            <w:noWrap w:val="0"/>
            <w:vAlign w:val="center"/>
          </w:tcPr>
          <w:p w14:paraId="1C39C7F3">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幅数 29 幅，对开开本,纸张规格不低于 105g 铜版纸，印刷符合 GB/T7705-2008《平版装潢印刷品》的要求。符合新课标教学的要求。</w:t>
            </w:r>
          </w:p>
        </w:tc>
        <w:tc>
          <w:tcPr>
            <w:tcW w:w="603" w:type="dxa"/>
            <w:noWrap w:val="0"/>
            <w:vAlign w:val="center"/>
          </w:tcPr>
          <w:p w14:paraId="78893F6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713131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1A5CCC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17.16</w:t>
            </w:r>
          </w:p>
        </w:tc>
        <w:tc>
          <w:tcPr>
            <w:tcW w:w="635" w:type="dxa"/>
            <w:noWrap w:val="0"/>
            <w:vAlign w:val="center"/>
          </w:tcPr>
          <w:p w14:paraId="63AE7C6F">
            <w:pPr>
              <w:ind w:left="0" w:leftChars="0" w:firstLine="0" w:firstLineChars="0"/>
              <w:jc w:val="center"/>
              <w:rPr>
                <w:rFonts w:hint="eastAsia" w:ascii="宋体" w:hAnsi="宋体" w:cs="宋体"/>
                <w:color w:val="auto"/>
                <w:sz w:val="21"/>
                <w:szCs w:val="21"/>
                <w:highlight w:val="none"/>
                <w:lang w:val="en-US" w:eastAsia="zh-CN"/>
              </w:rPr>
            </w:pPr>
          </w:p>
        </w:tc>
      </w:tr>
      <w:tr w14:paraId="18C5B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1075879">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AF9CC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小学数学空间与图形部分教学挂图</w:t>
            </w:r>
          </w:p>
        </w:tc>
        <w:tc>
          <w:tcPr>
            <w:tcW w:w="5472" w:type="dxa"/>
            <w:noWrap w:val="0"/>
            <w:vAlign w:val="center"/>
          </w:tcPr>
          <w:p w14:paraId="1C887DD9">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幅数 23 幅，对开开本,纸张规格不低于 105g 铜版纸，印刷符合 GB/T7705-2008《平版装潢印刷品》的要求。符合新课标教学的要求。</w:t>
            </w:r>
          </w:p>
        </w:tc>
        <w:tc>
          <w:tcPr>
            <w:tcW w:w="603" w:type="dxa"/>
            <w:noWrap w:val="0"/>
            <w:vAlign w:val="center"/>
          </w:tcPr>
          <w:p w14:paraId="5507E05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1B8A0C5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E49903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104</w:t>
            </w:r>
          </w:p>
        </w:tc>
        <w:tc>
          <w:tcPr>
            <w:tcW w:w="635" w:type="dxa"/>
            <w:noWrap w:val="0"/>
            <w:vAlign w:val="center"/>
          </w:tcPr>
          <w:p w14:paraId="4CB5B20A">
            <w:pPr>
              <w:ind w:left="0" w:leftChars="0" w:firstLine="0" w:firstLineChars="0"/>
              <w:jc w:val="center"/>
              <w:rPr>
                <w:rFonts w:hint="eastAsia" w:ascii="宋体" w:hAnsi="宋体" w:cs="宋体"/>
                <w:color w:val="auto"/>
                <w:sz w:val="21"/>
                <w:szCs w:val="21"/>
                <w:highlight w:val="none"/>
                <w:lang w:val="en-US" w:eastAsia="zh-CN"/>
              </w:rPr>
            </w:pPr>
          </w:p>
        </w:tc>
      </w:tr>
      <w:tr w14:paraId="5427B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A7A16E8">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927B31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小学数学统计与概率教学挂图</w:t>
            </w:r>
          </w:p>
        </w:tc>
        <w:tc>
          <w:tcPr>
            <w:tcW w:w="5472" w:type="dxa"/>
            <w:noWrap w:val="0"/>
            <w:vAlign w:val="center"/>
          </w:tcPr>
          <w:p w14:paraId="1AFF44D8">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幅数 10 幅，对开开本,纸张规格不低于 105g 铜版纸，履膜。印刷符合 GB/T7705-2008《平版装潢印刷品》的要求。符合新课标教学的要求。</w:t>
            </w:r>
          </w:p>
        </w:tc>
        <w:tc>
          <w:tcPr>
            <w:tcW w:w="603" w:type="dxa"/>
            <w:noWrap w:val="0"/>
            <w:vAlign w:val="center"/>
          </w:tcPr>
          <w:p w14:paraId="543620F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4752B7C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6B885B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w:t>
            </w:r>
          </w:p>
        </w:tc>
        <w:tc>
          <w:tcPr>
            <w:tcW w:w="635" w:type="dxa"/>
            <w:noWrap w:val="0"/>
            <w:vAlign w:val="center"/>
          </w:tcPr>
          <w:p w14:paraId="306E28CE">
            <w:pPr>
              <w:ind w:left="0" w:leftChars="0" w:firstLine="0" w:firstLineChars="0"/>
              <w:jc w:val="center"/>
              <w:rPr>
                <w:rFonts w:hint="eastAsia" w:ascii="宋体" w:hAnsi="宋体" w:cs="宋体"/>
                <w:color w:val="auto"/>
                <w:sz w:val="21"/>
                <w:szCs w:val="21"/>
                <w:highlight w:val="none"/>
                <w:lang w:val="en-US" w:eastAsia="zh-CN"/>
              </w:rPr>
            </w:pPr>
          </w:p>
        </w:tc>
      </w:tr>
      <w:tr w14:paraId="6EB5A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C31B0C">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FB39E5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小学数学资料图</w:t>
            </w:r>
          </w:p>
        </w:tc>
        <w:tc>
          <w:tcPr>
            <w:tcW w:w="5472" w:type="dxa"/>
            <w:noWrap w:val="0"/>
            <w:vAlign w:val="center"/>
          </w:tcPr>
          <w:p w14:paraId="3453A15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幅数 6 幅，对开开本,纸张规格不低于 105g 铜版纸，履膜。印刷符合 GB/T7705-2008《平版装潢印刷品》的要求。符合新课标教学的要求。</w:t>
            </w:r>
          </w:p>
        </w:tc>
        <w:tc>
          <w:tcPr>
            <w:tcW w:w="603" w:type="dxa"/>
            <w:noWrap w:val="0"/>
            <w:vAlign w:val="center"/>
          </w:tcPr>
          <w:p w14:paraId="21B4997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149A517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AF48C3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44.2</w:t>
            </w:r>
          </w:p>
        </w:tc>
        <w:tc>
          <w:tcPr>
            <w:tcW w:w="635" w:type="dxa"/>
            <w:noWrap w:val="0"/>
            <w:vAlign w:val="center"/>
          </w:tcPr>
          <w:p w14:paraId="2D8AD160">
            <w:pPr>
              <w:ind w:left="0" w:leftChars="0" w:firstLine="0" w:firstLineChars="0"/>
              <w:jc w:val="center"/>
              <w:rPr>
                <w:rFonts w:hint="eastAsia" w:ascii="宋体" w:hAnsi="宋体" w:cs="宋体"/>
                <w:color w:val="auto"/>
                <w:sz w:val="21"/>
                <w:szCs w:val="21"/>
                <w:highlight w:val="none"/>
                <w:lang w:val="en-US" w:eastAsia="zh-CN"/>
              </w:rPr>
            </w:pPr>
          </w:p>
        </w:tc>
      </w:tr>
      <w:tr w14:paraId="18DAC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E5CC37">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14C991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小学数学数与代数部分教学投影片</w:t>
            </w:r>
          </w:p>
        </w:tc>
        <w:tc>
          <w:tcPr>
            <w:tcW w:w="5472" w:type="dxa"/>
            <w:noWrap w:val="0"/>
            <w:vAlign w:val="center"/>
          </w:tcPr>
          <w:p w14:paraId="591D3029">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投影胶片 80 片符合新课标教学的要求。</w:t>
            </w:r>
          </w:p>
        </w:tc>
        <w:tc>
          <w:tcPr>
            <w:tcW w:w="603" w:type="dxa"/>
            <w:noWrap w:val="0"/>
            <w:vAlign w:val="center"/>
          </w:tcPr>
          <w:p w14:paraId="0CCFA24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2A262DC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CCC0E0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302.4</w:t>
            </w:r>
          </w:p>
        </w:tc>
        <w:tc>
          <w:tcPr>
            <w:tcW w:w="635" w:type="dxa"/>
            <w:noWrap w:val="0"/>
            <w:vAlign w:val="center"/>
          </w:tcPr>
          <w:p w14:paraId="7BA42530">
            <w:pPr>
              <w:ind w:left="0" w:leftChars="0" w:firstLine="0" w:firstLineChars="0"/>
              <w:jc w:val="center"/>
              <w:rPr>
                <w:rFonts w:hint="eastAsia" w:ascii="宋体" w:hAnsi="宋体" w:cs="宋体"/>
                <w:color w:val="auto"/>
                <w:sz w:val="21"/>
                <w:szCs w:val="21"/>
                <w:highlight w:val="none"/>
                <w:lang w:val="en-US" w:eastAsia="zh-CN"/>
              </w:rPr>
            </w:pPr>
          </w:p>
        </w:tc>
      </w:tr>
      <w:tr w14:paraId="50DAE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0C08B4">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909C5F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小学数学空间与图形部分教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学投影片</w:t>
            </w:r>
          </w:p>
        </w:tc>
        <w:tc>
          <w:tcPr>
            <w:tcW w:w="5472" w:type="dxa"/>
            <w:noWrap w:val="0"/>
            <w:vAlign w:val="center"/>
          </w:tcPr>
          <w:p w14:paraId="2BCD2DF2">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投影胶片 80 片符合新课标教学的要求。</w:t>
            </w:r>
          </w:p>
        </w:tc>
        <w:tc>
          <w:tcPr>
            <w:tcW w:w="603" w:type="dxa"/>
            <w:noWrap w:val="0"/>
            <w:vAlign w:val="center"/>
          </w:tcPr>
          <w:p w14:paraId="6BA8C9A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7E3AC0A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417B34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302.4</w:t>
            </w:r>
          </w:p>
        </w:tc>
        <w:tc>
          <w:tcPr>
            <w:tcW w:w="635" w:type="dxa"/>
            <w:noWrap w:val="0"/>
            <w:vAlign w:val="center"/>
          </w:tcPr>
          <w:p w14:paraId="28E5E54B">
            <w:pPr>
              <w:ind w:left="0" w:leftChars="0" w:firstLine="0" w:firstLineChars="0"/>
              <w:jc w:val="center"/>
              <w:rPr>
                <w:rFonts w:hint="eastAsia" w:ascii="宋体" w:hAnsi="宋体" w:cs="宋体"/>
                <w:color w:val="auto"/>
                <w:sz w:val="21"/>
                <w:szCs w:val="21"/>
                <w:highlight w:val="none"/>
                <w:lang w:val="en-US" w:eastAsia="zh-CN"/>
              </w:rPr>
            </w:pPr>
          </w:p>
        </w:tc>
      </w:tr>
      <w:tr w14:paraId="22E14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35DF6A1">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3F91E8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小学数学统计与概率部分教学投影片</w:t>
            </w:r>
          </w:p>
        </w:tc>
        <w:tc>
          <w:tcPr>
            <w:tcW w:w="5472" w:type="dxa"/>
            <w:noWrap w:val="0"/>
            <w:vAlign w:val="center"/>
          </w:tcPr>
          <w:p w14:paraId="25077131">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投影胶片 60 片符合新课标教学的要求。</w:t>
            </w:r>
          </w:p>
        </w:tc>
        <w:tc>
          <w:tcPr>
            <w:tcW w:w="603" w:type="dxa"/>
            <w:noWrap w:val="0"/>
            <w:vAlign w:val="center"/>
          </w:tcPr>
          <w:p w14:paraId="4155B53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33C1D47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8CA006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226.8</w:t>
            </w:r>
          </w:p>
        </w:tc>
        <w:tc>
          <w:tcPr>
            <w:tcW w:w="635" w:type="dxa"/>
            <w:noWrap w:val="0"/>
            <w:vAlign w:val="center"/>
          </w:tcPr>
          <w:p w14:paraId="4B2D581B">
            <w:pPr>
              <w:ind w:left="0" w:leftChars="0" w:firstLine="0" w:firstLineChars="0"/>
              <w:jc w:val="center"/>
              <w:rPr>
                <w:rFonts w:hint="eastAsia" w:ascii="宋体" w:hAnsi="宋体" w:cs="宋体"/>
                <w:color w:val="auto"/>
                <w:sz w:val="21"/>
                <w:szCs w:val="21"/>
                <w:highlight w:val="none"/>
                <w:lang w:val="en-US" w:eastAsia="zh-CN"/>
              </w:rPr>
            </w:pPr>
          </w:p>
        </w:tc>
      </w:tr>
      <w:tr w14:paraId="03AB1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16EA897">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06EE04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小学数学资料投影片</w:t>
            </w:r>
          </w:p>
        </w:tc>
        <w:tc>
          <w:tcPr>
            <w:tcW w:w="5472" w:type="dxa"/>
            <w:noWrap w:val="0"/>
            <w:vAlign w:val="center"/>
          </w:tcPr>
          <w:p w14:paraId="5DA8E077">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投影胶片 80 片符合新课标教学的要求。</w:t>
            </w:r>
          </w:p>
        </w:tc>
        <w:tc>
          <w:tcPr>
            <w:tcW w:w="603" w:type="dxa"/>
            <w:noWrap w:val="0"/>
            <w:vAlign w:val="center"/>
          </w:tcPr>
          <w:p w14:paraId="75A9F0A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5872E13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313E66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360</w:t>
            </w:r>
          </w:p>
        </w:tc>
        <w:tc>
          <w:tcPr>
            <w:tcW w:w="635" w:type="dxa"/>
            <w:noWrap w:val="0"/>
            <w:vAlign w:val="center"/>
          </w:tcPr>
          <w:p w14:paraId="7E2B75D5">
            <w:pPr>
              <w:ind w:left="0" w:leftChars="0" w:firstLine="0" w:firstLineChars="0"/>
              <w:jc w:val="center"/>
              <w:rPr>
                <w:rFonts w:hint="eastAsia" w:ascii="宋体" w:hAnsi="宋体" w:cs="宋体"/>
                <w:color w:val="auto"/>
                <w:sz w:val="21"/>
                <w:szCs w:val="21"/>
                <w:highlight w:val="none"/>
                <w:lang w:val="en-US" w:eastAsia="zh-CN"/>
              </w:rPr>
            </w:pPr>
          </w:p>
        </w:tc>
      </w:tr>
      <w:tr w14:paraId="4F938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DE2F28">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211898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小学数学教学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素材库</w:t>
            </w:r>
          </w:p>
        </w:tc>
        <w:tc>
          <w:tcPr>
            <w:tcW w:w="5472" w:type="dxa"/>
            <w:noWrap w:val="0"/>
            <w:vAlign w:val="center"/>
          </w:tcPr>
          <w:p w14:paraId="036C751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计算机用，内容丰富色，符合新课标教学的要求。</w:t>
            </w:r>
          </w:p>
        </w:tc>
        <w:tc>
          <w:tcPr>
            <w:tcW w:w="603" w:type="dxa"/>
            <w:noWrap w:val="0"/>
            <w:vAlign w:val="center"/>
          </w:tcPr>
          <w:p w14:paraId="4C1DCCB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F7F2FE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19DE4D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172.8</w:t>
            </w:r>
          </w:p>
        </w:tc>
        <w:tc>
          <w:tcPr>
            <w:tcW w:w="635" w:type="dxa"/>
            <w:noWrap w:val="0"/>
            <w:vAlign w:val="center"/>
          </w:tcPr>
          <w:p w14:paraId="3CCC6B33">
            <w:pPr>
              <w:ind w:left="0" w:leftChars="0" w:firstLine="0" w:firstLineChars="0"/>
              <w:jc w:val="center"/>
              <w:rPr>
                <w:rFonts w:hint="eastAsia" w:ascii="宋体" w:hAnsi="宋体" w:cs="宋体"/>
                <w:color w:val="auto"/>
                <w:sz w:val="21"/>
                <w:szCs w:val="21"/>
                <w:highlight w:val="none"/>
                <w:lang w:val="en-US" w:eastAsia="zh-CN"/>
              </w:rPr>
            </w:pPr>
          </w:p>
        </w:tc>
      </w:tr>
      <w:tr w14:paraId="762A3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EBC656B">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79851E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剪刀</w:t>
            </w:r>
          </w:p>
        </w:tc>
        <w:tc>
          <w:tcPr>
            <w:tcW w:w="5472" w:type="dxa"/>
            <w:noWrap w:val="0"/>
            <w:vAlign w:val="center"/>
          </w:tcPr>
          <w:p w14:paraId="64AF05AC">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1.产品表面处理为不锈钢。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2.剪刀刃口硬度不低于 HRC52，两片刃口对应点硬度差不大于 HRC4。</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3.剪刀性能应手感轻松、均匀、剪布锋利、不咬口、崩口、变形。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4.其它应符合《QB/T1966-1994 民用剪刀》</w:t>
            </w:r>
          </w:p>
        </w:tc>
        <w:tc>
          <w:tcPr>
            <w:tcW w:w="603" w:type="dxa"/>
            <w:noWrap w:val="0"/>
            <w:vAlign w:val="center"/>
          </w:tcPr>
          <w:p w14:paraId="189612E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42BD60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把</w:t>
            </w:r>
          </w:p>
        </w:tc>
        <w:tc>
          <w:tcPr>
            <w:tcW w:w="1110" w:type="dxa"/>
            <w:noWrap w:val="0"/>
            <w:vAlign w:val="center"/>
          </w:tcPr>
          <w:p w14:paraId="6A817A4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13.65</w:t>
            </w:r>
          </w:p>
        </w:tc>
        <w:tc>
          <w:tcPr>
            <w:tcW w:w="635" w:type="dxa"/>
            <w:noWrap w:val="0"/>
            <w:vAlign w:val="center"/>
          </w:tcPr>
          <w:p w14:paraId="312E9CBA">
            <w:pPr>
              <w:ind w:left="0" w:leftChars="0" w:firstLine="0" w:firstLineChars="0"/>
              <w:jc w:val="center"/>
              <w:rPr>
                <w:rFonts w:hint="eastAsia" w:ascii="宋体" w:hAnsi="宋体" w:cs="宋体"/>
                <w:color w:val="auto"/>
                <w:sz w:val="21"/>
                <w:szCs w:val="21"/>
                <w:highlight w:val="none"/>
                <w:lang w:val="en-US" w:eastAsia="zh-CN"/>
              </w:rPr>
            </w:pPr>
          </w:p>
        </w:tc>
      </w:tr>
      <w:tr w14:paraId="7E33C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0" w:hRule="atLeast"/>
        </w:trPr>
        <w:tc>
          <w:tcPr>
            <w:tcW w:w="555" w:type="dxa"/>
            <w:noWrap w:val="0"/>
            <w:vAlign w:val="center"/>
          </w:tcPr>
          <w:p w14:paraId="4A610864">
            <w:pPr>
              <w:numPr>
                <w:ilvl w:val="0"/>
                <w:numId w:val="7"/>
              </w:numPr>
              <w:tabs>
                <w:tab w:val="left" w:pos="234"/>
              </w:tabs>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4BE6C4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圆柱形塑料杯</w:t>
            </w:r>
          </w:p>
        </w:tc>
        <w:tc>
          <w:tcPr>
            <w:tcW w:w="5472" w:type="dxa"/>
            <w:noWrap w:val="0"/>
            <w:vAlign w:val="center"/>
          </w:tcPr>
          <w:p w14:paraId="3C4B69D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1．外观结构合理，工艺性好；</w:t>
            </w:r>
          </w:p>
          <w:p w14:paraId="25912402">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2．以塑料为主体材料的产品或部件，应有足够的强度，不易变形；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3.底部外径 61mm，高 86mm，杯口外径 64mm，最小分度值 10mL 性能容量 200mL±5mL。</w:t>
            </w:r>
          </w:p>
        </w:tc>
        <w:tc>
          <w:tcPr>
            <w:tcW w:w="603" w:type="dxa"/>
            <w:noWrap w:val="0"/>
            <w:vAlign w:val="center"/>
          </w:tcPr>
          <w:p w14:paraId="2CDF6FD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21F0C29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3A0C17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w:t>
            </w:r>
          </w:p>
        </w:tc>
        <w:tc>
          <w:tcPr>
            <w:tcW w:w="635" w:type="dxa"/>
            <w:noWrap w:val="0"/>
            <w:vAlign w:val="center"/>
          </w:tcPr>
          <w:p w14:paraId="7B2889A5">
            <w:pPr>
              <w:ind w:left="0" w:leftChars="0" w:firstLine="0" w:firstLineChars="0"/>
              <w:jc w:val="center"/>
              <w:rPr>
                <w:rFonts w:hint="eastAsia" w:ascii="宋体" w:hAnsi="宋体" w:cs="宋体"/>
                <w:color w:val="auto"/>
                <w:sz w:val="21"/>
                <w:szCs w:val="21"/>
                <w:highlight w:val="none"/>
                <w:lang w:val="en-US" w:eastAsia="zh-CN"/>
              </w:rPr>
            </w:pPr>
          </w:p>
        </w:tc>
      </w:tr>
      <w:tr w14:paraId="14B3F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7838696">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E3DACA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方形塑料杯</w:t>
            </w:r>
          </w:p>
        </w:tc>
        <w:tc>
          <w:tcPr>
            <w:tcW w:w="5472" w:type="dxa"/>
            <w:noWrap w:val="0"/>
            <w:vAlign w:val="center"/>
          </w:tcPr>
          <w:p w14:paraId="383F405B">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1．外观结构合理，工艺性好；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2．以塑料为主体材料的产品或部件，应有足够的强度，不易变形；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3.底部 60mm×60mm，高 85mm，杯口 64mm×64mm，最小分度值 10mL，性能容量 250mL±5mL。出水口设尖嘴</w:t>
            </w:r>
          </w:p>
        </w:tc>
        <w:tc>
          <w:tcPr>
            <w:tcW w:w="603" w:type="dxa"/>
            <w:noWrap w:val="0"/>
            <w:vAlign w:val="center"/>
          </w:tcPr>
          <w:p w14:paraId="6F4C243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830E41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70CB8E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w:t>
            </w:r>
          </w:p>
        </w:tc>
        <w:tc>
          <w:tcPr>
            <w:tcW w:w="635" w:type="dxa"/>
            <w:noWrap w:val="0"/>
            <w:vAlign w:val="center"/>
          </w:tcPr>
          <w:p w14:paraId="6DB08FA1">
            <w:pPr>
              <w:ind w:left="0" w:leftChars="0" w:firstLine="0" w:firstLineChars="0"/>
              <w:jc w:val="center"/>
              <w:rPr>
                <w:rFonts w:hint="eastAsia" w:ascii="宋体" w:hAnsi="宋体" w:cs="宋体"/>
                <w:color w:val="auto"/>
                <w:sz w:val="21"/>
                <w:szCs w:val="21"/>
                <w:highlight w:val="none"/>
                <w:lang w:val="en-US" w:eastAsia="zh-CN"/>
              </w:rPr>
            </w:pPr>
          </w:p>
        </w:tc>
      </w:tr>
      <w:tr w14:paraId="1A23B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E46C8F0">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3AE086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刻刀</w:t>
            </w:r>
          </w:p>
        </w:tc>
        <w:tc>
          <w:tcPr>
            <w:tcW w:w="5472" w:type="dxa"/>
            <w:noWrap w:val="0"/>
            <w:vAlign w:val="center"/>
          </w:tcPr>
          <w:p w14:paraId="7CCC41F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 支一套，木柄</w:t>
            </w:r>
          </w:p>
        </w:tc>
        <w:tc>
          <w:tcPr>
            <w:tcW w:w="603" w:type="dxa"/>
            <w:noWrap w:val="0"/>
            <w:vAlign w:val="center"/>
          </w:tcPr>
          <w:p w14:paraId="7323741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479B6EE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把</w:t>
            </w:r>
          </w:p>
        </w:tc>
        <w:tc>
          <w:tcPr>
            <w:tcW w:w="1110" w:type="dxa"/>
            <w:noWrap w:val="0"/>
            <w:vAlign w:val="center"/>
          </w:tcPr>
          <w:p w14:paraId="6D4BF37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4.68</w:t>
            </w:r>
          </w:p>
        </w:tc>
        <w:tc>
          <w:tcPr>
            <w:tcW w:w="635" w:type="dxa"/>
            <w:noWrap w:val="0"/>
            <w:vAlign w:val="center"/>
          </w:tcPr>
          <w:p w14:paraId="271D119C">
            <w:pPr>
              <w:ind w:left="0" w:leftChars="0" w:firstLine="0" w:firstLineChars="0"/>
              <w:jc w:val="center"/>
              <w:rPr>
                <w:rFonts w:hint="eastAsia" w:ascii="宋体" w:hAnsi="宋体" w:cs="宋体"/>
                <w:color w:val="auto"/>
                <w:sz w:val="21"/>
                <w:szCs w:val="21"/>
                <w:highlight w:val="none"/>
                <w:lang w:val="en-US" w:eastAsia="zh-CN"/>
              </w:rPr>
            </w:pPr>
          </w:p>
        </w:tc>
      </w:tr>
      <w:tr w14:paraId="0A35E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C754F5">
            <w:pPr>
              <w:numPr>
                <w:ilvl w:val="0"/>
                <w:numId w:val="7"/>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E55697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角尺</w:t>
            </w:r>
          </w:p>
        </w:tc>
        <w:tc>
          <w:tcPr>
            <w:tcW w:w="5472" w:type="dxa"/>
            <w:noWrap w:val="0"/>
            <w:vAlign w:val="center"/>
          </w:tcPr>
          <w:p w14:paraId="4CFC54C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塑料柄钢角尺，尺寸不小于 200mm</w:t>
            </w:r>
          </w:p>
        </w:tc>
        <w:tc>
          <w:tcPr>
            <w:tcW w:w="603" w:type="dxa"/>
            <w:noWrap w:val="0"/>
            <w:vAlign w:val="center"/>
          </w:tcPr>
          <w:p w14:paraId="778F7AA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AA5077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把</w:t>
            </w:r>
          </w:p>
        </w:tc>
        <w:tc>
          <w:tcPr>
            <w:tcW w:w="1110" w:type="dxa"/>
            <w:noWrap w:val="0"/>
            <w:vAlign w:val="center"/>
          </w:tcPr>
          <w:p w14:paraId="1C09CC9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13.65</w:t>
            </w:r>
          </w:p>
        </w:tc>
        <w:tc>
          <w:tcPr>
            <w:tcW w:w="635" w:type="dxa"/>
            <w:noWrap w:val="0"/>
            <w:vAlign w:val="center"/>
          </w:tcPr>
          <w:p w14:paraId="1A00443A">
            <w:pPr>
              <w:ind w:left="0" w:leftChars="0" w:firstLine="0" w:firstLineChars="0"/>
              <w:jc w:val="center"/>
              <w:rPr>
                <w:rFonts w:hint="eastAsia" w:ascii="宋体" w:hAnsi="宋体" w:cs="宋体"/>
                <w:color w:val="auto"/>
                <w:sz w:val="21"/>
                <w:szCs w:val="21"/>
                <w:highlight w:val="none"/>
                <w:lang w:val="en-US" w:eastAsia="zh-CN"/>
              </w:rPr>
            </w:pPr>
          </w:p>
        </w:tc>
      </w:tr>
      <w:tr w14:paraId="6427C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A28869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本项合计</w:t>
            </w:r>
          </w:p>
        </w:tc>
        <w:tc>
          <w:tcPr>
            <w:tcW w:w="5472" w:type="dxa"/>
            <w:noWrap w:val="0"/>
            <w:vAlign w:val="center"/>
          </w:tcPr>
          <w:p w14:paraId="0E2A82F0">
            <w:pPr>
              <w:ind w:left="0" w:leftChars="0" w:firstLine="0" w:firstLineChars="0"/>
              <w:jc w:val="center"/>
              <w:rPr>
                <w:rFonts w:hint="eastAsia" w:ascii="宋体" w:hAnsi="宋体" w:cs="宋体"/>
                <w:color w:val="auto"/>
                <w:sz w:val="21"/>
                <w:szCs w:val="21"/>
                <w:highlight w:val="none"/>
                <w:lang w:val="en-US" w:eastAsia="zh-CN"/>
              </w:rPr>
            </w:pPr>
          </w:p>
        </w:tc>
        <w:tc>
          <w:tcPr>
            <w:tcW w:w="2313" w:type="dxa"/>
            <w:gridSpan w:val="3"/>
            <w:noWrap w:val="0"/>
            <w:vAlign w:val="center"/>
          </w:tcPr>
          <w:p w14:paraId="777EFF2F">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27141.26</w:t>
            </w:r>
          </w:p>
        </w:tc>
        <w:tc>
          <w:tcPr>
            <w:tcW w:w="635" w:type="dxa"/>
            <w:noWrap w:val="0"/>
            <w:vAlign w:val="center"/>
          </w:tcPr>
          <w:p w14:paraId="35A6B80C">
            <w:pPr>
              <w:ind w:left="0" w:leftChars="0" w:firstLine="0" w:firstLineChars="0"/>
              <w:jc w:val="center"/>
              <w:rPr>
                <w:rFonts w:hint="eastAsia" w:ascii="宋体" w:hAnsi="宋体" w:cs="宋体"/>
                <w:color w:val="auto"/>
                <w:sz w:val="21"/>
                <w:szCs w:val="21"/>
                <w:highlight w:val="none"/>
                <w:lang w:val="en-US" w:eastAsia="zh-CN"/>
              </w:rPr>
            </w:pPr>
          </w:p>
        </w:tc>
      </w:tr>
      <w:tr w14:paraId="7214F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A913E7D">
            <w:pPr>
              <w:ind w:left="0" w:leftChars="0" w:firstLine="420" w:firstLineChars="20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科学仪器</w:t>
            </w:r>
          </w:p>
        </w:tc>
      </w:tr>
      <w:tr w14:paraId="53EC8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AC99B3">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1D3EE3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计算器</w:t>
            </w:r>
          </w:p>
        </w:tc>
        <w:tc>
          <w:tcPr>
            <w:tcW w:w="5472" w:type="dxa"/>
            <w:noWrap w:val="0"/>
            <w:vAlign w:val="center"/>
          </w:tcPr>
          <w:p w14:paraId="6E7C44A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10+2 位数、有统计运算功能、有分数计算功能、双行 LCD 显示、有函数运算功能、有多行重视功能、有方程编辑及显示、查看功能、有独立储存器功能（具备保留运算过程功能，关机后能清除原运算过程及数据）、有临时储存器功能、有普通四则运算功能、有自动关机功能、保留普通计算器的其他功能。执行国家《GB-T4967-1995》（电子计算器通用条件）及教育部 JY/T0382－2007《学生计算器》标准，与国家教育部颁布的《课程标准》要求相</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符合。</w:t>
            </w:r>
          </w:p>
        </w:tc>
        <w:tc>
          <w:tcPr>
            <w:tcW w:w="603" w:type="dxa"/>
            <w:noWrap w:val="0"/>
            <w:vAlign w:val="center"/>
          </w:tcPr>
          <w:p w14:paraId="3F486B7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431E32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DA5B8E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20.0</w:t>
            </w:r>
          </w:p>
        </w:tc>
        <w:tc>
          <w:tcPr>
            <w:tcW w:w="635" w:type="dxa"/>
            <w:noWrap w:val="0"/>
            <w:vAlign w:val="center"/>
          </w:tcPr>
          <w:p w14:paraId="03C75828">
            <w:pPr>
              <w:ind w:left="0" w:leftChars="0" w:firstLine="0" w:firstLineChars="0"/>
              <w:jc w:val="center"/>
              <w:rPr>
                <w:rFonts w:hint="eastAsia" w:ascii="宋体" w:hAnsi="宋体" w:cs="宋体"/>
                <w:color w:val="auto"/>
                <w:sz w:val="21"/>
                <w:szCs w:val="21"/>
                <w:highlight w:val="none"/>
                <w:lang w:val="en-US" w:eastAsia="zh-CN"/>
              </w:rPr>
            </w:pPr>
          </w:p>
        </w:tc>
      </w:tr>
      <w:tr w14:paraId="3ED69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E9B500">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B9CA8E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打孔器</w:t>
            </w:r>
          </w:p>
        </w:tc>
        <w:tc>
          <w:tcPr>
            <w:tcW w:w="5472" w:type="dxa"/>
            <w:noWrap w:val="0"/>
            <w:vAlign w:val="center"/>
          </w:tcPr>
          <w:p w14:paraId="1C0E36D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1.产品由四支不同孔径带手柄的空芯钻头、顶屑杆（通条）组成。空芯管：a）每支空芯管长度为 100mmb）管外径分别为 6mm,8mm,10mm 公差±0.1mm。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2.钻头：用无缝钢管制成；直线度 0.05mm；刀口表面镀铬；刀刃无缺口或锯齿状；刀刃平面与手柄平行，并与钻头轴线垂直；刀刃平面与轴线的垂直度 0.16mm；顶屑杆：直径 3.5mm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（±1）长 105mm（±1）</w:t>
            </w:r>
          </w:p>
        </w:tc>
        <w:tc>
          <w:tcPr>
            <w:tcW w:w="603" w:type="dxa"/>
            <w:noWrap w:val="0"/>
            <w:vAlign w:val="center"/>
          </w:tcPr>
          <w:p w14:paraId="7FAD789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1AE1A4A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6165CA6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4871C3F5">
            <w:pPr>
              <w:ind w:left="0" w:leftChars="0" w:firstLine="0" w:firstLineChars="0"/>
              <w:jc w:val="center"/>
              <w:rPr>
                <w:rFonts w:hint="eastAsia" w:ascii="宋体" w:hAnsi="宋体" w:cs="宋体"/>
                <w:color w:val="auto"/>
                <w:sz w:val="21"/>
                <w:szCs w:val="21"/>
                <w:highlight w:val="none"/>
                <w:lang w:val="en-US" w:eastAsia="zh-CN"/>
              </w:rPr>
            </w:pPr>
          </w:p>
        </w:tc>
      </w:tr>
      <w:tr w14:paraId="7F430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2E104D">
            <w:pPr>
              <w:numPr>
                <w:ilvl w:val="0"/>
                <w:numId w:val="8"/>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66E71E7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打气筒</w:t>
            </w:r>
          </w:p>
        </w:tc>
        <w:tc>
          <w:tcPr>
            <w:tcW w:w="5472" w:type="dxa"/>
            <w:noWrap w:val="0"/>
            <w:vAlign w:val="center"/>
          </w:tcPr>
          <w:p w14:paraId="1596266E">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1、产品由气筒、踏脚、活塞、活塞杆、手柄、橡胶管、气针夹等组成。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2、整机尺寸：不小于Φ30mm 长度 30mm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3、气铝材制成。</w:t>
            </w:r>
          </w:p>
        </w:tc>
        <w:tc>
          <w:tcPr>
            <w:tcW w:w="603" w:type="dxa"/>
            <w:noWrap w:val="0"/>
            <w:vAlign w:val="center"/>
          </w:tcPr>
          <w:p w14:paraId="4442E4A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5D40528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4CF7AC0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31.2</w:t>
            </w:r>
          </w:p>
        </w:tc>
        <w:tc>
          <w:tcPr>
            <w:tcW w:w="635" w:type="dxa"/>
            <w:noWrap w:val="0"/>
            <w:vAlign w:val="center"/>
          </w:tcPr>
          <w:p w14:paraId="30294551">
            <w:pPr>
              <w:ind w:left="0" w:leftChars="0" w:firstLine="0" w:firstLineChars="0"/>
              <w:jc w:val="center"/>
              <w:rPr>
                <w:rFonts w:hint="eastAsia" w:ascii="宋体" w:hAnsi="宋体" w:cs="宋体"/>
                <w:color w:val="auto"/>
                <w:sz w:val="21"/>
                <w:szCs w:val="21"/>
                <w:highlight w:val="none"/>
                <w:lang w:val="en-US" w:eastAsia="zh-CN"/>
              </w:rPr>
            </w:pPr>
          </w:p>
        </w:tc>
      </w:tr>
      <w:tr w14:paraId="59AC5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CAA44CD">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32932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生物显微镜</w:t>
            </w:r>
          </w:p>
        </w:tc>
        <w:tc>
          <w:tcPr>
            <w:tcW w:w="5472" w:type="dxa"/>
            <w:noWrap w:val="0"/>
            <w:vAlign w:val="center"/>
          </w:tcPr>
          <w:p w14:paraId="5088B15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1．由镜座、镜臂、镜筒、准焦螺旋、物镜转换器、载物台、反光镜、目镜、物镜等组成，单目直镜筒。</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2．最大放大倍数：640*。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3．消色差物镜：4*、10*、40*。玻璃镜片，光学部件均镀膜，物镜均齐焦中心一致</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4．目镜：10*、16*。玻璃镜片，光学部件均镀膜</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5．物镜转换器三孔同心，定位准确。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6．反光镜一面为平面，一面为凹面。</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7.拨盘光栏．整机机架、底座为金属铸铝制造，坚固稳定，弯臂支架可 45°倾斜、目镜外壳、目镜筒、物镜筒、切片夹、平台托架均为金属铸铝制造。</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8．载物台：110mm×120mm 高强度胶木平台，切片夹，平台与托架为一体结构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9.粗调范围 50mm，微调范围 1.8mm-2.2mm，调焦手轮具有防滑保护机构，防止调焦过载时调焦系统的损坏，调焦具有限位机构，可有效避免物镜和载玻片的碰伤</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10．调焦机构(齿条)为纯铜 Hpb59-1 材料制造，稳定、牢固、耐用，抗磨损、无自行下滑现象。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11.符合 JY0001－2003《教学仪器一般质量要求》的有关规定。执行 GB/T2985 标准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12.工程塑料箱包装</w:t>
            </w:r>
          </w:p>
        </w:tc>
        <w:tc>
          <w:tcPr>
            <w:tcW w:w="603" w:type="dxa"/>
            <w:noWrap w:val="0"/>
            <w:vAlign w:val="center"/>
          </w:tcPr>
          <w:p w14:paraId="59057B6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53E3D6D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420EDDB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816</w:t>
            </w:r>
          </w:p>
        </w:tc>
        <w:tc>
          <w:tcPr>
            <w:tcW w:w="635" w:type="dxa"/>
            <w:noWrap w:val="0"/>
            <w:vAlign w:val="center"/>
          </w:tcPr>
          <w:p w14:paraId="639DA5E2">
            <w:pPr>
              <w:ind w:left="0" w:leftChars="0" w:firstLine="0" w:firstLineChars="0"/>
              <w:jc w:val="center"/>
              <w:rPr>
                <w:rFonts w:hint="eastAsia" w:ascii="宋体" w:hAnsi="宋体" w:cs="宋体"/>
                <w:color w:val="auto"/>
                <w:sz w:val="21"/>
                <w:szCs w:val="21"/>
                <w:highlight w:val="none"/>
                <w:lang w:val="en-US" w:eastAsia="zh-CN"/>
              </w:rPr>
            </w:pPr>
          </w:p>
        </w:tc>
      </w:tr>
      <w:tr w14:paraId="1DFA9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106894">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30B386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生物显微演示装置</w:t>
            </w:r>
          </w:p>
        </w:tc>
        <w:tc>
          <w:tcPr>
            <w:tcW w:w="5472" w:type="dxa"/>
            <w:noWrap w:val="0"/>
            <w:vAlign w:val="center"/>
          </w:tcPr>
          <w:p w14:paraId="5BC6FDE2">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彩色，分辨率 450TV 线以上，放大倍数 40 倍～1500 倍，USB 接口，彩色吸塑包装，</w:t>
            </w:r>
          </w:p>
        </w:tc>
        <w:tc>
          <w:tcPr>
            <w:tcW w:w="603" w:type="dxa"/>
            <w:noWrap w:val="0"/>
            <w:vAlign w:val="center"/>
          </w:tcPr>
          <w:p w14:paraId="3FDE39B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1B465C7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2E2FFDA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378</w:t>
            </w:r>
          </w:p>
        </w:tc>
        <w:tc>
          <w:tcPr>
            <w:tcW w:w="635" w:type="dxa"/>
            <w:noWrap w:val="0"/>
            <w:vAlign w:val="center"/>
          </w:tcPr>
          <w:p w14:paraId="4714CB3B">
            <w:pPr>
              <w:ind w:left="0" w:leftChars="0" w:firstLine="0" w:firstLineChars="0"/>
              <w:jc w:val="center"/>
              <w:rPr>
                <w:rFonts w:hint="eastAsia" w:ascii="宋体" w:hAnsi="宋体" w:cs="宋体"/>
                <w:color w:val="auto"/>
                <w:sz w:val="21"/>
                <w:szCs w:val="21"/>
                <w:highlight w:val="none"/>
                <w:lang w:val="en-US" w:eastAsia="zh-CN"/>
              </w:rPr>
            </w:pPr>
          </w:p>
        </w:tc>
      </w:tr>
      <w:tr w14:paraId="3A682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220D649">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91F8D3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学生显微镜</w:t>
            </w:r>
          </w:p>
        </w:tc>
        <w:tc>
          <w:tcPr>
            <w:tcW w:w="5472" w:type="dxa"/>
            <w:noWrap w:val="0"/>
            <w:vAlign w:val="center"/>
          </w:tcPr>
          <w:p w14:paraId="1A3F06F3">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XSP-200X 单目直筒，12.5X 目镜，16X 物镜，粗调，90mm×90mm（±2mm）塑料平台带切片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压片，φ40 平面反光镜，干燥剂，泡沫包装</w:t>
            </w:r>
          </w:p>
        </w:tc>
        <w:tc>
          <w:tcPr>
            <w:tcW w:w="603" w:type="dxa"/>
            <w:noWrap w:val="0"/>
            <w:vAlign w:val="center"/>
          </w:tcPr>
          <w:p w14:paraId="7310B6B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3D82BC2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31347DA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372.45</w:t>
            </w:r>
          </w:p>
        </w:tc>
        <w:tc>
          <w:tcPr>
            <w:tcW w:w="635" w:type="dxa"/>
            <w:noWrap w:val="0"/>
            <w:vAlign w:val="center"/>
          </w:tcPr>
          <w:p w14:paraId="7CDF8C2D">
            <w:pPr>
              <w:ind w:left="0" w:leftChars="0" w:firstLine="0" w:firstLineChars="0"/>
              <w:jc w:val="center"/>
              <w:rPr>
                <w:rFonts w:hint="eastAsia" w:ascii="宋体" w:hAnsi="宋体" w:cs="宋体"/>
                <w:color w:val="auto"/>
                <w:sz w:val="21"/>
                <w:szCs w:val="21"/>
                <w:highlight w:val="none"/>
                <w:lang w:val="en-US" w:eastAsia="zh-CN"/>
              </w:rPr>
            </w:pPr>
          </w:p>
        </w:tc>
      </w:tr>
      <w:tr w14:paraId="255C8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EC2BC1B">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5F7618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放大镜</w:t>
            </w:r>
          </w:p>
        </w:tc>
        <w:tc>
          <w:tcPr>
            <w:tcW w:w="5472" w:type="dxa"/>
            <w:noWrap w:val="0"/>
            <w:vAlign w:val="center"/>
          </w:tcPr>
          <w:p w14:paraId="602CF03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 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1.包装：每只塑料袋子劣量小纸盒</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2.材料：pp 塑料框架普通玻璃镜片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3.颜色：黑色框架透明玻璃镜片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4.尺寸：不少于 99*43.5*12mm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5.有效直径：40mm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6.重量：每只约 30 克</w:t>
            </w:r>
          </w:p>
        </w:tc>
        <w:tc>
          <w:tcPr>
            <w:tcW w:w="603" w:type="dxa"/>
            <w:noWrap w:val="0"/>
            <w:vAlign w:val="center"/>
          </w:tcPr>
          <w:p w14:paraId="27EE92E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64B9C1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2CA97C4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7.8</w:t>
            </w:r>
          </w:p>
        </w:tc>
        <w:tc>
          <w:tcPr>
            <w:tcW w:w="635" w:type="dxa"/>
            <w:noWrap w:val="0"/>
            <w:vAlign w:val="center"/>
          </w:tcPr>
          <w:p w14:paraId="5229BE0F">
            <w:pPr>
              <w:ind w:left="0" w:leftChars="0" w:firstLine="0" w:firstLineChars="0"/>
              <w:jc w:val="center"/>
              <w:rPr>
                <w:rFonts w:hint="eastAsia" w:ascii="宋体" w:hAnsi="宋体" w:cs="宋体"/>
                <w:color w:val="auto"/>
                <w:sz w:val="21"/>
                <w:szCs w:val="21"/>
                <w:highlight w:val="none"/>
                <w:lang w:val="en-US" w:eastAsia="zh-CN"/>
              </w:rPr>
            </w:pPr>
          </w:p>
        </w:tc>
      </w:tr>
      <w:tr w14:paraId="0DF4C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9DF18E">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907735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放大镜</w:t>
            </w:r>
          </w:p>
        </w:tc>
        <w:tc>
          <w:tcPr>
            <w:tcW w:w="5472" w:type="dxa"/>
            <w:noWrap w:val="0"/>
            <w:vAlign w:val="center"/>
          </w:tcPr>
          <w:p w14:paraId="29FA5008">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 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1.包装：每只塑料袋子劣量小纸盒，</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2.材料：pp 塑料框架普通玻璃镜片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3.颜色：黑色框架透明玻璃镜片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4.尺寸：不少于 99*43.5*12mm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5.有效直径：40mm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6.重量：每只约 30 克</w:t>
            </w:r>
          </w:p>
        </w:tc>
        <w:tc>
          <w:tcPr>
            <w:tcW w:w="603" w:type="dxa"/>
            <w:noWrap w:val="0"/>
            <w:vAlign w:val="center"/>
          </w:tcPr>
          <w:p w14:paraId="3B4A722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3834AED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FFD4A9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7.8</w:t>
            </w:r>
          </w:p>
        </w:tc>
        <w:tc>
          <w:tcPr>
            <w:tcW w:w="635" w:type="dxa"/>
            <w:noWrap w:val="0"/>
            <w:vAlign w:val="center"/>
          </w:tcPr>
          <w:p w14:paraId="2F3B022A">
            <w:pPr>
              <w:ind w:left="0" w:leftChars="0" w:firstLine="0" w:firstLineChars="0"/>
              <w:jc w:val="center"/>
              <w:rPr>
                <w:rFonts w:hint="eastAsia" w:ascii="宋体" w:hAnsi="宋体" w:cs="宋体"/>
                <w:color w:val="auto"/>
                <w:sz w:val="21"/>
                <w:szCs w:val="21"/>
                <w:highlight w:val="none"/>
                <w:lang w:val="en-US" w:eastAsia="zh-CN"/>
              </w:rPr>
            </w:pPr>
          </w:p>
        </w:tc>
      </w:tr>
      <w:tr w14:paraId="41FF9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4982643">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1B8376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天文望远镜</w:t>
            </w:r>
          </w:p>
        </w:tc>
        <w:tc>
          <w:tcPr>
            <w:tcW w:w="5472" w:type="dxa"/>
            <w:noWrap w:val="0"/>
            <w:vAlign w:val="center"/>
          </w:tcPr>
          <w:p w14:paraId="6EB5734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Ø24.5SR4mmH12.5mmH20mm1.5X 正像镜头 3X 巴洛镜、5*24 寻星镜铝脚架彩盒包装</w:t>
            </w:r>
          </w:p>
        </w:tc>
        <w:tc>
          <w:tcPr>
            <w:tcW w:w="603" w:type="dxa"/>
            <w:noWrap w:val="0"/>
            <w:vAlign w:val="center"/>
          </w:tcPr>
          <w:p w14:paraId="1EED93E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CCA443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33EA59F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552.5</w:t>
            </w:r>
          </w:p>
        </w:tc>
        <w:tc>
          <w:tcPr>
            <w:tcW w:w="635" w:type="dxa"/>
            <w:noWrap w:val="0"/>
            <w:vAlign w:val="center"/>
          </w:tcPr>
          <w:p w14:paraId="3FF97238">
            <w:pPr>
              <w:ind w:left="0" w:leftChars="0" w:firstLine="0" w:firstLineChars="0"/>
              <w:jc w:val="center"/>
              <w:rPr>
                <w:rFonts w:hint="eastAsia" w:ascii="宋体" w:hAnsi="宋体" w:cs="宋体"/>
                <w:color w:val="auto"/>
                <w:sz w:val="21"/>
                <w:szCs w:val="21"/>
                <w:highlight w:val="none"/>
                <w:lang w:val="en-US" w:eastAsia="zh-CN"/>
              </w:rPr>
            </w:pPr>
          </w:p>
        </w:tc>
      </w:tr>
      <w:tr w14:paraId="669A2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05A9B6">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635CEE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酒精喷灯</w:t>
            </w:r>
          </w:p>
        </w:tc>
        <w:tc>
          <w:tcPr>
            <w:tcW w:w="5472" w:type="dxa"/>
            <w:noWrap w:val="0"/>
            <w:vAlign w:val="center"/>
          </w:tcPr>
          <w:p w14:paraId="55EAAB8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座式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1.用黄铜制成。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2.密闭无渗漏。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3.仪器由灯壶、灯管、火苗调节杆、预热杯等部分组成。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4.火苗调节杆可使调节片可靠稳定于调节范围内的任意位置，能自如地调节空气进量而调节火焰大小。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5.壸体装酒精容积应 250mL。喷管与各管焊接牢固，喷火燃烧而熔化焊接，无漏气。火苗调节杆柄在调节火苗时不变形。调节手轮不得因工作时焦熔。</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6.仪器的性能、安全、结构及外观的一般要求分别符合 JY0001-2003《教学仪器设备产品一般质量要求》标准的第 4、5、6、7 章的有关要求。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7.标志、说明书、包装、运输、贮存等符合 JY0001-2003《教学仪器设备产品一般质量要求》的有关规定。</w:t>
            </w:r>
          </w:p>
        </w:tc>
        <w:tc>
          <w:tcPr>
            <w:tcW w:w="603" w:type="dxa"/>
            <w:noWrap w:val="0"/>
            <w:vAlign w:val="center"/>
          </w:tcPr>
          <w:p w14:paraId="50B7C2B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3900355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B2527F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114.4</w:t>
            </w:r>
          </w:p>
        </w:tc>
        <w:tc>
          <w:tcPr>
            <w:tcW w:w="635" w:type="dxa"/>
            <w:noWrap w:val="0"/>
            <w:vAlign w:val="center"/>
          </w:tcPr>
          <w:p w14:paraId="5C3B3E5E">
            <w:pPr>
              <w:ind w:left="0" w:leftChars="0" w:firstLine="0" w:firstLineChars="0"/>
              <w:jc w:val="center"/>
              <w:rPr>
                <w:rFonts w:hint="eastAsia" w:ascii="宋体" w:hAnsi="宋体" w:cs="宋体"/>
                <w:color w:val="auto"/>
                <w:sz w:val="21"/>
                <w:szCs w:val="21"/>
                <w:highlight w:val="none"/>
                <w:lang w:val="en-US" w:eastAsia="zh-CN"/>
              </w:rPr>
            </w:pPr>
          </w:p>
        </w:tc>
      </w:tr>
      <w:tr w14:paraId="215B0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DF1294">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CCA5C1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水槽</w:t>
            </w:r>
          </w:p>
        </w:tc>
        <w:tc>
          <w:tcPr>
            <w:tcW w:w="5472" w:type="dxa"/>
            <w:noWrap w:val="0"/>
            <w:vAlign w:val="center"/>
          </w:tcPr>
          <w:p w14:paraId="7AA4A66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1.产品用无毒透明硬质塑料制成。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2.外形尺寸：≥270mm×200mm×100mm，壁厚≥2mm。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3.产品自 1m 高度处自由下落于水泥地面后无破损。</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4.应符合原教育部标准《塑料水槽技术条件》JY53－80 的要求。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5.仪器的性能、安全、结构及外观的一般要求应分别符合 JY0001 标准的第 4、5、6、7 章的有关要求。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6.标志、说明书、包装、运输、贮存等应符合 JY0001-2003《教学仪器设备产品一般质量要求》的有关规定</w:t>
            </w:r>
          </w:p>
        </w:tc>
        <w:tc>
          <w:tcPr>
            <w:tcW w:w="603" w:type="dxa"/>
            <w:noWrap w:val="0"/>
            <w:vAlign w:val="center"/>
          </w:tcPr>
          <w:p w14:paraId="1A4644A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413711D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94706D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33.6</w:t>
            </w:r>
          </w:p>
        </w:tc>
        <w:tc>
          <w:tcPr>
            <w:tcW w:w="635" w:type="dxa"/>
            <w:noWrap w:val="0"/>
            <w:vAlign w:val="center"/>
          </w:tcPr>
          <w:p w14:paraId="67C10BFF">
            <w:pPr>
              <w:ind w:left="0" w:leftChars="0" w:firstLine="0" w:firstLineChars="0"/>
              <w:jc w:val="center"/>
              <w:rPr>
                <w:rFonts w:hint="eastAsia" w:ascii="宋体" w:hAnsi="宋体" w:cs="宋体"/>
                <w:color w:val="auto"/>
                <w:sz w:val="21"/>
                <w:szCs w:val="21"/>
                <w:highlight w:val="none"/>
                <w:lang w:val="en-US" w:eastAsia="zh-CN"/>
              </w:rPr>
            </w:pPr>
          </w:p>
        </w:tc>
      </w:tr>
      <w:tr w14:paraId="2BDE6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3AB10FB">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90EDCE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方座支架</w:t>
            </w:r>
          </w:p>
        </w:tc>
        <w:tc>
          <w:tcPr>
            <w:tcW w:w="5472" w:type="dxa"/>
            <w:noWrap w:val="0"/>
            <w:vAlign w:val="center"/>
          </w:tcPr>
          <w:p w14:paraId="3E1EB8A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1.产品由底座、烧杯夹、大小铁环、垂直夹、平行夹、立杆等组成。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2.底座：铸铁制成，外层涂有防锈漆，规格：不少于 200mm×130mm。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3.立杆：直径为直径 11mm（±1），杆长 600mm（±3），一端为螺纹。立杆由优质铁制成，外层电镀。</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4.大铁环内径约 90mm，柄长约 105mm，小铁环内径约 50mm，柄长约 125mm,圆环 120°处有一开口，宽约 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5.底座放置平稳，支承夹持</w:t>
            </w:r>
            <w:r>
              <w:rPr>
                <w:rFonts w:hint="eastAsia" w:ascii="宋体" w:hAnsi="宋体" w:cs="宋体"/>
                <w:color w:val="auto"/>
                <w:sz w:val="21"/>
                <w:szCs w:val="21"/>
                <w:highlight w:val="none"/>
                <w:shd w:val="clear"/>
                <w:lang w:val="en-US" w:eastAsia="zh-CN"/>
              </w:rPr>
              <w:t>可</w:t>
            </w:r>
            <w:r>
              <w:rPr>
                <w:rFonts w:hint="eastAsia" w:ascii="宋体" w:hAnsi="宋体" w:cs="宋体"/>
                <w:color w:val="auto"/>
                <w:sz w:val="21"/>
                <w:szCs w:val="21"/>
                <w:highlight w:val="none"/>
                <w:shd w:val="clear"/>
                <w:lang w:val="en-US" w:eastAsia="zh-CN"/>
              </w:rPr>
              <w:t>靠，立杆与底座垂直，铁环组装后与立杆垂直。</w:t>
            </w:r>
            <w:r>
              <w:rPr>
                <w:rFonts w:hint="eastAsia" w:ascii="宋体" w:hAnsi="宋体" w:cs="宋体"/>
                <w:color w:val="auto"/>
                <w:sz w:val="21"/>
                <w:szCs w:val="21"/>
                <w:highlight w:val="none"/>
                <w:shd w:val="clear"/>
                <w:lang w:val="en-US" w:eastAsia="zh-CN"/>
              </w:rPr>
              <w:br w:type="textWrapping"/>
            </w:r>
            <w:r>
              <w:rPr>
                <w:rFonts w:hint="eastAsia" w:ascii="宋体" w:hAnsi="宋体" w:cs="宋体"/>
                <w:color w:val="auto"/>
                <w:sz w:val="21"/>
                <w:szCs w:val="21"/>
                <w:highlight w:val="none"/>
                <w:shd w:val="clear"/>
                <w:lang w:val="en-US" w:eastAsia="zh-CN"/>
              </w:rPr>
              <w:t>6.其它符合 JY0001-2003 《教学仪器设备产品一般质量要求》第 6、7 章有关规定。</w:t>
            </w:r>
            <w:r>
              <w:rPr>
                <w:rFonts w:hint="eastAsia" w:ascii="宋体" w:hAnsi="宋体" w:cs="宋体"/>
                <w:color w:val="auto"/>
                <w:sz w:val="21"/>
                <w:szCs w:val="21"/>
                <w:highlight w:val="none"/>
                <w:shd w:val="clear"/>
                <w:lang w:val="en-US" w:eastAsia="zh-CN"/>
              </w:rPr>
              <w:br w:type="textWrapping"/>
            </w:r>
            <w:r>
              <w:rPr>
                <w:rFonts w:hint="eastAsia" w:ascii="宋体" w:hAnsi="宋体" w:cs="宋体"/>
                <w:color w:val="auto"/>
                <w:sz w:val="21"/>
                <w:szCs w:val="21"/>
                <w:highlight w:val="none"/>
                <w:shd w:val="clear"/>
                <w:lang w:val="en-US" w:eastAsia="zh-CN"/>
              </w:rPr>
              <w:t>7.应符合原教育部标准《方座支架》JY167-84 的相关规定。</w:t>
            </w:r>
            <w:r>
              <w:rPr>
                <w:rFonts w:hint="eastAsia" w:ascii="宋体" w:hAnsi="宋体" w:cs="宋体"/>
                <w:color w:val="auto"/>
                <w:sz w:val="21"/>
                <w:szCs w:val="21"/>
                <w:highlight w:val="none"/>
                <w:shd w:val="clear"/>
                <w:lang w:val="en-US" w:eastAsia="zh-CN"/>
              </w:rPr>
              <w:br w:type="textWrapping"/>
            </w:r>
            <w:r>
              <w:rPr>
                <w:rFonts w:hint="eastAsia" w:ascii="宋体" w:hAnsi="宋体" w:cs="宋体"/>
                <w:color w:val="auto"/>
                <w:sz w:val="21"/>
                <w:szCs w:val="21"/>
                <w:highlight w:val="none"/>
                <w:shd w:val="clear"/>
                <w:lang w:val="en-US" w:eastAsia="zh-CN"/>
              </w:rPr>
              <w:t>8.标志、说明书、包装、运输、贮存等应符合 JY0001-2003《教学仪器设备产品一般质量要求》 的有关规定。</w:t>
            </w:r>
          </w:p>
        </w:tc>
        <w:tc>
          <w:tcPr>
            <w:tcW w:w="603" w:type="dxa"/>
            <w:noWrap w:val="0"/>
            <w:vAlign w:val="center"/>
          </w:tcPr>
          <w:p w14:paraId="1768315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2A4792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190CCA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138</w:t>
            </w:r>
          </w:p>
        </w:tc>
        <w:tc>
          <w:tcPr>
            <w:tcW w:w="635" w:type="dxa"/>
            <w:noWrap w:val="0"/>
            <w:vAlign w:val="center"/>
          </w:tcPr>
          <w:p w14:paraId="461E8F5D">
            <w:pPr>
              <w:ind w:left="0" w:leftChars="0" w:firstLine="0" w:firstLineChars="0"/>
              <w:jc w:val="center"/>
              <w:rPr>
                <w:rFonts w:hint="eastAsia" w:ascii="宋体" w:hAnsi="宋体" w:cs="宋体"/>
                <w:color w:val="auto"/>
                <w:sz w:val="21"/>
                <w:szCs w:val="21"/>
                <w:highlight w:val="none"/>
                <w:lang w:val="en-US" w:eastAsia="zh-CN"/>
              </w:rPr>
            </w:pPr>
          </w:p>
        </w:tc>
      </w:tr>
      <w:tr w14:paraId="7A832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CBC4B24">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ED3D3D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三脚架</w:t>
            </w:r>
          </w:p>
        </w:tc>
        <w:tc>
          <w:tcPr>
            <w:tcW w:w="5472" w:type="dxa"/>
            <w:noWrap w:val="0"/>
            <w:vAlign w:val="center"/>
          </w:tcPr>
          <w:p w14:paraId="024E377F">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1.圆环、支撑脚用料为φ6mm 冷拉钢材质，表面喷漆防锈处理。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2.支撑圆环直径外径φ130mm，φ内径90mm、壁厚5mm。圆环平面与放置台面平行，高约143mm。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3.三支撑脚与圆环间焊接牢靠，分布均匀，焊点光滑、平稳。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4.表面无明显的凹痕、裂缝、变形等缺陷；表面喷漆层应均匀，不起泡、龟裂、脱落和磨损；无锈蚀及其他机械损伤。</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5.标志、说明书、包装、运输、贮存等应符合 JY0001-2003 的有关规定。</w:t>
            </w:r>
          </w:p>
        </w:tc>
        <w:tc>
          <w:tcPr>
            <w:tcW w:w="603" w:type="dxa"/>
            <w:noWrap w:val="0"/>
            <w:vAlign w:val="center"/>
          </w:tcPr>
          <w:p w14:paraId="55314AA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CCD011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3E609E4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35" w:type="dxa"/>
            <w:noWrap w:val="0"/>
            <w:vAlign w:val="center"/>
          </w:tcPr>
          <w:p w14:paraId="54181F0E">
            <w:pPr>
              <w:ind w:left="0" w:leftChars="0" w:firstLine="0" w:firstLineChars="0"/>
              <w:jc w:val="center"/>
              <w:rPr>
                <w:rFonts w:hint="eastAsia" w:ascii="宋体" w:hAnsi="宋体" w:cs="宋体"/>
                <w:color w:val="auto"/>
                <w:sz w:val="21"/>
                <w:szCs w:val="21"/>
                <w:highlight w:val="none"/>
                <w:lang w:val="en-US" w:eastAsia="zh-CN"/>
              </w:rPr>
            </w:pPr>
          </w:p>
        </w:tc>
      </w:tr>
      <w:tr w14:paraId="5CCF0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AA390C">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8BFA92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试管架</w:t>
            </w:r>
          </w:p>
        </w:tc>
        <w:tc>
          <w:tcPr>
            <w:tcW w:w="5472" w:type="dxa"/>
            <w:noWrap w:val="0"/>
            <w:vAlign w:val="center"/>
          </w:tcPr>
          <w:p w14:paraId="4C81811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1.产品为 6 孔型式，ABS 塑料，呈橘黄色。</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2.底部长约 175mm、宽约 75mm，试管架总高约 90mm。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3.试管架有φ30±1mm 固定孔 1 个，φ22±1mm 固定孔 1 个，有φ18±1mm 固定孔 2 个，有 φ15±1mm 固定孔 2 个，有φ10±1mm 固定孔 3 个。</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4.试管柱 6 个，底端直径φ10±1mm，长 65±2mm。</w:t>
            </w:r>
          </w:p>
        </w:tc>
        <w:tc>
          <w:tcPr>
            <w:tcW w:w="603" w:type="dxa"/>
            <w:noWrap w:val="0"/>
            <w:vAlign w:val="center"/>
          </w:tcPr>
          <w:p w14:paraId="350A8E6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6F6BF22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6BE456F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39</w:t>
            </w:r>
          </w:p>
        </w:tc>
        <w:tc>
          <w:tcPr>
            <w:tcW w:w="635" w:type="dxa"/>
            <w:noWrap w:val="0"/>
            <w:vAlign w:val="center"/>
          </w:tcPr>
          <w:p w14:paraId="70D87C15">
            <w:pPr>
              <w:ind w:left="0" w:leftChars="0" w:firstLine="0" w:firstLineChars="0"/>
              <w:jc w:val="center"/>
              <w:rPr>
                <w:rFonts w:hint="eastAsia" w:ascii="宋体" w:hAnsi="宋体" w:cs="宋体"/>
                <w:color w:val="auto"/>
                <w:sz w:val="21"/>
                <w:szCs w:val="21"/>
                <w:highlight w:val="none"/>
                <w:lang w:val="en-US" w:eastAsia="zh-CN"/>
              </w:rPr>
            </w:pPr>
          </w:p>
        </w:tc>
      </w:tr>
      <w:tr w14:paraId="62073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D3E3E7">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8F53D2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旋转架</w:t>
            </w:r>
          </w:p>
        </w:tc>
        <w:tc>
          <w:tcPr>
            <w:tcW w:w="5472" w:type="dxa"/>
            <w:noWrap w:val="0"/>
            <w:vAlign w:val="center"/>
          </w:tcPr>
          <w:p w14:paraId="6697533F">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1.产品由旋转架、心轴、立柱、底座组成。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2.整体尺寸：不少于 80mm×50mm×90mm.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3.旋转架、立柱、底座均采用注塑成型。</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4.立柱呈空心状，基本尺寸φ11mm×45mm，其中一端为直径约 6mm×高 0.8mm 台肩圆柱，空心圆柱的底部与上口均设有φ0.7mm 孔，用以安装心轴。</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5.旋转架基本尺寸 36mm×21mm×17mm，中心设有半圆槽，槽体半径为 5mm，槽深 8mm，槽底</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部呈长方形，底部中心设有直径 1.60mm 钢丝轴。底座基本尺寸为不低于 80mm×50mm×12mm。</w:t>
            </w:r>
          </w:p>
        </w:tc>
        <w:tc>
          <w:tcPr>
            <w:tcW w:w="603" w:type="dxa"/>
            <w:noWrap w:val="0"/>
            <w:vAlign w:val="center"/>
          </w:tcPr>
          <w:p w14:paraId="2CB4D6E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17B97D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1597C6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20.28</w:t>
            </w:r>
          </w:p>
        </w:tc>
        <w:tc>
          <w:tcPr>
            <w:tcW w:w="635" w:type="dxa"/>
            <w:noWrap w:val="0"/>
            <w:vAlign w:val="center"/>
          </w:tcPr>
          <w:p w14:paraId="4627694F">
            <w:pPr>
              <w:ind w:left="0" w:leftChars="0" w:firstLine="0" w:firstLineChars="0"/>
              <w:jc w:val="center"/>
              <w:rPr>
                <w:rFonts w:hint="eastAsia" w:ascii="宋体" w:hAnsi="宋体" w:cs="宋体"/>
                <w:color w:val="auto"/>
                <w:sz w:val="21"/>
                <w:szCs w:val="21"/>
                <w:highlight w:val="none"/>
                <w:lang w:val="en-US" w:eastAsia="zh-CN"/>
              </w:rPr>
            </w:pPr>
          </w:p>
        </w:tc>
      </w:tr>
      <w:tr w14:paraId="479BF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9BBAE4F">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E24D6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百叶箱支架</w:t>
            </w:r>
          </w:p>
        </w:tc>
        <w:tc>
          <w:tcPr>
            <w:tcW w:w="5472" w:type="dxa"/>
            <w:noWrap w:val="0"/>
            <w:vAlign w:val="center"/>
          </w:tcPr>
          <w:p w14:paraId="5D7A0FA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金属架。1.四柱支撑，支撑柱采用宽约 40mm，厚 3mm 的金属角铁或直径≧60mm，壁厚 3mm 的金属园管制做。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2.平合距地面高度 1000mm 至 1600mm，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3.平台面积尺寸应符合与之配套百叶箱规格要求。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4.支架稳定牢靠，表面做防锈处理。</w:t>
            </w:r>
          </w:p>
        </w:tc>
        <w:tc>
          <w:tcPr>
            <w:tcW w:w="603" w:type="dxa"/>
            <w:noWrap w:val="0"/>
            <w:vAlign w:val="center"/>
          </w:tcPr>
          <w:p w14:paraId="6E2A85A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2BE27DA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DEA8C3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195</w:t>
            </w:r>
          </w:p>
        </w:tc>
        <w:tc>
          <w:tcPr>
            <w:tcW w:w="635" w:type="dxa"/>
            <w:noWrap w:val="0"/>
            <w:vAlign w:val="center"/>
          </w:tcPr>
          <w:p w14:paraId="4A1961AA">
            <w:pPr>
              <w:ind w:left="0" w:leftChars="0" w:firstLine="0" w:firstLineChars="0"/>
              <w:jc w:val="center"/>
              <w:rPr>
                <w:rFonts w:hint="eastAsia" w:ascii="宋体" w:hAnsi="宋体" w:cs="宋体"/>
                <w:color w:val="auto"/>
                <w:sz w:val="21"/>
                <w:szCs w:val="21"/>
                <w:highlight w:val="none"/>
                <w:lang w:val="en-US" w:eastAsia="zh-CN"/>
              </w:rPr>
            </w:pPr>
          </w:p>
        </w:tc>
      </w:tr>
      <w:tr w14:paraId="07FD7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04C9912">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D85C4D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百叶箱</w:t>
            </w:r>
          </w:p>
        </w:tc>
        <w:tc>
          <w:tcPr>
            <w:tcW w:w="5472" w:type="dxa"/>
            <w:noWrap w:val="0"/>
            <w:vAlign w:val="center"/>
          </w:tcPr>
          <w:p w14:paraId="2ACCBFB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1.≥420 ㎜×300 ㎜×560 ㎜，应选松木并经干燥脱脂处理，百叶为单层，人字形排列。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2.箱内外应涂白色漆，箱体榫接成形，应牢固，无变形。</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3.百叶箱顶盖应是横竖两层木板镶合而成，前面高于后面 10mm，以保护箱内仪器免受损害。</w:t>
            </w:r>
          </w:p>
        </w:tc>
        <w:tc>
          <w:tcPr>
            <w:tcW w:w="603" w:type="dxa"/>
            <w:noWrap w:val="0"/>
            <w:vAlign w:val="center"/>
          </w:tcPr>
          <w:p w14:paraId="40B8084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102DE36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4C5070E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448.5</w:t>
            </w:r>
          </w:p>
        </w:tc>
        <w:tc>
          <w:tcPr>
            <w:tcW w:w="635" w:type="dxa"/>
            <w:noWrap w:val="0"/>
            <w:vAlign w:val="center"/>
          </w:tcPr>
          <w:p w14:paraId="018EA0FF">
            <w:pPr>
              <w:ind w:left="0" w:leftChars="0" w:firstLine="0" w:firstLineChars="0"/>
              <w:jc w:val="center"/>
              <w:rPr>
                <w:rFonts w:hint="eastAsia" w:ascii="宋体" w:hAnsi="宋体" w:cs="宋体"/>
                <w:color w:val="auto"/>
                <w:sz w:val="21"/>
                <w:szCs w:val="21"/>
                <w:highlight w:val="none"/>
                <w:lang w:val="en-US" w:eastAsia="zh-CN"/>
              </w:rPr>
            </w:pPr>
          </w:p>
        </w:tc>
      </w:tr>
      <w:tr w14:paraId="25288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8C9B274">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52101A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电池盒</w:t>
            </w:r>
          </w:p>
        </w:tc>
        <w:tc>
          <w:tcPr>
            <w:tcW w:w="5472" w:type="dxa"/>
            <w:noWrap w:val="0"/>
            <w:vAlign w:val="center"/>
          </w:tcPr>
          <w:p w14:paraId="473C9B2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1、组成：产品由塑料盒底、正负极弹簧片、插接件组成。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2、尺寸：A）盒体壁厚：1.7mm；B）接触金属片用 0.20mm 磷铜片制成；C）弹簧由 0.85mm钢丝镀铬制成。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3、盒底由 ABS 塑料制成，蓝色盒体。接线柱采用红、黑二种颜色的接线柱组成。</w:t>
            </w:r>
          </w:p>
        </w:tc>
        <w:tc>
          <w:tcPr>
            <w:tcW w:w="603" w:type="dxa"/>
            <w:noWrap w:val="0"/>
            <w:vAlign w:val="center"/>
          </w:tcPr>
          <w:p w14:paraId="10018B3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00" w:type="dxa"/>
            <w:noWrap w:val="0"/>
            <w:vAlign w:val="center"/>
          </w:tcPr>
          <w:p w14:paraId="38BCC8C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06C1B05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002070CC">
            <w:pPr>
              <w:ind w:left="0" w:leftChars="0" w:firstLine="0" w:firstLineChars="0"/>
              <w:jc w:val="center"/>
              <w:rPr>
                <w:rFonts w:hint="eastAsia" w:ascii="宋体" w:hAnsi="宋体" w:cs="宋体"/>
                <w:color w:val="auto"/>
                <w:sz w:val="21"/>
                <w:szCs w:val="21"/>
                <w:highlight w:val="none"/>
                <w:lang w:val="en-US" w:eastAsia="zh-CN"/>
              </w:rPr>
            </w:pPr>
          </w:p>
        </w:tc>
      </w:tr>
      <w:tr w14:paraId="14126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C5878F1">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811644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直尺</w:t>
            </w:r>
          </w:p>
        </w:tc>
        <w:tc>
          <w:tcPr>
            <w:tcW w:w="5472" w:type="dxa"/>
            <w:noWrap w:val="0"/>
            <w:vAlign w:val="center"/>
          </w:tcPr>
          <w:p w14:paraId="43B23A5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1.有机玻璃，长约 500 ㎜，分度值 1mm。标注m，dm，cm，mm 四种单位。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2.外型尺寸不小于 500×25×3mm；全长允差应小于 3mm；尺面刻线清晰，垂直于测量面，无断线、数字清晰、端正。</w:t>
            </w:r>
          </w:p>
        </w:tc>
        <w:tc>
          <w:tcPr>
            <w:tcW w:w="603" w:type="dxa"/>
            <w:noWrap w:val="0"/>
            <w:vAlign w:val="center"/>
          </w:tcPr>
          <w:p w14:paraId="1C6D3FE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AB2125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只</w:t>
            </w:r>
          </w:p>
        </w:tc>
        <w:tc>
          <w:tcPr>
            <w:tcW w:w="1110" w:type="dxa"/>
            <w:noWrap w:val="0"/>
            <w:vAlign w:val="center"/>
          </w:tcPr>
          <w:p w14:paraId="2BD6E94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9.6</w:t>
            </w:r>
          </w:p>
        </w:tc>
        <w:tc>
          <w:tcPr>
            <w:tcW w:w="635" w:type="dxa"/>
            <w:noWrap w:val="0"/>
            <w:vAlign w:val="center"/>
          </w:tcPr>
          <w:p w14:paraId="5207D7AB">
            <w:pPr>
              <w:ind w:left="0" w:leftChars="0" w:firstLine="0" w:firstLineChars="0"/>
              <w:jc w:val="center"/>
              <w:rPr>
                <w:rFonts w:hint="eastAsia" w:ascii="宋体" w:hAnsi="宋体" w:cs="宋体"/>
                <w:color w:val="auto"/>
                <w:sz w:val="21"/>
                <w:szCs w:val="21"/>
                <w:highlight w:val="none"/>
                <w:lang w:val="en-US" w:eastAsia="zh-CN"/>
              </w:rPr>
            </w:pPr>
          </w:p>
        </w:tc>
      </w:tr>
      <w:tr w14:paraId="491E2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A163E13">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C3263B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软尺</w:t>
            </w:r>
          </w:p>
        </w:tc>
        <w:tc>
          <w:tcPr>
            <w:tcW w:w="5472" w:type="dxa"/>
            <w:noWrap w:val="0"/>
            <w:vAlign w:val="center"/>
          </w:tcPr>
          <w:p w14:paraId="6D2ADA3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1.材质：PVC，</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2.测量范围：1500（mm），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3.类型：皮尺，有金属包头，</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4.精度：1mm，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5.规格：约 16mm×1500mm。</w:t>
            </w:r>
          </w:p>
        </w:tc>
        <w:tc>
          <w:tcPr>
            <w:tcW w:w="603" w:type="dxa"/>
            <w:noWrap w:val="0"/>
            <w:vAlign w:val="center"/>
          </w:tcPr>
          <w:p w14:paraId="58E9E63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5C7FE9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B1193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3BA22E73">
            <w:pPr>
              <w:ind w:left="0" w:leftChars="0" w:firstLine="0" w:firstLineChars="0"/>
              <w:jc w:val="center"/>
              <w:rPr>
                <w:rFonts w:hint="eastAsia" w:ascii="宋体" w:hAnsi="宋体" w:cs="宋体"/>
                <w:color w:val="auto"/>
                <w:sz w:val="21"/>
                <w:szCs w:val="21"/>
                <w:highlight w:val="none"/>
                <w:lang w:val="en-US" w:eastAsia="zh-CN"/>
              </w:rPr>
            </w:pPr>
          </w:p>
        </w:tc>
      </w:tr>
      <w:tr w14:paraId="72E87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481C31">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7F5BFB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托盘天平</w:t>
            </w:r>
          </w:p>
        </w:tc>
        <w:tc>
          <w:tcPr>
            <w:tcW w:w="5472" w:type="dxa"/>
            <w:noWrap w:val="0"/>
            <w:vAlign w:val="center"/>
          </w:tcPr>
          <w:p w14:paraId="37F2F7DF">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1．最大称量 500g，分度值 0.5g,标尺称量 0-10g。</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2．底座为金属冲压件,表面喷塑，颜色为绿色。</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3．横梁，支架，盘托架为金属制，表面镀铬，</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4．两边吊架为锌合金压铸件，刀子为钢制，双向调节螺母。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5.标尺刻度清晰，游码为铜质，滑动自如。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6.双托盘，托盘为塑胶制成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7．包装：每台天平有塑料袋包装，扎带扎紧后放入纸盒内，防止天平受潮。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8．砝码组合的总质量（包括标尺计量值）应不小于天平的最大秤量。附件：四等砝码一套，金属镊子一把，专用塑料砝码盒一个，各种砝码定位放置。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9．冲压件及铸件表面应光洁平整，不应有毛刺、锋棱、裂纹和显见砂眼。电镀件的镀层应色泽均匀，不应有露底和显见的麻点、水迹、擦伤等缺陷。油漆件表面应平整光滑，色泽均匀，不应有露底、起泡、挂漆、擦伤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10．符合 JY0001－2003《教学仪器一般质量要求》的有关规定。</w:t>
            </w:r>
          </w:p>
        </w:tc>
        <w:tc>
          <w:tcPr>
            <w:tcW w:w="603" w:type="dxa"/>
            <w:noWrap w:val="0"/>
            <w:vAlign w:val="center"/>
          </w:tcPr>
          <w:p w14:paraId="061AF58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37210DB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6EEEB5E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162.5</w:t>
            </w:r>
          </w:p>
        </w:tc>
        <w:tc>
          <w:tcPr>
            <w:tcW w:w="635" w:type="dxa"/>
            <w:noWrap w:val="0"/>
            <w:vAlign w:val="center"/>
          </w:tcPr>
          <w:p w14:paraId="48427E38">
            <w:pPr>
              <w:ind w:left="0" w:leftChars="0" w:firstLine="0" w:firstLineChars="0"/>
              <w:jc w:val="center"/>
              <w:rPr>
                <w:rFonts w:hint="eastAsia" w:ascii="宋体" w:hAnsi="宋体" w:cs="宋体"/>
                <w:color w:val="auto"/>
                <w:sz w:val="21"/>
                <w:szCs w:val="21"/>
                <w:highlight w:val="none"/>
                <w:lang w:val="en-US" w:eastAsia="zh-CN"/>
              </w:rPr>
            </w:pPr>
          </w:p>
        </w:tc>
      </w:tr>
      <w:tr w14:paraId="4D89D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7621F81">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36ED79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金属钩码</w:t>
            </w:r>
          </w:p>
        </w:tc>
        <w:tc>
          <w:tcPr>
            <w:tcW w:w="5472" w:type="dxa"/>
            <w:noWrap w:val="0"/>
            <w:vAlign w:val="center"/>
          </w:tcPr>
          <w:p w14:paraId="3704FC8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1.（50±0.5g）×10，定位装于塑料盒内，钩码尺寸为φ27×17.2mm，上钩高约 10mm，底呈半球形，下钩位于底槽内，上下钩方向垂直，材料用钢材制成，外表镀铬，镀层不得有脱落，不均现象；挂钩必须牢固，应能承受 1000g 以上的重物悬挂。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2.应符合 JY105-82《勾码》标准要求。</w:t>
            </w:r>
          </w:p>
        </w:tc>
        <w:tc>
          <w:tcPr>
            <w:tcW w:w="603" w:type="dxa"/>
            <w:noWrap w:val="0"/>
            <w:vAlign w:val="center"/>
          </w:tcPr>
          <w:p w14:paraId="6FF5520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A3A4C8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1E8AC2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50.4</w:t>
            </w:r>
          </w:p>
        </w:tc>
        <w:tc>
          <w:tcPr>
            <w:tcW w:w="635" w:type="dxa"/>
            <w:noWrap w:val="0"/>
            <w:vAlign w:val="center"/>
          </w:tcPr>
          <w:p w14:paraId="12E79FBC">
            <w:pPr>
              <w:ind w:left="0" w:leftChars="0" w:firstLine="0" w:firstLineChars="0"/>
              <w:jc w:val="center"/>
              <w:rPr>
                <w:rFonts w:hint="eastAsia" w:ascii="宋体" w:hAnsi="宋体" w:cs="宋体"/>
                <w:color w:val="auto"/>
                <w:sz w:val="21"/>
                <w:szCs w:val="21"/>
                <w:highlight w:val="none"/>
                <w:lang w:val="en-US" w:eastAsia="zh-CN"/>
              </w:rPr>
            </w:pPr>
          </w:p>
        </w:tc>
      </w:tr>
      <w:tr w14:paraId="358DC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578F7BE">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71009D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电子停表</w:t>
            </w:r>
          </w:p>
        </w:tc>
        <w:tc>
          <w:tcPr>
            <w:tcW w:w="5472" w:type="dxa"/>
            <w:noWrap w:val="0"/>
            <w:vAlign w:val="center"/>
          </w:tcPr>
          <w:p w14:paraId="67A1E94A">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1、0.01S，以标称电压为 DC1.5V 或 DC3.0V 的扣式电池为能源，微型电脑液晶显示，可显示时、分、秒、月、日、星期， 秒表连分段时间显示功能。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2、定时响闹，贪睡功能，表玻璃透明无伤、印字清楚正确、表壳与玻璃后盖配合紧密，无明显的缝隙， 具有一般防水功能。附挂绳。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3、使用可靠，各功能显示及相互转换正常。零部、组件不得自行脱落，字段显示清晰、无误。</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4.其它符合 QB/T1908《液晶数字式石英秒表》标准等有关要求。标志、说明书、包装、运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输、贮存符合 JY0001-2003 的有关规定。</w:t>
            </w:r>
          </w:p>
        </w:tc>
        <w:tc>
          <w:tcPr>
            <w:tcW w:w="603" w:type="dxa"/>
            <w:noWrap w:val="0"/>
            <w:vAlign w:val="center"/>
          </w:tcPr>
          <w:p w14:paraId="0EC6815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57A591B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块</w:t>
            </w:r>
          </w:p>
        </w:tc>
        <w:tc>
          <w:tcPr>
            <w:tcW w:w="1110" w:type="dxa"/>
            <w:noWrap w:val="0"/>
            <w:vAlign w:val="center"/>
          </w:tcPr>
          <w:p w14:paraId="68DBA6B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45.6</w:t>
            </w:r>
          </w:p>
        </w:tc>
        <w:tc>
          <w:tcPr>
            <w:tcW w:w="635" w:type="dxa"/>
            <w:noWrap w:val="0"/>
            <w:vAlign w:val="center"/>
          </w:tcPr>
          <w:p w14:paraId="06F0D123">
            <w:pPr>
              <w:ind w:left="0" w:leftChars="0" w:firstLine="0" w:firstLineChars="0"/>
              <w:jc w:val="center"/>
              <w:rPr>
                <w:rFonts w:hint="eastAsia" w:ascii="宋体" w:hAnsi="宋体" w:cs="宋体"/>
                <w:color w:val="auto"/>
                <w:sz w:val="21"/>
                <w:szCs w:val="21"/>
                <w:highlight w:val="none"/>
                <w:lang w:val="en-US" w:eastAsia="zh-CN"/>
              </w:rPr>
            </w:pPr>
          </w:p>
        </w:tc>
      </w:tr>
      <w:tr w14:paraId="19BFA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AFACE4D">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1402DE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温度计</w:t>
            </w:r>
          </w:p>
        </w:tc>
        <w:tc>
          <w:tcPr>
            <w:tcW w:w="5472" w:type="dxa"/>
            <w:noWrap w:val="0"/>
            <w:vAlign w:val="center"/>
          </w:tcPr>
          <w:p w14:paraId="297BF5C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1.感温物质：酒精，测量范围：0℃～100℃最小分度值：1℃，允许误差±1℃，玻璃应光</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洁透明，不得有裂痕。</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2.毛细管不得有明显弯曲，其孔径应均匀，管壁内应清洁无杂质。</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3.感温液体必须纯洁、无杂质，液体不得中断。上升时不得有停滞和跳跃现象，下降时不得在管壁上留下液滴。</w:t>
            </w:r>
          </w:p>
        </w:tc>
        <w:tc>
          <w:tcPr>
            <w:tcW w:w="603" w:type="dxa"/>
            <w:noWrap w:val="0"/>
            <w:vAlign w:val="center"/>
          </w:tcPr>
          <w:p w14:paraId="70C970E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4617AC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w:t>
            </w:r>
          </w:p>
        </w:tc>
        <w:tc>
          <w:tcPr>
            <w:tcW w:w="1110" w:type="dxa"/>
            <w:noWrap w:val="0"/>
            <w:vAlign w:val="center"/>
          </w:tcPr>
          <w:p w14:paraId="226363B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3.6</w:t>
            </w:r>
          </w:p>
        </w:tc>
        <w:tc>
          <w:tcPr>
            <w:tcW w:w="635" w:type="dxa"/>
            <w:noWrap w:val="0"/>
            <w:vAlign w:val="center"/>
          </w:tcPr>
          <w:p w14:paraId="0F76AEE2">
            <w:pPr>
              <w:ind w:left="0" w:leftChars="0" w:firstLine="0" w:firstLineChars="0"/>
              <w:jc w:val="center"/>
              <w:rPr>
                <w:rFonts w:hint="eastAsia" w:ascii="宋体" w:hAnsi="宋体" w:cs="宋体"/>
                <w:color w:val="auto"/>
                <w:sz w:val="21"/>
                <w:szCs w:val="21"/>
                <w:highlight w:val="none"/>
                <w:lang w:val="en-US" w:eastAsia="zh-CN"/>
              </w:rPr>
            </w:pPr>
          </w:p>
        </w:tc>
      </w:tr>
      <w:tr w14:paraId="5861A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F4A0D5A">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EE24E1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温度计</w:t>
            </w:r>
          </w:p>
        </w:tc>
        <w:tc>
          <w:tcPr>
            <w:tcW w:w="5472" w:type="dxa"/>
            <w:noWrap w:val="0"/>
            <w:vAlign w:val="center"/>
          </w:tcPr>
          <w:p w14:paraId="42C4881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感温物质：水银，测量范围：0℃～100℃，最小分度值：1℃，允许误差±1℃</w:t>
            </w:r>
          </w:p>
        </w:tc>
        <w:tc>
          <w:tcPr>
            <w:tcW w:w="603" w:type="dxa"/>
            <w:noWrap w:val="0"/>
            <w:vAlign w:val="center"/>
          </w:tcPr>
          <w:p w14:paraId="2A30AB8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65BC14C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w:t>
            </w:r>
          </w:p>
        </w:tc>
        <w:tc>
          <w:tcPr>
            <w:tcW w:w="1110" w:type="dxa"/>
            <w:noWrap w:val="0"/>
            <w:vAlign w:val="center"/>
          </w:tcPr>
          <w:p w14:paraId="0350694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77861E76">
            <w:pPr>
              <w:ind w:left="0" w:leftChars="0" w:firstLine="0" w:firstLineChars="0"/>
              <w:jc w:val="center"/>
              <w:rPr>
                <w:rFonts w:hint="eastAsia" w:ascii="宋体" w:hAnsi="宋体" w:cs="宋体"/>
                <w:color w:val="auto"/>
                <w:sz w:val="21"/>
                <w:szCs w:val="21"/>
                <w:highlight w:val="none"/>
                <w:lang w:val="en-US" w:eastAsia="zh-CN"/>
              </w:rPr>
            </w:pPr>
          </w:p>
        </w:tc>
      </w:tr>
      <w:tr w14:paraId="6AC50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082CA89">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CEE4D4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寒暑表</w:t>
            </w:r>
          </w:p>
        </w:tc>
        <w:tc>
          <w:tcPr>
            <w:tcW w:w="5472" w:type="dxa"/>
            <w:noWrap w:val="0"/>
            <w:vAlign w:val="center"/>
          </w:tcPr>
          <w:p w14:paraId="77E50D0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 采用摄氏（℃）和华氏（℉）双刻度，面板标有：摄氏 -30℃～50℃；华氏 -20℃～120℃的标志。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  玻璃棒芯感温液，正面放大玻璃液读数。 3  温度准确度：±1℃（0℃～30℃）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  最小分度值：1℃</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  储藏条件：-30℃～60℃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 尺寸：不小于 230mm×49mm×9mm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 性能、结构、外观应符合 JY0001 第 4、6、7 的有关要求。</w:t>
            </w:r>
          </w:p>
        </w:tc>
        <w:tc>
          <w:tcPr>
            <w:tcW w:w="603" w:type="dxa"/>
            <w:noWrap w:val="0"/>
            <w:vAlign w:val="center"/>
          </w:tcPr>
          <w:p w14:paraId="70B4A98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7C109A0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只</w:t>
            </w:r>
          </w:p>
        </w:tc>
        <w:tc>
          <w:tcPr>
            <w:tcW w:w="1110" w:type="dxa"/>
            <w:noWrap w:val="0"/>
            <w:vAlign w:val="center"/>
          </w:tcPr>
          <w:p w14:paraId="3E9B8B8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282F1617">
            <w:pPr>
              <w:ind w:left="0" w:leftChars="0" w:firstLine="0" w:firstLineChars="0"/>
              <w:jc w:val="center"/>
              <w:rPr>
                <w:rFonts w:hint="eastAsia" w:ascii="宋体" w:hAnsi="宋体" w:cs="宋体"/>
                <w:color w:val="auto"/>
                <w:sz w:val="21"/>
                <w:szCs w:val="21"/>
                <w:highlight w:val="none"/>
                <w:lang w:val="en-US" w:eastAsia="zh-CN"/>
              </w:rPr>
            </w:pPr>
          </w:p>
        </w:tc>
      </w:tr>
      <w:tr w14:paraId="79F67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E950699">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4C3E96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最高温度表</w:t>
            </w:r>
          </w:p>
        </w:tc>
        <w:tc>
          <w:tcPr>
            <w:tcW w:w="5472" w:type="dxa"/>
            <w:noWrap w:val="0"/>
            <w:vAlign w:val="center"/>
          </w:tcPr>
          <w:p w14:paraId="61C1490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1.测量范围：-16℃~+81℃，测量误差±1℃。最小分度值：1℃。</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2.玻璃制品，有清晰刻度，内部为液体汞柱，产品内成真空状，汞柱成自然短线与测量温度无碍，不会影响测量准确性。</w:t>
            </w:r>
          </w:p>
        </w:tc>
        <w:tc>
          <w:tcPr>
            <w:tcW w:w="603" w:type="dxa"/>
            <w:noWrap w:val="0"/>
            <w:vAlign w:val="center"/>
          </w:tcPr>
          <w:p w14:paraId="1C2216B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401610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w:t>
            </w:r>
          </w:p>
        </w:tc>
        <w:tc>
          <w:tcPr>
            <w:tcW w:w="1110" w:type="dxa"/>
            <w:noWrap w:val="0"/>
            <w:vAlign w:val="center"/>
          </w:tcPr>
          <w:p w14:paraId="2CCA1A8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35.88</w:t>
            </w:r>
          </w:p>
        </w:tc>
        <w:tc>
          <w:tcPr>
            <w:tcW w:w="635" w:type="dxa"/>
            <w:noWrap w:val="0"/>
            <w:vAlign w:val="center"/>
          </w:tcPr>
          <w:p w14:paraId="5CD9CA38">
            <w:pPr>
              <w:ind w:left="0" w:leftChars="0" w:firstLine="0" w:firstLineChars="0"/>
              <w:jc w:val="center"/>
              <w:rPr>
                <w:rFonts w:hint="eastAsia" w:ascii="宋体" w:hAnsi="宋体" w:cs="宋体"/>
                <w:color w:val="auto"/>
                <w:sz w:val="21"/>
                <w:szCs w:val="21"/>
                <w:highlight w:val="none"/>
                <w:lang w:val="en-US" w:eastAsia="zh-CN"/>
              </w:rPr>
            </w:pPr>
          </w:p>
        </w:tc>
      </w:tr>
      <w:tr w14:paraId="028F1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BD9968">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D764E0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最低温度表</w:t>
            </w:r>
          </w:p>
        </w:tc>
        <w:tc>
          <w:tcPr>
            <w:tcW w:w="5472" w:type="dxa"/>
            <w:noWrap w:val="0"/>
            <w:vAlign w:val="center"/>
          </w:tcPr>
          <w:p w14:paraId="22E08FA2">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1.最低温度表测量范围：-52℃~+41℃，测量误差±1℃。最小分度值：1℃。</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2.玻璃制品，有清晰刻度，内部为液体汞柱，产品内成真空状，汞柱成自然短线与测量温度无碍，不会影响测量准确性。</w:t>
            </w:r>
          </w:p>
        </w:tc>
        <w:tc>
          <w:tcPr>
            <w:tcW w:w="603" w:type="dxa"/>
            <w:noWrap w:val="0"/>
            <w:vAlign w:val="center"/>
          </w:tcPr>
          <w:p w14:paraId="6F7324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177D570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w:t>
            </w:r>
          </w:p>
        </w:tc>
        <w:tc>
          <w:tcPr>
            <w:tcW w:w="1110" w:type="dxa"/>
            <w:noWrap w:val="0"/>
            <w:vAlign w:val="center"/>
          </w:tcPr>
          <w:p w14:paraId="57843BB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35.88</w:t>
            </w:r>
          </w:p>
        </w:tc>
        <w:tc>
          <w:tcPr>
            <w:tcW w:w="635" w:type="dxa"/>
            <w:noWrap w:val="0"/>
            <w:vAlign w:val="center"/>
          </w:tcPr>
          <w:p w14:paraId="64501B0D">
            <w:pPr>
              <w:ind w:left="0" w:leftChars="0" w:firstLine="0" w:firstLineChars="0"/>
              <w:jc w:val="center"/>
              <w:rPr>
                <w:rFonts w:hint="eastAsia" w:ascii="宋体" w:hAnsi="宋体" w:cs="宋体"/>
                <w:color w:val="auto"/>
                <w:sz w:val="21"/>
                <w:szCs w:val="21"/>
                <w:highlight w:val="none"/>
                <w:lang w:val="en-US" w:eastAsia="zh-CN"/>
              </w:rPr>
            </w:pPr>
          </w:p>
        </w:tc>
      </w:tr>
      <w:tr w14:paraId="5B4D5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4748904">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38153B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条形盒测力计</w:t>
            </w:r>
          </w:p>
        </w:tc>
        <w:tc>
          <w:tcPr>
            <w:tcW w:w="5472" w:type="dxa"/>
            <w:noWrap w:val="0"/>
            <w:vAlign w:val="center"/>
          </w:tcPr>
          <w:p w14:paraId="060B689A">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1．本产品为压力量程 5N 的条形盒测力计。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2．主刻线长为 7±1mm，辅刻线长为 6±1mm。刻度线及字迹清晰、均匀、工整。在 0 刻及量程的 1/5、2/5、3/5、4/5 及满刻度处应有数字标出刻度值。指针覆盖刻线部分的宽度不大于 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3．船形外壳：塑料制，一次冲压制成。刻度面板固定良好。外壳尺寸为 151mm×36mm×20mm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4．本产品应有零位校准机构。。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5．使用寿命应不少于 10000 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6．其他应符合 JY-127-91 的规定。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7．标志、说明书、包装、运输、贮存应符合 JY0001-2003 的有关规定。</w:t>
            </w:r>
          </w:p>
        </w:tc>
        <w:tc>
          <w:tcPr>
            <w:tcW w:w="603" w:type="dxa"/>
            <w:noWrap w:val="0"/>
            <w:vAlign w:val="center"/>
          </w:tcPr>
          <w:p w14:paraId="6877AEE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B2FBD4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6EDCC7D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21.45</w:t>
            </w:r>
          </w:p>
        </w:tc>
        <w:tc>
          <w:tcPr>
            <w:tcW w:w="635" w:type="dxa"/>
            <w:noWrap w:val="0"/>
            <w:vAlign w:val="center"/>
          </w:tcPr>
          <w:p w14:paraId="10A4D52E">
            <w:pPr>
              <w:ind w:left="0" w:leftChars="0" w:firstLine="0" w:firstLineChars="0"/>
              <w:jc w:val="center"/>
              <w:rPr>
                <w:rFonts w:hint="eastAsia" w:ascii="宋体" w:hAnsi="宋体" w:cs="宋体"/>
                <w:color w:val="auto"/>
                <w:sz w:val="21"/>
                <w:szCs w:val="21"/>
                <w:highlight w:val="none"/>
                <w:lang w:val="en-US" w:eastAsia="zh-CN"/>
              </w:rPr>
            </w:pPr>
          </w:p>
        </w:tc>
      </w:tr>
      <w:tr w14:paraId="7D29F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9EFAD98">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8D28BD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条形盒测力计</w:t>
            </w:r>
          </w:p>
        </w:tc>
        <w:tc>
          <w:tcPr>
            <w:tcW w:w="5472" w:type="dxa"/>
            <w:noWrap w:val="0"/>
            <w:vAlign w:val="center"/>
          </w:tcPr>
          <w:p w14:paraId="09BB6E73">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1．本产品为压力量程 2.5N 的条形盒测力计。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2．主刻线长为 7±1mm，辅刻线长为 6±1mm。刻度线及字迹清晰、均匀、工整。在 0 刻及量程的 1/5、2/5、3/5、4/5 及满刻度处应有数字标出刻度值。指针覆盖刻线部分的宽度不大于 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3．船形外壳：塑料制，一次冲压制成。刻度面板固定良好。外壳尺寸为不低于 151mm×36mm×20mm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4．本产品应有零位校准机构。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5．使用寿命应不少于 10000 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6．其他应符合 JY-127-91 的规定。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7．标志、说明书、包装、运输、贮存应符合 JY0001-2003《教学仪器设备产品一般质量要求》 的有关规定。</w:t>
            </w:r>
          </w:p>
        </w:tc>
        <w:tc>
          <w:tcPr>
            <w:tcW w:w="603" w:type="dxa"/>
            <w:noWrap w:val="0"/>
            <w:vAlign w:val="center"/>
          </w:tcPr>
          <w:p w14:paraId="0DD7D24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9C3712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48751EF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21.45</w:t>
            </w:r>
          </w:p>
        </w:tc>
        <w:tc>
          <w:tcPr>
            <w:tcW w:w="635" w:type="dxa"/>
            <w:noWrap w:val="0"/>
            <w:vAlign w:val="center"/>
          </w:tcPr>
          <w:p w14:paraId="181633F4">
            <w:pPr>
              <w:ind w:left="0" w:leftChars="0" w:firstLine="0" w:firstLineChars="0"/>
              <w:jc w:val="center"/>
              <w:rPr>
                <w:rFonts w:hint="eastAsia" w:ascii="宋体" w:hAnsi="宋体" w:cs="宋体"/>
                <w:color w:val="auto"/>
                <w:sz w:val="21"/>
                <w:szCs w:val="21"/>
                <w:highlight w:val="none"/>
                <w:lang w:val="en-US" w:eastAsia="zh-CN"/>
              </w:rPr>
            </w:pPr>
          </w:p>
        </w:tc>
      </w:tr>
      <w:tr w14:paraId="5E6EE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11EE1BD">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DAE6FC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条形盒测力计</w:t>
            </w:r>
          </w:p>
        </w:tc>
        <w:tc>
          <w:tcPr>
            <w:tcW w:w="5472" w:type="dxa"/>
            <w:noWrap w:val="0"/>
            <w:vAlign w:val="center"/>
          </w:tcPr>
          <w:p w14:paraId="4D4459DB">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1．本产品为压力量程 1N 的条形盒测力计。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2．主刻线长为 7±1mm，辅刻线长为 6±1mm。刻度线及字迹清晰、均匀、工整。在 0 刻及量程的 1/5、2/5、3/5、4/5 及满刻度处应有数字标出刻度值。指针覆盖刻线部分的宽度不大于 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3．船形外壳：塑料制，一次冲压制成。刻度面板固定良好。外壳尺寸为不低于 151mm×36mm×20mm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4．本产品应有零位校准机构。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5．使用寿命应不少于 10000 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6．其他应符合 JY-127-91 的规定。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7．标志、说明书、包装、运输、贮存应符合 JY0001-2003《教学仪器设备产品一般质量要求》 的有关规定。</w:t>
            </w:r>
          </w:p>
        </w:tc>
        <w:tc>
          <w:tcPr>
            <w:tcW w:w="603" w:type="dxa"/>
            <w:noWrap w:val="0"/>
            <w:vAlign w:val="center"/>
          </w:tcPr>
          <w:p w14:paraId="290AFD8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321CB8D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4630D52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21.45</w:t>
            </w:r>
          </w:p>
        </w:tc>
        <w:tc>
          <w:tcPr>
            <w:tcW w:w="635" w:type="dxa"/>
            <w:noWrap w:val="0"/>
            <w:vAlign w:val="center"/>
          </w:tcPr>
          <w:p w14:paraId="1A5373B0">
            <w:pPr>
              <w:ind w:left="0" w:leftChars="0" w:firstLine="0" w:firstLineChars="0"/>
              <w:jc w:val="center"/>
              <w:rPr>
                <w:rFonts w:hint="eastAsia" w:ascii="宋体" w:hAnsi="宋体" w:cs="宋体"/>
                <w:color w:val="auto"/>
                <w:sz w:val="21"/>
                <w:szCs w:val="21"/>
                <w:highlight w:val="none"/>
                <w:lang w:val="en-US" w:eastAsia="zh-CN"/>
              </w:rPr>
            </w:pPr>
          </w:p>
        </w:tc>
      </w:tr>
      <w:tr w14:paraId="3D729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3678508">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9979F0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多用电表</w:t>
            </w:r>
          </w:p>
        </w:tc>
        <w:tc>
          <w:tcPr>
            <w:tcW w:w="5472" w:type="dxa"/>
            <w:noWrap w:val="0"/>
            <w:vAlign w:val="center"/>
          </w:tcPr>
          <w:p w14:paraId="3C38A7E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1.准确度等级：DC 电流、电压电阻 2.5 级，AC 电压 5 级。灵敏度：DC：5KΩ/VAC：2.5KΩ/V。</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 xml:space="preserve">2.测量范围：直流电流 0~1mA~10mA~100mA </w:t>
            </w:r>
          </w:p>
          <w:p w14:paraId="2D8B405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直流电压 2.5v~10v~50v~250v~500v </w:t>
            </w:r>
          </w:p>
          <w:p w14:paraId="2211F5C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交流电压2.5v~10v~50v~250v~500v </w:t>
            </w:r>
          </w:p>
          <w:p w14:paraId="419684B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电阻 R×1、R×10、R×100、R×1K </w:t>
            </w:r>
          </w:p>
          <w:p w14:paraId="18A3EEDE">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中心电阻 15Ω、150Ω、1.5K Ω、15KΩ，</w:t>
            </w:r>
          </w:p>
        </w:tc>
        <w:tc>
          <w:tcPr>
            <w:tcW w:w="603" w:type="dxa"/>
            <w:noWrap w:val="0"/>
            <w:vAlign w:val="center"/>
          </w:tcPr>
          <w:p w14:paraId="6B24BE9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778AF9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3CACE79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172.8</w:t>
            </w:r>
          </w:p>
        </w:tc>
        <w:tc>
          <w:tcPr>
            <w:tcW w:w="635" w:type="dxa"/>
            <w:noWrap w:val="0"/>
            <w:vAlign w:val="center"/>
          </w:tcPr>
          <w:p w14:paraId="7380EAFA">
            <w:pPr>
              <w:ind w:left="0" w:leftChars="0" w:firstLine="0" w:firstLineChars="0"/>
              <w:jc w:val="center"/>
              <w:rPr>
                <w:rFonts w:hint="eastAsia" w:ascii="宋体" w:hAnsi="宋体" w:cs="宋体"/>
                <w:color w:val="auto"/>
                <w:sz w:val="21"/>
                <w:szCs w:val="21"/>
                <w:highlight w:val="none"/>
                <w:lang w:val="en-US" w:eastAsia="zh-CN"/>
              </w:rPr>
            </w:pPr>
          </w:p>
        </w:tc>
      </w:tr>
      <w:tr w14:paraId="4A860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198CD63">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EBDD3F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湿度计</w:t>
            </w:r>
          </w:p>
        </w:tc>
        <w:tc>
          <w:tcPr>
            <w:tcW w:w="5472" w:type="dxa"/>
            <w:noWrap w:val="0"/>
            <w:vAlign w:val="center"/>
          </w:tcPr>
          <w:p w14:paraId="55FE420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1.指针式，由铁皮外壳、玻璃面罩、游丝、指针、刻度盘组成。铁皮外壳、外壳上装有悬挂装置。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2.刻度盘为圆形，刻度盘厚度不小于 1mm，直径不小于 100mm。标有计量仪器标志。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3.铁皮外壳、刻度盘的漆层附着牢固，不脱落，表面平整光滑、薄厚均匀，不应有剥落和露底。盘面印有 0%～100%的刻度，最小分度值 1%，刻度清晰，字迹清楚，示值允差±5%。</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4.指针转动灵活，无卡滞现象。</w:t>
            </w:r>
          </w:p>
        </w:tc>
        <w:tc>
          <w:tcPr>
            <w:tcW w:w="603" w:type="dxa"/>
            <w:noWrap w:val="0"/>
            <w:vAlign w:val="center"/>
          </w:tcPr>
          <w:p w14:paraId="4F13D5C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22E4B50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108282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635" w:type="dxa"/>
            <w:noWrap w:val="0"/>
            <w:vAlign w:val="center"/>
          </w:tcPr>
          <w:p w14:paraId="090914AE">
            <w:pPr>
              <w:ind w:left="0" w:leftChars="0" w:firstLine="0" w:firstLineChars="0"/>
              <w:jc w:val="center"/>
              <w:rPr>
                <w:rFonts w:hint="eastAsia" w:ascii="宋体" w:hAnsi="宋体" w:cs="宋体"/>
                <w:color w:val="auto"/>
                <w:sz w:val="21"/>
                <w:szCs w:val="21"/>
                <w:highlight w:val="none"/>
                <w:lang w:val="en-US" w:eastAsia="zh-CN"/>
              </w:rPr>
            </w:pPr>
          </w:p>
        </w:tc>
      </w:tr>
      <w:tr w14:paraId="7EBE6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88295CA">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8AF317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指南针</w:t>
            </w:r>
          </w:p>
        </w:tc>
        <w:tc>
          <w:tcPr>
            <w:tcW w:w="5472" w:type="dxa"/>
            <w:noWrap w:val="0"/>
            <w:vAlign w:val="center"/>
          </w:tcPr>
          <w:p w14:paraId="597FF3D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直径约 50mm，塑料材质</w:t>
            </w:r>
          </w:p>
        </w:tc>
        <w:tc>
          <w:tcPr>
            <w:tcW w:w="603" w:type="dxa"/>
            <w:noWrap w:val="0"/>
            <w:vAlign w:val="center"/>
          </w:tcPr>
          <w:p w14:paraId="06FCAF6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CE494B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2C7CFE1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35" w:type="dxa"/>
            <w:noWrap w:val="0"/>
            <w:vAlign w:val="center"/>
          </w:tcPr>
          <w:p w14:paraId="4F42B4EE">
            <w:pPr>
              <w:ind w:left="0" w:leftChars="0" w:firstLine="0" w:firstLineChars="0"/>
              <w:jc w:val="center"/>
              <w:rPr>
                <w:rFonts w:hint="eastAsia" w:ascii="宋体" w:hAnsi="宋体" w:cs="宋体"/>
                <w:color w:val="auto"/>
                <w:sz w:val="21"/>
                <w:szCs w:val="21"/>
                <w:highlight w:val="none"/>
                <w:lang w:val="en-US" w:eastAsia="zh-CN"/>
              </w:rPr>
            </w:pPr>
          </w:p>
        </w:tc>
      </w:tr>
      <w:tr w14:paraId="4ED0C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E2D54A6">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FD01B6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肺活量计</w:t>
            </w:r>
          </w:p>
        </w:tc>
        <w:tc>
          <w:tcPr>
            <w:tcW w:w="5472" w:type="dxa"/>
            <w:noWrap w:val="0"/>
            <w:vAlign w:val="center"/>
          </w:tcPr>
          <w:p w14:paraId="21C108D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1.产品由塑料瓶、吹气软管、吹气嘴和不锈钢套筒组成。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2.塑料瓶直径约 145mm，高度约 375mm；不锈钢套筒外径约 160mm,高度约为 410mm；吹气软管外径约 11mm,长度约 520mm，带有吹气嘴。</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3.塑料瓶容量为 7.0L。</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4.塑料瓶表面印有容量刻度，最小刻度 0.1 升，小刻度线长度 0.5mm，大刻度线长度 2.5mm，宽度为 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5.附吹气嘴 10 个。</w:t>
            </w:r>
          </w:p>
        </w:tc>
        <w:tc>
          <w:tcPr>
            <w:tcW w:w="603" w:type="dxa"/>
            <w:noWrap w:val="0"/>
            <w:vAlign w:val="center"/>
          </w:tcPr>
          <w:p w14:paraId="23BD054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37F22DE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5484D75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288</w:t>
            </w:r>
          </w:p>
        </w:tc>
        <w:tc>
          <w:tcPr>
            <w:tcW w:w="635" w:type="dxa"/>
            <w:noWrap w:val="0"/>
            <w:vAlign w:val="center"/>
          </w:tcPr>
          <w:p w14:paraId="72EF67AE">
            <w:pPr>
              <w:ind w:left="0" w:leftChars="0" w:firstLine="0" w:firstLineChars="0"/>
              <w:jc w:val="center"/>
              <w:rPr>
                <w:rFonts w:hint="eastAsia" w:ascii="宋体" w:hAnsi="宋体" w:cs="宋体"/>
                <w:color w:val="auto"/>
                <w:sz w:val="21"/>
                <w:szCs w:val="21"/>
                <w:highlight w:val="none"/>
                <w:lang w:val="en-US" w:eastAsia="zh-CN"/>
              </w:rPr>
            </w:pPr>
          </w:p>
        </w:tc>
      </w:tr>
      <w:tr w14:paraId="5F85C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9A5AAC">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BBB992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雨量器</w:t>
            </w:r>
          </w:p>
        </w:tc>
        <w:tc>
          <w:tcPr>
            <w:tcW w:w="5472" w:type="dxa"/>
            <w:noWrap w:val="0"/>
            <w:vAlign w:val="center"/>
          </w:tcPr>
          <w:p w14:paraId="3694A33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1.主要由底座、筒体、承水器、专用量杯（1000ml）三大部分组成。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2.承水器口径为 200±1mm；筒体直径 210mm，长 700±5mm。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3.重量约为 5kg</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4.标志、说明书、包装、运输、贮存符合 JY0001-2003《教学仪器设备产品一般质量要求》 的有关规定。</w:t>
            </w:r>
          </w:p>
        </w:tc>
        <w:tc>
          <w:tcPr>
            <w:tcW w:w="603" w:type="dxa"/>
            <w:noWrap w:val="0"/>
            <w:vAlign w:val="center"/>
          </w:tcPr>
          <w:p w14:paraId="01F6952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19115FE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437D1E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500.00</w:t>
            </w:r>
          </w:p>
        </w:tc>
        <w:tc>
          <w:tcPr>
            <w:tcW w:w="635" w:type="dxa"/>
            <w:noWrap w:val="0"/>
            <w:vAlign w:val="center"/>
          </w:tcPr>
          <w:p w14:paraId="299934F8">
            <w:pPr>
              <w:ind w:left="0" w:leftChars="0" w:firstLine="0" w:firstLineChars="0"/>
              <w:jc w:val="center"/>
              <w:rPr>
                <w:rFonts w:hint="eastAsia" w:ascii="宋体" w:hAnsi="宋体" w:cs="宋体"/>
                <w:color w:val="auto"/>
                <w:sz w:val="21"/>
                <w:szCs w:val="21"/>
                <w:highlight w:val="none"/>
                <w:lang w:val="en-US" w:eastAsia="zh-CN"/>
              </w:rPr>
            </w:pPr>
          </w:p>
        </w:tc>
      </w:tr>
      <w:tr w14:paraId="36046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52D8451">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4AC8B5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风杯式风速表</w:t>
            </w:r>
          </w:p>
        </w:tc>
        <w:tc>
          <w:tcPr>
            <w:tcW w:w="5472" w:type="dxa"/>
            <w:noWrap w:val="0"/>
            <w:vAlign w:val="center"/>
          </w:tcPr>
          <w:p w14:paraId="767011A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主要技术指标 ：</w:t>
            </w:r>
          </w:p>
          <w:p w14:paraId="4EF6AB1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1、风速指标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1）风速测量范围：0~30 米/秒</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2）风速传感器启运风速：不大于 0.8 米/秒</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3)风速测量精度：</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 xml:space="preserve">误差不大于±(0.3±0.03V)米/秒(V-实际风速) </w:t>
            </w:r>
          </w:p>
          <w:p w14:paraId="3304437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4)可显示的风速参数：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瞬时风速、平均风速、瞬时风级、平均风级对应浪高</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5）显示分辨率：0.1 米/秒(风速)1 级(风级)0.1 米(浪高)</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6)功能及单位直接用显示汉字显示数字高度：18mm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2、环境要求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1）工作环境温度：0~45℃</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2)工作环境湿度：≤90%RH（无凝结）</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3、供电电源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1）电源电压：4.5V5#干电池 3 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2）平均耗电电流：≤5mmA（电源为 4.5V 时）</w:t>
            </w:r>
          </w:p>
        </w:tc>
        <w:tc>
          <w:tcPr>
            <w:tcW w:w="603" w:type="dxa"/>
            <w:noWrap w:val="0"/>
            <w:vAlign w:val="center"/>
          </w:tcPr>
          <w:p w14:paraId="1820564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4992A33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62E946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280.8</w:t>
            </w:r>
          </w:p>
        </w:tc>
        <w:tc>
          <w:tcPr>
            <w:tcW w:w="635" w:type="dxa"/>
            <w:noWrap w:val="0"/>
            <w:vAlign w:val="center"/>
          </w:tcPr>
          <w:p w14:paraId="28C0CDC3">
            <w:pPr>
              <w:ind w:left="0" w:leftChars="0" w:firstLine="0" w:firstLineChars="0"/>
              <w:jc w:val="center"/>
              <w:rPr>
                <w:rFonts w:hint="eastAsia" w:ascii="宋体" w:hAnsi="宋体" w:cs="宋体"/>
                <w:color w:val="auto"/>
                <w:sz w:val="21"/>
                <w:szCs w:val="21"/>
                <w:highlight w:val="none"/>
                <w:lang w:val="en-US" w:eastAsia="zh-CN"/>
              </w:rPr>
            </w:pPr>
          </w:p>
        </w:tc>
      </w:tr>
      <w:tr w14:paraId="33885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1517227">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FC140F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斜面</w:t>
            </w:r>
          </w:p>
        </w:tc>
        <w:tc>
          <w:tcPr>
            <w:tcW w:w="5472" w:type="dxa"/>
            <w:noWrap w:val="0"/>
            <w:vAlign w:val="center"/>
          </w:tcPr>
          <w:p w14:paraId="1C8103D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1.由斜面板，支撑杆组成，斜面长约 600mm，宽 约100mm。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2.斜面板一端装有支架，高度可调；</w:t>
            </w:r>
          </w:p>
        </w:tc>
        <w:tc>
          <w:tcPr>
            <w:tcW w:w="603" w:type="dxa"/>
            <w:noWrap w:val="0"/>
            <w:vAlign w:val="center"/>
          </w:tcPr>
          <w:p w14:paraId="2917155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568C3B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29C4D88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30.0</w:t>
            </w:r>
          </w:p>
        </w:tc>
        <w:tc>
          <w:tcPr>
            <w:tcW w:w="635" w:type="dxa"/>
            <w:noWrap w:val="0"/>
            <w:vAlign w:val="center"/>
          </w:tcPr>
          <w:p w14:paraId="11AD70DC">
            <w:pPr>
              <w:ind w:left="0" w:leftChars="0" w:firstLine="0" w:firstLineChars="0"/>
              <w:jc w:val="center"/>
              <w:rPr>
                <w:rFonts w:hint="eastAsia" w:ascii="宋体" w:hAnsi="宋体" w:cs="宋体"/>
                <w:color w:val="auto"/>
                <w:sz w:val="21"/>
                <w:szCs w:val="21"/>
                <w:highlight w:val="none"/>
                <w:lang w:val="en-US" w:eastAsia="zh-CN"/>
              </w:rPr>
            </w:pPr>
          </w:p>
        </w:tc>
      </w:tr>
      <w:tr w14:paraId="2A10E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4B01240">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7F78DE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压簧</w:t>
            </w:r>
          </w:p>
        </w:tc>
        <w:tc>
          <w:tcPr>
            <w:tcW w:w="5472" w:type="dxa"/>
            <w:noWrap w:val="0"/>
            <w:vAlign w:val="center"/>
          </w:tcPr>
          <w:p w14:paraId="7804E853">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1.压簧由 1.5mm 优质钢丝绕制而成。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2.自然长度不小于 65mm，绕制直径约为 30mm。</w:t>
            </w:r>
          </w:p>
        </w:tc>
        <w:tc>
          <w:tcPr>
            <w:tcW w:w="603" w:type="dxa"/>
            <w:noWrap w:val="0"/>
            <w:vAlign w:val="center"/>
          </w:tcPr>
          <w:p w14:paraId="25D7619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E9635A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F53C67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35" w:type="dxa"/>
            <w:noWrap w:val="0"/>
            <w:vAlign w:val="center"/>
          </w:tcPr>
          <w:p w14:paraId="579FDA4F">
            <w:pPr>
              <w:ind w:left="0" w:leftChars="0" w:firstLine="0" w:firstLineChars="0"/>
              <w:jc w:val="center"/>
              <w:rPr>
                <w:rFonts w:hint="eastAsia" w:ascii="宋体" w:hAnsi="宋体" w:cs="宋体"/>
                <w:color w:val="auto"/>
                <w:sz w:val="21"/>
                <w:szCs w:val="21"/>
                <w:highlight w:val="none"/>
                <w:lang w:val="en-US" w:eastAsia="zh-CN"/>
              </w:rPr>
            </w:pPr>
          </w:p>
        </w:tc>
      </w:tr>
      <w:tr w14:paraId="2D6A8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B46522">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BB2356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拉簧</w:t>
            </w:r>
          </w:p>
        </w:tc>
        <w:tc>
          <w:tcPr>
            <w:tcW w:w="5472" w:type="dxa"/>
            <w:noWrap w:val="0"/>
            <w:vAlign w:val="center"/>
          </w:tcPr>
          <w:p w14:paraId="3D5B7A6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1.拉簧由 1mm 优质钢丝绕制而成。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2.两端拉手直径≥20mm，弹簧部分自然长度为≥70mm，绕制直径为≥20mm。</w:t>
            </w:r>
          </w:p>
        </w:tc>
        <w:tc>
          <w:tcPr>
            <w:tcW w:w="603" w:type="dxa"/>
            <w:noWrap w:val="0"/>
            <w:vAlign w:val="center"/>
          </w:tcPr>
          <w:p w14:paraId="7BE2C36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5676BC8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5D90CC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35" w:type="dxa"/>
            <w:noWrap w:val="0"/>
            <w:vAlign w:val="center"/>
          </w:tcPr>
          <w:p w14:paraId="36B15477">
            <w:pPr>
              <w:ind w:left="0" w:leftChars="0" w:firstLine="0" w:firstLineChars="0"/>
              <w:jc w:val="center"/>
              <w:rPr>
                <w:rFonts w:hint="eastAsia" w:ascii="宋体" w:hAnsi="宋体" w:cs="宋体"/>
                <w:color w:val="auto"/>
                <w:sz w:val="21"/>
                <w:szCs w:val="21"/>
                <w:highlight w:val="none"/>
                <w:lang w:val="en-US" w:eastAsia="zh-CN"/>
              </w:rPr>
            </w:pPr>
          </w:p>
        </w:tc>
      </w:tr>
      <w:tr w14:paraId="23725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687967">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828D11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沉浮块</w:t>
            </w:r>
          </w:p>
        </w:tc>
        <w:tc>
          <w:tcPr>
            <w:tcW w:w="5472" w:type="dxa"/>
            <w:noWrap w:val="0"/>
            <w:vAlign w:val="center"/>
          </w:tcPr>
          <w:p w14:paraId="1905D42B">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1.由正方体 3 个组成，颜色各不相同。</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2.正方体用塑料制成，塑料件平整，色泽均匀。</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3.尺寸：</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3.1 正方体规格约 40×40×40±1mm2 个，质量不同，其中一只可分离，用以改变质量。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3.2 正方体规格约 30×30×30±1mm。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3.3 其中一个大正方体和一个小正方体质量与水质量基本相吻合。</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4.符合JY0001－2003《教学仪器设备产品一般质量要求》的有关规定。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5.标志、说明书、包装、运输、贮存符合 JY0001-2003《教学仪器设备产品一般质量要求》的有关规定。</w:t>
            </w:r>
          </w:p>
        </w:tc>
        <w:tc>
          <w:tcPr>
            <w:tcW w:w="603" w:type="dxa"/>
            <w:noWrap w:val="0"/>
            <w:vAlign w:val="center"/>
          </w:tcPr>
          <w:p w14:paraId="5F66751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6E030E5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AEE1C0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20.4</w:t>
            </w:r>
          </w:p>
        </w:tc>
        <w:tc>
          <w:tcPr>
            <w:tcW w:w="635" w:type="dxa"/>
            <w:noWrap w:val="0"/>
            <w:vAlign w:val="center"/>
          </w:tcPr>
          <w:p w14:paraId="5D7A1A02">
            <w:pPr>
              <w:ind w:left="0" w:leftChars="0" w:firstLine="0" w:firstLineChars="0"/>
              <w:jc w:val="center"/>
              <w:rPr>
                <w:rFonts w:hint="eastAsia" w:ascii="宋体" w:hAnsi="宋体" w:cs="宋体"/>
                <w:color w:val="auto"/>
                <w:sz w:val="21"/>
                <w:szCs w:val="21"/>
                <w:highlight w:val="none"/>
                <w:lang w:val="en-US" w:eastAsia="zh-CN"/>
              </w:rPr>
            </w:pPr>
          </w:p>
        </w:tc>
      </w:tr>
      <w:tr w14:paraId="13743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59F9A68">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1F7643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杠杆尺及支架</w:t>
            </w:r>
          </w:p>
        </w:tc>
        <w:tc>
          <w:tcPr>
            <w:tcW w:w="5472" w:type="dxa"/>
            <w:noWrap w:val="0"/>
            <w:vAlign w:val="center"/>
          </w:tcPr>
          <w:p w14:paraId="10ACCA8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1.由塑料制作，表面平整、挺直、均匀、无毛刺。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2.产品由杠杆尺、支架、调平装置和底座组成。杠杆尺外形尺寸约为 210×39×6mm，中心有φ6.5mm 的通孔。底座规格不少于 121mm×71mm×22mm，中心有固定装置用于固定支架。支架外形尺寸为不少于 208mm×25mm×10mm，上端为半圆。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3.杠杆尺正面以轴心为零点向两端刻厘米单位刻度线，刻线清晰，每厘米刻度线均标有数字，两端分别标有 0-7。</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4.杠杆尺两端装有镀锌调平螺母，杠杆应平衡。彩印盒包装</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5.产品符合 JY172-84《杠杆》的要求。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6.符合 JY0001－2003《教学仪器设备产品一般质量要求》的有关规定。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7.标志、说明书、包装、运输、贮存符合 JY0001-2003《教学仪器设备产品一般质量要求》的有关规定。</w:t>
            </w:r>
          </w:p>
        </w:tc>
        <w:tc>
          <w:tcPr>
            <w:tcW w:w="603" w:type="dxa"/>
            <w:noWrap w:val="0"/>
            <w:vAlign w:val="center"/>
          </w:tcPr>
          <w:p w14:paraId="1A12F30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CC9C1E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A0241E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20.4</w:t>
            </w:r>
          </w:p>
        </w:tc>
        <w:tc>
          <w:tcPr>
            <w:tcW w:w="635" w:type="dxa"/>
            <w:noWrap w:val="0"/>
            <w:vAlign w:val="center"/>
          </w:tcPr>
          <w:p w14:paraId="3F09683F">
            <w:pPr>
              <w:ind w:left="0" w:leftChars="0" w:firstLine="0" w:firstLineChars="0"/>
              <w:jc w:val="center"/>
              <w:rPr>
                <w:rFonts w:hint="eastAsia" w:ascii="宋体" w:hAnsi="宋体" w:cs="宋体"/>
                <w:color w:val="auto"/>
                <w:sz w:val="21"/>
                <w:szCs w:val="21"/>
                <w:highlight w:val="none"/>
                <w:lang w:val="en-US" w:eastAsia="zh-CN"/>
              </w:rPr>
            </w:pPr>
          </w:p>
        </w:tc>
      </w:tr>
      <w:tr w14:paraId="10AA0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92D5DC2">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52D9F0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滑轮组及支架</w:t>
            </w:r>
          </w:p>
        </w:tc>
        <w:tc>
          <w:tcPr>
            <w:tcW w:w="5472" w:type="dxa"/>
            <w:noWrap w:val="0"/>
            <w:vAlign w:val="center"/>
          </w:tcPr>
          <w:p w14:paraId="0CDD4AA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1.由滑轮、滑轮架、横梁、销轴、螺丝、接线帽、支架及底座等组成。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2.底座规格约 121mm×78mm×20mm，中心有固定装置用于固定支架。</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3.支架外形尺寸约为 210mm×25mm×10mm，上端为半圆；横梁外形尺寸约 130mm×30mm×6mm。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4.滑轮尺寸：Φ40mm×6mm。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5.组装后的滑轮组组及支架能完成动滑轮、定滑轮及移动轮子实验。</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6.塑料制品表面平整光滑、色泽均匀。彩印盒包装</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7.塑料产品选用全新塑料注塑而成，无毒、环保、性能好。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8.标志、说明书、包装、运输、贮存符合 JY0001-2003《教学仪器设备产品一般质量要求》的有关规定。</w:t>
            </w:r>
          </w:p>
        </w:tc>
        <w:tc>
          <w:tcPr>
            <w:tcW w:w="603" w:type="dxa"/>
            <w:noWrap w:val="0"/>
            <w:vAlign w:val="center"/>
          </w:tcPr>
          <w:p w14:paraId="4547C3C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E30DA5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0A77DE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20.4</w:t>
            </w:r>
          </w:p>
        </w:tc>
        <w:tc>
          <w:tcPr>
            <w:tcW w:w="635" w:type="dxa"/>
            <w:noWrap w:val="0"/>
            <w:vAlign w:val="center"/>
          </w:tcPr>
          <w:p w14:paraId="5D053F58">
            <w:pPr>
              <w:ind w:left="0" w:leftChars="0" w:firstLine="0" w:firstLineChars="0"/>
              <w:jc w:val="center"/>
              <w:rPr>
                <w:rFonts w:hint="eastAsia" w:ascii="宋体" w:hAnsi="宋体" w:cs="宋体"/>
                <w:color w:val="auto"/>
                <w:sz w:val="21"/>
                <w:szCs w:val="21"/>
                <w:highlight w:val="none"/>
                <w:lang w:val="en-US" w:eastAsia="zh-CN"/>
              </w:rPr>
            </w:pPr>
          </w:p>
        </w:tc>
      </w:tr>
      <w:tr w14:paraId="578DA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31AE9E6">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5FB8B6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轮轴及支架</w:t>
            </w:r>
          </w:p>
        </w:tc>
        <w:tc>
          <w:tcPr>
            <w:tcW w:w="5472" w:type="dxa"/>
            <w:noWrap w:val="0"/>
            <w:vAlign w:val="center"/>
          </w:tcPr>
          <w:p w14:paraId="7999EFE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1.由大轮轴、小轮轴、支架、底座、紧固螺丝一套组成。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2.底座规格为 170mm×80mm×17mm，中心有固定装置用于固定支架。</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3.支架外形尺寸为 210mm×24mm×11mm，上端为半圆。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4.组合轮轴的尺寸：大轮轴 91mm、小轮轴 50mm。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5.组装后的轮轴及支架能完成轮轴实验。</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6.塑料制品表面平整光滑、色泽均匀。彩印盒包装</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7.符合 JY0001－2003《教学仪器设备产品一般质量要求》的有关规定。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8.标志、说明书、包装、运输、贮存符合 JY0001-2003《教学仪器设备产品一般质量要求》的有关规定。</w:t>
            </w:r>
          </w:p>
        </w:tc>
        <w:tc>
          <w:tcPr>
            <w:tcW w:w="603" w:type="dxa"/>
            <w:noWrap w:val="0"/>
            <w:vAlign w:val="center"/>
          </w:tcPr>
          <w:p w14:paraId="391F26A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5FD8A4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A0D620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20.4</w:t>
            </w:r>
          </w:p>
        </w:tc>
        <w:tc>
          <w:tcPr>
            <w:tcW w:w="635" w:type="dxa"/>
            <w:noWrap w:val="0"/>
            <w:vAlign w:val="center"/>
          </w:tcPr>
          <w:p w14:paraId="741D9DCF">
            <w:pPr>
              <w:ind w:left="0" w:leftChars="0" w:firstLine="0" w:firstLineChars="0"/>
              <w:jc w:val="center"/>
              <w:rPr>
                <w:rFonts w:hint="eastAsia" w:ascii="宋体" w:hAnsi="宋体" w:cs="宋体"/>
                <w:color w:val="auto"/>
                <w:sz w:val="21"/>
                <w:szCs w:val="21"/>
                <w:highlight w:val="none"/>
                <w:lang w:val="en-US" w:eastAsia="zh-CN"/>
              </w:rPr>
            </w:pPr>
          </w:p>
        </w:tc>
      </w:tr>
      <w:tr w14:paraId="03AF9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B5D53C5">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5C6C7D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齿轮组及支架</w:t>
            </w:r>
          </w:p>
        </w:tc>
        <w:tc>
          <w:tcPr>
            <w:tcW w:w="5472" w:type="dxa"/>
            <w:noWrap w:val="0"/>
            <w:vAlign w:val="center"/>
          </w:tcPr>
          <w:p w14:paraId="0596FA5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1.由塑料制的底板、立杆、齿轮、手摇柄支撑螺杆和螺母等组成。底板 1 块，重量可以保持实验操作时支架的稳固。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2.尺寸：170mm×80mm×12mm；立杆 1 根，高度 210mm；齿数分别是 42 个、28 个、14 个，直径分别为的 80mm、55mm、30mm 的齿轮各 1 个，手摇柄 1 个，支撑螺丝 2 个。M4 螺母2个。 3.彩印盒包装。符合  JY0001-2003《教学仪器设备产品一般质量要求》的有关规定。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4.标志、说明书、包装、运输、贮存符合 JY0001-2003《教学仪器设备产品一般质量要求》 的有关规定。</w:t>
            </w:r>
          </w:p>
        </w:tc>
        <w:tc>
          <w:tcPr>
            <w:tcW w:w="603" w:type="dxa"/>
            <w:noWrap w:val="0"/>
            <w:vAlign w:val="center"/>
          </w:tcPr>
          <w:p w14:paraId="3631616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5B45A49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95B13A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20.4</w:t>
            </w:r>
          </w:p>
        </w:tc>
        <w:tc>
          <w:tcPr>
            <w:tcW w:w="635" w:type="dxa"/>
            <w:noWrap w:val="0"/>
            <w:vAlign w:val="center"/>
          </w:tcPr>
          <w:p w14:paraId="77EB50F9">
            <w:pPr>
              <w:ind w:left="0" w:leftChars="0" w:firstLine="0" w:firstLineChars="0"/>
              <w:jc w:val="center"/>
              <w:rPr>
                <w:rFonts w:hint="eastAsia" w:ascii="宋体" w:hAnsi="宋体" w:cs="宋体"/>
                <w:color w:val="auto"/>
                <w:sz w:val="21"/>
                <w:szCs w:val="21"/>
                <w:highlight w:val="none"/>
                <w:lang w:val="en-US" w:eastAsia="zh-CN"/>
              </w:rPr>
            </w:pPr>
          </w:p>
        </w:tc>
      </w:tr>
      <w:tr w14:paraId="614FD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6CB2A4">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799654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弹簧片</w:t>
            </w:r>
          </w:p>
        </w:tc>
        <w:tc>
          <w:tcPr>
            <w:tcW w:w="5472" w:type="dxa"/>
            <w:noWrap w:val="0"/>
            <w:vAlign w:val="center"/>
          </w:tcPr>
          <w:p w14:paraId="0F905C0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不同形状不少于 20 个，金属片制成，尺寸不小于：95mm×14mm×0.1mm</w:t>
            </w:r>
          </w:p>
        </w:tc>
        <w:tc>
          <w:tcPr>
            <w:tcW w:w="603" w:type="dxa"/>
            <w:noWrap w:val="0"/>
            <w:vAlign w:val="center"/>
          </w:tcPr>
          <w:p w14:paraId="0EBAE5A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A932D3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370537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35" w:type="dxa"/>
            <w:noWrap w:val="0"/>
            <w:vAlign w:val="center"/>
          </w:tcPr>
          <w:p w14:paraId="532BCD2A">
            <w:pPr>
              <w:ind w:left="0" w:leftChars="0" w:firstLine="0" w:firstLineChars="0"/>
              <w:jc w:val="center"/>
              <w:rPr>
                <w:rFonts w:hint="eastAsia" w:ascii="宋体" w:hAnsi="宋体" w:cs="宋体"/>
                <w:color w:val="auto"/>
                <w:sz w:val="21"/>
                <w:szCs w:val="21"/>
                <w:highlight w:val="none"/>
                <w:lang w:val="en-US" w:eastAsia="zh-CN"/>
              </w:rPr>
            </w:pPr>
          </w:p>
        </w:tc>
      </w:tr>
      <w:tr w14:paraId="4EA2E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CD95D44">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33C3EF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小车</w:t>
            </w:r>
          </w:p>
        </w:tc>
        <w:tc>
          <w:tcPr>
            <w:tcW w:w="5472" w:type="dxa"/>
            <w:noWrap w:val="0"/>
            <w:vAlign w:val="center"/>
          </w:tcPr>
          <w:p w14:paraId="72393202">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1.仪器为模拟轿车外形的塑料小车。</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2.小车外形尺寸不小于 80mm×100mm×48mm，上端有长 55mm 宽 48mm 深 18mm 凹槽。前断固定有铜质圆环，可用于牵引小车；后端有卡槽，可用于卡纸。</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3.小车腹部装有可拆卸式配重块 2 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4.小车四轮转动灵活。</w:t>
            </w:r>
          </w:p>
        </w:tc>
        <w:tc>
          <w:tcPr>
            <w:tcW w:w="603" w:type="dxa"/>
            <w:noWrap w:val="0"/>
            <w:vAlign w:val="center"/>
          </w:tcPr>
          <w:p w14:paraId="52B135F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42D6FD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085F9F7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37.2</w:t>
            </w:r>
          </w:p>
        </w:tc>
        <w:tc>
          <w:tcPr>
            <w:tcW w:w="635" w:type="dxa"/>
            <w:noWrap w:val="0"/>
            <w:vAlign w:val="center"/>
          </w:tcPr>
          <w:p w14:paraId="1D902772">
            <w:pPr>
              <w:ind w:left="0" w:leftChars="0" w:firstLine="0" w:firstLineChars="0"/>
              <w:jc w:val="center"/>
              <w:rPr>
                <w:rFonts w:hint="eastAsia" w:ascii="宋体" w:hAnsi="宋体" w:cs="宋体"/>
                <w:color w:val="auto"/>
                <w:sz w:val="21"/>
                <w:szCs w:val="21"/>
                <w:highlight w:val="none"/>
                <w:lang w:val="en-US" w:eastAsia="zh-CN"/>
              </w:rPr>
            </w:pPr>
          </w:p>
        </w:tc>
      </w:tr>
      <w:tr w14:paraId="652C1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1993748">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98C9F5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三球仪</w:t>
            </w:r>
          </w:p>
        </w:tc>
        <w:tc>
          <w:tcPr>
            <w:tcW w:w="5472" w:type="dxa"/>
            <w:noWrap w:val="0"/>
            <w:vAlign w:val="center"/>
          </w:tcPr>
          <w:p w14:paraId="1E16073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1.由太阳、地球、月球、连杆、齿轮及齿轮架、传动带、节气盘、月相盘、底座组成。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2.太阳、地球、月球和底座采用塑料件，其余主件采用金属件。球表示太阳，球体直径为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60~100mm）、地球（为正圆球直径 140~160mm，地轴的倾角为 66.5°，并垂直于赤道平面）、月球（球体直径 40~50mm，球心与地球仪球心等高）、四季盘（直径 180~220mm）、月相盘</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（直径 110~120mm）、指针等。能演示太阳、地球、月球等三球四季的运动及规律。</w:t>
            </w:r>
          </w:p>
        </w:tc>
        <w:tc>
          <w:tcPr>
            <w:tcW w:w="603" w:type="dxa"/>
            <w:noWrap w:val="0"/>
            <w:vAlign w:val="center"/>
          </w:tcPr>
          <w:p w14:paraId="56F8F4C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301084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63A3248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280.8</w:t>
            </w:r>
          </w:p>
        </w:tc>
        <w:tc>
          <w:tcPr>
            <w:tcW w:w="635" w:type="dxa"/>
            <w:noWrap w:val="0"/>
            <w:vAlign w:val="center"/>
          </w:tcPr>
          <w:p w14:paraId="57AC0F95">
            <w:pPr>
              <w:ind w:left="0" w:leftChars="0" w:firstLine="0" w:firstLineChars="0"/>
              <w:jc w:val="center"/>
              <w:rPr>
                <w:rFonts w:hint="eastAsia" w:ascii="宋体" w:hAnsi="宋体" w:cs="宋体"/>
                <w:color w:val="auto"/>
                <w:sz w:val="21"/>
                <w:szCs w:val="21"/>
                <w:highlight w:val="none"/>
                <w:lang w:val="en-US" w:eastAsia="zh-CN"/>
              </w:rPr>
            </w:pPr>
          </w:p>
        </w:tc>
      </w:tr>
      <w:tr w14:paraId="4FDAC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487C973">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7372AD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太阳高度测量器</w:t>
            </w:r>
          </w:p>
        </w:tc>
        <w:tc>
          <w:tcPr>
            <w:tcW w:w="5472" w:type="dxa"/>
            <w:noWrap w:val="0"/>
            <w:vAlign w:val="center"/>
          </w:tcPr>
          <w:p w14:paraId="256F903A">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1.仪器由底盘、角度板、立杆、指南针等组成，用来测量太阳在天体坐标中高度。</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2.仪器底座盘面上有方位盘和Φ19mm 的指南针，并使重锤能对准基尖。底座直径Φ131mm，高约 15mm。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3.角度板为塑料制，能插入盘面中心。</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4.立杆为Φ39mm 铁制，可随着角度板转动。</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5.其余符合 JY0001-2003 《教学仪器设备产品一般质量要求》第 4、5、6、7 章要求。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6.标志、说明书、包装、运输、贮存符合 JY0001-2003《教学仪器设备产品一般质量要求》的有关规定。</w:t>
            </w:r>
          </w:p>
        </w:tc>
        <w:tc>
          <w:tcPr>
            <w:tcW w:w="603" w:type="dxa"/>
            <w:noWrap w:val="0"/>
            <w:vAlign w:val="center"/>
          </w:tcPr>
          <w:p w14:paraId="0962140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0DFAF7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E4B942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15.6</w:t>
            </w:r>
          </w:p>
        </w:tc>
        <w:tc>
          <w:tcPr>
            <w:tcW w:w="635" w:type="dxa"/>
            <w:noWrap w:val="0"/>
            <w:vAlign w:val="center"/>
          </w:tcPr>
          <w:p w14:paraId="5E5B49D1">
            <w:pPr>
              <w:ind w:left="0" w:leftChars="0" w:firstLine="0" w:firstLineChars="0"/>
              <w:jc w:val="center"/>
              <w:rPr>
                <w:rFonts w:hint="eastAsia" w:ascii="宋体" w:hAnsi="宋体" w:cs="宋体"/>
                <w:color w:val="auto"/>
                <w:sz w:val="21"/>
                <w:szCs w:val="21"/>
                <w:highlight w:val="none"/>
                <w:lang w:val="en-US" w:eastAsia="zh-CN"/>
              </w:rPr>
            </w:pPr>
          </w:p>
        </w:tc>
      </w:tr>
      <w:tr w14:paraId="4E87D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AF57B5D">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8F45BC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风的形成实验材料</w:t>
            </w:r>
          </w:p>
        </w:tc>
        <w:tc>
          <w:tcPr>
            <w:tcW w:w="5472" w:type="dxa"/>
            <w:noWrap w:val="0"/>
            <w:vAlign w:val="center"/>
          </w:tcPr>
          <w:p w14:paraId="5FE51177">
            <w:pPr>
              <w:numPr>
                <w:ilvl w:val="0"/>
                <w:numId w:val="9"/>
              </w:num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产品为组合式；产品由底座、透明圆筒、铝制风叶、蜡烛等组成；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2.塑料筒用优质透明塑料制作，外形规格尺寸为Φ49×106mm,表面透明光洁，底部有三个支脚支撑。</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3.蜡烛规格为Φ38mm。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4.风叶</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4.1 风叶由支架、风叶组成。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4.2 风叶用铝材制作，外形尺寸为Φ40mm,厚 0.3mm。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4.3 支架用金属冷冲成型，可悬挂在塑料筒上口，固定稳定，转动灵活。</w:t>
            </w:r>
          </w:p>
          <w:p w14:paraId="12BB6661">
            <w:pPr>
              <w:numPr>
                <w:ilvl w:val="0"/>
                <w:numId w:val="0"/>
              </w:numPr>
              <w:spacing w:line="240" w:lineRule="auto"/>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5.组装后的实验材料摆放平稳，实验效果良好。</w:t>
            </w:r>
          </w:p>
        </w:tc>
        <w:tc>
          <w:tcPr>
            <w:tcW w:w="603" w:type="dxa"/>
            <w:noWrap w:val="0"/>
            <w:vAlign w:val="center"/>
          </w:tcPr>
          <w:p w14:paraId="5312A83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BAB12C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00FB6E7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25.2</w:t>
            </w:r>
          </w:p>
        </w:tc>
        <w:tc>
          <w:tcPr>
            <w:tcW w:w="635" w:type="dxa"/>
            <w:noWrap w:val="0"/>
            <w:vAlign w:val="center"/>
          </w:tcPr>
          <w:p w14:paraId="7AB967F5">
            <w:pPr>
              <w:ind w:left="0" w:leftChars="0" w:firstLine="0" w:firstLineChars="0"/>
              <w:jc w:val="center"/>
              <w:rPr>
                <w:rFonts w:hint="eastAsia" w:ascii="宋体" w:hAnsi="宋体" w:cs="宋体"/>
                <w:color w:val="auto"/>
                <w:sz w:val="21"/>
                <w:szCs w:val="21"/>
                <w:highlight w:val="none"/>
                <w:lang w:val="en-US" w:eastAsia="zh-CN"/>
              </w:rPr>
            </w:pPr>
          </w:p>
        </w:tc>
      </w:tr>
      <w:tr w14:paraId="7DCA3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1BB5536">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A2874E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组装风车材料</w:t>
            </w:r>
          </w:p>
        </w:tc>
        <w:tc>
          <w:tcPr>
            <w:tcW w:w="5472" w:type="dxa"/>
            <w:noWrap w:val="0"/>
            <w:vAlign w:val="center"/>
          </w:tcPr>
          <w:p w14:paraId="08A265A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有方形纸片二张（做风车叶片用）、风叶轮轴一个，转轴一根，手持杆一根，塑料两用连接一个。</w:t>
            </w:r>
          </w:p>
        </w:tc>
        <w:tc>
          <w:tcPr>
            <w:tcW w:w="603" w:type="dxa"/>
            <w:noWrap w:val="0"/>
            <w:vAlign w:val="center"/>
          </w:tcPr>
          <w:p w14:paraId="6D84C80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583AC1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44CD89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9.6</w:t>
            </w:r>
          </w:p>
        </w:tc>
        <w:tc>
          <w:tcPr>
            <w:tcW w:w="635" w:type="dxa"/>
            <w:noWrap w:val="0"/>
            <w:vAlign w:val="center"/>
          </w:tcPr>
          <w:p w14:paraId="1C74E144">
            <w:pPr>
              <w:ind w:left="0" w:leftChars="0" w:firstLine="0" w:firstLineChars="0"/>
              <w:jc w:val="center"/>
              <w:rPr>
                <w:rFonts w:hint="eastAsia" w:ascii="宋体" w:hAnsi="宋体" w:cs="宋体"/>
                <w:color w:val="auto"/>
                <w:sz w:val="21"/>
                <w:szCs w:val="21"/>
                <w:highlight w:val="none"/>
                <w:lang w:val="en-US" w:eastAsia="zh-CN"/>
              </w:rPr>
            </w:pPr>
          </w:p>
        </w:tc>
      </w:tr>
      <w:tr w14:paraId="6B791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7B1D07C">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E29260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组装水轮材料</w:t>
            </w:r>
          </w:p>
        </w:tc>
        <w:tc>
          <w:tcPr>
            <w:tcW w:w="5472" w:type="dxa"/>
            <w:noWrap w:val="0"/>
            <w:vAlign w:val="center"/>
          </w:tcPr>
          <w:p w14:paraId="5857822E">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产品由水槽、漏斗、叶片、叶片插轴、支架组成。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1.水槽、漏斗采用塑料制作，内空尺寸约 130×100×20mm；漏斗的上口直径φ36mm；叶片采用无毒优质塑料制作，共 6 片，叶片半径不小于 20mm，由三种不同的颜色组成；叶片插轴采用工程塑料制作，叶片可在插轴上按至少三种不同的角度组装；支架采用不锈钢金属材料制作，能稳固支撑组装好的水轮。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2.仪器组装后，漏斗口离水槽底部的高度约 160mm。产品组装方便，叶片转动灵活。</w:t>
            </w:r>
          </w:p>
        </w:tc>
        <w:tc>
          <w:tcPr>
            <w:tcW w:w="603" w:type="dxa"/>
            <w:noWrap w:val="0"/>
            <w:vAlign w:val="center"/>
          </w:tcPr>
          <w:p w14:paraId="5375935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C03682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23C4FF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16.8</w:t>
            </w:r>
          </w:p>
        </w:tc>
        <w:tc>
          <w:tcPr>
            <w:tcW w:w="635" w:type="dxa"/>
            <w:noWrap w:val="0"/>
            <w:vAlign w:val="center"/>
          </w:tcPr>
          <w:p w14:paraId="0920E691">
            <w:pPr>
              <w:ind w:left="0" w:leftChars="0" w:firstLine="0" w:firstLineChars="0"/>
              <w:jc w:val="center"/>
              <w:rPr>
                <w:rFonts w:hint="eastAsia" w:ascii="宋体" w:hAnsi="宋体" w:cs="宋体"/>
                <w:color w:val="auto"/>
                <w:sz w:val="21"/>
                <w:szCs w:val="21"/>
                <w:highlight w:val="none"/>
                <w:lang w:val="en-US" w:eastAsia="zh-CN"/>
              </w:rPr>
            </w:pPr>
          </w:p>
        </w:tc>
      </w:tr>
      <w:tr w14:paraId="6F2ED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264F1AD">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9C9C5D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太阳能的应用材料</w:t>
            </w:r>
          </w:p>
        </w:tc>
        <w:tc>
          <w:tcPr>
            <w:tcW w:w="5472" w:type="dxa"/>
            <w:noWrap w:val="0"/>
            <w:vAlign w:val="center"/>
          </w:tcPr>
          <w:p w14:paraId="13DAE7B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1.太阳能板：60*60*3（±2），带两根引线为红黑各线长 12cm 连线端子 U 型长 18mm。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2.微型发电动机：</w:t>
            </w:r>
            <w:r>
              <w:rPr>
                <w:rFonts w:hint="eastAsia" w:ascii="宋体" w:hAnsi="宋体" w:cs="宋体"/>
                <w:color w:val="auto"/>
                <w:sz w:val="21"/>
                <w:szCs w:val="21"/>
                <w:highlight w:val="none"/>
                <w:lang w:val="en-US" w:eastAsia="zh-CN"/>
              </w:rPr>
              <w:t>3V 直径 24.2*高约 12.6mm，旋扭直径 2mm*总长 11mm，连接三页黄色小风扇，扇页 24*28*1.08（±2）带两根引线为红黑各长 15cm，连线端子 U 型长 18mm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3.蜂鸣器：黑色直径 11.8mm*高 10mm 引脚长 5mm，带两根引线长 12cm，连线端子 U 型长 18mm。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4.发光二极管：Ø5 圆头红光，引脚长 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5.联接板：蓝色底座 50*26*1.5，支撑脚 26*9*3，表面红黑接线柱各 2 个螺丝 4 个。</w:t>
            </w:r>
          </w:p>
        </w:tc>
        <w:tc>
          <w:tcPr>
            <w:tcW w:w="603" w:type="dxa"/>
            <w:noWrap w:val="0"/>
            <w:vAlign w:val="center"/>
          </w:tcPr>
          <w:p w14:paraId="288820B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194B65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B9FA31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51.6</w:t>
            </w:r>
          </w:p>
        </w:tc>
        <w:tc>
          <w:tcPr>
            <w:tcW w:w="635" w:type="dxa"/>
            <w:noWrap w:val="0"/>
            <w:vAlign w:val="center"/>
          </w:tcPr>
          <w:p w14:paraId="46CB80BD">
            <w:pPr>
              <w:ind w:left="0" w:leftChars="0" w:firstLine="0" w:firstLineChars="0"/>
              <w:jc w:val="center"/>
              <w:rPr>
                <w:rFonts w:hint="eastAsia" w:ascii="宋体" w:hAnsi="宋体" w:cs="宋体"/>
                <w:color w:val="auto"/>
                <w:sz w:val="21"/>
                <w:szCs w:val="21"/>
                <w:highlight w:val="none"/>
                <w:lang w:val="en-US" w:eastAsia="zh-CN"/>
              </w:rPr>
            </w:pPr>
          </w:p>
        </w:tc>
      </w:tr>
      <w:tr w14:paraId="68BC4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7136883">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CB748F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音叉</w:t>
            </w:r>
          </w:p>
        </w:tc>
        <w:tc>
          <w:tcPr>
            <w:tcW w:w="5472" w:type="dxa"/>
            <w:noWrap w:val="0"/>
            <w:vAlign w:val="center"/>
          </w:tcPr>
          <w:p w14:paraId="1C7E7C26">
            <w:pPr>
              <w:numPr>
                <w:ilvl w:val="0"/>
                <w:numId w:val="10"/>
              </w:num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产品由音叉、共鸣箱、音叉槌组成。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音叉用钢或合金铝加工制造，发音部分呈“U”形，“U”形下方的叉柄能插入并紧固在共鸣箱上。当敲击音叉时，音叉不能松动。音叉表面平整光滑，叉股内侧平面与底部圆弧光滑相切。每支音叉配共鸣箱一个。钢制音叉表面镀铬，铝制音叉表面氧化处理。外形尺寸：约 190mm×5mm×8mm。</w:t>
            </w:r>
          </w:p>
          <w:p w14:paraId="20881D02">
            <w:pPr>
              <w:numPr>
                <w:ilvl w:val="0"/>
                <w:numId w:val="0"/>
              </w:numPr>
              <w:spacing w:line="240" w:lineRule="auto"/>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3、共鸣箱的木材应无节疤和裂痕，宜用泡桐、东北松或高密度板制造，经干燥处理，箱体平整胶合牢跑龙套，使用时不应松动。外形尺寸：约 300mm×90mm×50mm。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4、音叉槌用橡胶制造，槌杆用木材或塑料制造，槌头球径约 26mm，杆长约 180mm。频率及误差：256Hz±0.3Hz。产品应符合 JY/T0395-2007《教学音叉》标准。</w:t>
            </w:r>
          </w:p>
        </w:tc>
        <w:tc>
          <w:tcPr>
            <w:tcW w:w="603" w:type="dxa"/>
            <w:noWrap w:val="0"/>
            <w:vAlign w:val="center"/>
          </w:tcPr>
          <w:p w14:paraId="04847D8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F84478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只</w:t>
            </w:r>
          </w:p>
        </w:tc>
        <w:tc>
          <w:tcPr>
            <w:tcW w:w="1110" w:type="dxa"/>
            <w:noWrap w:val="0"/>
            <w:vAlign w:val="center"/>
          </w:tcPr>
          <w:p w14:paraId="382E2F5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38.4</w:t>
            </w:r>
          </w:p>
        </w:tc>
        <w:tc>
          <w:tcPr>
            <w:tcW w:w="635" w:type="dxa"/>
            <w:noWrap w:val="0"/>
            <w:vAlign w:val="center"/>
          </w:tcPr>
          <w:p w14:paraId="61655EA8">
            <w:pPr>
              <w:ind w:left="0" w:leftChars="0" w:firstLine="0" w:firstLineChars="0"/>
              <w:jc w:val="center"/>
              <w:rPr>
                <w:rFonts w:hint="eastAsia" w:ascii="宋体" w:hAnsi="宋体" w:cs="宋体"/>
                <w:color w:val="auto"/>
                <w:sz w:val="21"/>
                <w:szCs w:val="21"/>
                <w:highlight w:val="none"/>
                <w:lang w:val="en-US" w:eastAsia="zh-CN"/>
              </w:rPr>
            </w:pPr>
          </w:p>
        </w:tc>
      </w:tr>
      <w:tr w14:paraId="62DE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6BECA3">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780FA0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小鼓</w:t>
            </w:r>
          </w:p>
        </w:tc>
        <w:tc>
          <w:tcPr>
            <w:tcW w:w="5472" w:type="dxa"/>
            <w:noWrap w:val="0"/>
            <w:vAlign w:val="center"/>
          </w:tcPr>
          <w:p w14:paraId="63C1983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圆形，直径不小于 150mm，高度不小于 45mm。塑制壳体，聚酯皮鼓面，带有挂带，二个小锤。</w:t>
            </w:r>
          </w:p>
        </w:tc>
        <w:tc>
          <w:tcPr>
            <w:tcW w:w="603" w:type="dxa"/>
            <w:noWrap w:val="0"/>
            <w:vAlign w:val="center"/>
          </w:tcPr>
          <w:p w14:paraId="20B38C0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0E16F5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81FB1C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27.6</w:t>
            </w:r>
          </w:p>
        </w:tc>
        <w:tc>
          <w:tcPr>
            <w:tcW w:w="635" w:type="dxa"/>
            <w:noWrap w:val="0"/>
            <w:vAlign w:val="center"/>
          </w:tcPr>
          <w:p w14:paraId="0CC842E9">
            <w:pPr>
              <w:ind w:left="0" w:leftChars="0" w:firstLine="0" w:firstLineChars="0"/>
              <w:jc w:val="center"/>
              <w:rPr>
                <w:rFonts w:hint="eastAsia" w:ascii="宋体" w:hAnsi="宋体" w:cs="宋体"/>
                <w:color w:val="auto"/>
                <w:sz w:val="21"/>
                <w:szCs w:val="21"/>
                <w:highlight w:val="none"/>
                <w:lang w:val="en-US" w:eastAsia="zh-CN"/>
              </w:rPr>
            </w:pPr>
          </w:p>
        </w:tc>
      </w:tr>
      <w:tr w14:paraId="56035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F86140F">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8F123E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组装土电话材料</w:t>
            </w:r>
          </w:p>
        </w:tc>
        <w:tc>
          <w:tcPr>
            <w:tcW w:w="5472" w:type="dxa"/>
            <w:noWrap w:val="0"/>
            <w:vAlign w:val="center"/>
          </w:tcPr>
          <w:p w14:paraId="6BDBEB82">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1.由电话筒 2 只、话筒压盖 2 只、薄膜 2 块、塑料圆片 2 片、细线 5 米组成。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2.话筒规格Φ52mm×37mm，壁厚 1.5mm；薄膜 2 张，110mm×107mm，两层；塑料圆片直径约15mm，厚度不小于 0.5mm，圆片中心有 1 个小孔。</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3.产品符合 JY0001《教学仪器产品一般质量要求》。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4.标志、说明书、包装、运输、贮存符合 JY0001-2003《教学仪器设备产品一般质量要求》的有关规定。</w:t>
            </w:r>
          </w:p>
        </w:tc>
        <w:tc>
          <w:tcPr>
            <w:tcW w:w="603" w:type="dxa"/>
            <w:noWrap w:val="0"/>
            <w:vAlign w:val="center"/>
          </w:tcPr>
          <w:p w14:paraId="2606CD8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9E8A7F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73A0D7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9.6</w:t>
            </w:r>
          </w:p>
        </w:tc>
        <w:tc>
          <w:tcPr>
            <w:tcW w:w="635" w:type="dxa"/>
            <w:noWrap w:val="0"/>
            <w:vAlign w:val="center"/>
          </w:tcPr>
          <w:p w14:paraId="098CF8E1">
            <w:pPr>
              <w:ind w:left="0" w:leftChars="0" w:firstLine="0" w:firstLineChars="0"/>
              <w:jc w:val="center"/>
              <w:rPr>
                <w:rFonts w:hint="eastAsia" w:ascii="宋体" w:hAnsi="宋体" w:cs="宋体"/>
                <w:color w:val="auto"/>
                <w:sz w:val="21"/>
                <w:szCs w:val="21"/>
                <w:highlight w:val="none"/>
                <w:lang w:val="en-US" w:eastAsia="zh-CN"/>
              </w:rPr>
            </w:pPr>
          </w:p>
        </w:tc>
      </w:tr>
      <w:tr w14:paraId="48D5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109C421">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B1730F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热传导实验材料</w:t>
            </w:r>
          </w:p>
        </w:tc>
        <w:tc>
          <w:tcPr>
            <w:tcW w:w="5472" w:type="dxa"/>
            <w:noWrap w:val="0"/>
            <w:vAlign w:val="center"/>
          </w:tcPr>
          <w:p w14:paraId="68E32E48">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1.由木、金属、塑料、玻璃、陶瓷、棉花、石棉等材料和实验盒组成；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2.木、金属、塑料、玻璃、陶瓷的尺寸为：约 75mm×7mm×1mm；棉花大于 1 克，石棉布不小于 80mm×20mm；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3.实验盒为塑料制，尺寸为：≥103mm×57mm×43mm</w:t>
            </w:r>
          </w:p>
        </w:tc>
        <w:tc>
          <w:tcPr>
            <w:tcW w:w="603" w:type="dxa"/>
            <w:noWrap w:val="0"/>
            <w:vAlign w:val="center"/>
          </w:tcPr>
          <w:p w14:paraId="7AC67AF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54AF4EE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B8F826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36FBAB9E">
            <w:pPr>
              <w:ind w:left="0" w:leftChars="0" w:firstLine="0" w:firstLineChars="0"/>
              <w:jc w:val="center"/>
              <w:rPr>
                <w:rFonts w:hint="eastAsia" w:ascii="宋体" w:hAnsi="宋体" w:cs="宋体"/>
                <w:color w:val="auto"/>
                <w:sz w:val="21"/>
                <w:szCs w:val="21"/>
                <w:highlight w:val="none"/>
                <w:lang w:val="en-US" w:eastAsia="zh-CN"/>
              </w:rPr>
            </w:pPr>
          </w:p>
        </w:tc>
      </w:tr>
      <w:tr w14:paraId="51C94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87C9534">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DA0E47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物体热涨冷缩实验材料</w:t>
            </w:r>
          </w:p>
        </w:tc>
        <w:tc>
          <w:tcPr>
            <w:tcW w:w="5472" w:type="dxa"/>
            <w:noWrap w:val="0"/>
            <w:vAlign w:val="center"/>
          </w:tcPr>
          <w:p w14:paraId="6AC66E6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1.由带柄的铜球、带手柄的塑料球和带手柄的金属圆环组成。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2.铜球由黄铜制成，表面光洁，直径 15mm，金属柄直径 4mm，长度不小于 60mm，绝缘柄长不小于 60mm，金属链长度不小于 60mm。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3.塑料球直径：15.mm，塑料球通过金属链和塑料柄连接，塑料柄 5mm×150mm，金属链长度不小于 60mm。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4.金属环用 1mm 厚的金属板制成，环孔直径 19.15mm，金属环通过金属柄和绝缘柄连接。</w:t>
            </w:r>
          </w:p>
        </w:tc>
        <w:tc>
          <w:tcPr>
            <w:tcW w:w="603" w:type="dxa"/>
            <w:noWrap w:val="0"/>
            <w:vAlign w:val="center"/>
          </w:tcPr>
          <w:p w14:paraId="5895637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7EB5E4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01B2A51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26.4</w:t>
            </w:r>
          </w:p>
        </w:tc>
        <w:tc>
          <w:tcPr>
            <w:tcW w:w="635" w:type="dxa"/>
            <w:noWrap w:val="0"/>
            <w:vAlign w:val="center"/>
          </w:tcPr>
          <w:p w14:paraId="055BB1F9">
            <w:pPr>
              <w:ind w:left="0" w:leftChars="0" w:firstLine="0" w:firstLineChars="0"/>
              <w:jc w:val="center"/>
              <w:rPr>
                <w:rFonts w:hint="eastAsia" w:ascii="宋体" w:hAnsi="宋体" w:cs="宋体"/>
                <w:color w:val="auto"/>
                <w:sz w:val="21"/>
                <w:szCs w:val="21"/>
                <w:highlight w:val="none"/>
                <w:lang w:val="en-US" w:eastAsia="zh-CN"/>
              </w:rPr>
            </w:pPr>
          </w:p>
        </w:tc>
      </w:tr>
      <w:tr w14:paraId="28A88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C520F19">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82A6BD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灯座及灯泡</w:t>
            </w:r>
          </w:p>
        </w:tc>
        <w:tc>
          <w:tcPr>
            <w:tcW w:w="5472" w:type="dxa"/>
            <w:noWrap w:val="0"/>
            <w:vAlign w:val="center"/>
          </w:tcPr>
          <w:p w14:paraId="24388BB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1.由螺口灯座，底部电极，连接片，接线柱和底板组成。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2.底座：≥75mm×35mm×10mm，工作电压不大于 36V，工作电流不大于 2.5A。配 2.5V 小灯泡 1 个。</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3.螺口、底部电极、连接片及接线柱为铜制，底板为胶木。</w:t>
            </w:r>
          </w:p>
        </w:tc>
        <w:tc>
          <w:tcPr>
            <w:tcW w:w="603" w:type="dxa"/>
            <w:noWrap w:val="0"/>
            <w:vAlign w:val="center"/>
          </w:tcPr>
          <w:p w14:paraId="3B63BF5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00" w:type="dxa"/>
            <w:noWrap w:val="0"/>
            <w:vAlign w:val="center"/>
          </w:tcPr>
          <w:p w14:paraId="13D18BE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542D4E4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9.6</w:t>
            </w:r>
          </w:p>
        </w:tc>
        <w:tc>
          <w:tcPr>
            <w:tcW w:w="635" w:type="dxa"/>
            <w:noWrap w:val="0"/>
            <w:vAlign w:val="center"/>
          </w:tcPr>
          <w:p w14:paraId="4C382D32">
            <w:pPr>
              <w:ind w:left="0" w:leftChars="0" w:firstLine="0" w:firstLineChars="0"/>
              <w:jc w:val="center"/>
              <w:rPr>
                <w:rFonts w:hint="eastAsia" w:ascii="宋体" w:hAnsi="宋体" w:cs="宋体"/>
                <w:color w:val="auto"/>
                <w:sz w:val="21"/>
                <w:szCs w:val="21"/>
                <w:highlight w:val="none"/>
                <w:lang w:val="en-US" w:eastAsia="zh-CN"/>
              </w:rPr>
            </w:pPr>
          </w:p>
        </w:tc>
      </w:tr>
      <w:tr w14:paraId="4F306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8E200F4">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22140C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开关</w:t>
            </w:r>
          </w:p>
        </w:tc>
        <w:tc>
          <w:tcPr>
            <w:tcW w:w="5472" w:type="dxa"/>
            <w:noWrap w:val="0"/>
            <w:vAlign w:val="center"/>
          </w:tcPr>
          <w:p w14:paraId="5BB0433B">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1.单刀单掷式，最高工作电压 36V，额定工作电流 6A；</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2.开关闸刀与接线柱及垫片均为铜质，应符合 JY0117－91《教学用闸刀开关》的要求。</w:t>
            </w:r>
          </w:p>
        </w:tc>
        <w:tc>
          <w:tcPr>
            <w:tcW w:w="603" w:type="dxa"/>
            <w:noWrap w:val="0"/>
            <w:vAlign w:val="center"/>
          </w:tcPr>
          <w:p w14:paraId="47ECEF4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w:t>
            </w:r>
          </w:p>
        </w:tc>
        <w:tc>
          <w:tcPr>
            <w:tcW w:w="600" w:type="dxa"/>
            <w:noWrap w:val="0"/>
            <w:vAlign w:val="center"/>
          </w:tcPr>
          <w:p w14:paraId="21BBA41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2C06D59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3.6</w:t>
            </w:r>
          </w:p>
        </w:tc>
        <w:tc>
          <w:tcPr>
            <w:tcW w:w="635" w:type="dxa"/>
            <w:noWrap w:val="0"/>
            <w:vAlign w:val="center"/>
          </w:tcPr>
          <w:p w14:paraId="777CC9DF">
            <w:pPr>
              <w:ind w:left="0" w:leftChars="0" w:firstLine="0" w:firstLineChars="0"/>
              <w:jc w:val="center"/>
              <w:rPr>
                <w:rFonts w:hint="eastAsia" w:ascii="宋体" w:hAnsi="宋体" w:cs="宋体"/>
                <w:color w:val="auto"/>
                <w:sz w:val="21"/>
                <w:szCs w:val="21"/>
                <w:highlight w:val="none"/>
                <w:lang w:val="en-US" w:eastAsia="zh-CN"/>
              </w:rPr>
            </w:pPr>
          </w:p>
        </w:tc>
      </w:tr>
      <w:tr w14:paraId="69797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C619B00">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C9E5F2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物体导电性实验材料</w:t>
            </w:r>
          </w:p>
        </w:tc>
        <w:tc>
          <w:tcPr>
            <w:tcW w:w="5472" w:type="dxa"/>
            <w:noWrap w:val="0"/>
            <w:vAlign w:val="center"/>
          </w:tcPr>
          <w:p w14:paraId="0B849918">
            <w:pPr>
              <w:numPr>
                <w:ilvl w:val="0"/>
                <w:numId w:val="11"/>
              </w:num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产品为组装式，由实验盒体 1 套、实验材料 1 套组成。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2.实验盒体：</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a.实验盒体用优质塑料制成，表面平整光滑，色泽均匀，无明显缩迹、毛刺，开启方便，规格尺寸为≥84×60×21mm。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b.实验盒体内设电池盒装置，能安装二节 5 号电池，接触良好。</w:t>
            </w:r>
          </w:p>
          <w:p w14:paraId="0F9F6B52">
            <w:pPr>
              <w:numPr>
                <w:ilvl w:val="0"/>
                <w:numId w:val="0"/>
              </w:numPr>
              <w:spacing w:line="240" w:lineRule="auto"/>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c.实验盒体盖部，有发光灯泡，插片座组成。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3.实验材料：</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a.实验材料由铜片、铁片、铝片、塑料片、碳棒等组成，各材料片尺寸为不低于 50×10× 0.7mm。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 xml:space="preserve">b.发光灯泡选用 DC1.5V-3V、1.5W 发光二极管。 </w:t>
            </w:r>
          </w:p>
          <w:p w14:paraId="31216332">
            <w:pPr>
              <w:numPr>
                <w:ilvl w:val="0"/>
                <w:numId w:val="0"/>
              </w:numPr>
              <w:spacing w:line="240" w:lineRule="auto"/>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c.插片座用铜制作，防锈处理。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4.标志、说明书、包装、运输、贮存符合 JY0001-2003《教学仪器设备产品一般质量要求》的有关规定。</w:t>
            </w:r>
          </w:p>
        </w:tc>
        <w:tc>
          <w:tcPr>
            <w:tcW w:w="603" w:type="dxa"/>
            <w:noWrap w:val="0"/>
            <w:vAlign w:val="center"/>
          </w:tcPr>
          <w:p w14:paraId="0E905B8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4DFD6C2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19B8DE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28.8</w:t>
            </w:r>
          </w:p>
        </w:tc>
        <w:tc>
          <w:tcPr>
            <w:tcW w:w="635" w:type="dxa"/>
            <w:noWrap w:val="0"/>
            <w:vAlign w:val="center"/>
          </w:tcPr>
          <w:p w14:paraId="4FE4159C">
            <w:pPr>
              <w:ind w:left="0" w:leftChars="0" w:firstLine="0" w:firstLineChars="0"/>
              <w:jc w:val="center"/>
              <w:rPr>
                <w:rFonts w:hint="eastAsia" w:ascii="宋体" w:hAnsi="宋体" w:cs="宋体"/>
                <w:color w:val="auto"/>
                <w:sz w:val="21"/>
                <w:szCs w:val="21"/>
                <w:highlight w:val="none"/>
                <w:lang w:val="en-US" w:eastAsia="zh-CN"/>
              </w:rPr>
            </w:pPr>
          </w:p>
        </w:tc>
      </w:tr>
      <w:tr w14:paraId="503C7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27B0712">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36FCE7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条形磁铁</w:t>
            </w:r>
          </w:p>
        </w:tc>
        <w:tc>
          <w:tcPr>
            <w:tcW w:w="5472" w:type="dxa"/>
            <w:noWrap w:val="0"/>
            <w:vAlign w:val="center"/>
          </w:tcPr>
          <w:p w14:paraId="33C5C92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1.D-CG-LT-180 尺寸为不少于 180×20×10mm。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2.磁铁经高温老化处理后两磁极磁感应强度平均值不小于 60mT。</w:t>
            </w:r>
          </w:p>
        </w:tc>
        <w:tc>
          <w:tcPr>
            <w:tcW w:w="603" w:type="dxa"/>
            <w:noWrap w:val="0"/>
            <w:vAlign w:val="center"/>
          </w:tcPr>
          <w:p w14:paraId="6EDC2B7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1AB5D0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30428DB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42.25</w:t>
            </w:r>
          </w:p>
        </w:tc>
        <w:tc>
          <w:tcPr>
            <w:tcW w:w="635" w:type="dxa"/>
            <w:noWrap w:val="0"/>
            <w:vAlign w:val="center"/>
          </w:tcPr>
          <w:p w14:paraId="55AD0AF1">
            <w:pPr>
              <w:ind w:left="0" w:leftChars="0" w:firstLine="0" w:firstLineChars="0"/>
              <w:jc w:val="center"/>
              <w:rPr>
                <w:rFonts w:hint="eastAsia" w:ascii="宋体" w:hAnsi="宋体" w:cs="宋体"/>
                <w:color w:val="auto"/>
                <w:sz w:val="21"/>
                <w:szCs w:val="21"/>
                <w:highlight w:val="none"/>
                <w:lang w:val="en-US" w:eastAsia="zh-CN"/>
              </w:rPr>
            </w:pPr>
          </w:p>
        </w:tc>
      </w:tr>
      <w:tr w14:paraId="6E563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DE5E49C">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967018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条形磁铁</w:t>
            </w:r>
          </w:p>
        </w:tc>
        <w:tc>
          <w:tcPr>
            <w:tcW w:w="5472" w:type="dxa"/>
            <w:noWrap w:val="0"/>
            <w:vAlign w:val="center"/>
          </w:tcPr>
          <w:p w14:paraId="3A16B65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1.学生用尺寸为≥36mm×9mm×6mm，一对。</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2.磁铁经高温老化处理后两磁极磁感应强度平均值不小于 60mT。</w:t>
            </w:r>
          </w:p>
        </w:tc>
        <w:tc>
          <w:tcPr>
            <w:tcW w:w="603" w:type="dxa"/>
            <w:noWrap w:val="0"/>
            <w:vAlign w:val="center"/>
          </w:tcPr>
          <w:p w14:paraId="00303BE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2DE070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EA7BB6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35" w:type="dxa"/>
            <w:noWrap w:val="0"/>
            <w:vAlign w:val="center"/>
          </w:tcPr>
          <w:p w14:paraId="6ED4DAF9">
            <w:pPr>
              <w:ind w:left="0" w:leftChars="0" w:firstLine="0" w:firstLineChars="0"/>
              <w:jc w:val="center"/>
              <w:rPr>
                <w:rFonts w:hint="eastAsia" w:ascii="宋体" w:hAnsi="宋体" w:cs="宋体"/>
                <w:color w:val="auto"/>
                <w:sz w:val="21"/>
                <w:szCs w:val="21"/>
                <w:highlight w:val="none"/>
                <w:lang w:val="en-US" w:eastAsia="zh-CN"/>
              </w:rPr>
            </w:pPr>
          </w:p>
        </w:tc>
      </w:tr>
      <w:tr w14:paraId="71147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7C66405">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62E2F5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蹄形磁铁</w:t>
            </w:r>
          </w:p>
        </w:tc>
        <w:tc>
          <w:tcPr>
            <w:tcW w:w="5472" w:type="dxa"/>
            <w:noWrap w:val="0"/>
            <w:vAlign w:val="center"/>
          </w:tcPr>
          <w:p w14:paraId="12C797BA">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D-CG-LU-80 磁铁经高温老化处理后两磁极磁感应强度平均值不小于 55mT。</w:t>
            </w:r>
          </w:p>
        </w:tc>
        <w:tc>
          <w:tcPr>
            <w:tcW w:w="603" w:type="dxa"/>
            <w:noWrap w:val="0"/>
            <w:vAlign w:val="center"/>
          </w:tcPr>
          <w:p w14:paraId="6E7570C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60BCA9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4A196A1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43.875</w:t>
            </w:r>
          </w:p>
        </w:tc>
        <w:tc>
          <w:tcPr>
            <w:tcW w:w="635" w:type="dxa"/>
            <w:noWrap w:val="0"/>
            <w:vAlign w:val="center"/>
          </w:tcPr>
          <w:p w14:paraId="5E215B62">
            <w:pPr>
              <w:ind w:left="0" w:leftChars="0" w:firstLine="0" w:firstLineChars="0"/>
              <w:jc w:val="center"/>
              <w:rPr>
                <w:rFonts w:hint="eastAsia" w:ascii="宋体" w:hAnsi="宋体" w:cs="宋体"/>
                <w:color w:val="auto"/>
                <w:sz w:val="21"/>
                <w:szCs w:val="21"/>
                <w:highlight w:val="none"/>
                <w:lang w:val="en-US" w:eastAsia="zh-CN"/>
              </w:rPr>
            </w:pPr>
          </w:p>
        </w:tc>
      </w:tr>
      <w:tr w14:paraId="5C1F0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E0373F2">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63BA5B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蹄形磁铁</w:t>
            </w:r>
          </w:p>
        </w:tc>
        <w:tc>
          <w:tcPr>
            <w:tcW w:w="5472" w:type="dxa"/>
            <w:noWrap w:val="0"/>
            <w:vAlign w:val="center"/>
          </w:tcPr>
          <w:p w14:paraId="300376F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D-CG-LU-10 磁铁经高温老化处理后两磁极磁感应强度平均值不小于 55mT。</w:t>
            </w:r>
          </w:p>
        </w:tc>
        <w:tc>
          <w:tcPr>
            <w:tcW w:w="603" w:type="dxa"/>
            <w:noWrap w:val="0"/>
            <w:vAlign w:val="center"/>
          </w:tcPr>
          <w:p w14:paraId="4D6D16A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4BE90A0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E6F8B1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29.9</w:t>
            </w:r>
          </w:p>
        </w:tc>
        <w:tc>
          <w:tcPr>
            <w:tcW w:w="635" w:type="dxa"/>
            <w:noWrap w:val="0"/>
            <w:vAlign w:val="center"/>
          </w:tcPr>
          <w:p w14:paraId="73F1F3F0">
            <w:pPr>
              <w:ind w:left="0" w:leftChars="0" w:firstLine="0" w:firstLineChars="0"/>
              <w:jc w:val="center"/>
              <w:rPr>
                <w:rFonts w:hint="eastAsia" w:ascii="宋体" w:hAnsi="宋体" w:cs="宋体"/>
                <w:color w:val="auto"/>
                <w:sz w:val="21"/>
                <w:szCs w:val="21"/>
                <w:highlight w:val="none"/>
                <w:lang w:val="en-US" w:eastAsia="zh-CN"/>
              </w:rPr>
            </w:pPr>
          </w:p>
        </w:tc>
      </w:tr>
      <w:tr w14:paraId="7DF39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BAA0229">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F44CE3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磁针</w:t>
            </w:r>
          </w:p>
        </w:tc>
        <w:tc>
          <w:tcPr>
            <w:tcW w:w="5472" w:type="dxa"/>
            <w:noWrap w:val="0"/>
            <w:vAlign w:val="center"/>
          </w:tcPr>
          <w:p w14:paraId="4E21C6B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翼形磁针底座和支柱材料采用聚苯塑料，每组 2 支.磁针体长 140±2.0mm、宽 8±0.7mm。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支座直径 71±1.5mm，总高 112±1.7mm。</w:t>
            </w:r>
          </w:p>
        </w:tc>
        <w:tc>
          <w:tcPr>
            <w:tcW w:w="603" w:type="dxa"/>
            <w:noWrap w:val="0"/>
            <w:vAlign w:val="center"/>
          </w:tcPr>
          <w:p w14:paraId="36FE9D0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w:t>
            </w:r>
          </w:p>
        </w:tc>
        <w:tc>
          <w:tcPr>
            <w:tcW w:w="600" w:type="dxa"/>
            <w:noWrap w:val="0"/>
            <w:vAlign w:val="center"/>
          </w:tcPr>
          <w:p w14:paraId="0E74302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C314F3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7C48965B">
            <w:pPr>
              <w:ind w:left="0" w:leftChars="0" w:firstLine="0" w:firstLineChars="0"/>
              <w:jc w:val="center"/>
              <w:rPr>
                <w:rFonts w:hint="eastAsia" w:ascii="宋体" w:hAnsi="宋体" w:cs="宋体"/>
                <w:color w:val="auto"/>
                <w:sz w:val="21"/>
                <w:szCs w:val="21"/>
                <w:highlight w:val="none"/>
                <w:lang w:val="en-US" w:eastAsia="zh-CN"/>
              </w:rPr>
            </w:pPr>
          </w:p>
        </w:tc>
      </w:tr>
      <w:tr w14:paraId="2F1B7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51962B2">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DD372F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环形磁铁</w:t>
            </w:r>
          </w:p>
        </w:tc>
        <w:tc>
          <w:tcPr>
            <w:tcW w:w="5472" w:type="dxa"/>
            <w:noWrap w:val="0"/>
            <w:vAlign w:val="center"/>
          </w:tcPr>
          <w:p w14:paraId="499E882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环形磁铁一对，外径：φ32mm，内径：φ16mm，厚 6mm。用纸盒盒包装。</w:t>
            </w:r>
          </w:p>
        </w:tc>
        <w:tc>
          <w:tcPr>
            <w:tcW w:w="603" w:type="dxa"/>
            <w:noWrap w:val="0"/>
            <w:vAlign w:val="center"/>
          </w:tcPr>
          <w:p w14:paraId="2492B22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301EC44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41AA365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01E48BEF">
            <w:pPr>
              <w:ind w:left="0" w:leftChars="0" w:firstLine="0" w:firstLineChars="0"/>
              <w:jc w:val="center"/>
              <w:rPr>
                <w:rFonts w:hint="eastAsia" w:ascii="宋体" w:hAnsi="宋体" w:cs="宋体"/>
                <w:color w:val="auto"/>
                <w:sz w:val="21"/>
                <w:szCs w:val="21"/>
                <w:highlight w:val="none"/>
                <w:lang w:val="en-US" w:eastAsia="zh-CN"/>
              </w:rPr>
            </w:pPr>
          </w:p>
        </w:tc>
      </w:tr>
      <w:tr w14:paraId="71590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54E9609">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DEE91B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电磁铁组装材料</w:t>
            </w:r>
          </w:p>
        </w:tc>
        <w:tc>
          <w:tcPr>
            <w:tcW w:w="5472" w:type="dxa"/>
            <w:noWrap w:val="0"/>
            <w:vAlign w:val="center"/>
          </w:tcPr>
          <w:p w14:paraId="35A08A7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 个骨架，由线圈骨架 2 个、铁芯 2 个、2000mm 和 1000mm 长的细导线各一根。</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2、小垫片 30 片。塑料盒包装</w:t>
            </w:r>
          </w:p>
        </w:tc>
        <w:tc>
          <w:tcPr>
            <w:tcW w:w="603" w:type="dxa"/>
            <w:noWrap w:val="0"/>
            <w:vAlign w:val="center"/>
          </w:tcPr>
          <w:p w14:paraId="197844B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421986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F93644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13.2</w:t>
            </w:r>
          </w:p>
        </w:tc>
        <w:tc>
          <w:tcPr>
            <w:tcW w:w="635" w:type="dxa"/>
            <w:noWrap w:val="0"/>
            <w:vAlign w:val="center"/>
          </w:tcPr>
          <w:p w14:paraId="3F3AFBCB">
            <w:pPr>
              <w:ind w:left="0" w:leftChars="0" w:firstLine="0" w:firstLineChars="0"/>
              <w:jc w:val="center"/>
              <w:rPr>
                <w:rFonts w:hint="eastAsia" w:ascii="宋体" w:hAnsi="宋体" w:cs="宋体"/>
                <w:color w:val="auto"/>
                <w:sz w:val="21"/>
                <w:szCs w:val="21"/>
                <w:highlight w:val="none"/>
                <w:lang w:val="en-US" w:eastAsia="zh-CN"/>
              </w:rPr>
            </w:pPr>
          </w:p>
        </w:tc>
      </w:tr>
      <w:tr w14:paraId="231C5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7B0B6EF">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5EC8C0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电磁铁</w:t>
            </w:r>
          </w:p>
        </w:tc>
        <w:tc>
          <w:tcPr>
            <w:tcW w:w="5472" w:type="dxa"/>
            <w:noWrap w:val="0"/>
            <w:vAlign w:val="center"/>
          </w:tcPr>
          <w:p w14:paraId="23F9185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U 型电磁铁。</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1.U 形铁芯：粗φ12mm，高约 100mm，上端有可转动的挂钩；线圈二个（带塑料框架），尺寸：φ30mm×58mm，每个线圈上有一个接线柱；衔铁一个，</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2.尺寸：约 60mm×12mm×2mm，中心有个可转动的挂钩。</w:t>
            </w:r>
          </w:p>
        </w:tc>
        <w:tc>
          <w:tcPr>
            <w:tcW w:w="603" w:type="dxa"/>
            <w:noWrap w:val="0"/>
            <w:vAlign w:val="center"/>
          </w:tcPr>
          <w:p w14:paraId="44E8EFC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0AB147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63EB364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77BD248B">
            <w:pPr>
              <w:ind w:left="0" w:leftChars="0" w:firstLine="0" w:firstLineChars="0"/>
              <w:jc w:val="center"/>
              <w:rPr>
                <w:rFonts w:hint="eastAsia" w:ascii="宋体" w:hAnsi="宋体" w:cs="宋体"/>
                <w:color w:val="auto"/>
                <w:sz w:val="21"/>
                <w:szCs w:val="21"/>
                <w:highlight w:val="none"/>
                <w:lang w:val="en-US" w:eastAsia="zh-CN"/>
              </w:rPr>
            </w:pPr>
          </w:p>
        </w:tc>
      </w:tr>
      <w:tr w14:paraId="7164C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15F0C1">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85BD6D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手摇发电机</w:t>
            </w:r>
          </w:p>
        </w:tc>
        <w:tc>
          <w:tcPr>
            <w:tcW w:w="5472" w:type="dxa"/>
            <w:noWrap w:val="0"/>
            <w:vAlign w:val="center"/>
          </w:tcPr>
          <w:p w14:paraId="09EA88AB">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1.整体用透明塑料制作，可看到内部结构，通过手把转动，使小型发电机发电、电珠发亮。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2.空载输出电压为 4.8V，输出电流为 0.3A。</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3.产品附接线一付，长度 27cm±3</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4.各部件无明显缺陷，配合良好。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5.整机结构紧凑，效果明显。</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6.符合 JY0001－2003《教学仪器设备产品一般质量要求》的有关要求。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7.标志、说明书、包装、运输、贮存符合 JY0001-2003《教学仪器设备产品一般质量要求》 的有关规定。</w:t>
            </w:r>
          </w:p>
        </w:tc>
        <w:tc>
          <w:tcPr>
            <w:tcW w:w="603" w:type="dxa"/>
            <w:noWrap w:val="0"/>
            <w:vAlign w:val="center"/>
          </w:tcPr>
          <w:p w14:paraId="7F8FDDE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46A6E68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03DAE4A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54</w:t>
            </w:r>
          </w:p>
        </w:tc>
        <w:tc>
          <w:tcPr>
            <w:tcW w:w="635" w:type="dxa"/>
            <w:noWrap w:val="0"/>
            <w:vAlign w:val="center"/>
          </w:tcPr>
          <w:p w14:paraId="6B33D84A">
            <w:pPr>
              <w:ind w:left="0" w:leftChars="0" w:firstLine="0" w:firstLineChars="0"/>
              <w:jc w:val="center"/>
              <w:rPr>
                <w:rFonts w:hint="eastAsia" w:ascii="宋体" w:hAnsi="宋体" w:cs="宋体"/>
                <w:color w:val="auto"/>
                <w:sz w:val="21"/>
                <w:szCs w:val="21"/>
                <w:highlight w:val="none"/>
                <w:lang w:val="en-US" w:eastAsia="zh-CN"/>
              </w:rPr>
            </w:pPr>
          </w:p>
        </w:tc>
      </w:tr>
      <w:tr w14:paraId="07E5C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8319B2A">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D482AF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激光笔</w:t>
            </w:r>
          </w:p>
        </w:tc>
        <w:tc>
          <w:tcPr>
            <w:tcW w:w="5472" w:type="dxa"/>
            <w:noWrap w:val="0"/>
            <w:vAlign w:val="center"/>
          </w:tcPr>
          <w:p w14:paraId="7E03375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1.工作电压：DC3V；</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2.光源半导体激光器：输出波长 680nm(红色)，输出功率 2mW,光束发散角 1mrad,对人眼无伤害；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3.尺寸：不小于 10mm×130mm;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4.材质：金属外壳，防锈处理。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5.光束集中不发散，射程不小于 10 米。</w:t>
            </w:r>
          </w:p>
        </w:tc>
        <w:tc>
          <w:tcPr>
            <w:tcW w:w="603" w:type="dxa"/>
            <w:noWrap w:val="0"/>
            <w:vAlign w:val="center"/>
          </w:tcPr>
          <w:p w14:paraId="107FB50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39F820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6C8C886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14.4</w:t>
            </w:r>
          </w:p>
        </w:tc>
        <w:tc>
          <w:tcPr>
            <w:tcW w:w="635" w:type="dxa"/>
            <w:noWrap w:val="0"/>
            <w:vAlign w:val="center"/>
          </w:tcPr>
          <w:p w14:paraId="7EF68708">
            <w:pPr>
              <w:ind w:left="0" w:leftChars="0" w:firstLine="0" w:firstLineChars="0"/>
              <w:jc w:val="center"/>
              <w:rPr>
                <w:rFonts w:hint="eastAsia" w:ascii="宋体" w:hAnsi="宋体" w:cs="宋体"/>
                <w:color w:val="auto"/>
                <w:sz w:val="21"/>
                <w:szCs w:val="21"/>
                <w:highlight w:val="none"/>
                <w:lang w:val="en-US" w:eastAsia="zh-CN"/>
              </w:rPr>
            </w:pPr>
          </w:p>
        </w:tc>
      </w:tr>
      <w:tr w14:paraId="5B15C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61FFC79">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CE5C48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小孔成像装置</w:t>
            </w:r>
          </w:p>
        </w:tc>
        <w:tc>
          <w:tcPr>
            <w:tcW w:w="5472" w:type="dxa"/>
            <w:noWrap w:val="0"/>
            <w:vAlign w:val="center"/>
          </w:tcPr>
          <w:p w14:paraId="2FB198B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1.由小孔板、光屏、蜡烛和底座组成。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2.小孔板一个，黑色，塑料制成，尺寸：约 75mm×60mm×0.5mm，中心有一个 2mm 的小孔；光屏一块，白色，塑料制成，尺寸：约 75mm×60mm×0.5mm；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3.配蜡烛一根；底座三个，为多用插座，塑料制成，尺寸：不低于 64mm×25mm×14mm，</w:t>
            </w:r>
          </w:p>
        </w:tc>
        <w:tc>
          <w:tcPr>
            <w:tcW w:w="603" w:type="dxa"/>
            <w:noWrap w:val="0"/>
            <w:vAlign w:val="center"/>
          </w:tcPr>
          <w:p w14:paraId="4550C87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C78D7D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827334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16.8</w:t>
            </w:r>
          </w:p>
        </w:tc>
        <w:tc>
          <w:tcPr>
            <w:tcW w:w="635" w:type="dxa"/>
            <w:noWrap w:val="0"/>
            <w:vAlign w:val="center"/>
          </w:tcPr>
          <w:p w14:paraId="0B95C0DC">
            <w:pPr>
              <w:ind w:left="0" w:leftChars="0" w:firstLine="0" w:firstLineChars="0"/>
              <w:jc w:val="center"/>
              <w:rPr>
                <w:rFonts w:hint="eastAsia" w:ascii="宋体" w:hAnsi="宋体" w:cs="宋体"/>
                <w:color w:val="auto"/>
                <w:sz w:val="21"/>
                <w:szCs w:val="21"/>
                <w:highlight w:val="none"/>
                <w:lang w:val="en-US" w:eastAsia="zh-CN"/>
              </w:rPr>
            </w:pPr>
          </w:p>
        </w:tc>
      </w:tr>
      <w:tr w14:paraId="253F5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7822F90">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40C63B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平面镜及支架</w:t>
            </w:r>
          </w:p>
        </w:tc>
        <w:tc>
          <w:tcPr>
            <w:tcW w:w="5472" w:type="dxa"/>
            <w:noWrap w:val="0"/>
            <w:vAlign w:val="center"/>
          </w:tcPr>
          <w:p w14:paraId="4F440D3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1.由二个支座、二个小平面镜组成。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2.镜面大小 56×38×1mm 个平面镜。</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3.支架 64mm×25mm×14mm，蓝色 ABS 塑料制成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4.平面镜普通玻璃，无气泡、结石、条纹。</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5.标志、说明书、包装、运输、贮存符合 JY0001-2003《教学仪器设备产品一般质量要求》 的有关规定。</w:t>
            </w:r>
          </w:p>
        </w:tc>
        <w:tc>
          <w:tcPr>
            <w:tcW w:w="603" w:type="dxa"/>
            <w:noWrap w:val="0"/>
            <w:vAlign w:val="center"/>
          </w:tcPr>
          <w:p w14:paraId="5A6862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335D76A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535FAE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15.6</w:t>
            </w:r>
          </w:p>
        </w:tc>
        <w:tc>
          <w:tcPr>
            <w:tcW w:w="635" w:type="dxa"/>
            <w:noWrap w:val="0"/>
            <w:vAlign w:val="center"/>
          </w:tcPr>
          <w:p w14:paraId="69D8E165">
            <w:pPr>
              <w:ind w:left="0" w:leftChars="0" w:firstLine="0" w:firstLineChars="0"/>
              <w:jc w:val="center"/>
              <w:rPr>
                <w:rFonts w:hint="eastAsia" w:ascii="宋体" w:hAnsi="宋体" w:cs="宋体"/>
                <w:color w:val="auto"/>
                <w:sz w:val="21"/>
                <w:szCs w:val="21"/>
                <w:highlight w:val="none"/>
                <w:lang w:val="en-US" w:eastAsia="zh-CN"/>
              </w:rPr>
            </w:pPr>
          </w:p>
        </w:tc>
      </w:tr>
      <w:tr w14:paraId="3E825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8493532">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B6D1CA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曲面镜及支架</w:t>
            </w:r>
          </w:p>
        </w:tc>
        <w:tc>
          <w:tcPr>
            <w:tcW w:w="5472" w:type="dxa"/>
            <w:noWrap w:val="0"/>
            <w:vAlign w:val="center"/>
          </w:tcPr>
          <w:p w14:paraId="3E712CB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1.由带支杆镜框凸面镜和凹面镜各 1 个，支杆连底座各 2 件组成。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2.凸凹面镜镜尺寸为 96×61mm，凹面镜焦距为 65mm±10mm，凸面镜焦距为-65mm±10mm。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3.底座外形尺寸为 50×50×45mm。底座有足够的稳定度，不影响实验的操作。</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4.满足小学科学教学的实验需求。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5.标志、说明书、包装、运输、贮存符合 JY0001-2003《教学仪器设备产品一般质量要求》的有关规定。</w:t>
            </w:r>
          </w:p>
        </w:tc>
        <w:tc>
          <w:tcPr>
            <w:tcW w:w="603" w:type="dxa"/>
            <w:noWrap w:val="0"/>
            <w:vAlign w:val="center"/>
          </w:tcPr>
          <w:p w14:paraId="16E5BA0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1B3B34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3AE49F1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12C6C6D5">
            <w:pPr>
              <w:ind w:left="0" w:leftChars="0" w:firstLine="0" w:firstLineChars="0"/>
              <w:jc w:val="center"/>
              <w:rPr>
                <w:rFonts w:hint="eastAsia" w:ascii="宋体" w:hAnsi="宋体" w:cs="宋体"/>
                <w:color w:val="auto"/>
                <w:sz w:val="21"/>
                <w:szCs w:val="21"/>
                <w:highlight w:val="none"/>
                <w:lang w:val="en-US" w:eastAsia="zh-CN"/>
              </w:rPr>
            </w:pPr>
          </w:p>
        </w:tc>
      </w:tr>
      <w:tr w14:paraId="476E4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F8CF49A">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454B88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凸透镜、棱镜及支架</w:t>
            </w:r>
          </w:p>
        </w:tc>
        <w:tc>
          <w:tcPr>
            <w:tcW w:w="5472" w:type="dxa"/>
            <w:noWrap w:val="0"/>
            <w:vAlign w:val="center"/>
          </w:tcPr>
          <w:p w14:paraId="70B92C7E">
            <w:pPr>
              <w:numPr>
                <w:ilvl w:val="0"/>
                <w:numId w:val="12"/>
              </w:num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凸透镜会聚光线：塑料外壳直径 54mm*15mm.镜片直径 50mm*8mm.黑色框架</w:t>
            </w:r>
          </w:p>
          <w:p w14:paraId="38AFD077">
            <w:pPr>
              <w:pStyle w:val="18"/>
              <w:numPr>
                <w:ilvl w:val="0"/>
                <w:numId w:val="0"/>
              </w:numPr>
              <w:rPr>
                <w:rFonts w:hint="eastAsia"/>
                <w:color w:val="auto"/>
                <w:highlight w:val="none"/>
                <w:lang w:val="en-US" w:eastAsia="zh-CN"/>
              </w:rPr>
            </w:pPr>
            <w:r>
              <w:rPr>
                <w:rFonts w:hint="eastAsia" w:ascii="宋体" w:hAnsi="宋体" w:cs="宋体"/>
                <w:color w:val="auto"/>
                <w:sz w:val="21"/>
                <w:szCs w:val="21"/>
                <w:highlight w:val="none"/>
                <w:lang w:val="en-US" w:eastAsia="zh-CN"/>
              </w:rPr>
              <w:t>2.棱镜支架：铁直径 85mm*6mm 顶部为螺纹头</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3.套圈;塑料外型喇叭底座，总长 45 支杆直 11mm，底站直径 50mm。蓝色。</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4.底座组成：塑料 50*35*2，边两脚 5*3*1.15，蓝色。</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5.三角镜：三面玻璃镜 27mm*21mm。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6.三角塑料边框：直径 24 厚 9mm，底座螺纹孔直径 10 高 5mm。颜色黑色</w:t>
            </w:r>
          </w:p>
        </w:tc>
        <w:tc>
          <w:tcPr>
            <w:tcW w:w="603" w:type="dxa"/>
            <w:noWrap w:val="0"/>
            <w:vAlign w:val="center"/>
          </w:tcPr>
          <w:p w14:paraId="77AD344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F7BB37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9FE634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26.4</w:t>
            </w:r>
          </w:p>
        </w:tc>
        <w:tc>
          <w:tcPr>
            <w:tcW w:w="635" w:type="dxa"/>
            <w:noWrap w:val="0"/>
            <w:vAlign w:val="center"/>
          </w:tcPr>
          <w:p w14:paraId="0338B190">
            <w:pPr>
              <w:ind w:left="0" w:leftChars="0" w:firstLine="0" w:firstLineChars="0"/>
              <w:jc w:val="center"/>
              <w:rPr>
                <w:rFonts w:hint="eastAsia" w:ascii="宋体" w:hAnsi="宋体" w:cs="宋体"/>
                <w:color w:val="auto"/>
                <w:sz w:val="21"/>
                <w:szCs w:val="21"/>
                <w:highlight w:val="none"/>
                <w:lang w:val="en-US" w:eastAsia="zh-CN"/>
              </w:rPr>
            </w:pPr>
          </w:p>
        </w:tc>
      </w:tr>
      <w:tr w14:paraId="2919C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36DD611">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228DEF5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成像屏及支架</w:t>
            </w:r>
          </w:p>
        </w:tc>
        <w:tc>
          <w:tcPr>
            <w:tcW w:w="5472" w:type="dxa"/>
            <w:shd w:val="clear" w:color="auto" w:fill="auto"/>
            <w:noWrap w:val="0"/>
            <w:vAlign w:val="center"/>
          </w:tcPr>
          <w:p w14:paraId="00DD5FF9">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1.由成像屏及支架组成。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2.成像屏长 75mm、宽 60mm、厚 0.5mm 的塑料 PVC 白屏,平整无划痕。</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3.支架为 45mm×49mm×49mmABS 塑料制成，共 2 个，组装方便。</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4.标志、说明书、包装、运输、贮存符合 JY0001-2003《教学仪器设备产品一般质量要求》的有关规定。</w:t>
            </w:r>
          </w:p>
        </w:tc>
        <w:tc>
          <w:tcPr>
            <w:tcW w:w="603" w:type="dxa"/>
            <w:shd w:val="clear" w:color="auto" w:fill="auto"/>
            <w:noWrap w:val="0"/>
            <w:vAlign w:val="center"/>
          </w:tcPr>
          <w:p w14:paraId="3EDBE459">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24</w:t>
            </w:r>
          </w:p>
        </w:tc>
        <w:tc>
          <w:tcPr>
            <w:tcW w:w="600" w:type="dxa"/>
            <w:shd w:val="clear" w:color="auto" w:fill="auto"/>
            <w:noWrap w:val="0"/>
            <w:vAlign w:val="center"/>
          </w:tcPr>
          <w:p w14:paraId="6205576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套</w:t>
            </w:r>
          </w:p>
        </w:tc>
        <w:tc>
          <w:tcPr>
            <w:tcW w:w="1110" w:type="dxa"/>
            <w:shd w:val="clear" w:color="auto" w:fill="auto"/>
            <w:noWrap w:val="0"/>
            <w:vAlign w:val="center"/>
          </w:tcPr>
          <w:p w14:paraId="365C3959">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10.8</w:t>
            </w:r>
          </w:p>
        </w:tc>
        <w:tc>
          <w:tcPr>
            <w:tcW w:w="635" w:type="dxa"/>
            <w:noWrap w:val="0"/>
            <w:vAlign w:val="center"/>
          </w:tcPr>
          <w:p w14:paraId="33390008">
            <w:pPr>
              <w:ind w:left="0" w:leftChars="0" w:firstLine="0" w:firstLineChars="0"/>
              <w:jc w:val="center"/>
              <w:rPr>
                <w:rFonts w:hint="eastAsia" w:ascii="宋体" w:hAnsi="宋体" w:cs="宋体"/>
                <w:color w:val="auto"/>
                <w:sz w:val="21"/>
                <w:szCs w:val="21"/>
                <w:highlight w:val="none"/>
                <w:lang w:val="en-US" w:eastAsia="zh-CN"/>
              </w:rPr>
            </w:pPr>
          </w:p>
        </w:tc>
      </w:tr>
      <w:tr w14:paraId="1FE89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FB278FF">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5BCA5089">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昆虫观察盒</w:t>
            </w:r>
          </w:p>
        </w:tc>
        <w:tc>
          <w:tcPr>
            <w:tcW w:w="5472" w:type="dxa"/>
            <w:shd w:val="clear" w:color="auto" w:fill="auto"/>
            <w:noWrap w:val="0"/>
            <w:vAlign w:val="center"/>
          </w:tcPr>
          <w:p w14:paraId="5FEDE05D">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1.盒体尺寸：约 88mm×88mm×86mm，镜片直径 58.5mm，放大倍数 5×。</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2.镜片无明显气泡，条纹，结石及破边等缺陷，透明度良好。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3.盒体用聚苯或其它透明材料制作,模具成形,应光滑、平整、透明、无毛刺、划痕、裂纹等缺陷。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4.底座（盒子下底）划分为均等的方格（12×16），盒体与盒盖配合良好，开启方便。</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5.标志、说明书、包装、运输、贮存符合 JY0001-2003《教学仪器设备产品一般质量要求》的有关规定。</w:t>
            </w:r>
          </w:p>
        </w:tc>
        <w:tc>
          <w:tcPr>
            <w:tcW w:w="603" w:type="dxa"/>
            <w:shd w:val="clear" w:color="auto" w:fill="auto"/>
            <w:noWrap w:val="0"/>
            <w:vAlign w:val="center"/>
          </w:tcPr>
          <w:p w14:paraId="2B8549E9">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24</w:t>
            </w:r>
          </w:p>
        </w:tc>
        <w:tc>
          <w:tcPr>
            <w:tcW w:w="600" w:type="dxa"/>
            <w:shd w:val="clear" w:color="auto" w:fill="auto"/>
            <w:noWrap w:val="0"/>
            <w:vAlign w:val="center"/>
          </w:tcPr>
          <w:p w14:paraId="778A662D">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个</w:t>
            </w:r>
          </w:p>
        </w:tc>
        <w:tc>
          <w:tcPr>
            <w:tcW w:w="1110" w:type="dxa"/>
            <w:shd w:val="clear" w:color="auto" w:fill="auto"/>
            <w:noWrap w:val="0"/>
            <w:vAlign w:val="center"/>
          </w:tcPr>
          <w:p w14:paraId="47F7FAE3">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16.8</w:t>
            </w:r>
          </w:p>
        </w:tc>
        <w:tc>
          <w:tcPr>
            <w:tcW w:w="635" w:type="dxa"/>
            <w:noWrap w:val="0"/>
            <w:vAlign w:val="center"/>
          </w:tcPr>
          <w:p w14:paraId="1FE53CEC">
            <w:pPr>
              <w:ind w:left="0" w:leftChars="0" w:firstLine="0" w:firstLineChars="0"/>
              <w:jc w:val="center"/>
              <w:rPr>
                <w:rFonts w:hint="eastAsia" w:ascii="宋体" w:hAnsi="宋体" w:cs="宋体"/>
                <w:color w:val="auto"/>
                <w:sz w:val="21"/>
                <w:szCs w:val="21"/>
                <w:highlight w:val="none"/>
                <w:lang w:val="en-US" w:eastAsia="zh-CN"/>
              </w:rPr>
            </w:pPr>
          </w:p>
        </w:tc>
      </w:tr>
      <w:tr w14:paraId="33A6C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0223BF9">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1CEC56C6">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单摆</w:t>
            </w:r>
          </w:p>
        </w:tc>
        <w:tc>
          <w:tcPr>
            <w:tcW w:w="5472" w:type="dxa"/>
            <w:shd w:val="clear" w:color="auto" w:fill="auto"/>
            <w:noWrap w:val="0"/>
            <w:vAlign w:val="center"/>
          </w:tcPr>
          <w:p w14:paraId="4FC499EB">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单摆钢球（直径≥19mm，带穿线孔）+单摆线（尼龙），自封袋包装，外贴不干胶。</w:t>
            </w:r>
          </w:p>
        </w:tc>
        <w:tc>
          <w:tcPr>
            <w:tcW w:w="603" w:type="dxa"/>
            <w:shd w:val="clear" w:color="auto" w:fill="auto"/>
            <w:noWrap w:val="0"/>
            <w:vAlign w:val="center"/>
          </w:tcPr>
          <w:p w14:paraId="52F209F5">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24</w:t>
            </w:r>
          </w:p>
        </w:tc>
        <w:tc>
          <w:tcPr>
            <w:tcW w:w="600" w:type="dxa"/>
            <w:shd w:val="clear" w:color="auto" w:fill="auto"/>
            <w:noWrap w:val="0"/>
            <w:vAlign w:val="center"/>
          </w:tcPr>
          <w:p w14:paraId="0DB89101">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套</w:t>
            </w:r>
          </w:p>
        </w:tc>
        <w:tc>
          <w:tcPr>
            <w:tcW w:w="1110" w:type="dxa"/>
            <w:shd w:val="clear" w:color="auto" w:fill="auto"/>
            <w:noWrap w:val="0"/>
            <w:vAlign w:val="center"/>
          </w:tcPr>
          <w:p w14:paraId="407D2296">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10.8</w:t>
            </w:r>
          </w:p>
        </w:tc>
        <w:tc>
          <w:tcPr>
            <w:tcW w:w="635" w:type="dxa"/>
            <w:noWrap w:val="0"/>
            <w:vAlign w:val="center"/>
          </w:tcPr>
          <w:p w14:paraId="4A0E2E5A">
            <w:pPr>
              <w:ind w:left="0" w:leftChars="0" w:firstLine="0" w:firstLineChars="0"/>
              <w:jc w:val="center"/>
              <w:rPr>
                <w:rFonts w:hint="eastAsia" w:ascii="宋体" w:hAnsi="宋体" w:cs="宋体"/>
                <w:color w:val="auto"/>
                <w:sz w:val="21"/>
                <w:szCs w:val="21"/>
                <w:highlight w:val="none"/>
                <w:lang w:val="en-US" w:eastAsia="zh-CN"/>
              </w:rPr>
            </w:pPr>
          </w:p>
        </w:tc>
      </w:tr>
      <w:tr w14:paraId="2E105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580581B">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31B8858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儿童骨骼模型</w:t>
            </w:r>
          </w:p>
        </w:tc>
        <w:tc>
          <w:tcPr>
            <w:tcW w:w="5472" w:type="dxa"/>
            <w:shd w:val="clear" w:color="auto" w:fill="auto"/>
            <w:noWrap w:val="0"/>
            <w:vAlign w:val="center"/>
          </w:tcPr>
          <w:p w14:paraId="295DBB2F">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1.男性儿童骨骼模型，串制成正常直立姿势于支架上。直立的骨骼模型从生理弯曲和骨的颜色上应突出少年型的特征；骨的形态特征应明显清晰，软骨和骨在质感和颜色上应有明</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显区分；模型高 60-70cm。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2.产品应采用硬质塑料或复合材料制成；支架底座应有足以稳定模型的质量，连接物应为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不锈钢丝或铜丝；模型各部位应贴名签或号签，如贴号签应作注解，贴在适当位置。</w:t>
            </w:r>
          </w:p>
        </w:tc>
        <w:tc>
          <w:tcPr>
            <w:tcW w:w="603" w:type="dxa"/>
            <w:shd w:val="clear" w:color="auto" w:fill="auto"/>
            <w:noWrap w:val="0"/>
            <w:vAlign w:val="center"/>
          </w:tcPr>
          <w:p w14:paraId="1E05B6B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w:t>
            </w:r>
          </w:p>
        </w:tc>
        <w:tc>
          <w:tcPr>
            <w:tcW w:w="600" w:type="dxa"/>
            <w:shd w:val="clear" w:color="auto" w:fill="auto"/>
            <w:noWrap w:val="0"/>
            <w:vAlign w:val="center"/>
          </w:tcPr>
          <w:p w14:paraId="53616CCB">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台</w:t>
            </w:r>
          </w:p>
        </w:tc>
        <w:tc>
          <w:tcPr>
            <w:tcW w:w="1110" w:type="dxa"/>
            <w:shd w:val="clear" w:color="auto" w:fill="auto"/>
            <w:noWrap w:val="0"/>
            <w:vAlign w:val="center"/>
          </w:tcPr>
          <w:p w14:paraId="6BAED2E6">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227.5</w:t>
            </w:r>
          </w:p>
        </w:tc>
        <w:tc>
          <w:tcPr>
            <w:tcW w:w="635" w:type="dxa"/>
            <w:noWrap w:val="0"/>
            <w:vAlign w:val="center"/>
          </w:tcPr>
          <w:p w14:paraId="16FF0335">
            <w:pPr>
              <w:ind w:left="0" w:leftChars="0" w:firstLine="0" w:firstLineChars="0"/>
              <w:jc w:val="center"/>
              <w:rPr>
                <w:rFonts w:hint="eastAsia" w:ascii="宋体" w:hAnsi="宋体" w:cs="宋体"/>
                <w:color w:val="auto"/>
                <w:sz w:val="21"/>
                <w:szCs w:val="21"/>
                <w:highlight w:val="none"/>
                <w:lang w:val="en-US" w:eastAsia="zh-CN"/>
              </w:rPr>
            </w:pPr>
          </w:p>
        </w:tc>
      </w:tr>
      <w:tr w14:paraId="56B2F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86E9879">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52F2C710">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儿童牙列模型</w:t>
            </w:r>
          </w:p>
        </w:tc>
        <w:tc>
          <w:tcPr>
            <w:tcW w:w="5472" w:type="dxa"/>
            <w:shd w:val="clear" w:color="auto" w:fill="auto"/>
            <w:noWrap w:val="0"/>
            <w:vAlign w:val="center"/>
          </w:tcPr>
          <w:p w14:paraId="1CAF6DD1">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1.附牙刷,模型取正常儿童男性牙齿的上颌和下颌部分，用蛇形管连接，可自由张开、闭合，并附牙刷。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2.上颌和下颌由玻璃纤维增强硬塑料制成，规格：上颌部分：不小于 160mm×130mm×60mm下颌部分：不小于 160mm×130mm×55mm 蛇形管由金属材料制成，外表面镀铬处理，可使上下颌闭合、张开。</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3.模型上下颌的牙齿形状、大小、排列顺序应符合儿童的生理特点。产品应符合 JY0354-1999</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《牙列解剖模型》的有关规定。</w:t>
            </w:r>
          </w:p>
        </w:tc>
        <w:tc>
          <w:tcPr>
            <w:tcW w:w="603" w:type="dxa"/>
            <w:shd w:val="clear" w:color="auto" w:fill="auto"/>
            <w:noWrap w:val="0"/>
            <w:vAlign w:val="center"/>
          </w:tcPr>
          <w:p w14:paraId="4A1B495C">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4</w:t>
            </w:r>
          </w:p>
        </w:tc>
        <w:tc>
          <w:tcPr>
            <w:tcW w:w="600" w:type="dxa"/>
            <w:shd w:val="clear" w:color="auto" w:fill="auto"/>
            <w:noWrap w:val="0"/>
            <w:vAlign w:val="center"/>
          </w:tcPr>
          <w:p w14:paraId="3BED8EFF">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台</w:t>
            </w:r>
          </w:p>
        </w:tc>
        <w:tc>
          <w:tcPr>
            <w:tcW w:w="1110" w:type="dxa"/>
            <w:shd w:val="clear" w:color="auto" w:fill="auto"/>
            <w:noWrap w:val="0"/>
            <w:vAlign w:val="center"/>
          </w:tcPr>
          <w:p w14:paraId="2D758B63">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269.1</w:t>
            </w:r>
          </w:p>
        </w:tc>
        <w:tc>
          <w:tcPr>
            <w:tcW w:w="635" w:type="dxa"/>
            <w:noWrap w:val="0"/>
            <w:vAlign w:val="center"/>
          </w:tcPr>
          <w:p w14:paraId="0E678CCF">
            <w:pPr>
              <w:ind w:left="0" w:leftChars="0" w:firstLine="0" w:firstLineChars="0"/>
              <w:jc w:val="center"/>
              <w:rPr>
                <w:rFonts w:hint="eastAsia" w:ascii="宋体" w:hAnsi="宋体" w:cs="宋体"/>
                <w:color w:val="auto"/>
                <w:sz w:val="21"/>
                <w:szCs w:val="21"/>
                <w:highlight w:val="none"/>
                <w:lang w:val="en-US" w:eastAsia="zh-CN"/>
              </w:rPr>
            </w:pPr>
          </w:p>
        </w:tc>
      </w:tr>
      <w:tr w14:paraId="31C74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1219A8D">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08DE2AC1">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少年人体半身模型</w:t>
            </w:r>
          </w:p>
        </w:tc>
        <w:tc>
          <w:tcPr>
            <w:tcW w:w="5472" w:type="dxa"/>
            <w:shd w:val="clear" w:color="auto" w:fill="auto"/>
            <w:noWrap w:val="0"/>
            <w:vAlign w:val="center"/>
          </w:tcPr>
          <w:p w14:paraId="54CBA37E">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1.选用硬质塑料或复合材料制作的高 60-70cm 的男性少年人头、颈、躯干解剖模型。</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2.头部做正中矢状切，剥离右侧头面部部分软组织，示部分颅骨、肌肉，眼球固定于眼眶内。</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3.示口腔、鼻腔、咽腔、食管、喉腔和气管的纵切面和通道关系。示右侧腮腺。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4.胸腔内示：心脏（可拆下，示心脏及连通心脏的主要动静脉）、两肺（前半部分可拆下，示肺门结构。右肺示内部血管及支气管分布，左肺示其断面结构）、气管、支气管、食管与胸主动脉（贴于胸腔后壁）。</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5.膈能拆下，示膈穹隆，示呼气状态的特点。腹腔内示：肝、胃、肠、胰和脾（可分别拆下），腹后壁示肌肉、左右肾及肾上腺、输尿管等结构。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胃示外形，十二指肠、胰、脾相连，胰做剖面示胰腺导管，除去十二指肠前壁示胰管及胆总管开口于十二指肠大乳头，肠示空肠、回肠、盲肠、结肠、直肠，盲肠末端示阑尾，结肠示结肠带和肠脂垂，肝示外形和肝门结构：左右肝管、肝总管、胆囊管及胆囊。</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7.盆腔示膀胱、直肠末端各器官的形态、结构、位置、毗邻关系应正确。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8.金属连接件应防锈处理。</w:t>
            </w:r>
          </w:p>
        </w:tc>
        <w:tc>
          <w:tcPr>
            <w:tcW w:w="603" w:type="dxa"/>
            <w:shd w:val="clear" w:color="auto" w:fill="auto"/>
            <w:noWrap w:val="0"/>
            <w:vAlign w:val="center"/>
          </w:tcPr>
          <w:p w14:paraId="09FD2F3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005BFDE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台</w:t>
            </w:r>
          </w:p>
        </w:tc>
        <w:tc>
          <w:tcPr>
            <w:tcW w:w="1110" w:type="dxa"/>
            <w:shd w:val="clear" w:color="auto" w:fill="auto"/>
            <w:noWrap w:val="0"/>
            <w:vAlign w:val="center"/>
          </w:tcPr>
          <w:p w14:paraId="40BA8B13">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307.2</w:t>
            </w:r>
          </w:p>
        </w:tc>
        <w:tc>
          <w:tcPr>
            <w:tcW w:w="635" w:type="dxa"/>
            <w:noWrap w:val="0"/>
            <w:vAlign w:val="center"/>
          </w:tcPr>
          <w:p w14:paraId="64B1246C">
            <w:pPr>
              <w:ind w:left="0" w:leftChars="0" w:firstLine="0" w:firstLineChars="0"/>
              <w:jc w:val="center"/>
              <w:rPr>
                <w:rFonts w:hint="eastAsia" w:ascii="宋体" w:hAnsi="宋体" w:cs="宋体"/>
                <w:color w:val="auto"/>
                <w:sz w:val="21"/>
                <w:szCs w:val="21"/>
                <w:highlight w:val="none"/>
                <w:lang w:val="en-US" w:eastAsia="zh-CN"/>
              </w:rPr>
            </w:pPr>
          </w:p>
        </w:tc>
      </w:tr>
      <w:tr w14:paraId="289F5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4C2ED7">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1A39681B">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眼构造模型</w:t>
            </w:r>
          </w:p>
        </w:tc>
        <w:tc>
          <w:tcPr>
            <w:tcW w:w="5472" w:type="dxa"/>
            <w:shd w:val="clear" w:color="auto" w:fill="auto"/>
            <w:noWrap w:val="0"/>
            <w:vAlign w:val="center"/>
          </w:tcPr>
          <w:p w14:paraId="0379C38C">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1.材质应选用环保无毒材料制作，表面喷环保漆，放大 6 倍之成人眼球模型、底座、升降支杠组成，可拆分。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2.眼球模型与底座均采用塑料注塑成型，眼球模型前后径约为 140mm，眼球略似球形，直径150mm，前部示透明角膜，虹膜，瞳孔，后部示视神经。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3.眼球壁通过眼球前后极做正中水平切、角膜，虹膜，瞳孔均可拆装。眼球肌示上直肌、下直肌、内直肌、外直肌、上斜肌、下斜肌、眼血管、视神经等。</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4.支杆直径 6mm，长度 75mm，底座规格 120mm×120mm×15mm.</w:t>
            </w:r>
          </w:p>
        </w:tc>
        <w:tc>
          <w:tcPr>
            <w:tcW w:w="603" w:type="dxa"/>
            <w:shd w:val="clear" w:color="auto" w:fill="auto"/>
            <w:noWrap w:val="0"/>
            <w:vAlign w:val="center"/>
          </w:tcPr>
          <w:p w14:paraId="4A474E74">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544E1CE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台</w:t>
            </w:r>
          </w:p>
        </w:tc>
        <w:tc>
          <w:tcPr>
            <w:tcW w:w="1110" w:type="dxa"/>
            <w:shd w:val="clear" w:color="auto" w:fill="auto"/>
            <w:noWrap w:val="0"/>
            <w:vAlign w:val="center"/>
          </w:tcPr>
          <w:p w14:paraId="6712CF0E">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189.6</w:t>
            </w:r>
          </w:p>
        </w:tc>
        <w:tc>
          <w:tcPr>
            <w:tcW w:w="635" w:type="dxa"/>
            <w:noWrap w:val="0"/>
            <w:vAlign w:val="center"/>
          </w:tcPr>
          <w:p w14:paraId="71AF89FE">
            <w:pPr>
              <w:ind w:left="0" w:leftChars="0" w:firstLine="0" w:firstLineChars="0"/>
              <w:jc w:val="center"/>
              <w:rPr>
                <w:rFonts w:hint="eastAsia" w:ascii="宋体" w:hAnsi="宋体" w:cs="宋体"/>
                <w:color w:val="auto"/>
                <w:sz w:val="21"/>
                <w:szCs w:val="21"/>
                <w:highlight w:val="none"/>
                <w:lang w:val="en-US" w:eastAsia="zh-CN"/>
              </w:rPr>
            </w:pPr>
          </w:p>
        </w:tc>
      </w:tr>
      <w:tr w14:paraId="7A4D9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AA8593D">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22E5F56B">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啄木鸟仿真模型</w:t>
            </w:r>
          </w:p>
        </w:tc>
        <w:tc>
          <w:tcPr>
            <w:tcW w:w="5472" w:type="dxa"/>
            <w:shd w:val="clear" w:color="auto" w:fill="auto"/>
            <w:noWrap w:val="0"/>
            <w:vAlign w:val="center"/>
          </w:tcPr>
          <w:p w14:paraId="42B37C38">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1.模型应为自然大小、居于一段树干上，用喙捉虫的仿真模型，整体固定在底盘上。</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2.模型应用羽毛全部覆盖成型的体架，各种羽毛的分布与着色应呈自然状，特征鲜明、逼真、形象。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3.应显示喙直坚硬，末端尖锐的特征。</w:t>
            </w:r>
          </w:p>
        </w:tc>
        <w:tc>
          <w:tcPr>
            <w:tcW w:w="603" w:type="dxa"/>
            <w:shd w:val="clear" w:color="auto" w:fill="auto"/>
            <w:noWrap w:val="0"/>
            <w:vAlign w:val="center"/>
          </w:tcPr>
          <w:p w14:paraId="398F693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25835339">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件</w:t>
            </w:r>
          </w:p>
        </w:tc>
        <w:tc>
          <w:tcPr>
            <w:tcW w:w="1110" w:type="dxa"/>
            <w:shd w:val="clear" w:color="auto" w:fill="auto"/>
            <w:noWrap w:val="0"/>
            <w:vAlign w:val="center"/>
          </w:tcPr>
          <w:p w14:paraId="7244930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93.6</w:t>
            </w:r>
          </w:p>
        </w:tc>
        <w:tc>
          <w:tcPr>
            <w:tcW w:w="635" w:type="dxa"/>
            <w:noWrap w:val="0"/>
            <w:vAlign w:val="center"/>
          </w:tcPr>
          <w:p w14:paraId="0ADD41F7">
            <w:pPr>
              <w:ind w:left="0" w:leftChars="0" w:firstLine="0" w:firstLineChars="0"/>
              <w:jc w:val="center"/>
              <w:rPr>
                <w:rFonts w:hint="eastAsia" w:ascii="宋体" w:hAnsi="宋体" w:cs="宋体"/>
                <w:color w:val="auto"/>
                <w:sz w:val="21"/>
                <w:szCs w:val="21"/>
                <w:highlight w:val="none"/>
                <w:lang w:val="en-US" w:eastAsia="zh-CN"/>
              </w:rPr>
            </w:pPr>
          </w:p>
        </w:tc>
      </w:tr>
      <w:tr w14:paraId="1F078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F0C1A66">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2E746D5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猫头鹰仿真模型</w:t>
            </w:r>
          </w:p>
        </w:tc>
        <w:tc>
          <w:tcPr>
            <w:tcW w:w="5472" w:type="dxa"/>
            <w:shd w:val="clear" w:color="auto" w:fill="auto"/>
            <w:noWrap w:val="0"/>
            <w:vAlign w:val="center"/>
          </w:tcPr>
          <w:p w14:paraId="766E5506">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1.模型应为自然大小，模型应用羽毛全部覆盖成型的体架，各种羽毛的分布与着色应呈自然状，特征鲜明、逼真、形象。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2.应突出眼睛的瞳孔大，喙坚硬，末端尖锐，向下钩曲，趾端有长而锐利的钩爪。</w:t>
            </w:r>
          </w:p>
        </w:tc>
        <w:tc>
          <w:tcPr>
            <w:tcW w:w="603" w:type="dxa"/>
            <w:shd w:val="clear" w:color="auto" w:fill="auto"/>
            <w:noWrap w:val="0"/>
            <w:vAlign w:val="center"/>
          </w:tcPr>
          <w:p w14:paraId="4CD5EA8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1D9717A6">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件</w:t>
            </w:r>
          </w:p>
        </w:tc>
        <w:tc>
          <w:tcPr>
            <w:tcW w:w="1110" w:type="dxa"/>
            <w:shd w:val="clear" w:color="auto" w:fill="auto"/>
            <w:noWrap w:val="0"/>
            <w:vAlign w:val="center"/>
          </w:tcPr>
          <w:p w14:paraId="6ABFCBFD">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100.8</w:t>
            </w:r>
          </w:p>
        </w:tc>
        <w:tc>
          <w:tcPr>
            <w:tcW w:w="635" w:type="dxa"/>
            <w:noWrap w:val="0"/>
            <w:vAlign w:val="center"/>
          </w:tcPr>
          <w:p w14:paraId="292B277E">
            <w:pPr>
              <w:ind w:left="0" w:leftChars="0" w:firstLine="0" w:firstLineChars="0"/>
              <w:jc w:val="center"/>
              <w:rPr>
                <w:rFonts w:hint="eastAsia" w:ascii="宋体" w:hAnsi="宋体" w:cs="宋体"/>
                <w:color w:val="auto"/>
                <w:sz w:val="21"/>
                <w:szCs w:val="21"/>
                <w:highlight w:val="none"/>
                <w:lang w:val="en-US" w:eastAsia="zh-CN"/>
              </w:rPr>
            </w:pPr>
          </w:p>
        </w:tc>
      </w:tr>
      <w:tr w14:paraId="26EE4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98CE2F8">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542C54DE">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平面政区地球仪</w:t>
            </w:r>
          </w:p>
        </w:tc>
        <w:tc>
          <w:tcPr>
            <w:tcW w:w="5472" w:type="dxa"/>
            <w:shd w:val="clear" w:color="auto" w:fill="auto"/>
            <w:noWrap w:val="0"/>
            <w:vAlign w:val="center"/>
          </w:tcPr>
          <w:p w14:paraId="35EF9129">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1.材质：硬塑；产品由球体、支架和底座组成，比例尺为 1：40000000。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2.球体为Φ32cm 正圆形，地轴倾角为 66.5°。</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3.球体表面应作防潮处理，不得有裂纹、皱纹、气泡和脱落等缺陷。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4.在嵌贴时不得有压字、重字、国界线不得压盖、间断和错位。地球仪必须使用地图出版社最新地球仪图片，必须在球上注明参考图出版年月。</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5.符合教育行业标准《地球仪技术条件》JY58－80 的规定。</w:t>
            </w:r>
          </w:p>
        </w:tc>
        <w:tc>
          <w:tcPr>
            <w:tcW w:w="603" w:type="dxa"/>
            <w:shd w:val="clear" w:color="auto" w:fill="auto"/>
            <w:noWrap w:val="0"/>
            <w:vAlign w:val="center"/>
          </w:tcPr>
          <w:p w14:paraId="529A8DD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7324F65C">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个</w:t>
            </w:r>
          </w:p>
        </w:tc>
        <w:tc>
          <w:tcPr>
            <w:tcW w:w="1110" w:type="dxa"/>
            <w:shd w:val="clear" w:color="auto" w:fill="auto"/>
            <w:noWrap w:val="0"/>
            <w:vAlign w:val="center"/>
          </w:tcPr>
          <w:p w14:paraId="3A4274F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180</w:t>
            </w:r>
          </w:p>
        </w:tc>
        <w:tc>
          <w:tcPr>
            <w:tcW w:w="635" w:type="dxa"/>
            <w:noWrap w:val="0"/>
            <w:vAlign w:val="center"/>
          </w:tcPr>
          <w:p w14:paraId="0F3095DA">
            <w:pPr>
              <w:ind w:left="0" w:leftChars="0" w:firstLine="0" w:firstLineChars="0"/>
              <w:jc w:val="center"/>
              <w:rPr>
                <w:rFonts w:hint="eastAsia" w:ascii="宋体" w:hAnsi="宋体" w:cs="宋体"/>
                <w:color w:val="auto"/>
                <w:sz w:val="21"/>
                <w:szCs w:val="21"/>
                <w:highlight w:val="none"/>
                <w:lang w:val="en-US" w:eastAsia="zh-CN"/>
              </w:rPr>
            </w:pPr>
          </w:p>
        </w:tc>
      </w:tr>
      <w:tr w14:paraId="59695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28F45A1">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1302618C">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平面地形地球仪</w:t>
            </w:r>
          </w:p>
        </w:tc>
        <w:tc>
          <w:tcPr>
            <w:tcW w:w="5472" w:type="dxa"/>
            <w:shd w:val="clear" w:color="auto" w:fill="auto"/>
            <w:noWrap w:val="0"/>
            <w:vAlign w:val="center"/>
          </w:tcPr>
          <w:p w14:paraId="0BA405F5">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1.材质：硬塑；比例：1∶40000000；有球体和支架两部分；地轴的倾角为 66.5°，并垂直于赤道面；球体表面应作防潮处理，不得有裂纹、皱纹、气泡和脱落等缺陷。在嵌贴时不得有压字、重字、国界线不得压盖、间断和错位。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2.地球仪必须使用地图出版社最新地球仪图片，必须在球上注明参考图出版年月。</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3.符合教育行业标准《地球仪技术条件》JY58－80 的规定。</w:t>
            </w:r>
          </w:p>
        </w:tc>
        <w:tc>
          <w:tcPr>
            <w:tcW w:w="603" w:type="dxa"/>
            <w:shd w:val="clear" w:color="auto" w:fill="auto"/>
            <w:noWrap w:val="0"/>
            <w:vAlign w:val="center"/>
          </w:tcPr>
          <w:p w14:paraId="5189C56C">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c>
          <w:tcPr>
            <w:tcW w:w="600" w:type="dxa"/>
            <w:shd w:val="clear" w:color="auto" w:fill="auto"/>
            <w:noWrap w:val="0"/>
            <w:vAlign w:val="center"/>
          </w:tcPr>
          <w:p w14:paraId="08AFE9A6">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个</w:t>
            </w:r>
          </w:p>
        </w:tc>
        <w:tc>
          <w:tcPr>
            <w:tcW w:w="1110" w:type="dxa"/>
            <w:shd w:val="clear" w:color="auto" w:fill="auto"/>
            <w:noWrap w:val="0"/>
            <w:vAlign w:val="center"/>
          </w:tcPr>
          <w:p w14:paraId="559B310D">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180</w:t>
            </w:r>
          </w:p>
        </w:tc>
        <w:tc>
          <w:tcPr>
            <w:tcW w:w="635" w:type="dxa"/>
            <w:noWrap w:val="0"/>
            <w:vAlign w:val="center"/>
          </w:tcPr>
          <w:p w14:paraId="5AC6541A">
            <w:pPr>
              <w:ind w:left="0" w:leftChars="0" w:firstLine="0" w:firstLineChars="0"/>
              <w:jc w:val="center"/>
              <w:rPr>
                <w:rFonts w:hint="eastAsia" w:ascii="宋体" w:hAnsi="宋体" w:cs="宋体"/>
                <w:color w:val="auto"/>
                <w:sz w:val="21"/>
                <w:szCs w:val="21"/>
                <w:highlight w:val="none"/>
                <w:lang w:val="en-US" w:eastAsia="zh-CN"/>
              </w:rPr>
            </w:pPr>
          </w:p>
        </w:tc>
      </w:tr>
      <w:tr w14:paraId="6859F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5D5CE06">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7BF1267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地球构造模型</w:t>
            </w:r>
          </w:p>
        </w:tc>
        <w:tc>
          <w:tcPr>
            <w:tcW w:w="5472" w:type="dxa"/>
            <w:shd w:val="clear" w:color="auto" w:fill="auto"/>
            <w:noWrap w:val="0"/>
            <w:vAlign w:val="center"/>
          </w:tcPr>
          <w:p w14:paraId="4B787A4E">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1.该模型采用优质合成塑料 PVC 加工成型。</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2.产品由底座、支架及球体组成。球体表面雕塑有立体地貌，可作世界立体地球仪使用。球体直径不小于 32cm。涂色均匀，无起泡现象，着色线条流畅、清晰自然。沿纵横剖面切掉四分之一球体，用不同颜色显示地球内部圈层的结构，地表、地幔、地核区分明显，并用文字进行标注，规范准确。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3.各部分结构的轮廓、比例正确。底座应有弓尺，表面刻度清晰，平整光滑。</w:t>
            </w:r>
          </w:p>
        </w:tc>
        <w:tc>
          <w:tcPr>
            <w:tcW w:w="603" w:type="dxa"/>
            <w:shd w:val="clear" w:color="auto" w:fill="auto"/>
            <w:noWrap w:val="0"/>
            <w:vAlign w:val="center"/>
          </w:tcPr>
          <w:p w14:paraId="493D2328">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647038D8">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件</w:t>
            </w:r>
          </w:p>
        </w:tc>
        <w:tc>
          <w:tcPr>
            <w:tcW w:w="1110" w:type="dxa"/>
            <w:shd w:val="clear" w:color="auto" w:fill="auto"/>
            <w:noWrap w:val="0"/>
            <w:vAlign w:val="center"/>
          </w:tcPr>
          <w:p w14:paraId="2FCDC2B1">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461.5</w:t>
            </w:r>
          </w:p>
        </w:tc>
        <w:tc>
          <w:tcPr>
            <w:tcW w:w="635" w:type="dxa"/>
            <w:noWrap w:val="0"/>
            <w:vAlign w:val="center"/>
          </w:tcPr>
          <w:p w14:paraId="42A368A5">
            <w:pPr>
              <w:ind w:left="0" w:leftChars="0" w:firstLine="0" w:firstLineChars="0"/>
              <w:jc w:val="center"/>
              <w:rPr>
                <w:rFonts w:hint="eastAsia" w:ascii="宋体" w:hAnsi="宋体" w:cs="宋体"/>
                <w:color w:val="auto"/>
                <w:sz w:val="21"/>
                <w:szCs w:val="21"/>
                <w:highlight w:val="none"/>
                <w:lang w:val="en-US" w:eastAsia="zh-CN"/>
              </w:rPr>
            </w:pPr>
          </w:p>
        </w:tc>
      </w:tr>
      <w:tr w14:paraId="48033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0AFEC4">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BA109F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司南模型</w:t>
            </w:r>
          </w:p>
        </w:tc>
        <w:tc>
          <w:tcPr>
            <w:tcW w:w="5472" w:type="dxa"/>
            <w:noWrap w:val="0"/>
            <w:vAlign w:val="center"/>
          </w:tcPr>
          <w:p w14:paraId="5DAC5FCE">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1.仪器由地盘及磁性勺两部分组成。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2.地盘：外框为塑料材质的玻璃镜框，规格不少于 220mm×220mm，其中夹有分布八卦、天干、地支和二十八宿，共计二十四个方位的图。</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3.勺子是由嵌有高强磁性材料的塑料件制成，勺长 130mm。</w:t>
            </w:r>
          </w:p>
        </w:tc>
        <w:tc>
          <w:tcPr>
            <w:tcW w:w="603" w:type="dxa"/>
            <w:noWrap w:val="0"/>
            <w:vAlign w:val="center"/>
          </w:tcPr>
          <w:p w14:paraId="0680CC1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59BE706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101B241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144</w:t>
            </w:r>
          </w:p>
        </w:tc>
        <w:tc>
          <w:tcPr>
            <w:tcW w:w="635" w:type="dxa"/>
            <w:noWrap w:val="0"/>
            <w:vAlign w:val="center"/>
          </w:tcPr>
          <w:p w14:paraId="40139E38">
            <w:pPr>
              <w:ind w:left="0" w:leftChars="0" w:firstLine="0" w:firstLineChars="0"/>
              <w:jc w:val="center"/>
              <w:rPr>
                <w:rFonts w:hint="eastAsia" w:ascii="宋体" w:hAnsi="宋体" w:cs="宋体"/>
                <w:color w:val="auto"/>
                <w:sz w:val="21"/>
                <w:szCs w:val="21"/>
                <w:highlight w:val="none"/>
                <w:lang w:val="en-US" w:eastAsia="zh-CN"/>
              </w:rPr>
            </w:pPr>
          </w:p>
        </w:tc>
      </w:tr>
      <w:tr w14:paraId="5E1C1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3A0EE3F">
            <w:pPr>
              <w:numPr>
                <w:ilvl w:val="0"/>
                <w:numId w:val="8"/>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4DEA10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月相变化演示器</w:t>
            </w:r>
          </w:p>
        </w:tc>
        <w:tc>
          <w:tcPr>
            <w:tcW w:w="5472" w:type="dxa"/>
            <w:noWrap w:val="0"/>
            <w:vAlign w:val="center"/>
          </w:tcPr>
          <w:p w14:paraId="3E4BD4D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1.尺寸：不低于 700mm×525mm×30mm，由木质箱体，月相变化彩印纸、铝合金边框、塑料提手组成。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2.月相变化彩印纸印有凸月、上弦月、娥眉月、新月、下弦月、满月及地球自转方向标志。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应显示月亮圆缺的各种形态。</w:t>
            </w:r>
          </w:p>
        </w:tc>
        <w:tc>
          <w:tcPr>
            <w:tcW w:w="603" w:type="dxa"/>
            <w:noWrap w:val="0"/>
            <w:vAlign w:val="center"/>
          </w:tcPr>
          <w:p w14:paraId="1C431C9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7B95AA2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件</w:t>
            </w:r>
          </w:p>
        </w:tc>
        <w:tc>
          <w:tcPr>
            <w:tcW w:w="1110" w:type="dxa"/>
            <w:noWrap w:val="0"/>
            <w:vAlign w:val="center"/>
          </w:tcPr>
          <w:p w14:paraId="5C9E181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276</w:t>
            </w:r>
          </w:p>
        </w:tc>
        <w:tc>
          <w:tcPr>
            <w:tcW w:w="635" w:type="dxa"/>
            <w:noWrap w:val="0"/>
            <w:vAlign w:val="center"/>
          </w:tcPr>
          <w:p w14:paraId="7553D61B">
            <w:pPr>
              <w:ind w:left="0" w:leftChars="0" w:firstLine="0" w:firstLineChars="0"/>
              <w:jc w:val="center"/>
              <w:rPr>
                <w:rFonts w:hint="eastAsia" w:ascii="宋体" w:hAnsi="宋体" w:cs="宋体"/>
                <w:color w:val="auto"/>
                <w:sz w:val="21"/>
                <w:szCs w:val="21"/>
                <w:highlight w:val="none"/>
                <w:lang w:val="en-US" w:eastAsia="zh-CN"/>
              </w:rPr>
            </w:pPr>
          </w:p>
        </w:tc>
      </w:tr>
      <w:tr w14:paraId="42150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C56336B">
            <w:pPr>
              <w:widowControl w:val="0"/>
              <w:numPr>
                <w:ilvl w:val="0"/>
                <w:numId w:val="13"/>
              </w:numPr>
              <w:spacing w:line="360" w:lineRule="auto"/>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367A68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蟾蜍包埋标本</w:t>
            </w:r>
          </w:p>
        </w:tc>
        <w:tc>
          <w:tcPr>
            <w:tcW w:w="5472" w:type="dxa"/>
            <w:noWrap w:val="0"/>
            <w:vAlign w:val="center"/>
          </w:tcPr>
          <w:p w14:paraId="3760027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透明外壳，蟾蜍标本，尺寸约：115*79*39mm。</w:t>
            </w:r>
          </w:p>
          <w:p w14:paraId="37AD8F5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透明度高，无毒，无味，无害，长期使用变色，不腐烂。</w:t>
            </w:r>
            <w:r>
              <w:rPr>
                <w:rFonts w:hint="eastAsia" w:ascii="宋体" w:hAnsi="宋体" w:cs="宋体"/>
                <w:color w:val="auto"/>
                <w:sz w:val="21"/>
                <w:szCs w:val="21"/>
                <w:highlight w:val="none"/>
                <w:lang w:val="en-US" w:eastAsia="zh-CN"/>
              </w:rPr>
              <w:br w:type="textWrapping"/>
            </w:r>
          </w:p>
        </w:tc>
        <w:tc>
          <w:tcPr>
            <w:tcW w:w="603" w:type="dxa"/>
            <w:noWrap w:val="0"/>
            <w:vAlign w:val="center"/>
          </w:tcPr>
          <w:p w14:paraId="7475E62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3B2F9B0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8EEB52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72</w:t>
            </w:r>
          </w:p>
        </w:tc>
        <w:tc>
          <w:tcPr>
            <w:tcW w:w="635" w:type="dxa"/>
            <w:noWrap w:val="0"/>
            <w:vAlign w:val="center"/>
          </w:tcPr>
          <w:p w14:paraId="71D6F9BD">
            <w:pPr>
              <w:ind w:left="0" w:leftChars="0" w:firstLine="0" w:firstLineChars="0"/>
              <w:jc w:val="center"/>
              <w:rPr>
                <w:rFonts w:hint="eastAsia" w:ascii="宋体" w:hAnsi="宋体" w:cs="宋体"/>
                <w:color w:val="auto"/>
                <w:sz w:val="21"/>
                <w:szCs w:val="21"/>
                <w:highlight w:val="none"/>
                <w:lang w:val="en-US" w:eastAsia="zh-CN"/>
              </w:rPr>
            </w:pPr>
          </w:p>
        </w:tc>
      </w:tr>
      <w:tr w14:paraId="1EC59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tcBorders>
              <w:bottom w:val="single" w:color="auto" w:sz="4" w:space="0"/>
            </w:tcBorders>
            <w:noWrap w:val="0"/>
            <w:vAlign w:val="center"/>
          </w:tcPr>
          <w:p w14:paraId="5E67AC19">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tcBorders>
              <w:bottom w:val="single" w:color="auto" w:sz="4" w:space="0"/>
            </w:tcBorders>
            <w:noWrap w:val="0"/>
            <w:vAlign w:val="center"/>
          </w:tcPr>
          <w:p w14:paraId="75053C3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河蚌包埋标本</w:t>
            </w:r>
          </w:p>
        </w:tc>
        <w:tc>
          <w:tcPr>
            <w:tcW w:w="5472" w:type="dxa"/>
            <w:noWrap w:val="0"/>
            <w:vAlign w:val="center"/>
          </w:tcPr>
          <w:p w14:paraId="32AFF45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透明外壳，河蚌标本，尺寸约：115*80*40mm。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透明度高，无毒，无味，无害，长期使用变色，不腐烂。</w:t>
            </w:r>
          </w:p>
        </w:tc>
        <w:tc>
          <w:tcPr>
            <w:tcW w:w="603" w:type="dxa"/>
            <w:noWrap w:val="0"/>
            <w:vAlign w:val="center"/>
          </w:tcPr>
          <w:p w14:paraId="168DD23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12AF31C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4D739E0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72</w:t>
            </w:r>
          </w:p>
        </w:tc>
        <w:tc>
          <w:tcPr>
            <w:tcW w:w="635" w:type="dxa"/>
            <w:noWrap w:val="0"/>
            <w:vAlign w:val="center"/>
          </w:tcPr>
          <w:p w14:paraId="5DE7A98D">
            <w:pPr>
              <w:ind w:left="0" w:leftChars="0" w:firstLine="0" w:firstLineChars="0"/>
              <w:jc w:val="center"/>
              <w:rPr>
                <w:rFonts w:hint="eastAsia" w:ascii="宋体" w:hAnsi="宋体" w:cs="宋体"/>
                <w:color w:val="auto"/>
                <w:sz w:val="21"/>
                <w:szCs w:val="21"/>
                <w:highlight w:val="none"/>
                <w:lang w:val="en-US" w:eastAsia="zh-CN"/>
              </w:rPr>
            </w:pPr>
          </w:p>
        </w:tc>
      </w:tr>
      <w:tr w14:paraId="23EE6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tcBorders>
              <w:top w:val="single" w:color="auto" w:sz="4" w:space="0"/>
            </w:tcBorders>
            <w:noWrap w:val="0"/>
            <w:vAlign w:val="center"/>
          </w:tcPr>
          <w:p w14:paraId="5F435BDA">
            <w:pPr>
              <w:numPr>
                <w:ilvl w:val="0"/>
                <w:numId w:val="13"/>
              </w:numPr>
              <w:ind w:left="425" w:leftChars="0" w:hanging="425" w:firstLineChars="0"/>
              <w:jc w:val="center"/>
              <w:rPr>
                <w:rFonts w:hint="eastAsia" w:ascii="宋体" w:hAnsi="宋体" w:cs="宋体"/>
                <w:color w:val="auto"/>
                <w:sz w:val="21"/>
                <w:szCs w:val="21"/>
                <w:highlight w:val="none"/>
                <w:lang w:val="en-US" w:eastAsia="zh-CN"/>
              </w:rPr>
            </w:pPr>
          </w:p>
        </w:tc>
        <w:tc>
          <w:tcPr>
            <w:tcW w:w="1245" w:type="dxa"/>
            <w:tcBorders>
              <w:top w:val="single" w:color="auto" w:sz="4" w:space="0"/>
            </w:tcBorders>
            <w:noWrap w:val="0"/>
            <w:vAlign w:val="center"/>
          </w:tcPr>
          <w:p w14:paraId="34A88280">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爬行类动物包埋标本</w:t>
            </w:r>
          </w:p>
        </w:tc>
        <w:tc>
          <w:tcPr>
            <w:tcW w:w="5472" w:type="dxa"/>
            <w:noWrap w:val="0"/>
            <w:vAlign w:val="center"/>
          </w:tcPr>
          <w:p w14:paraId="3A55B32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透明外盒，蛇标本，尺寸约：143*73*29mm，</w:t>
            </w:r>
          </w:p>
          <w:p w14:paraId="637B9198">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透明度高，无毒，无味，无害，长期使用变色，不腐烂。</w:t>
            </w:r>
          </w:p>
        </w:tc>
        <w:tc>
          <w:tcPr>
            <w:tcW w:w="603" w:type="dxa"/>
            <w:noWrap w:val="0"/>
            <w:vAlign w:val="center"/>
          </w:tcPr>
          <w:p w14:paraId="1243CE0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058835D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08EA85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72</w:t>
            </w:r>
          </w:p>
        </w:tc>
        <w:tc>
          <w:tcPr>
            <w:tcW w:w="635" w:type="dxa"/>
            <w:noWrap w:val="0"/>
            <w:vAlign w:val="center"/>
          </w:tcPr>
          <w:p w14:paraId="594A893F">
            <w:pPr>
              <w:ind w:left="0" w:leftChars="0" w:firstLine="0" w:firstLineChars="0"/>
              <w:jc w:val="center"/>
              <w:rPr>
                <w:rFonts w:hint="eastAsia" w:ascii="宋体" w:hAnsi="宋体" w:cs="宋体"/>
                <w:color w:val="auto"/>
                <w:sz w:val="21"/>
                <w:szCs w:val="21"/>
                <w:highlight w:val="none"/>
                <w:lang w:val="en-US" w:eastAsia="zh-CN"/>
              </w:rPr>
            </w:pPr>
          </w:p>
        </w:tc>
      </w:tr>
      <w:tr w14:paraId="7CB08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6354B86">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BE5346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蛙发育顺序标本</w:t>
            </w:r>
          </w:p>
        </w:tc>
        <w:tc>
          <w:tcPr>
            <w:tcW w:w="5472" w:type="dxa"/>
            <w:noWrap w:val="0"/>
            <w:vAlign w:val="center"/>
          </w:tcPr>
          <w:p w14:paraId="33BAD35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1.动物学浸制标本，用于观察蛙的个体发育的教学与实验。</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2.标本盒由密封式透明优质有机玻璃制作而成，尺寸约：164*20*78mm，标本种类为：单细胞期，尾芽期，具内腮的蝌蚪，具外腮的蝌蚪，具后肢的蝌蚪，具前后肢的蝌蚪，尾缩期的蝌蚪，幼蛙，8 个种类。液体用透明度高、无毒、无味、无害的新型液体，长期使用不变色，不腐烂</w:t>
            </w:r>
          </w:p>
        </w:tc>
        <w:tc>
          <w:tcPr>
            <w:tcW w:w="603" w:type="dxa"/>
            <w:noWrap w:val="0"/>
            <w:vAlign w:val="center"/>
          </w:tcPr>
          <w:p w14:paraId="525B762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7BFC9F8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0B2A20A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90</w:t>
            </w:r>
          </w:p>
        </w:tc>
        <w:tc>
          <w:tcPr>
            <w:tcW w:w="635" w:type="dxa"/>
            <w:noWrap w:val="0"/>
            <w:vAlign w:val="center"/>
          </w:tcPr>
          <w:p w14:paraId="54E1AEE1">
            <w:pPr>
              <w:ind w:left="0" w:leftChars="0" w:firstLine="0" w:firstLineChars="0"/>
              <w:jc w:val="center"/>
              <w:rPr>
                <w:rFonts w:hint="eastAsia" w:ascii="宋体" w:hAnsi="宋体" w:cs="宋体"/>
                <w:color w:val="auto"/>
                <w:sz w:val="21"/>
                <w:szCs w:val="21"/>
                <w:highlight w:val="none"/>
                <w:lang w:val="en-US" w:eastAsia="zh-CN"/>
              </w:rPr>
            </w:pPr>
          </w:p>
        </w:tc>
      </w:tr>
      <w:tr w14:paraId="5415A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4D810A">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8B50B77">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昆虫标本</w:t>
            </w:r>
          </w:p>
        </w:tc>
        <w:tc>
          <w:tcPr>
            <w:tcW w:w="5472" w:type="dxa"/>
            <w:noWrap w:val="0"/>
            <w:vAlign w:val="center"/>
          </w:tcPr>
          <w:p w14:paraId="719B07C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常见益虫、害虫各(6～7)种</w:t>
            </w:r>
          </w:p>
        </w:tc>
        <w:tc>
          <w:tcPr>
            <w:tcW w:w="603" w:type="dxa"/>
            <w:noWrap w:val="0"/>
            <w:vAlign w:val="center"/>
          </w:tcPr>
          <w:p w14:paraId="72E267F6">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3E11729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8D45827">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78AF7C44">
            <w:pPr>
              <w:ind w:left="0" w:leftChars="0" w:firstLine="0" w:firstLineChars="0"/>
              <w:jc w:val="center"/>
              <w:rPr>
                <w:rFonts w:hint="eastAsia" w:ascii="宋体" w:hAnsi="宋体" w:cs="宋体"/>
                <w:color w:val="auto"/>
                <w:sz w:val="21"/>
                <w:szCs w:val="21"/>
                <w:highlight w:val="none"/>
                <w:lang w:val="en-US" w:eastAsia="zh-CN"/>
              </w:rPr>
            </w:pPr>
          </w:p>
        </w:tc>
      </w:tr>
      <w:tr w14:paraId="781B3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E7E1FD2">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05459E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桑蚕生活史标本</w:t>
            </w:r>
          </w:p>
        </w:tc>
        <w:tc>
          <w:tcPr>
            <w:tcW w:w="5472" w:type="dxa"/>
            <w:noWrap w:val="0"/>
            <w:vAlign w:val="center"/>
          </w:tcPr>
          <w:p w14:paraId="31351C6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1.标本应由卵、幼虫（四龄）、蛹、雌雄成虫及茧组成，附蚕丝、丝织品、桑叶。</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2.卵、蚁蚕浸制，幼虫，蛹浸制或干制，成虫干制，茧两个。</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3.标本采用分封或部分合封于小容器中。</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4.应有防腐措施。</w:t>
            </w:r>
          </w:p>
        </w:tc>
        <w:tc>
          <w:tcPr>
            <w:tcW w:w="603" w:type="dxa"/>
            <w:noWrap w:val="0"/>
            <w:vAlign w:val="center"/>
          </w:tcPr>
          <w:p w14:paraId="1EA0B8E6">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38F7FB7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8079B92">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126934C1">
            <w:pPr>
              <w:ind w:left="0" w:leftChars="0" w:firstLine="0" w:firstLineChars="0"/>
              <w:jc w:val="center"/>
              <w:rPr>
                <w:rFonts w:hint="eastAsia" w:ascii="宋体" w:hAnsi="宋体" w:cs="宋体"/>
                <w:color w:val="auto"/>
                <w:sz w:val="21"/>
                <w:szCs w:val="21"/>
                <w:highlight w:val="none"/>
                <w:lang w:val="en-US" w:eastAsia="zh-CN"/>
              </w:rPr>
            </w:pPr>
          </w:p>
        </w:tc>
      </w:tr>
      <w:tr w14:paraId="7C1F2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329454B">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868D75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兔外形标本</w:t>
            </w:r>
          </w:p>
        </w:tc>
        <w:tc>
          <w:tcPr>
            <w:tcW w:w="5472" w:type="dxa"/>
            <w:noWrap w:val="0"/>
            <w:vAlign w:val="center"/>
          </w:tcPr>
          <w:p w14:paraId="7FD724F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由标本和底座两个部分组成，仿真兔子</w:t>
            </w:r>
          </w:p>
        </w:tc>
        <w:tc>
          <w:tcPr>
            <w:tcW w:w="603" w:type="dxa"/>
            <w:noWrap w:val="0"/>
            <w:vAlign w:val="center"/>
          </w:tcPr>
          <w:p w14:paraId="59B3AF7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4CC3B81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件</w:t>
            </w:r>
          </w:p>
        </w:tc>
        <w:tc>
          <w:tcPr>
            <w:tcW w:w="1110" w:type="dxa"/>
            <w:noWrap w:val="0"/>
            <w:vAlign w:val="center"/>
          </w:tcPr>
          <w:p w14:paraId="059ECEA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90</w:t>
            </w:r>
          </w:p>
        </w:tc>
        <w:tc>
          <w:tcPr>
            <w:tcW w:w="635" w:type="dxa"/>
            <w:noWrap w:val="0"/>
            <w:vAlign w:val="center"/>
          </w:tcPr>
          <w:p w14:paraId="09929BFA">
            <w:pPr>
              <w:ind w:left="0" w:leftChars="0" w:firstLine="0" w:firstLineChars="0"/>
              <w:jc w:val="center"/>
              <w:rPr>
                <w:rFonts w:hint="eastAsia" w:ascii="宋体" w:hAnsi="宋体" w:cs="宋体"/>
                <w:color w:val="auto"/>
                <w:sz w:val="21"/>
                <w:szCs w:val="21"/>
                <w:highlight w:val="none"/>
                <w:lang w:val="en-US" w:eastAsia="zh-CN"/>
              </w:rPr>
            </w:pPr>
          </w:p>
        </w:tc>
      </w:tr>
      <w:tr w14:paraId="56421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F6F41D8">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2AF5BE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植物种子传播方式标本</w:t>
            </w:r>
          </w:p>
        </w:tc>
        <w:tc>
          <w:tcPr>
            <w:tcW w:w="5472" w:type="dxa"/>
            <w:noWrap w:val="0"/>
            <w:vAlign w:val="center"/>
          </w:tcPr>
          <w:p w14:paraId="0C719A6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1.动物传播、弹力传播、风力传播、水力传播选用常见的植物种子制作，应能说明动物传播、弹力传播、风力传播、水力传播等传播方式。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2.每种传播方式的植物种子应不少于两种。</w:t>
            </w:r>
          </w:p>
        </w:tc>
        <w:tc>
          <w:tcPr>
            <w:tcW w:w="603" w:type="dxa"/>
            <w:noWrap w:val="0"/>
            <w:vAlign w:val="center"/>
          </w:tcPr>
          <w:p w14:paraId="6BE6C1DC">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6CA7C7A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盒</w:t>
            </w:r>
          </w:p>
        </w:tc>
        <w:tc>
          <w:tcPr>
            <w:tcW w:w="1110" w:type="dxa"/>
            <w:noWrap w:val="0"/>
            <w:vAlign w:val="center"/>
          </w:tcPr>
          <w:p w14:paraId="683EB0B6">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7AD09DE7">
            <w:pPr>
              <w:ind w:left="0" w:leftChars="0" w:firstLine="0" w:firstLineChars="0"/>
              <w:jc w:val="center"/>
              <w:rPr>
                <w:rFonts w:hint="eastAsia" w:ascii="宋体" w:hAnsi="宋体" w:cs="宋体"/>
                <w:color w:val="auto"/>
                <w:sz w:val="21"/>
                <w:szCs w:val="21"/>
                <w:highlight w:val="none"/>
                <w:lang w:val="en-US" w:eastAsia="zh-CN"/>
              </w:rPr>
            </w:pPr>
          </w:p>
        </w:tc>
      </w:tr>
      <w:tr w14:paraId="6AC44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8F7969F">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889171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矿物标本</w:t>
            </w:r>
          </w:p>
        </w:tc>
        <w:tc>
          <w:tcPr>
            <w:tcW w:w="5472" w:type="dxa"/>
            <w:noWrap w:val="0"/>
            <w:vAlign w:val="center"/>
          </w:tcPr>
          <w:p w14:paraId="6DA0397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磁铁矿、石英、长石、云母、石盐、石墨、硫磺、方铅矿、石膏、辉锑矿、黄铁矿、黄铜矿,符合 JY0005-1990《矿物岩石标本》要求的晶体标本</w:t>
            </w:r>
          </w:p>
        </w:tc>
        <w:tc>
          <w:tcPr>
            <w:tcW w:w="603" w:type="dxa"/>
            <w:noWrap w:val="0"/>
            <w:vAlign w:val="center"/>
          </w:tcPr>
          <w:p w14:paraId="70B3E03B">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23D7784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39FB9CA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39A0E7DD">
            <w:pPr>
              <w:ind w:left="0" w:leftChars="0" w:firstLine="0" w:firstLineChars="0"/>
              <w:jc w:val="center"/>
              <w:rPr>
                <w:rFonts w:hint="eastAsia" w:ascii="宋体" w:hAnsi="宋体" w:cs="宋体"/>
                <w:color w:val="auto"/>
                <w:sz w:val="21"/>
                <w:szCs w:val="21"/>
                <w:highlight w:val="none"/>
                <w:lang w:val="en-US" w:eastAsia="zh-CN"/>
              </w:rPr>
            </w:pPr>
          </w:p>
        </w:tc>
      </w:tr>
      <w:tr w14:paraId="28DDA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0B90A30">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68896A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岩石标本</w:t>
            </w:r>
          </w:p>
        </w:tc>
        <w:tc>
          <w:tcPr>
            <w:tcW w:w="5472" w:type="dxa"/>
            <w:noWrap w:val="0"/>
            <w:vAlign w:val="center"/>
          </w:tcPr>
          <w:p w14:paraId="54DE024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花岗岩、砂岩、页岩、石灰岩、大理岩、砾岩,符合 JY0005-1991《矿物岩石标本》要求的晶体标本</w:t>
            </w:r>
          </w:p>
        </w:tc>
        <w:tc>
          <w:tcPr>
            <w:tcW w:w="603" w:type="dxa"/>
            <w:noWrap w:val="0"/>
            <w:vAlign w:val="center"/>
          </w:tcPr>
          <w:p w14:paraId="6B11C772">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0E4FD8AB">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48ADA08A">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3230253C">
            <w:pPr>
              <w:ind w:left="0" w:leftChars="0" w:firstLine="0" w:firstLineChars="0"/>
              <w:jc w:val="center"/>
              <w:rPr>
                <w:rFonts w:hint="eastAsia" w:ascii="宋体" w:hAnsi="宋体" w:cs="宋体"/>
                <w:color w:val="auto"/>
                <w:sz w:val="21"/>
                <w:szCs w:val="21"/>
                <w:highlight w:val="none"/>
                <w:lang w:val="en-US" w:eastAsia="zh-CN"/>
              </w:rPr>
            </w:pPr>
          </w:p>
        </w:tc>
      </w:tr>
      <w:tr w14:paraId="089BF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12F025C">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8416D8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金属矿物标本</w:t>
            </w:r>
          </w:p>
        </w:tc>
        <w:tc>
          <w:tcPr>
            <w:tcW w:w="5472" w:type="dxa"/>
            <w:noWrap w:val="0"/>
            <w:vAlign w:val="center"/>
          </w:tcPr>
          <w:p w14:paraId="206CFF3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铜、铁、铝、钨、锡等,符合 JY0005-1992《矿物岩石标本》要求的晶体标本</w:t>
            </w:r>
          </w:p>
        </w:tc>
        <w:tc>
          <w:tcPr>
            <w:tcW w:w="603" w:type="dxa"/>
            <w:noWrap w:val="0"/>
            <w:vAlign w:val="center"/>
          </w:tcPr>
          <w:p w14:paraId="69FEB9E5">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429B90A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3D3A9CC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1B26B96F">
            <w:pPr>
              <w:ind w:left="0" w:leftChars="0" w:firstLine="0" w:firstLineChars="0"/>
              <w:jc w:val="center"/>
              <w:rPr>
                <w:rFonts w:hint="eastAsia" w:ascii="宋体" w:hAnsi="宋体" w:cs="宋体"/>
                <w:color w:val="auto"/>
                <w:sz w:val="21"/>
                <w:szCs w:val="21"/>
                <w:highlight w:val="none"/>
                <w:lang w:val="en-US" w:eastAsia="zh-CN"/>
              </w:rPr>
            </w:pPr>
          </w:p>
        </w:tc>
      </w:tr>
      <w:tr w14:paraId="5DC48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2BCFF2">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FF7FF25">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土壤标本</w:t>
            </w:r>
          </w:p>
        </w:tc>
        <w:tc>
          <w:tcPr>
            <w:tcW w:w="5472" w:type="dxa"/>
            <w:noWrap w:val="0"/>
            <w:vAlign w:val="center"/>
          </w:tcPr>
          <w:p w14:paraId="30AF3178">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木制标准盒内装有土壤标本玻璃瓶，瓶上必须贴有所装土壤的名称标签，土壤分别为：砖红壤、红壤、黑钙土、紫色土、水稻土、黄棕壤、褐土和棕壤组成.符合 JY0005-1993《矿物岩石标本》要求的晶体标本。</w:t>
            </w:r>
          </w:p>
        </w:tc>
        <w:tc>
          <w:tcPr>
            <w:tcW w:w="603" w:type="dxa"/>
            <w:noWrap w:val="0"/>
            <w:vAlign w:val="center"/>
          </w:tcPr>
          <w:p w14:paraId="253F4499">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553876B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4CDE3EC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7A28A222">
            <w:pPr>
              <w:ind w:left="0" w:leftChars="0" w:firstLine="0" w:firstLineChars="0"/>
              <w:jc w:val="center"/>
              <w:rPr>
                <w:rFonts w:hint="eastAsia" w:ascii="宋体" w:hAnsi="宋体" w:cs="宋体"/>
                <w:color w:val="auto"/>
                <w:sz w:val="21"/>
                <w:szCs w:val="21"/>
                <w:highlight w:val="none"/>
                <w:lang w:val="en-US" w:eastAsia="zh-CN"/>
              </w:rPr>
            </w:pPr>
          </w:p>
        </w:tc>
      </w:tr>
      <w:tr w14:paraId="2C649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23FA265">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C584096">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矿物提炼物标本</w:t>
            </w:r>
          </w:p>
        </w:tc>
        <w:tc>
          <w:tcPr>
            <w:tcW w:w="5472" w:type="dxa"/>
            <w:noWrap w:val="0"/>
            <w:vAlign w:val="center"/>
          </w:tcPr>
          <w:p w14:paraId="45E1203B">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1.石油、金属等各标本应有对应名称的表格，标本按表格定位存放，矿物标本应含有：石油、铜矿石、铁矿石、铝矿石组成，矿物提练物标本应有：医药、塑料、橡胶、铜、铁、铝等标本组成。 2.石油标本应使用安瓿封装，尺寸不小于Φ8mm×40mm，三种矿石标本尺寸应不小于 18mm×8mm×8mm。应符合 JY0005-1994《矿物岩石标本》要求的晶体标本</w:t>
            </w:r>
          </w:p>
        </w:tc>
        <w:tc>
          <w:tcPr>
            <w:tcW w:w="603" w:type="dxa"/>
            <w:noWrap w:val="0"/>
            <w:vAlign w:val="center"/>
          </w:tcPr>
          <w:p w14:paraId="669E0C3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5313F19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48A0914C">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50ED5995">
            <w:pPr>
              <w:ind w:left="0" w:leftChars="0" w:firstLine="0" w:firstLineChars="0"/>
              <w:jc w:val="center"/>
              <w:rPr>
                <w:rFonts w:hint="eastAsia" w:ascii="宋体" w:hAnsi="宋体" w:cs="宋体"/>
                <w:color w:val="auto"/>
                <w:sz w:val="21"/>
                <w:szCs w:val="21"/>
                <w:highlight w:val="none"/>
                <w:lang w:val="en-US" w:eastAsia="zh-CN"/>
              </w:rPr>
            </w:pPr>
          </w:p>
        </w:tc>
      </w:tr>
      <w:tr w14:paraId="6343A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2C7E3A3">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1B24DC7">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植物根尖纵切</w:t>
            </w:r>
          </w:p>
        </w:tc>
        <w:tc>
          <w:tcPr>
            <w:tcW w:w="5472" w:type="dxa"/>
            <w:noWrap w:val="0"/>
            <w:vAlign w:val="center"/>
          </w:tcPr>
          <w:p w14:paraId="75B2D9E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5476DCF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3E50AD5C">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50FBD19E">
            <w:pPr>
              <w:spacing w:line="240"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019E877C">
            <w:pPr>
              <w:ind w:left="0" w:leftChars="0" w:firstLine="0" w:firstLineChars="0"/>
              <w:jc w:val="center"/>
              <w:rPr>
                <w:rFonts w:hint="eastAsia" w:ascii="宋体" w:hAnsi="宋体" w:cs="宋体"/>
                <w:color w:val="auto"/>
                <w:sz w:val="21"/>
                <w:szCs w:val="21"/>
                <w:highlight w:val="none"/>
                <w:lang w:val="en-US" w:eastAsia="zh-CN"/>
              </w:rPr>
            </w:pPr>
          </w:p>
        </w:tc>
      </w:tr>
      <w:tr w14:paraId="0EB8F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05D97E5">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29BB9BA">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木本双子叶植物茎横切</w:t>
            </w:r>
          </w:p>
        </w:tc>
        <w:tc>
          <w:tcPr>
            <w:tcW w:w="5472" w:type="dxa"/>
            <w:noWrap w:val="0"/>
            <w:vAlign w:val="center"/>
          </w:tcPr>
          <w:p w14:paraId="463A954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72DA5C9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6B5386C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0B25C48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7C9080E7">
            <w:pPr>
              <w:ind w:left="0" w:leftChars="0" w:firstLine="0" w:firstLineChars="0"/>
              <w:jc w:val="center"/>
              <w:rPr>
                <w:rFonts w:hint="eastAsia" w:ascii="宋体" w:hAnsi="宋体" w:cs="宋体"/>
                <w:color w:val="auto"/>
                <w:sz w:val="21"/>
                <w:szCs w:val="21"/>
                <w:highlight w:val="none"/>
                <w:lang w:val="en-US" w:eastAsia="zh-CN"/>
              </w:rPr>
            </w:pPr>
          </w:p>
        </w:tc>
      </w:tr>
      <w:tr w14:paraId="14F1F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D5666D5">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F2EFB65">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草本植物茎横切</w:t>
            </w:r>
          </w:p>
        </w:tc>
        <w:tc>
          <w:tcPr>
            <w:tcW w:w="5472" w:type="dxa"/>
            <w:noWrap w:val="0"/>
            <w:vAlign w:val="center"/>
          </w:tcPr>
          <w:p w14:paraId="58E9C633">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5274386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4A31C9DC">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6830580A">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30C0D45B">
            <w:pPr>
              <w:ind w:left="0" w:leftChars="0" w:firstLine="0" w:firstLineChars="0"/>
              <w:jc w:val="center"/>
              <w:rPr>
                <w:rFonts w:hint="eastAsia" w:ascii="宋体" w:hAnsi="宋体" w:cs="宋体"/>
                <w:color w:val="auto"/>
                <w:sz w:val="21"/>
                <w:szCs w:val="21"/>
                <w:highlight w:val="none"/>
                <w:lang w:val="en-US" w:eastAsia="zh-CN"/>
              </w:rPr>
            </w:pPr>
          </w:p>
        </w:tc>
      </w:tr>
      <w:tr w14:paraId="2EE6D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671E9A">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C52D09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洋葱表皮装片</w:t>
            </w:r>
          </w:p>
        </w:tc>
        <w:tc>
          <w:tcPr>
            <w:tcW w:w="5472" w:type="dxa"/>
            <w:noWrap w:val="0"/>
            <w:vAlign w:val="center"/>
          </w:tcPr>
          <w:p w14:paraId="3CDE123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71F909C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1EF3E12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540B915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53A06DA1">
            <w:pPr>
              <w:ind w:left="0" w:leftChars="0" w:firstLine="0" w:firstLineChars="0"/>
              <w:jc w:val="center"/>
              <w:rPr>
                <w:rFonts w:hint="eastAsia" w:ascii="宋体" w:hAnsi="宋体" w:cs="宋体"/>
                <w:color w:val="auto"/>
                <w:sz w:val="21"/>
                <w:szCs w:val="21"/>
                <w:highlight w:val="none"/>
                <w:lang w:val="en-US" w:eastAsia="zh-CN"/>
              </w:rPr>
            </w:pPr>
          </w:p>
        </w:tc>
      </w:tr>
      <w:tr w14:paraId="4E552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9369B3">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28AAE9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叶片横切</w:t>
            </w:r>
          </w:p>
        </w:tc>
        <w:tc>
          <w:tcPr>
            <w:tcW w:w="5472" w:type="dxa"/>
            <w:noWrap w:val="0"/>
            <w:vAlign w:val="center"/>
          </w:tcPr>
          <w:p w14:paraId="56EFAA5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0AC572D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2BF0E9F0">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495D232F">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12CA33AE">
            <w:pPr>
              <w:ind w:left="0" w:leftChars="0" w:firstLine="0" w:firstLineChars="0"/>
              <w:jc w:val="center"/>
              <w:rPr>
                <w:rFonts w:hint="eastAsia" w:ascii="宋体" w:hAnsi="宋体" w:cs="宋体"/>
                <w:color w:val="auto"/>
                <w:sz w:val="21"/>
                <w:szCs w:val="21"/>
                <w:highlight w:val="none"/>
                <w:lang w:val="en-US" w:eastAsia="zh-CN"/>
              </w:rPr>
            </w:pPr>
          </w:p>
        </w:tc>
      </w:tr>
      <w:tr w14:paraId="3E66A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0E5C5DD">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BD0E65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叶片气孔装片</w:t>
            </w:r>
          </w:p>
        </w:tc>
        <w:tc>
          <w:tcPr>
            <w:tcW w:w="5472" w:type="dxa"/>
            <w:noWrap w:val="0"/>
            <w:vAlign w:val="center"/>
          </w:tcPr>
          <w:p w14:paraId="270F650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6795F4C9">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3E8668C6">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2DC5F83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0AA8886C">
            <w:pPr>
              <w:ind w:left="0" w:leftChars="0" w:firstLine="0" w:firstLineChars="0"/>
              <w:jc w:val="center"/>
              <w:rPr>
                <w:rFonts w:hint="eastAsia" w:ascii="宋体" w:hAnsi="宋体" w:cs="宋体"/>
                <w:color w:val="auto"/>
                <w:sz w:val="21"/>
                <w:szCs w:val="21"/>
                <w:highlight w:val="none"/>
                <w:lang w:val="en-US" w:eastAsia="zh-CN"/>
              </w:rPr>
            </w:pPr>
          </w:p>
        </w:tc>
      </w:tr>
      <w:tr w14:paraId="546FE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85C229">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F901E70">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动物表皮细胞装片</w:t>
            </w:r>
          </w:p>
        </w:tc>
        <w:tc>
          <w:tcPr>
            <w:tcW w:w="5472" w:type="dxa"/>
            <w:noWrap w:val="0"/>
            <w:vAlign w:val="center"/>
          </w:tcPr>
          <w:p w14:paraId="3C7D7FB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6D97F08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6EFAA2F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46421715">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7185DA6B">
            <w:pPr>
              <w:ind w:left="0" w:leftChars="0" w:firstLine="0" w:firstLineChars="0"/>
              <w:jc w:val="center"/>
              <w:rPr>
                <w:rFonts w:hint="eastAsia" w:ascii="宋体" w:hAnsi="宋体" w:cs="宋体"/>
                <w:color w:val="auto"/>
                <w:sz w:val="21"/>
                <w:szCs w:val="21"/>
                <w:highlight w:val="none"/>
                <w:lang w:val="en-US" w:eastAsia="zh-CN"/>
              </w:rPr>
            </w:pPr>
          </w:p>
        </w:tc>
      </w:tr>
      <w:tr w14:paraId="26F93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5EF50FD">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766BDD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蛙卵细胞切片</w:t>
            </w:r>
          </w:p>
        </w:tc>
        <w:tc>
          <w:tcPr>
            <w:tcW w:w="5472" w:type="dxa"/>
            <w:noWrap w:val="0"/>
            <w:vAlign w:val="center"/>
          </w:tcPr>
          <w:p w14:paraId="6532B54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2A94307C">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1B29A3E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326B089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62DE159B">
            <w:pPr>
              <w:ind w:left="0" w:leftChars="0" w:firstLine="0" w:firstLineChars="0"/>
              <w:jc w:val="center"/>
              <w:rPr>
                <w:rFonts w:hint="eastAsia" w:ascii="宋体" w:hAnsi="宋体" w:cs="宋体"/>
                <w:color w:val="auto"/>
                <w:sz w:val="21"/>
                <w:szCs w:val="21"/>
                <w:highlight w:val="none"/>
                <w:lang w:val="en-US" w:eastAsia="zh-CN"/>
              </w:rPr>
            </w:pPr>
          </w:p>
        </w:tc>
      </w:tr>
      <w:tr w14:paraId="32FDE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6343240">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EB3997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骨细胞切片</w:t>
            </w:r>
          </w:p>
        </w:tc>
        <w:tc>
          <w:tcPr>
            <w:tcW w:w="5472" w:type="dxa"/>
            <w:noWrap w:val="0"/>
            <w:vAlign w:val="center"/>
          </w:tcPr>
          <w:p w14:paraId="3A7142B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1、76.2*25.4mm,厚度 1-1.18mm 标本应能在学生显微镜下观察清晰。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2、所要显示的组织机构应选自标准、典型的生物材料和正确的取材部位。</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3、玻片应边角完整，无斑点、纹络、磨伤、霉斑等缺陷。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4、符合 JY67-82《生物玻片标本通用技术条件》</w:t>
            </w:r>
          </w:p>
        </w:tc>
        <w:tc>
          <w:tcPr>
            <w:tcW w:w="603" w:type="dxa"/>
            <w:noWrap w:val="0"/>
            <w:vAlign w:val="center"/>
          </w:tcPr>
          <w:p w14:paraId="4959575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00" w:type="dxa"/>
            <w:noWrap w:val="0"/>
            <w:vAlign w:val="center"/>
          </w:tcPr>
          <w:p w14:paraId="1D7B740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4815A20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3572DE3D">
            <w:pPr>
              <w:ind w:left="0" w:leftChars="0" w:firstLine="0" w:firstLineChars="0"/>
              <w:jc w:val="center"/>
              <w:rPr>
                <w:rFonts w:hint="eastAsia" w:ascii="宋体" w:hAnsi="宋体" w:cs="宋体"/>
                <w:color w:val="auto"/>
                <w:sz w:val="21"/>
                <w:szCs w:val="21"/>
                <w:highlight w:val="none"/>
                <w:lang w:val="en-US" w:eastAsia="zh-CN"/>
              </w:rPr>
            </w:pPr>
          </w:p>
        </w:tc>
      </w:tr>
      <w:tr w14:paraId="3CB5D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21B89E1">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8C0791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口腔粘膜细胞装片</w:t>
            </w:r>
          </w:p>
        </w:tc>
        <w:tc>
          <w:tcPr>
            <w:tcW w:w="5472" w:type="dxa"/>
            <w:noWrap w:val="0"/>
            <w:vAlign w:val="center"/>
          </w:tcPr>
          <w:p w14:paraId="25BFCC3F">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1、76.2*25.4mm,厚度 1-1.18mm 标本应能在学生显微镜下观察清晰。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2、所要显示的组织机构应选自标准、典型的生物材料和正确的取材部位。</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3、玻片应边角完整，无斑点、纹络、磨伤、霉斑等缺陷。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4、符合 JY67-82《生物玻片标本通用技术条件》</w:t>
            </w:r>
          </w:p>
        </w:tc>
        <w:tc>
          <w:tcPr>
            <w:tcW w:w="603" w:type="dxa"/>
            <w:noWrap w:val="0"/>
            <w:vAlign w:val="center"/>
          </w:tcPr>
          <w:p w14:paraId="4A516F4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00" w:type="dxa"/>
            <w:noWrap w:val="0"/>
            <w:vAlign w:val="center"/>
          </w:tcPr>
          <w:p w14:paraId="47AAFA3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47A13E5F">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22F41F6F">
            <w:pPr>
              <w:ind w:left="0" w:leftChars="0" w:firstLine="0" w:firstLineChars="0"/>
              <w:jc w:val="center"/>
              <w:rPr>
                <w:rFonts w:hint="eastAsia" w:ascii="宋体" w:hAnsi="宋体" w:cs="宋体"/>
                <w:color w:val="auto"/>
                <w:sz w:val="21"/>
                <w:szCs w:val="21"/>
                <w:highlight w:val="none"/>
                <w:lang w:val="en-US" w:eastAsia="zh-CN"/>
              </w:rPr>
            </w:pPr>
          </w:p>
        </w:tc>
      </w:tr>
      <w:tr w14:paraId="746C8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06E37C6">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914F2A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人血细胞装片</w:t>
            </w:r>
          </w:p>
        </w:tc>
        <w:tc>
          <w:tcPr>
            <w:tcW w:w="5472" w:type="dxa"/>
            <w:noWrap w:val="0"/>
            <w:vAlign w:val="center"/>
          </w:tcPr>
          <w:p w14:paraId="625A614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1、76.2*25.4mm,厚度 1-1.18mm 标本应能在学生显微镜下观察清晰。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2、所要显示的组织机构应选自标准、典型的生物材料和正确的取材部位。</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3、玻片应边角完整，无斑点、纹络、磨伤、霉斑等缺陷。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4、符合 JY67-82《生物玻片标本通用技术条件》</w:t>
            </w:r>
          </w:p>
        </w:tc>
        <w:tc>
          <w:tcPr>
            <w:tcW w:w="603" w:type="dxa"/>
            <w:noWrap w:val="0"/>
            <w:vAlign w:val="center"/>
          </w:tcPr>
          <w:p w14:paraId="185DA00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00" w:type="dxa"/>
            <w:noWrap w:val="0"/>
            <w:vAlign w:val="center"/>
          </w:tcPr>
          <w:p w14:paraId="2BFB8AF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12908AF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45A58886">
            <w:pPr>
              <w:ind w:left="0" w:leftChars="0" w:firstLine="0" w:firstLineChars="0"/>
              <w:jc w:val="center"/>
              <w:rPr>
                <w:rFonts w:hint="eastAsia" w:ascii="宋体" w:hAnsi="宋体" w:cs="宋体"/>
                <w:color w:val="auto"/>
                <w:sz w:val="21"/>
                <w:szCs w:val="21"/>
                <w:highlight w:val="none"/>
                <w:lang w:val="en-US" w:eastAsia="zh-CN"/>
              </w:rPr>
            </w:pPr>
          </w:p>
        </w:tc>
      </w:tr>
      <w:tr w14:paraId="5C483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F42D367">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013ABB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中国政区地图</w:t>
            </w:r>
          </w:p>
        </w:tc>
        <w:tc>
          <w:tcPr>
            <w:tcW w:w="5472" w:type="dxa"/>
            <w:noWrap w:val="0"/>
            <w:vAlign w:val="center"/>
          </w:tcPr>
          <w:p w14:paraId="7E15D19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1.国界绘制精确，省界标识清晰、正确；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2.图底纸板纫性好，折叠容易，着色牢固，无脱色、混色缺陷；</w:t>
            </w:r>
          </w:p>
        </w:tc>
        <w:tc>
          <w:tcPr>
            <w:tcW w:w="603" w:type="dxa"/>
            <w:noWrap w:val="0"/>
            <w:vAlign w:val="center"/>
          </w:tcPr>
          <w:p w14:paraId="32F7DCE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2E1A54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3DE8C9A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33.8</w:t>
            </w:r>
          </w:p>
        </w:tc>
        <w:tc>
          <w:tcPr>
            <w:tcW w:w="635" w:type="dxa"/>
            <w:noWrap w:val="0"/>
            <w:vAlign w:val="center"/>
          </w:tcPr>
          <w:p w14:paraId="731DA008">
            <w:pPr>
              <w:ind w:left="0" w:leftChars="0" w:firstLine="0" w:firstLineChars="0"/>
              <w:jc w:val="center"/>
              <w:rPr>
                <w:rFonts w:hint="eastAsia" w:ascii="宋体" w:hAnsi="宋体" w:cs="宋体"/>
                <w:color w:val="auto"/>
                <w:sz w:val="21"/>
                <w:szCs w:val="21"/>
                <w:highlight w:val="none"/>
                <w:lang w:val="en-US" w:eastAsia="zh-CN"/>
              </w:rPr>
            </w:pPr>
          </w:p>
        </w:tc>
      </w:tr>
      <w:tr w14:paraId="72E4B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C3448EA">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7EF5BB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中国地形地图</w:t>
            </w:r>
          </w:p>
        </w:tc>
        <w:tc>
          <w:tcPr>
            <w:tcW w:w="5472" w:type="dxa"/>
            <w:noWrap w:val="0"/>
            <w:vAlign w:val="center"/>
          </w:tcPr>
          <w:p w14:paraId="15FC94E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1、山、河流、平原、丘陵、盆地、国界、省界、首都、省会标识清晰正确，国界标识精确。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2、图底纸板纫性好，易折叠，着色牢固。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3、无脱色、混色缺陷，涵盖教材要求。</w:t>
            </w:r>
          </w:p>
        </w:tc>
        <w:tc>
          <w:tcPr>
            <w:tcW w:w="603" w:type="dxa"/>
            <w:noWrap w:val="0"/>
            <w:vAlign w:val="center"/>
          </w:tcPr>
          <w:p w14:paraId="4FFD79B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19F2A9B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6AE9379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33.8</w:t>
            </w:r>
          </w:p>
        </w:tc>
        <w:tc>
          <w:tcPr>
            <w:tcW w:w="635" w:type="dxa"/>
            <w:noWrap w:val="0"/>
            <w:vAlign w:val="center"/>
          </w:tcPr>
          <w:p w14:paraId="519CA1C9">
            <w:pPr>
              <w:ind w:left="0" w:leftChars="0" w:firstLine="0" w:firstLineChars="0"/>
              <w:jc w:val="center"/>
              <w:rPr>
                <w:rFonts w:hint="eastAsia" w:ascii="宋体" w:hAnsi="宋体" w:cs="宋体"/>
                <w:color w:val="auto"/>
                <w:sz w:val="21"/>
                <w:szCs w:val="21"/>
                <w:highlight w:val="none"/>
                <w:lang w:val="en-US" w:eastAsia="zh-CN"/>
              </w:rPr>
            </w:pPr>
          </w:p>
        </w:tc>
      </w:tr>
      <w:tr w14:paraId="04D1F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F54EF94">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F4AC2D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小学科学安全操作挂图</w:t>
            </w:r>
          </w:p>
        </w:tc>
        <w:tc>
          <w:tcPr>
            <w:tcW w:w="5472" w:type="dxa"/>
            <w:noWrap w:val="0"/>
            <w:vAlign w:val="center"/>
          </w:tcPr>
          <w:p w14:paraId="59DDAEF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 幅,≥52×72cm，铜版纸≥ 105g。</w:t>
            </w:r>
          </w:p>
        </w:tc>
        <w:tc>
          <w:tcPr>
            <w:tcW w:w="603" w:type="dxa"/>
            <w:noWrap w:val="0"/>
            <w:vAlign w:val="center"/>
          </w:tcPr>
          <w:p w14:paraId="241A9A7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7E4C4AD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65C7272B">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104</w:t>
            </w:r>
          </w:p>
        </w:tc>
        <w:tc>
          <w:tcPr>
            <w:tcW w:w="635" w:type="dxa"/>
            <w:noWrap w:val="0"/>
            <w:vAlign w:val="center"/>
          </w:tcPr>
          <w:p w14:paraId="7050513E">
            <w:pPr>
              <w:ind w:left="0" w:leftChars="0" w:firstLine="0" w:firstLineChars="0"/>
              <w:jc w:val="center"/>
              <w:rPr>
                <w:rFonts w:hint="eastAsia" w:ascii="宋体" w:hAnsi="宋体" w:cs="宋体"/>
                <w:color w:val="auto"/>
                <w:sz w:val="21"/>
                <w:szCs w:val="21"/>
                <w:highlight w:val="none"/>
                <w:lang w:val="en-US" w:eastAsia="zh-CN"/>
              </w:rPr>
            </w:pPr>
          </w:p>
        </w:tc>
      </w:tr>
      <w:tr w14:paraId="1977E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4D8EB6C">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6114F3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小学科学生命世界教学挂图</w:t>
            </w:r>
          </w:p>
        </w:tc>
        <w:tc>
          <w:tcPr>
            <w:tcW w:w="5472" w:type="dxa"/>
            <w:noWrap w:val="0"/>
            <w:vAlign w:val="center"/>
          </w:tcPr>
          <w:p w14:paraId="717F395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 幅,≥52×72cm，铜版纸 ≥105g。</w:t>
            </w:r>
          </w:p>
        </w:tc>
        <w:tc>
          <w:tcPr>
            <w:tcW w:w="603" w:type="dxa"/>
            <w:noWrap w:val="0"/>
            <w:vAlign w:val="center"/>
          </w:tcPr>
          <w:p w14:paraId="2EDC46C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C7A910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34B9520">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156</w:t>
            </w:r>
          </w:p>
        </w:tc>
        <w:tc>
          <w:tcPr>
            <w:tcW w:w="635" w:type="dxa"/>
            <w:noWrap w:val="0"/>
            <w:vAlign w:val="center"/>
          </w:tcPr>
          <w:p w14:paraId="7BE2D6EB">
            <w:pPr>
              <w:ind w:left="0" w:leftChars="0" w:firstLine="0" w:firstLineChars="0"/>
              <w:jc w:val="center"/>
              <w:rPr>
                <w:rFonts w:hint="eastAsia" w:ascii="宋体" w:hAnsi="宋体" w:cs="宋体"/>
                <w:color w:val="auto"/>
                <w:sz w:val="21"/>
                <w:szCs w:val="21"/>
                <w:highlight w:val="none"/>
                <w:lang w:val="en-US" w:eastAsia="zh-CN"/>
              </w:rPr>
            </w:pPr>
          </w:p>
        </w:tc>
      </w:tr>
      <w:tr w14:paraId="4ABDF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154A039">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7EC705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小学科学物质</w:t>
            </w:r>
          </w:p>
        </w:tc>
        <w:tc>
          <w:tcPr>
            <w:tcW w:w="5472" w:type="dxa"/>
            <w:noWrap w:val="0"/>
            <w:vAlign w:val="center"/>
          </w:tcPr>
          <w:p w14:paraId="5CD1302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 幅,≥52×72cm，铜版纸 ≥105g。</w:t>
            </w:r>
          </w:p>
        </w:tc>
        <w:tc>
          <w:tcPr>
            <w:tcW w:w="603" w:type="dxa"/>
            <w:noWrap w:val="0"/>
            <w:vAlign w:val="center"/>
          </w:tcPr>
          <w:p w14:paraId="0929474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308155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004CDC93">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133.2</w:t>
            </w:r>
          </w:p>
        </w:tc>
        <w:tc>
          <w:tcPr>
            <w:tcW w:w="635" w:type="dxa"/>
            <w:noWrap w:val="0"/>
            <w:vAlign w:val="center"/>
          </w:tcPr>
          <w:p w14:paraId="4604168D">
            <w:pPr>
              <w:ind w:left="0" w:leftChars="0" w:firstLine="0" w:firstLineChars="0"/>
              <w:jc w:val="center"/>
              <w:rPr>
                <w:rFonts w:hint="eastAsia" w:ascii="宋体" w:hAnsi="宋体" w:cs="宋体"/>
                <w:color w:val="auto"/>
                <w:sz w:val="21"/>
                <w:szCs w:val="21"/>
                <w:highlight w:val="none"/>
                <w:lang w:val="en-US" w:eastAsia="zh-CN"/>
              </w:rPr>
            </w:pPr>
          </w:p>
        </w:tc>
      </w:tr>
      <w:tr w14:paraId="2786E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B112C57">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54BFD02">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小学科学地球与宇宙教学挂图</w:t>
            </w:r>
          </w:p>
        </w:tc>
        <w:tc>
          <w:tcPr>
            <w:tcW w:w="5472" w:type="dxa"/>
            <w:noWrap w:val="0"/>
            <w:vAlign w:val="center"/>
          </w:tcPr>
          <w:p w14:paraId="4B246E6F">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 幅,≥52×72cm，铜版纸≥ 105g。</w:t>
            </w:r>
          </w:p>
        </w:tc>
        <w:tc>
          <w:tcPr>
            <w:tcW w:w="603" w:type="dxa"/>
            <w:noWrap w:val="0"/>
            <w:vAlign w:val="center"/>
          </w:tcPr>
          <w:p w14:paraId="5CE59CD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B94DDB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36C92A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100.1</w:t>
            </w:r>
          </w:p>
        </w:tc>
        <w:tc>
          <w:tcPr>
            <w:tcW w:w="635" w:type="dxa"/>
            <w:noWrap w:val="0"/>
            <w:vAlign w:val="center"/>
          </w:tcPr>
          <w:p w14:paraId="132E438C">
            <w:pPr>
              <w:ind w:left="0" w:leftChars="0" w:firstLine="0" w:firstLineChars="0"/>
              <w:jc w:val="center"/>
              <w:rPr>
                <w:rFonts w:hint="eastAsia" w:ascii="宋体" w:hAnsi="宋体" w:cs="宋体"/>
                <w:color w:val="auto"/>
                <w:sz w:val="21"/>
                <w:szCs w:val="21"/>
                <w:highlight w:val="none"/>
                <w:lang w:val="en-US" w:eastAsia="zh-CN"/>
              </w:rPr>
            </w:pPr>
          </w:p>
        </w:tc>
      </w:tr>
      <w:tr w14:paraId="26139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6F48BD6">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4C4373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科学史挂图</w:t>
            </w:r>
          </w:p>
        </w:tc>
        <w:tc>
          <w:tcPr>
            <w:tcW w:w="5472" w:type="dxa"/>
            <w:noWrap w:val="0"/>
            <w:vAlign w:val="center"/>
          </w:tcPr>
          <w:p w14:paraId="4636EE5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 幅,≥52×72cm，铜版纸 ≥105g。</w:t>
            </w:r>
          </w:p>
        </w:tc>
        <w:tc>
          <w:tcPr>
            <w:tcW w:w="603" w:type="dxa"/>
            <w:noWrap w:val="0"/>
            <w:vAlign w:val="center"/>
          </w:tcPr>
          <w:p w14:paraId="145B2FB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88731C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CA3837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118.8</w:t>
            </w:r>
          </w:p>
        </w:tc>
        <w:tc>
          <w:tcPr>
            <w:tcW w:w="635" w:type="dxa"/>
            <w:noWrap w:val="0"/>
            <w:vAlign w:val="center"/>
          </w:tcPr>
          <w:p w14:paraId="0896AD8E">
            <w:pPr>
              <w:ind w:left="0" w:leftChars="0" w:firstLine="0" w:firstLineChars="0"/>
              <w:jc w:val="center"/>
              <w:rPr>
                <w:rFonts w:hint="eastAsia" w:ascii="宋体" w:hAnsi="宋体" w:cs="宋体"/>
                <w:color w:val="auto"/>
                <w:sz w:val="21"/>
                <w:szCs w:val="21"/>
                <w:highlight w:val="none"/>
                <w:lang w:val="en-US" w:eastAsia="zh-CN"/>
              </w:rPr>
            </w:pPr>
          </w:p>
        </w:tc>
      </w:tr>
      <w:tr w14:paraId="43A9E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3A8FE4">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F683D1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植物分类图谱</w:t>
            </w:r>
          </w:p>
        </w:tc>
        <w:tc>
          <w:tcPr>
            <w:tcW w:w="5472" w:type="dxa"/>
            <w:noWrap w:val="0"/>
            <w:vAlign w:val="center"/>
          </w:tcPr>
          <w:p w14:paraId="2BA6C04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w:t>
            </w:r>
            <w:r>
              <w:rPr>
                <w:rFonts w:hint="eastAsia" w:ascii="宋体" w:hAnsi="宋体" w:cs="宋体"/>
                <w:color w:val="auto"/>
                <w:sz w:val="21"/>
                <w:szCs w:val="21"/>
                <w:highlight w:val="none"/>
                <w:lang w:val="en-US" w:eastAsia="zh-CN"/>
              </w:rPr>
              <w:t>16</w:t>
            </w:r>
            <w:r>
              <w:rPr>
                <w:rFonts w:hint="eastAsia" w:ascii="宋体" w:hAnsi="宋体" w:eastAsia="宋体" w:cs="宋体"/>
                <w:color w:val="auto"/>
                <w:sz w:val="21"/>
                <w:szCs w:val="21"/>
                <w:highlight w:val="none"/>
                <w:lang w:val="en-US" w:eastAsia="zh-CN"/>
              </w:rPr>
              <w:t>开，人教板。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1.适用于按照《全日制九年义务教育科学课程标准》编写的并经国家教材审定通过的小学科学教材。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2.图谱内容：藻类植物、菌类植物、地衣植物、苔藓植物、蕨类植物、裸子植物、被子植物，让学生了解植物的类别。</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3.幅面 16 开；大于 128 克铜版纸。</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4.图形逼真，色彩鲜明，线条清晰，附使用说明书。</w:t>
            </w:r>
          </w:p>
        </w:tc>
        <w:tc>
          <w:tcPr>
            <w:tcW w:w="603" w:type="dxa"/>
            <w:noWrap w:val="0"/>
            <w:vAlign w:val="center"/>
          </w:tcPr>
          <w:p w14:paraId="17A0B5B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6D5CEC7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6C3F6C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50.4</w:t>
            </w:r>
          </w:p>
        </w:tc>
        <w:tc>
          <w:tcPr>
            <w:tcW w:w="635" w:type="dxa"/>
            <w:noWrap w:val="0"/>
            <w:vAlign w:val="center"/>
          </w:tcPr>
          <w:p w14:paraId="3F78E423">
            <w:pPr>
              <w:ind w:left="0" w:leftChars="0" w:firstLine="0" w:firstLineChars="0"/>
              <w:jc w:val="center"/>
              <w:rPr>
                <w:rFonts w:hint="eastAsia" w:ascii="宋体" w:hAnsi="宋体" w:cs="宋体"/>
                <w:color w:val="auto"/>
                <w:sz w:val="21"/>
                <w:szCs w:val="21"/>
                <w:highlight w:val="none"/>
                <w:lang w:val="en-US" w:eastAsia="zh-CN"/>
              </w:rPr>
            </w:pPr>
          </w:p>
        </w:tc>
      </w:tr>
      <w:tr w14:paraId="2716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91F8F7">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B592FE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动物分类图谱</w:t>
            </w:r>
          </w:p>
        </w:tc>
        <w:tc>
          <w:tcPr>
            <w:tcW w:w="5472" w:type="dxa"/>
            <w:noWrap w:val="0"/>
            <w:vAlign w:val="center"/>
          </w:tcPr>
          <w:p w14:paraId="1BB9956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 16 开，人教板。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1.适用于按照《全日制九年义务教育科学课程标准》编写的并经国家教材审定通过的小学科学教材。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2.动物分类图谱，让学生了解动物的类别和科目。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3.图形逼真，色彩鲜明，线条清晰，附使用说明书，幅面 16 开；大于 128 克铜版纸。</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4.正规单位出版。</w:t>
            </w:r>
          </w:p>
        </w:tc>
        <w:tc>
          <w:tcPr>
            <w:tcW w:w="603" w:type="dxa"/>
            <w:noWrap w:val="0"/>
            <w:vAlign w:val="center"/>
          </w:tcPr>
          <w:p w14:paraId="181C8D7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3F6D080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655888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50.4</w:t>
            </w:r>
          </w:p>
        </w:tc>
        <w:tc>
          <w:tcPr>
            <w:tcW w:w="635" w:type="dxa"/>
            <w:noWrap w:val="0"/>
            <w:vAlign w:val="center"/>
          </w:tcPr>
          <w:p w14:paraId="5BE8DDC7">
            <w:pPr>
              <w:ind w:left="0" w:leftChars="0" w:firstLine="0" w:firstLineChars="0"/>
              <w:jc w:val="center"/>
              <w:rPr>
                <w:rFonts w:hint="eastAsia" w:ascii="宋体" w:hAnsi="宋体" w:cs="宋体"/>
                <w:color w:val="auto"/>
                <w:sz w:val="21"/>
                <w:szCs w:val="21"/>
                <w:highlight w:val="none"/>
                <w:lang w:val="en-US" w:eastAsia="zh-CN"/>
              </w:rPr>
            </w:pPr>
          </w:p>
        </w:tc>
      </w:tr>
      <w:tr w14:paraId="64B8B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DF67F79">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ADC71F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量筒</w:t>
            </w:r>
          </w:p>
        </w:tc>
        <w:tc>
          <w:tcPr>
            <w:tcW w:w="5472" w:type="dxa"/>
            <w:noWrap w:val="0"/>
            <w:vAlign w:val="center"/>
          </w:tcPr>
          <w:p w14:paraId="5E4C344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500ml、高硼硅玻璃制造、铜红扩散印线，容量误差 2.5ml，玻璃仪器总体要求：无内应力。</w:t>
            </w:r>
          </w:p>
        </w:tc>
        <w:tc>
          <w:tcPr>
            <w:tcW w:w="603" w:type="dxa"/>
            <w:noWrap w:val="0"/>
            <w:vAlign w:val="center"/>
          </w:tcPr>
          <w:p w14:paraId="4CB14BD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4ED827B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AF62FB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635" w:type="dxa"/>
            <w:noWrap w:val="0"/>
            <w:vAlign w:val="center"/>
          </w:tcPr>
          <w:p w14:paraId="4C8DF913">
            <w:pPr>
              <w:ind w:left="0" w:leftChars="0" w:firstLine="0" w:firstLineChars="0"/>
              <w:jc w:val="center"/>
              <w:rPr>
                <w:rFonts w:hint="eastAsia" w:ascii="宋体" w:hAnsi="宋体" w:cs="宋体"/>
                <w:color w:val="auto"/>
                <w:sz w:val="21"/>
                <w:szCs w:val="21"/>
                <w:highlight w:val="none"/>
                <w:lang w:val="en-US" w:eastAsia="zh-CN"/>
              </w:rPr>
            </w:pPr>
          </w:p>
        </w:tc>
      </w:tr>
      <w:tr w14:paraId="170F3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979543A">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B79800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量杯</w:t>
            </w:r>
          </w:p>
        </w:tc>
        <w:tc>
          <w:tcPr>
            <w:tcW w:w="5472" w:type="dxa"/>
            <w:noWrap w:val="0"/>
            <w:vAlign w:val="center"/>
          </w:tcPr>
          <w:p w14:paraId="4FFDB9D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一、适用范围：适用教学测量；二、技术参数：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1、容量：250mL；</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2、外形尺寸要求：全高 350±15mm，底部直径 90mm，壁厚 1.5mm，底厚 4.5mm；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3、最小分度值：5ml；</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4、示值允差：标准温度 20℃时≤±0.8ml；</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5、分度线宽度：0.5mm；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6、分度线清晰、完整；刻线宽不大于 0、4mm；长线长度大于周长的 1/4，中线长度大于周长的 1/6，短线大于周长的 1/8；</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7、表面平整光洁、无划痕、溶迹、缩迹，边缘无毛刺和凹凸不平。</w:t>
            </w:r>
          </w:p>
        </w:tc>
        <w:tc>
          <w:tcPr>
            <w:tcW w:w="603" w:type="dxa"/>
            <w:noWrap w:val="0"/>
            <w:vAlign w:val="center"/>
          </w:tcPr>
          <w:p w14:paraId="53425DA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6230EFF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036F03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33.6</w:t>
            </w:r>
          </w:p>
        </w:tc>
        <w:tc>
          <w:tcPr>
            <w:tcW w:w="635" w:type="dxa"/>
            <w:noWrap w:val="0"/>
            <w:vAlign w:val="center"/>
          </w:tcPr>
          <w:p w14:paraId="374DB3B2">
            <w:pPr>
              <w:ind w:left="0" w:leftChars="0" w:firstLine="0" w:firstLineChars="0"/>
              <w:jc w:val="center"/>
              <w:rPr>
                <w:rFonts w:hint="eastAsia" w:ascii="宋体" w:hAnsi="宋体" w:cs="宋体"/>
                <w:color w:val="auto"/>
                <w:sz w:val="21"/>
                <w:szCs w:val="21"/>
                <w:highlight w:val="none"/>
                <w:lang w:val="en-US" w:eastAsia="zh-CN"/>
              </w:rPr>
            </w:pPr>
          </w:p>
        </w:tc>
      </w:tr>
      <w:tr w14:paraId="68D48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2A4DA9D">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CF3139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试管</w:t>
            </w:r>
          </w:p>
        </w:tc>
        <w:tc>
          <w:tcPr>
            <w:tcW w:w="5472" w:type="dxa"/>
            <w:noWrap w:val="0"/>
            <w:vAlign w:val="center"/>
          </w:tcPr>
          <w:p w14:paraId="3CC0D24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≥φ15mm×150mm</w:t>
            </w:r>
          </w:p>
        </w:tc>
        <w:tc>
          <w:tcPr>
            <w:tcW w:w="603" w:type="dxa"/>
            <w:noWrap w:val="0"/>
            <w:vAlign w:val="center"/>
          </w:tcPr>
          <w:p w14:paraId="75502F1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92</w:t>
            </w:r>
          </w:p>
        </w:tc>
        <w:tc>
          <w:tcPr>
            <w:tcW w:w="600" w:type="dxa"/>
            <w:noWrap w:val="0"/>
            <w:vAlign w:val="center"/>
          </w:tcPr>
          <w:p w14:paraId="10A339B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w:t>
            </w:r>
          </w:p>
        </w:tc>
        <w:tc>
          <w:tcPr>
            <w:tcW w:w="1110" w:type="dxa"/>
            <w:noWrap w:val="0"/>
            <w:vAlign w:val="center"/>
          </w:tcPr>
          <w:p w14:paraId="1BB2C61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49A8A00A">
            <w:pPr>
              <w:ind w:left="0" w:leftChars="0" w:firstLine="0" w:firstLineChars="0"/>
              <w:jc w:val="center"/>
              <w:rPr>
                <w:rFonts w:hint="eastAsia" w:ascii="宋体" w:hAnsi="宋体" w:cs="宋体"/>
                <w:color w:val="auto"/>
                <w:sz w:val="21"/>
                <w:szCs w:val="21"/>
                <w:highlight w:val="none"/>
                <w:lang w:val="en-US" w:eastAsia="zh-CN"/>
              </w:rPr>
            </w:pPr>
          </w:p>
        </w:tc>
      </w:tr>
      <w:tr w14:paraId="0B453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7FD08C6">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C9B11B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试管</w:t>
            </w:r>
          </w:p>
        </w:tc>
        <w:tc>
          <w:tcPr>
            <w:tcW w:w="5472" w:type="dxa"/>
            <w:noWrap w:val="0"/>
            <w:vAlign w:val="center"/>
          </w:tcPr>
          <w:p w14:paraId="0E25818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≥φ20mm×200mm</w:t>
            </w:r>
          </w:p>
        </w:tc>
        <w:tc>
          <w:tcPr>
            <w:tcW w:w="603" w:type="dxa"/>
            <w:noWrap w:val="0"/>
            <w:vAlign w:val="center"/>
          </w:tcPr>
          <w:p w14:paraId="57C67CE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73FD062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w:t>
            </w:r>
          </w:p>
        </w:tc>
        <w:tc>
          <w:tcPr>
            <w:tcW w:w="1110" w:type="dxa"/>
            <w:noWrap w:val="0"/>
            <w:vAlign w:val="center"/>
          </w:tcPr>
          <w:p w14:paraId="6726C32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728B1748">
            <w:pPr>
              <w:ind w:left="0" w:leftChars="0" w:firstLine="0" w:firstLineChars="0"/>
              <w:jc w:val="center"/>
              <w:rPr>
                <w:rFonts w:hint="eastAsia" w:ascii="宋体" w:hAnsi="宋体" w:cs="宋体"/>
                <w:color w:val="auto"/>
                <w:sz w:val="21"/>
                <w:szCs w:val="21"/>
                <w:highlight w:val="none"/>
                <w:lang w:val="en-US" w:eastAsia="zh-CN"/>
              </w:rPr>
            </w:pPr>
          </w:p>
        </w:tc>
      </w:tr>
      <w:tr w14:paraId="07B53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4EAB3F8">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ACD4CB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烧杯</w:t>
            </w:r>
          </w:p>
        </w:tc>
        <w:tc>
          <w:tcPr>
            <w:tcW w:w="5472" w:type="dxa"/>
            <w:noWrap w:val="0"/>
            <w:vAlign w:val="center"/>
          </w:tcPr>
          <w:p w14:paraId="6EEFB26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≥50mL</w:t>
            </w:r>
          </w:p>
        </w:tc>
        <w:tc>
          <w:tcPr>
            <w:tcW w:w="603" w:type="dxa"/>
            <w:noWrap w:val="0"/>
            <w:vAlign w:val="center"/>
          </w:tcPr>
          <w:p w14:paraId="250C648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6EDDB1E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73CBF5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635" w:type="dxa"/>
            <w:noWrap w:val="0"/>
            <w:vAlign w:val="center"/>
          </w:tcPr>
          <w:p w14:paraId="11509A0B">
            <w:pPr>
              <w:ind w:left="0" w:leftChars="0" w:firstLine="0" w:firstLineChars="0"/>
              <w:jc w:val="center"/>
              <w:rPr>
                <w:rFonts w:hint="eastAsia" w:ascii="宋体" w:hAnsi="宋体" w:cs="宋体"/>
                <w:color w:val="auto"/>
                <w:sz w:val="21"/>
                <w:szCs w:val="21"/>
                <w:highlight w:val="none"/>
                <w:lang w:val="en-US" w:eastAsia="zh-CN"/>
              </w:rPr>
            </w:pPr>
          </w:p>
        </w:tc>
      </w:tr>
      <w:tr w14:paraId="03953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B33031">
            <w:pPr>
              <w:numPr>
                <w:ilvl w:val="0"/>
                <w:numId w:val="13"/>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5CB4990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烧杯</w:t>
            </w:r>
          </w:p>
        </w:tc>
        <w:tc>
          <w:tcPr>
            <w:tcW w:w="5472" w:type="dxa"/>
            <w:noWrap w:val="0"/>
            <w:vAlign w:val="center"/>
          </w:tcPr>
          <w:p w14:paraId="692771D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≥100mL</w:t>
            </w:r>
          </w:p>
        </w:tc>
        <w:tc>
          <w:tcPr>
            <w:tcW w:w="603" w:type="dxa"/>
            <w:noWrap w:val="0"/>
            <w:vAlign w:val="center"/>
          </w:tcPr>
          <w:p w14:paraId="7E934B6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776BA85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FE5C81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635" w:type="dxa"/>
            <w:noWrap w:val="0"/>
            <w:vAlign w:val="center"/>
          </w:tcPr>
          <w:p w14:paraId="7CE36BDA">
            <w:pPr>
              <w:ind w:left="0" w:leftChars="0" w:firstLine="0" w:firstLineChars="0"/>
              <w:jc w:val="center"/>
              <w:rPr>
                <w:rFonts w:hint="eastAsia" w:ascii="宋体" w:hAnsi="宋体" w:cs="宋体"/>
                <w:color w:val="auto"/>
                <w:sz w:val="21"/>
                <w:szCs w:val="21"/>
                <w:highlight w:val="none"/>
                <w:lang w:val="en-US" w:eastAsia="zh-CN"/>
              </w:rPr>
            </w:pPr>
          </w:p>
        </w:tc>
      </w:tr>
      <w:tr w14:paraId="68714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A76EC4">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96A770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烧杯</w:t>
            </w:r>
          </w:p>
        </w:tc>
        <w:tc>
          <w:tcPr>
            <w:tcW w:w="5472" w:type="dxa"/>
            <w:noWrap w:val="0"/>
            <w:vAlign w:val="center"/>
          </w:tcPr>
          <w:p w14:paraId="7CE2198C">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≥250mL</w:t>
            </w:r>
          </w:p>
        </w:tc>
        <w:tc>
          <w:tcPr>
            <w:tcW w:w="603" w:type="dxa"/>
            <w:noWrap w:val="0"/>
            <w:vAlign w:val="center"/>
          </w:tcPr>
          <w:p w14:paraId="76DE5B52">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2A87B3D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0A19F4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9.6</w:t>
            </w:r>
          </w:p>
        </w:tc>
        <w:tc>
          <w:tcPr>
            <w:tcW w:w="635" w:type="dxa"/>
            <w:noWrap w:val="0"/>
            <w:vAlign w:val="center"/>
          </w:tcPr>
          <w:p w14:paraId="0453373F">
            <w:pPr>
              <w:ind w:left="0" w:leftChars="0" w:firstLine="0" w:firstLineChars="0"/>
              <w:jc w:val="center"/>
              <w:rPr>
                <w:rFonts w:hint="eastAsia" w:ascii="宋体" w:hAnsi="宋体" w:cs="宋体"/>
                <w:color w:val="auto"/>
                <w:sz w:val="21"/>
                <w:szCs w:val="21"/>
                <w:highlight w:val="none"/>
                <w:lang w:val="en-US" w:eastAsia="zh-CN"/>
              </w:rPr>
            </w:pPr>
          </w:p>
        </w:tc>
      </w:tr>
      <w:tr w14:paraId="6E1D8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0F16E8F">
            <w:pPr>
              <w:numPr>
                <w:ilvl w:val="0"/>
                <w:numId w:val="13"/>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5200E4F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烧杯</w:t>
            </w:r>
          </w:p>
        </w:tc>
        <w:tc>
          <w:tcPr>
            <w:tcW w:w="5472" w:type="dxa"/>
            <w:noWrap w:val="0"/>
            <w:vAlign w:val="center"/>
          </w:tcPr>
          <w:p w14:paraId="60ED10C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≥500mL</w:t>
            </w:r>
          </w:p>
        </w:tc>
        <w:tc>
          <w:tcPr>
            <w:tcW w:w="603" w:type="dxa"/>
            <w:noWrap w:val="0"/>
            <w:vAlign w:val="center"/>
          </w:tcPr>
          <w:p w14:paraId="1338342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433559C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98CEC5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35" w:type="dxa"/>
            <w:noWrap w:val="0"/>
            <w:vAlign w:val="center"/>
          </w:tcPr>
          <w:p w14:paraId="2D74AC39">
            <w:pPr>
              <w:ind w:left="0" w:leftChars="0" w:firstLine="0" w:firstLineChars="0"/>
              <w:jc w:val="center"/>
              <w:rPr>
                <w:rFonts w:hint="eastAsia" w:ascii="宋体" w:hAnsi="宋体" w:cs="宋体"/>
                <w:color w:val="auto"/>
                <w:sz w:val="21"/>
                <w:szCs w:val="21"/>
                <w:highlight w:val="none"/>
                <w:lang w:val="en-US" w:eastAsia="zh-CN"/>
              </w:rPr>
            </w:pPr>
          </w:p>
        </w:tc>
      </w:tr>
      <w:tr w14:paraId="34F8D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818BA8B">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9AB0D1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烧瓶</w:t>
            </w:r>
          </w:p>
        </w:tc>
        <w:tc>
          <w:tcPr>
            <w:tcW w:w="5472" w:type="dxa"/>
            <w:noWrap w:val="0"/>
            <w:vAlign w:val="center"/>
          </w:tcPr>
          <w:p w14:paraId="576A8AC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平、长，≥250mL</w:t>
            </w:r>
          </w:p>
        </w:tc>
        <w:tc>
          <w:tcPr>
            <w:tcW w:w="603" w:type="dxa"/>
            <w:noWrap w:val="0"/>
            <w:vAlign w:val="center"/>
          </w:tcPr>
          <w:p w14:paraId="0AE76F4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2FDAC1A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6967C3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35" w:type="dxa"/>
            <w:noWrap w:val="0"/>
            <w:vAlign w:val="center"/>
          </w:tcPr>
          <w:p w14:paraId="29E9F67F">
            <w:pPr>
              <w:ind w:left="0" w:leftChars="0" w:firstLine="0" w:firstLineChars="0"/>
              <w:jc w:val="center"/>
              <w:rPr>
                <w:rFonts w:hint="eastAsia" w:ascii="宋体" w:hAnsi="宋体" w:cs="宋体"/>
                <w:color w:val="auto"/>
                <w:sz w:val="21"/>
                <w:szCs w:val="21"/>
                <w:highlight w:val="none"/>
                <w:lang w:val="en-US" w:eastAsia="zh-CN"/>
              </w:rPr>
            </w:pPr>
          </w:p>
        </w:tc>
      </w:tr>
      <w:tr w14:paraId="6F798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9EBF9B">
            <w:pPr>
              <w:numPr>
                <w:ilvl w:val="0"/>
                <w:numId w:val="13"/>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45343D2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锥形瓶</w:t>
            </w:r>
          </w:p>
        </w:tc>
        <w:tc>
          <w:tcPr>
            <w:tcW w:w="5472" w:type="dxa"/>
            <w:noWrap w:val="0"/>
            <w:vAlign w:val="center"/>
          </w:tcPr>
          <w:p w14:paraId="275F072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≥100mL</w:t>
            </w:r>
          </w:p>
        </w:tc>
        <w:tc>
          <w:tcPr>
            <w:tcW w:w="603" w:type="dxa"/>
            <w:noWrap w:val="0"/>
            <w:vAlign w:val="center"/>
          </w:tcPr>
          <w:p w14:paraId="2EDAB8A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6A56359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786796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35" w:type="dxa"/>
            <w:noWrap w:val="0"/>
            <w:vAlign w:val="center"/>
          </w:tcPr>
          <w:p w14:paraId="622D55C3">
            <w:pPr>
              <w:ind w:left="0" w:leftChars="0" w:firstLine="0" w:firstLineChars="0"/>
              <w:jc w:val="center"/>
              <w:rPr>
                <w:rFonts w:hint="eastAsia" w:ascii="宋体" w:hAnsi="宋体" w:cs="宋体"/>
                <w:color w:val="auto"/>
                <w:sz w:val="21"/>
                <w:szCs w:val="21"/>
                <w:highlight w:val="none"/>
                <w:lang w:val="en-US" w:eastAsia="zh-CN"/>
              </w:rPr>
            </w:pPr>
          </w:p>
        </w:tc>
      </w:tr>
      <w:tr w14:paraId="548CE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FD36FDF">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32485E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酒精灯</w:t>
            </w:r>
          </w:p>
        </w:tc>
        <w:tc>
          <w:tcPr>
            <w:tcW w:w="5472" w:type="dxa"/>
            <w:noWrap w:val="0"/>
            <w:vAlign w:val="center"/>
          </w:tcPr>
          <w:p w14:paraId="180A421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≥150mL</w:t>
            </w:r>
          </w:p>
        </w:tc>
        <w:tc>
          <w:tcPr>
            <w:tcW w:w="603" w:type="dxa"/>
            <w:noWrap w:val="0"/>
            <w:vAlign w:val="center"/>
          </w:tcPr>
          <w:p w14:paraId="7A054A8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474E532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3F5A55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7.2</w:t>
            </w:r>
          </w:p>
        </w:tc>
        <w:tc>
          <w:tcPr>
            <w:tcW w:w="635" w:type="dxa"/>
            <w:noWrap w:val="0"/>
            <w:vAlign w:val="center"/>
          </w:tcPr>
          <w:p w14:paraId="3EE1B4B1">
            <w:pPr>
              <w:ind w:left="0" w:leftChars="0" w:firstLine="0" w:firstLineChars="0"/>
              <w:jc w:val="center"/>
              <w:rPr>
                <w:rFonts w:hint="eastAsia" w:ascii="宋体" w:hAnsi="宋体" w:cs="宋体"/>
                <w:color w:val="auto"/>
                <w:sz w:val="21"/>
                <w:szCs w:val="21"/>
                <w:highlight w:val="none"/>
                <w:lang w:val="en-US" w:eastAsia="zh-CN"/>
              </w:rPr>
            </w:pPr>
          </w:p>
        </w:tc>
      </w:tr>
      <w:tr w14:paraId="61432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18AF616">
            <w:pPr>
              <w:numPr>
                <w:ilvl w:val="0"/>
                <w:numId w:val="13"/>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54656FF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漏斗</w:t>
            </w:r>
          </w:p>
        </w:tc>
        <w:tc>
          <w:tcPr>
            <w:tcW w:w="5472" w:type="dxa"/>
            <w:noWrap w:val="0"/>
            <w:vAlign w:val="center"/>
          </w:tcPr>
          <w:p w14:paraId="5A60DCB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≥60mm</w:t>
            </w:r>
          </w:p>
        </w:tc>
        <w:tc>
          <w:tcPr>
            <w:tcW w:w="603" w:type="dxa"/>
            <w:noWrap w:val="0"/>
            <w:vAlign w:val="center"/>
          </w:tcPr>
          <w:p w14:paraId="2F5C5EE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3282478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22B1A4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635" w:type="dxa"/>
            <w:noWrap w:val="0"/>
            <w:vAlign w:val="center"/>
          </w:tcPr>
          <w:p w14:paraId="0C584E44">
            <w:pPr>
              <w:ind w:left="0" w:leftChars="0" w:firstLine="0" w:firstLineChars="0"/>
              <w:jc w:val="center"/>
              <w:rPr>
                <w:rFonts w:hint="eastAsia" w:ascii="宋体" w:hAnsi="宋体" w:cs="宋体"/>
                <w:color w:val="auto"/>
                <w:sz w:val="21"/>
                <w:szCs w:val="21"/>
                <w:highlight w:val="none"/>
                <w:lang w:val="en-US" w:eastAsia="zh-CN"/>
              </w:rPr>
            </w:pPr>
          </w:p>
        </w:tc>
      </w:tr>
      <w:tr w14:paraId="79CA1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49C92E">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850819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Y 形管</w:t>
            </w:r>
          </w:p>
        </w:tc>
        <w:tc>
          <w:tcPr>
            <w:tcW w:w="5472" w:type="dxa"/>
            <w:noWrap w:val="0"/>
            <w:vAlign w:val="center"/>
          </w:tcPr>
          <w:p w14:paraId="3A7A096D">
            <w:pPr>
              <w:numPr>
                <w:ilvl w:val="0"/>
                <w:numId w:val="14"/>
              </w:num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适用范围：适用科学教学使用；</w:t>
            </w:r>
          </w:p>
          <w:p w14:paraId="3AE6C44C">
            <w:pPr>
              <w:numPr>
                <w:ilvl w:val="0"/>
                <w:numId w:val="0"/>
              </w:numPr>
              <w:spacing w:before="65"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1、玻璃制品；</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2、φ5～φ6mm。</w:t>
            </w:r>
          </w:p>
        </w:tc>
        <w:tc>
          <w:tcPr>
            <w:tcW w:w="603" w:type="dxa"/>
            <w:noWrap w:val="0"/>
            <w:vAlign w:val="center"/>
          </w:tcPr>
          <w:p w14:paraId="2570875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7AE5F77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EA5CC2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1F098943">
            <w:pPr>
              <w:ind w:left="0" w:leftChars="0" w:firstLine="0" w:firstLineChars="0"/>
              <w:jc w:val="center"/>
              <w:rPr>
                <w:rFonts w:hint="eastAsia" w:ascii="宋体" w:hAnsi="宋体" w:cs="宋体"/>
                <w:color w:val="auto"/>
                <w:sz w:val="21"/>
                <w:szCs w:val="21"/>
                <w:highlight w:val="none"/>
                <w:lang w:val="en-US" w:eastAsia="zh-CN"/>
              </w:rPr>
            </w:pPr>
          </w:p>
        </w:tc>
      </w:tr>
      <w:tr w14:paraId="11D34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096A5D7">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494747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滴管</w:t>
            </w:r>
          </w:p>
        </w:tc>
        <w:tc>
          <w:tcPr>
            <w:tcW w:w="5472" w:type="dxa"/>
            <w:noWrap w:val="0"/>
            <w:vAlign w:val="center"/>
          </w:tcPr>
          <w:p w14:paraId="1D6C0F34">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150mm，附乳胶头，采用透明玻璃制造，全长 150±10mm，上管外径 15±1mm，壁厚 1.3mm。</w:t>
            </w:r>
          </w:p>
        </w:tc>
        <w:tc>
          <w:tcPr>
            <w:tcW w:w="603" w:type="dxa"/>
            <w:noWrap w:val="0"/>
            <w:vAlign w:val="center"/>
          </w:tcPr>
          <w:p w14:paraId="5A3D094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0571FF6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6C110F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5BE51F15">
            <w:pPr>
              <w:ind w:left="0" w:leftChars="0" w:firstLine="0" w:firstLineChars="0"/>
              <w:jc w:val="center"/>
              <w:rPr>
                <w:rFonts w:hint="eastAsia" w:ascii="宋体" w:hAnsi="宋体" w:cs="宋体"/>
                <w:color w:val="auto"/>
                <w:sz w:val="21"/>
                <w:szCs w:val="21"/>
                <w:highlight w:val="none"/>
                <w:lang w:val="en-US" w:eastAsia="zh-CN"/>
              </w:rPr>
            </w:pPr>
          </w:p>
        </w:tc>
      </w:tr>
      <w:tr w14:paraId="3EFE4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7254CD3">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2F7F3E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集气瓶</w:t>
            </w:r>
          </w:p>
        </w:tc>
        <w:tc>
          <w:tcPr>
            <w:tcW w:w="5472" w:type="dxa"/>
            <w:noWrap w:val="0"/>
            <w:vAlign w:val="center"/>
          </w:tcPr>
          <w:p w14:paraId="465AD32B">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125mL</w:t>
            </w:r>
          </w:p>
        </w:tc>
        <w:tc>
          <w:tcPr>
            <w:tcW w:w="603" w:type="dxa"/>
            <w:noWrap w:val="0"/>
            <w:vAlign w:val="center"/>
          </w:tcPr>
          <w:p w14:paraId="4F8E376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76C454D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EBE0B5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2D243D45">
            <w:pPr>
              <w:ind w:left="0" w:leftChars="0" w:firstLine="0" w:firstLineChars="0"/>
              <w:jc w:val="center"/>
              <w:rPr>
                <w:rFonts w:hint="eastAsia" w:ascii="宋体" w:hAnsi="宋体" w:cs="宋体"/>
                <w:color w:val="auto"/>
                <w:sz w:val="21"/>
                <w:szCs w:val="21"/>
                <w:highlight w:val="none"/>
                <w:lang w:val="en-US" w:eastAsia="zh-CN"/>
              </w:rPr>
            </w:pPr>
          </w:p>
        </w:tc>
      </w:tr>
      <w:tr w14:paraId="7CEEB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D21BC55">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5E8FD7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镊子</w:t>
            </w:r>
          </w:p>
        </w:tc>
        <w:tc>
          <w:tcPr>
            <w:tcW w:w="5472" w:type="dxa"/>
            <w:noWrap w:val="0"/>
            <w:vAlign w:val="center"/>
          </w:tcPr>
          <w:p w14:paraId="42338C7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不锈钢，圆嘴，全长 160±2mm，厚 1.5mm。</w:t>
            </w:r>
          </w:p>
        </w:tc>
        <w:tc>
          <w:tcPr>
            <w:tcW w:w="603" w:type="dxa"/>
            <w:noWrap w:val="0"/>
            <w:vAlign w:val="center"/>
          </w:tcPr>
          <w:p w14:paraId="4530D8B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3AC035D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D8C0BE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9.6</w:t>
            </w:r>
          </w:p>
        </w:tc>
        <w:tc>
          <w:tcPr>
            <w:tcW w:w="635" w:type="dxa"/>
            <w:noWrap w:val="0"/>
            <w:vAlign w:val="center"/>
          </w:tcPr>
          <w:p w14:paraId="25FECDCA">
            <w:pPr>
              <w:ind w:left="0" w:leftChars="0" w:firstLine="0" w:firstLineChars="0"/>
              <w:jc w:val="center"/>
              <w:rPr>
                <w:rFonts w:hint="eastAsia" w:ascii="宋体" w:hAnsi="宋体" w:cs="宋体"/>
                <w:color w:val="auto"/>
                <w:sz w:val="21"/>
                <w:szCs w:val="21"/>
                <w:highlight w:val="none"/>
                <w:lang w:val="en-US" w:eastAsia="zh-CN"/>
              </w:rPr>
            </w:pPr>
          </w:p>
        </w:tc>
      </w:tr>
      <w:tr w14:paraId="2C3F8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F6D312D">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CA927C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试管夹</w:t>
            </w:r>
          </w:p>
        </w:tc>
        <w:tc>
          <w:tcPr>
            <w:tcW w:w="5472" w:type="dxa"/>
            <w:noWrap w:val="0"/>
            <w:vAlign w:val="center"/>
          </w:tcPr>
          <w:p w14:paraId="2FBC530C">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1、产品为木质或竹质材料制成；夹长不小于 100mm，手柄长度不小于 80mm；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2、夹口张、合松劲强度适宜，便于试管夹持和拿取。</w:t>
            </w:r>
          </w:p>
        </w:tc>
        <w:tc>
          <w:tcPr>
            <w:tcW w:w="603" w:type="dxa"/>
            <w:noWrap w:val="0"/>
            <w:vAlign w:val="center"/>
          </w:tcPr>
          <w:p w14:paraId="7A8F706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4A86B3A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BF7E0B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2B0CD29F">
            <w:pPr>
              <w:ind w:left="0" w:leftChars="0" w:firstLine="0" w:firstLineChars="0"/>
              <w:jc w:val="center"/>
              <w:rPr>
                <w:rFonts w:hint="eastAsia" w:ascii="宋体" w:hAnsi="宋体" w:cs="宋体"/>
                <w:color w:val="auto"/>
                <w:sz w:val="21"/>
                <w:szCs w:val="21"/>
                <w:highlight w:val="none"/>
                <w:lang w:val="en-US" w:eastAsia="zh-CN"/>
              </w:rPr>
            </w:pPr>
          </w:p>
        </w:tc>
      </w:tr>
      <w:tr w14:paraId="38914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899B8F">
            <w:pPr>
              <w:numPr>
                <w:ilvl w:val="0"/>
                <w:numId w:val="13"/>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766682A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石棉网</w:t>
            </w:r>
          </w:p>
        </w:tc>
        <w:tc>
          <w:tcPr>
            <w:tcW w:w="5472" w:type="dxa"/>
            <w:noWrap w:val="0"/>
            <w:vAlign w:val="center"/>
          </w:tcPr>
          <w:p w14:paraId="4C64B6B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1、产品为在金属网上涂敷石棉材料而制成；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2、金属网无锈蚀，具备一定的强度；石棉材料涂敷均匀，附着力强；涂敷面不得裸漏金属网面；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3、金属网尺寸不小于 125mm×125mm，石棉材料涂敷面直径不小于 80mm。</w:t>
            </w:r>
          </w:p>
        </w:tc>
        <w:tc>
          <w:tcPr>
            <w:tcW w:w="603" w:type="dxa"/>
            <w:noWrap w:val="0"/>
            <w:vAlign w:val="center"/>
          </w:tcPr>
          <w:p w14:paraId="014FB11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6B93268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18648F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7CB46860">
            <w:pPr>
              <w:ind w:left="0" w:leftChars="0" w:firstLine="0" w:firstLineChars="0"/>
              <w:jc w:val="center"/>
              <w:rPr>
                <w:rFonts w:hint="eastAsia" w:ascii="宋体" w:hAnsi="宋体" w:cs="宋体"/>
                <w:color w:val="auto"/>
                <w:sz w:val="21"/>
                <w:szCs w:val="21"/>
                <w:highlight w:val="none"/>
                <w:lang w:val="en-US" w:eastAsia="zh-CN"/>
              </w:rPr>
            </w:pPr>
          </w:p>
        </w:tc>
      </w:tr>
      <w:tr w14:paraId="28FD5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18797E8">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6480A4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燃烧匙</w:t>
            </w:r>
          </w:p>
        </w:tc>
        <w:tc>
          <w:tcPr>
            <w:tcW w:w="5472" w:type="dxa"/>
            <w:noWrap w:val="0"/>
            <w:vAlign w:val="center"/>
          </w:tcPr>
          <w:p w14:paraId="4F99FAA0">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一、适用范围：供中学化学实验和小学科学教学实验用；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1、铜勺：材料采用厚度为≥ 0.5mm 的Ｈ62 铜板制做；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2、手柄：材料为长度为≥Φ300mm 镀锌铁丝，直径≥Φ2mm；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3、铜勺与手柄焊接牢固；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4、铜勺成形外圆直径为≥20mm，窝孔深度：≥3.5mm。</w:t>
            </w:r>
          </w:p>
        </w:tc>
        <w:tc>
          <w:tcPr>
            <w:tcW w:w="603" w:type="dxa"/>
            <w:noWrap w:val="0"/>
            <w:vAlign w:val="center"/>
          </w:tcPr>
          <w:p w14:paraId="6477BD9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58A9516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78D3BB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1BC03199">
            <w:pPr>
              <w:ind w:left="0" w:leftChars="0" w:firstLine="0" w:firstLineChars="0"/>
              <w:jc w:val="center"/>
              <w:rPr>
                <w:rFonts w:hint="eastAsia" w:ascii="宋体" w:hAnsi="宋体" w:cs="宋体"/>
                <w:color w:val="auto"/>
                <w:sz w:val="21"/>
                <w:szCs w:val="21"/>
                <w:highlight w:val="none"/>
                <w:lang w:val="en-US" w:eastAsia="zh-CN"/>
              </w:rPr>
            </w:pPr>
          </w:p>
        </w:tc>
      </w:tr>
      <w:tr w14:paraId="75A1F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E4B584">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DFFBC9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药匙</w:t>
            </w:r>
          </w:p>
        </w:tc>
        <w:tc>
          <w:tcPr>
            <w:tcW w:w="5472" w:type="dxa"/>
            <w:noWrap w:val="0"/>
            <w:vAlign w:val="center"/>
          </w:tcPr>
          <w:p w14:paraId="12A00FC1">
            <w:pPr>
              <w:numPr>
                <w:ilvl w:val="0"/>
                <w:numId w:val="15"/>
              </w:num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适用范围：供中学化学实验和小学自然教学实验用；</w:t>
            </w:r>
          </w:p>
          <w:p w14:paraId="39978CC3">
            <w:pPr>
              <w:numPr>
                <w:ilvl w:val="0"/>
                <w:numId w:val="0"/>
              </w:numPr>
              <w:spacing w:before="65"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1、材质：塑料；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2、药匙由大、中、小三把为一组</w:t>
            </w:r>
          </w:p>
        </w:tc>
        <w:tc>
          <w:tcPr>
            <w:tcW w:w="603" w:type="dxa"/>
            <w:noWrap w:val="0"/>
            <w:vAlign w:val="center"/>
          </w:tcPr>
          <w:p w14:paraId="0CF0335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6E69BB3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545052B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635" w:type="dxa"/>
            <w:noWrap w:val="0"/>
            <w:vAlign w:val="center"/>
          </w:tcPr>
          <w:p w14:paraId="45F4A1B1">
            <w:pPr>
              <w:ind w:left="0" w:leftChars="0" w:firstLine="0" w:firstLineChars="0"/>
              <w:jc w:val="center"/>
              <w:rPr>
                <w:rFonts w:hint="eastAsia" w:ascii="宋体" w:hAnsi="宋体" w:cs="宋体"/>
                <w:color w:val="auto"/>
                <w:sz w:val="21"/>
                <w:szCs w:val="21"/>
                <w:highlight w:val="none"/>
                <w:lang w:val="en-US" w:eastAsia="zh-CN"/>
              </w:rPr>
            </w:pPr>
          </w:p>
        </w:tc>
      </w:tr>
      <w:tr w14:paraId="7F3EA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F45D11F">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8814DE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玻璃管</w:t>
            </w:r>
          </w:p>
        </w:tc>
        <w:tc>
          <w:tcPr>
            <w:tcW w:w="5472" w:type="dxa"/>
            <w:noWrap w:val="0"/>
            <w:vAlign w:val="center"/>
          </w:tcPr>
          <w:p w14:paraId="2A681BC0">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φ5mm～φ6mm</w:t>
            </w:r>
          </w:p>
        </w:tc>
        <w:tc>
          <w:tcPr>
            <w:tcW w:w="603" w:type="dxa"/>
            <w:noWrap w:val="0"/>
            <w:vAlign w:val="center"/>
          </w:tcPr>
          <w:p w14:paraId="1F6A620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600" w:type="dxa"/>
            <w:noWrap w:val="0"/>
            <w:vAlign w:val="center"/>
          </w:tcPr>
          <w:p w14:paraId="55077E4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千克</w:t>
            </w:r>
          </w:p>
        </w:tc>
        <w:tc>
          <w:tcPr>
            <w:tcW w:w="1110" w:type="dxa"/>
            <w:noWrap w:val="0"/>
            <w:vAlign w:val="center"/>
          </w:tcPr>
          <w:p w14:paraId="60BE813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27.04</w:t>
            </w:r>
          </w:p>
        </w:tc>
        <w:tc>
          <w:tcPr>
            <w:tcW w:w="635" w:type="dxa"/>
            <w:noWrap w:val="0"/>
            <w:vAlign w:val="center"/>
          </w:tcPr>
          <w:p w14:paraId="0369D174">
            <w:pPr>
              <w:ind w:left="0" w:leftChars="0" w:firstLine="0" w:firstLineChars="0"/>
              <w:jc w:val="center"/>
              <w:rPr>
                <w:rFonts w:hint="eastAsia" w:ascii="宋体" w:hAnsi="宋体" w:cs="宋体"/>
                <w:color w:val="auto"/>
                <w:sz w:val="21"/>
                <w:szCs w:val="21"/>
                <w:highlight w:val="none"/>
                <w:lang w:val="en-US" w:eastAsia="zh-CN"/>
              </w:rPr>
            </w:pPr>
          </w:p>
        </w:tc>
      </w:tr>
      <w:tr w14:paraId="17D02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FB20783">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D4FF7C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玻璃棒</w:t>
            </w:r>
          </w:p>
        </w:tc>
        <w:tc>
          <w:tcPr>
            <w:tcW w:w="5472" w:type="dxa"/>
            <w:noWrap w:val="0"/>
            <w:vAlign w:val="center"/>
          </w:tcPr>
          <w:p w14:paraId="630E4854">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φ5mm～φ6mm</w:t>
            </w:r>
          </w:p>
        </w:tc>
        <w:tc>
          <w:tcPr>
            <w:tcW w:w="603" w:type="dxa"/>
            <w:noWrap w:val="0"/>
            <w:vAlign w:val="center"/>
          </w:tcPr>
          <w:p w14:paraId="411A7AD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63FD740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764082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635" w:type="dxa"/>
            <w:noWrap w:val="0"/>
            <w:vAlign w:val="center"/>
          </w:tcPr>
          <w:p w14:paraId="73C65CBB">
            <w:pPr>
              <w:ind w:left="0" w:leftChars="0" w:firstLine="0" w:firstLineChars="0"/>
              <w:jc w:val="center"/>
              <w:rPr>
                <w:rFonts w:hint="eastAsia" w:ascii="宋体" w:hAnsi="宋体" w:cs="宋体"/>
                <w:color w:val="auto"/>
                <w:sz w:val="21"/>
                <w:szCs w:val="21"/>
                <w:highlight w:val="none"/>
                <w:lang w:val="en-US" w:eastAsia="zh-CN"/>
              </w:rPr>
            </w:pPr>
          </w:p>
        </w:tc>
      </w:tr>
      <w:tr w14:paraId="01A88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F5E058E">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CC43E5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橡胶管</w:t>
            </w:r>
          </w:p>
        </w:tc>
        <w:tc>
          <w:tcPr>
            <w:tcW w:w="5472" w:type="dxa"/>
            <w:noWrap w:val="0"/>
            <w:vAlign w:val="center"/>
          </w:tcPr>
          <w:p w14:paraId="3E2EECA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优质天然橡胶制造、内径为 7～8mm，壁厚 1mm。</w:t>
            </w:r>
          </w:p>
        </w:tc>
        <w:tc>
          <w:tcPr>
            <w:tcW w:w="603" w:type="dxa"/>
            <w:noWrap w:val="0"/>
            <w:vAlign w:val="center"/>
          </w:tcPr>
          <w:p w14:paraId="34F984A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600" w:type="dxa"/>
            <w:noWrap w:val="0"/>
            <w:vAlign w:val="center"/>
          </w:tcPr>
          <w:p w14:paraId="3F7CF23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千克</w:t>
            </w:r>
          </w:p>
        </w:tc>
        <w:tc>
          <w:tcPr>
            <w:tcW w:w="1110" w:type="dxa"/>
            <w:noWrap w:val="0"/>
            <w:vAlign w:val="center"/>
          </w:tcPr>
          <w:p w14:paraId="12E6D5A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66</w:t>
            </w:r>
          </w:p>
        </w:tc>
        <w:tc>
          <w:tcPr>
            <w:tcW w:w="635" w:type="dxa"/>
            <w:noWrap w:val="0"/>
            <w:vAlign w:val="center"/>
          </w:tcPr>
          <w:p w14:paraId="11A99119">
            <w:pPr>
              <w:ind w:left="0" w:leftChars="0" w:firstLine="0" w:firstLineChars="0"/>
              <w:jc w:val="center"/>
              <w:rPr>
                <w:rFonts w:hint="eastAsia" w:ascii="宋体" w:hAnsi="宋体" w:cs="宋体"/>
                <w:color w:val="auto"/>
                <w:sz w:val="21"/>
                <w:szCs w:val="21"/>
                <w:highlight w:val="none"/>
                <w:lang w:val="en-US" w:eastAsia="zh-CN"/>
              </w:rPr>
            </w:pPr>
          </w:p>
        </w:tc>
      </w:tr>
      <w:tr w14:paraId="74076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F595300">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BBBAB6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橡胶塞</w:t>
            </w:r>
          </w:p>
        </w:tc>
        <w:tc>
          <w:tcPr>
            <w:tcW w:w="5472" w:type="dxa"/>
            <w:noWrap w:val="0"/>
            <w:vAlign w:val="center"/>
          </w:tcPr>
          <w:p w14:paraId="1E6B060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一、适用范围：供中学化学和小学自然教学实验用；二、技术参数：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1、型号规格：000、00、0、1～10 号共 13 个型号；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2、胶塞由天然橡胶、合成橡胶和多种辅料混炼硫化而成；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3、适用酸碱度 PH2～10；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4、胶塞表面光洁、白色微黄、无明显缺陷；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5、胶塞硬度：邵尔硬度 50～60 度。</w:t>
            </w:r>
          </w:p>
        </w:tc>
        <w:tc>
          <w:tcPr>
            <w:tcW w:w="603" w:type="dxa"/>
            <w:noWrap w:val="0"/>
            <w:vAlign w:val="center"/>
          </w:tcPr>
          <w:p w14:paraId="00D443A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1F3FD96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千克</w:t>
            </w:r>
          </w:p>
        </w:tc>
        <w:tc>
          <w:tcPr>
            <w:tcW w:w="1110" w:type="dxa"/>
            <w:noWrap w:val="0"/>
            <w:vAlign w:val="center"/>
          </w:tcPr>
          <w:p w14:paraId="7C929BB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58.8</w:t>
            </w:r>
          </w:p>
        </w:tc>
        <w:tc>
          <w:tcPr>
            <w:tcW w:w="635" w:type="dxa"/>
            <w:noWrap w:val="0"/>
            <w:vAlign w:val="center"/>
          </w:tcPr>
          <w:p w14:paraId="5A66F1CD">
            <w:pPr>
              <w:ind w:left="0" w:leftChars="0" w:firstLine="0" w:firstLineChars="0"/>
              <w:jc w:val="center"/>
              <w:rPr>
                <w:rFonts w:hint="eastAsia" w:ascii="宋体" w:hAnsi="宋体" w:cs="宋体"/>
                <w:color w:val="auto"/>
                <w:sz w:val="21"/>
                <w:szCs w:val="21"/>
                <w:highlight w:val="none"/>
                <w:lang w:val="en-US" w:eastAsia="zh-CN"/>
              </w:rPr>
            </w:pPr>
          </w:p>
        </w:tc>
      </w:tr>
      <w:tr w14:paraId="4F6C6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3E2C6B5">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FD001B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试管刷</w:t>
            </w:r>
          </w:p>
        </w:tc>
        <w:tc>
          <w:tcPr>
            <w:tcW w:w="5472" w:type="dxa"/>
            <w:noWrap w:val="0"/>
            <w:vAlign w:val="center"/>
          </w:tcPr>
          <w:p w14:paraId="508116F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单个，金属丝和胶合在其上的猪鬃毛制成。</w:t>
            </w:r>
          </w:p>
        </w:tc>
        <w:tc>
          <w:tcPr>
            <w:tcW w:w="603" w:type="dxa"/>
            <w:noWrap w:val="0"/>
            <w:vAlign w:val="center"/>
          </w:tcPr>
          <w:p w14:paraId="6CFE3AB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36289BE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22F67F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635" w:type="dxa"/>
            <w:noWrap w:val="0"/>
            <w:vAlign w:val="center"/>
          </w:tcPr>
          <w:p w14:paraId="7B61E129">
            <w:pPr>
              <w:ind w:left="0" w:leftChars="0" w:firstLine="0" w:firstLineChars="0"/>
              <w:jc w:val="center"/>
              <w:rPr>
                <w:rFonts w:hint="eastAsia" w:ascii="宋体" w:hAnsi="宋体" w:cs="宋体"/>
                <w:color w:val="auto"/>
                <w:sz w:val="21"/>
                <w:szCs w:val="21"/>
                <w:highlight w:val="none"/>
                <w:lang w:val="en-US" w:eastAsia="zh-CN"/>
              </w:rPr>
            </w:pPr>
          </w:p>
        </w:tc>
      </w:tr>
      <w:tr w14:paraId="68D4A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5268F9">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0DD0262">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烧瓶刷</w:t>
            </w:r>
          </w:p>
        </w:tc>
        <w:tc>
          <w:tcPr>
            <w:tcW w:w="5472" w:type="dxa"/>
            <w:noWrap w:val="0"/>
            <w:vAlign w:val="center"/>
          </w:tcPr>
          <w:p w14:paraId="75BB155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单个，金属丝和胶合在其上的猪鬃毛制成。</w:t>
            </w:r>
          </w:p>
        </w:tc>
        <w:tc>
          <w:tcPr>
            <w:tcW w:w="603" w:type="dxa"/>
            <w:noWrap w:val="0"/>
            <w:vAlign w:val="center"/>
          </w:tcPr>
          <w:p w14:paraId="22397F6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1F8861F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4A9DD0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635" w:type="dxa"/>
            <w:noWrap w:val="0"/>
            <w:vAlign w:val="center"/>
          </w:tcPr>
          <w:p w14:paraId="188FE316">
            <w:pPr>
              <w:ind w:left="0" w:leftChars="0" w:firstLine="0" w:firstLineChars="0"/>
              <w:jc w:val="center"/>
              <w:rPr>
                <w:rFonts w:hint="eastAsia" w:ascii="宋体" w:hAnsi="宋体" w:cs="宋体"/>
                <w:color w:val="auto"/>
                <w:sz w:val="21"/>
                <w:szCs w:val="21"/>
                <w:highlight w:val="none"/>
                <w:lang w:val="en-US" w:eastAsia="zh-CN"/>
              </w:rPr>
            </w:pPr>
          </w:p>
        </w:tc>
      </w:tr>
      <w:tr w14:paraId="1CCC3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5D4D597">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2DDC46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培养皿</w:t>
            </w:r>
          </w:p>
        </w:tc>
        <w:tc>
          <w:tcPr>
            <w:tcW w:w="5472" w:type="dxa"/>
            <w:noWrap w:val="0"/>
            <w:vAlign w:val="center"/>
          </w:tcPr>
          <w:p w14:paraId="2DFA11D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≥100mm</w:t>
            </w:r>
          </w:p>
        </w:tc>
        <w:tc>
          <w:tcPr>
            <w:tcW w:w="603" w:type="dxa"/>
            <w:noWrap w:val="0"/>
            <w:vAlign w:val="center"/>
          </w:tcPr>
          <w:p w14:paraId="56B1B7C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571D48E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3DD3B2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7.2</w:t>
            </w:r>
          </w:p>
        </w:tc>
        <w:tc>
          <w:tcPr>
            <w:tcW w:w="635" w:type="dxa"/>
            <w:noWrap w:val="0"/>
            <w:vAlign w:val="center"/>
          </w:tcPr>
          <w:p w14:paraId="49B41C5A">
            <w:pPr>
              <w:ind w:left="0" w:leftChars="0" w:firstLine="0" w:firstLineChars="0"/>
              <w:jc w:val="center"/>
              <w:rPr>
                <w:rFonts w:hint="eastAsia" w:ascii="宋体" w:hAnsi="宋体" w:cs="宋体"/>
                <w:color w:val="auto"/>
                <w:sz w:val="21"/>
                <w:szCs w:val="21"/>
                <w:highlight w:val="none"/>
                <w:lang w:val="en-US" w:eastAsia="zh-CN"/>
              </w:rPr>
            </w:pPr>
          </w:p>
        </w:tc>
      </w:tr>
      <w:tr w14:paraId="3364E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35133A0">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5FF3D9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蒸发皿</w:t>
            </w:r>
          </w:p>
        </w:tc>
        <w:tc>
          <w:tcPr>
            <w:tcW w:w="5472" w:type="dxa"/>
            <w:noWrap w:val="0"/>
            <w:vAlign w:val="center"/>
          </w:tcPr>
          <w:p w14:paraId="2C74CBDB">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瓷，≥60mm</w:t>
            </w:r>
          </w:p>
        </w:tc>
        <w:tc>
          <w:tcPr>
            <w:tcW w:w="603" w:type="dxa"/>
            <w:noWrap w:val="0"/>
            <w:vAlign w:val="center"/>
          </w:tcPr>
          <w:p w14:paraId="01A2E5C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29B5CDD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959A2D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3C7066DC">
            <w:pPr>
              <w:ind w:left="0" w:leftChars="0" w:firstLine="0" w:firstLineChars="0"/>
              <w:jc w:val="center"/>
              <w:rPr>
                <w:rFonts w:hint="eastAsia" w:ascii="宋体" w:hAnsi="宋体" w:cs="宋体"/>
                <w:color w:val="auto"/>
                <w:sz w:val="21"/>
                <w:szCs w:val="21"/>
                <w:highlight w:val="none"/>
                <w:lang w:val="en-US" w:eastAsia="zh-CN"/>
              </w:rPr>
            </w:pPr>
          </w:p>
        </w:tc>
      </w:tr>
      <w:tr w14:paraId="5C9E9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4DB32D9">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2CC0CF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塑料量杯</w:t>
            </w:r>
          </w:p>
        </w:tc>
        <w:tc>
          <w:tcPr>
            <w:tcW w:w="5472" w:type="dxa"/>
            <w:noWrap w:val="0"/>
            <w:vAlign w:val="center"/>
          </w:tcPr>
          <w:p w14:paraId="7BB4325B">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≥500mL</w:t>
            </w:r>
          </w:p>
        </w:tc>
        <w:tc>
          <w:tcPr>
            <w:tcW w:w="603" w:type="dxa"/>
            <w:noWrap w:val="0"/>
            <w:vAlign w:val="center"/>
          </w:tcPr>
          <w:p w14:paraId="770DEF2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73F9398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91BE48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w:t>
            </w:r>
          </w:p>
        </w:tc>
        <w:tc>
          <w:tcPr>
            <w:tcW w:w="635" w:type="dxa"/>
            <w:noWrap w:val="0"/>
            <w:vAlign w:val="center"/>
          </w:tcPr>
          <w:p w14:paraId="15299F97">
            <w:pPr>
              <w:ind w:left="0" w:leftChars="0" w:firstLine="0" w:firstLineChars="0"/>
              <w:jc w:val="center"/>
              <w:rPr>
                <w:rFonts w:hint="eastAsia" w:ascii="宋体" w:hAnsi="宋体" w:cs="宋体"/>
                <w:color w:val="auto"/>
                <w:sz w:val="21"/>
                <w:szCs w:val="21"/>
                <w:highlight w:val="none"/>
                <w:lang w:val="en-US" w:eastAsia="zh-CN"/>
              </w:rPr>
            </w:pPr>
          </w:p>
        </w:tc>
      </w:tr>
      <w:tr w14:paraId="70381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86843E">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BFC580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pH 广范围试纸</w:t>
            </w:r>
          </w:p>
        </w:tc>
        <w:tc>
          <w:tcPr>
            <w:tcW w:w="5472" w:type="dxa"/>
            <w:noWrap w:val="0"/>
            <w:vAlign w:val="center"/>
          </w:tcPr>
          <w:p w14:paraId="2B96C68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1～14</w:t>
            </w:r>
          </w:p>
        </w:tc>
        <w:tc>
          <w:tcPr>
            <w:tcW w:w="603" w:type="dxa"/>
            <w:noWrap w:val="0"/>
            <w:vAlign w:val="center"/>
          </w:tcPr>
          <w:p w14:paraId="6BCB669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600" w:type="dxa"/>
            <w:noWrap w:val="0"/>
            <w:vAlign w:val="center"/>
          </w:tcPr>
          <w:p w14:paraId="69B8D57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w:t>
            </w:r>
          </w:p>
        </w:tc>
        <w:tc>
          <w:tcPr>
            <w:tcW w:w="1110" w:type="dxa"/>
            <w:noWrap w:val="0"/>
            <w:vAlign w:val="center"/>
          </w:tcPr>
          <w:p w14:paraId="5253BAD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3DC95C6D">
            <w:pPr>
              <w:ind w:left="0" w:leftChars="0" w:firstLine="0" w:firstLineChars="0"/>
              <w:jc w:val="center"/>
              <w:rPr>
                <w:rFonts w:hint="eastAsia" w:ascii="宋体" w:hAnsi="宋体" w:cs="宋体"/>
                <w:color w:val="auto"/>
                <w:sz w:val="21"/>
                <w:szCs w:val="21"/>
                <w:highlight w:val="none"/>
                <w:lang w:val="en-US" w:eastAsia="zh-CN"/>
              </w:rPr>
            </w:pPr>
          </w:p>
        </w:tc>
      </w:tr>
      <w:tr w14:paraId="26955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66411A7">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582BAB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小学科学一般实验材料</w:t>
            </w:r>
          </w:p>
        </w:tc>
        <w:tc>
          <w:tcPr>
            <w:tcW w:w="5472" w:type="dxa"/>
            <w:noWrap w:val="0"/>
            <w:vAlign w:val="center"/>
          </w:tcPr>
          <w:p w14:paraId="4A475B4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蜡纸、锡箔纸、塑料手套、塑料管、毛细管、种子、橡皮泥、种植土、过滤纸、导线、碘酒、蜡烛、塑料薄膜、透明塑料袋、不透明塑料袋、棉布、吸管、食用油、食盐、食糖、气球、方格纸、松香等</w:t>
            </w:r>
          </w:p>
        </w:tc>
        <w:tc>
          <w:tcPr>
            <w:tcW w:w="603" w:type="dxa"/>
            <w:noWrap w:val="0"/>
            <w:vAlign w:val="center"/>
          </w:tcPr>
          <w:p w14:paraId="2343CD5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600" w:type="dxa"/>
            <w:noWrap w:val="0"/>
            <w:vAlign w:val="center"/>
          </w:tcPr>
          <w:p w14:paraId="7AEC8C8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份</w:t>
            </w:r>
          </w:p>
        </w:tc>
        <w:tc>
          <w:tcPr>
            <w:tcW w:w="1110" w:type="dxa"/>
            <w:noWrap w:val="0"/>
            <w:vAlign w:val="center"/>
          </w:tcPr>
          <w:p w14:paraId="2295E6C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66</w:t>
            </w:r>
          </w:p>
        </w:tc>
        <w:tc>
          <w:tcPr>
            <w:tcW w:w="635" w:type="dxa"/>
            <w:noWrap w:val="0"/>
            <w:vAlign w:val="center"/>
          </w:tcPr>
          <w:p w14:paraId="18650E50">
            <w:pPr>
              <w:ind w:left="0" w:leftChars="0" w:firstLine="0" w:firstLineChars="0"/>
              <w:jc w:val="center"/>
              <w:rPr>
                <w:rFonts w:hint="eastAsia" w:ascii="宋体" w:hAnsi="宋体" w:cs="宋体"/>
                <w:color w:val="auto"/>
                <w:sz w:val="21"/>
                <w:szCs w:val="21"/>
                <w:highlight w:val="none"/>
                <w:lang w:val="en-US" w:eastAsia="zh-CN"/>
              </w:rPr>
            </w:pPr>
          </w:p>
        </w:tc>
      </w:tr>
      <w:tr w14:paraId="44A94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542CB58">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CF3CFE2">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载玻片</w:t>
            </w:r>
          </w:p>
        </w:tc>
        <w:tc>
          <w:tcPr>
            <w:tcW w:w="5472" w:type="dxa"/>
            <w:noWrap w:val="0"/>
            <w:vAlign w:val="center"/>
          </w:tcPr>
          <w:p w14:paraId="623ABFC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抛光边载玻片；规格：25.4mm×76.2mm；厚度：0.8mm～1mm；包装：50 片/盒，化学性能稳定，符合 GB6272 要求</w:t>
            </w:r>
          </w:p>
        </w:tc>
        <w:tc>
          <w:tcPr>
            <w:tcW w:w="603" w:type="dxa"/>
            <w:noWrap w:val="0"/>
            <w:vAlign w:val="center"/>
          </w:tcPr>
          <w:p w14:paraId="657FA90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600" w:type="dxa"/>
            <w:noWrap w:val="0"/>
            <w:vAlign w:val="center"/>
          </w:tcPr>
          <w:p w14:paraId="5F7FDA5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盒</w:t>
            </w:r>
          </w:p>
        </w:tc>
        <w:tc>
          <w:tcPr>
            <w:tcW w:w="1110" w:type="dxa"/>
            <w:noWrap w:val="0"/>
            <w:vAlign w:val="center"/>
          </w:tcPr>
          <w:p w14:paraId="34E9515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35" w:type="dxa"/>
            <w:noWrap w:val="0"/>
            <w:vAlign w:val="center"/>
          </w:tcPr>
          <w:p w14:paraId="3F5BA2D6">
            <w:pPr>
              <w:ind w:left="0" w:leftChars="0" w:firstLine="0" w:firstLineChars="0"/>
              <w:jc w:val="center"/>
              <w:rPr>
                <w:rFonts w:hint="eastAsia" w:ascii="宋体" w:hAnsi="宋体" w:cs="宋体"/>
                <w:color w:val="auto"/>
                <w:sz w:val="21"/>
                <w:szCs w:val="21"/>
                <w:highlight w:val="none"/>
                <w:lang w:val="en-US" w:eastAsia="zh-CN"/>
              </w:rPr>
            </w:pPr>
          </w:p>
        </w:tc>
      </w:tr>
      <w:tr w14:paraId="70D99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8E2F0C1">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57732A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盖玻片</w:t>
            </w:r>
          </w:p>
        </w:tc>
        <w:tc>
          <w:tcPr>
            <w:tcW w:w="5472" w:type="dxa"/>
            <w:noWrap w:val="0"/>
            <w:vAlign w:val="center"/>
          </w:tcPr>
          <w:p w14:paraId="72BC618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规格：20mm×20mm，厚度：0.13mm～0.17mm 包装：100 片/盒，化学性能稳定，符合 GB6273要求</w:t>
            </w:r>
          </w:p>
        </w:tc>
        <w:tc>
          <w:tcPr>
            <w:tcW w:w="603" w:type="dxa"/>
            <w:noWrap w:val="0"/>
            <w:vAlign w:val="center"/>
          </w:tcPr>
          <w:p w14:paraId="61AA58F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600" w:type="dxa"/>
            <w:noWrap w:val="0"/>
            <w:vAlign w:val="center"/>
          </w:tcPr>
          <w:p w14:paraId="55656D3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包</w:t>
            </w:r>
          </w:p>
        </w:tc>
        <w:tc>
          <w:tcPr>
            <w:tcW w:w="1110" w:type="dxa"/>
            <w:noWrap w:val="0"/>
            <w:vAlign w:val="center"/>
          </w:tcPr>
          <w:p w14:paraId="4EA6FCB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14.4</w:t>
            </w:r>
          </w:p>
        </w:tc>
        <w:tc>
          <w:tcPr>
            <w:tcW w:w="635" w:type="dxa"/>
            <w:noWrap w:val="0"/>
            <w:vAlign w:val="center"/>
          </w:tcPr>
          <w:p w14:paraId="0BDB910E">
            <w:pPr>
              <w:ind w:left="0" w:leftChars="0" w:firstLine="0" w:firstLineChars="0"/>
              <w:jc w:val="center"/>
              <w:rPr>
                <w:rFonts w:hint="eastAsia" w:ascii="宋体" w:hAnsi="宋体" w:cs="宋体"/>
                <w:color w:val="auto"/>
                <w:sz w:val="21"/>
                <w:szCs w:val="21"/>
                <w:highlight w:val="none"/>
                <w:lang w:val="en-US" w:eastAsia="zh-CN"/>
              </w:rPr>
            </w:pPr>
          </w:p>
        </w:tc>
      </w:tr>
      <w:tr w14:paraId="5EDF4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0C976A9">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F05D94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测电笔</w:t>
            </w:r>
          </w:p>
        </w:tc>
        <w:tc>
          <w:tcPr>
            <w:tcW w:w="5472" w:type="dxa"/>
            <w:noWrap w:val="0"/>
            <w:vAlign w:val="center"/>
          </w:tcPr>
          <w:p w14:paraId="3BE8B72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测量范围：100～500V，尺寸：15（mm）。</w:t>
            </w:r>
          </w:p>
        </w:tc>
        <w:tc>
          <w:tcPr>
            <w:tcW w:w="603" w:type="dxa"/>
            <w:noWrap w:val="0"/>
            <w:vAlign w:val="center"/>
          </w:tcPr>
          <w:p w14:paraId="470F417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7C5E561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5DFACC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4.55</w:t>
            </w:r>
          </w:p>
        </w:tc>
        <w:tc>
          <w:tcPr>
            <w:tcW w:w="635" w:type="dxa"/>
            <w:noWrap w:val="0"/>
            <w:vAlign w:val="center"/>
          </w:tcPr>
          <w:p w14:paraId="6DEE50CA">
            <w:pPr>
              <w:ind w:left="0" w:leftChars="0" w:firstLine="0" w:firstLineChars="0"/>
              <w:jc w:val="center"/>
              <w:rPr>
                <w:rFonts w:hint="eastAsia" w:ascii="宋体" w:hAnsi="宋体" w:cs="宋体"/>
                <w:color w:val="auto"/>
                <w:sz w:val="21"/>
                <w:szCs w:val="21"/>
                <w:highlight w:val="none"/>
                <w:lang w:val="en-US" w:eastAsia="zh-CN"/>
              </w:rPr>
            </w:pPr>
          </w:p>
        </w:tc>
      </w:tr>
      <w:tr w14:paraId="0A3D7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4980722">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15DE14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一字螺丝刀</w:t>
            </w:r>
          </w:p>
        </w:tc>
        <w:tc>
          <w:tcPr>
            <w:tcW w:w="5472" w:type="dxa"/>
            <w:noWrap w:val="0"/>
            <w:vAlign w:val="center"/>
          </w:tcPr>
          <w:p w14:paraId="064ADCA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5*75mm,塑料手柄</w:t>
            </w:r>
          </w:p>
        </w:tc>
        <w:tc>
          <w:tcPr>
            <w:tcW w:w="603" w:type="dxa"/>
            <w:noWrap w:val="0"/>
            <w:vAlign w:val="center"/>
          </w:tcPr>
          <w:p w14:paraId="6B7F49F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73EFCFA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48B173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w:t>
            </w:r>
          </w:p>
        </w:tc>
        <w:tc>
          <w:tcPr>
            <w:tcW w:w="635" w:type="dxa"/>
            <w:noWrap w:val="0"/>
            <w:vAlign w:val="center"/>
          </w:tcPr>
          <w:p w14:paraId="42F3BD0E">
            <w:pPr>
              <w:ind w:left="0" w:leftChars="0" w:firstLine="0" w:firstLineChars="0"/>
              <w:jc w:val="center"/>
              <w:rPr>
                <w:rFonts w:hint="eastAsia" w:ascii="宋体" w:hAnsi="宋体" w:cs="宋体"/>
                <w:color w:val="auto"/>
                <w:sz w:val="21"/>
                <w:szCs w:val="21"/>
                <w:highlight w:val="none"/>
                <w:lang w:val="en-US" w:eastAsia="zh-CN"/>
              </w:rPr>
            </w:pPr>
          </w:p>
        </w:tc>
      </w:tr>
      <w:tr w14:paraId="45C8B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D71F6CD">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606397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十字螺丝刀</w:t>
            </w:r>
          </w:p>
        </w:tc>
        <w:tc>
          <w:tcPr>
            <w:tcW w:w="5472" w:type="dxa"/>
            <w:noWrap w:val="0"/>
            <w:vAlign w:val="center"/>
          </w:tcPr>
          <w:p w14:paraId="17024B9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5*75mm,塑料手柄</w:t>
            </w:r>
          </w:p>
        </w:tc>
        <w:tc>
          <w:tcPr>
            <w:tcW w:w="603" w:type="dxa"/>
            <w:noWrap w:val="0"/>
            <w:vAlign w:val="center"/>
          </w:tcPr>
          <w:p w14:paraId="63BBFCA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2CB6371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CC8D7E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w:t>
            </w:r>
          </w:p>
        </w:tc>
        <w:tc>
          <w:tcPr>
            <w:tcW w:w="635" w:type="dxa"/>
            <w:noWrap w:val="0"/>
            <w:vAlign w:val="center"/>
          </w:tcPr>
          <w:p w14:paraId="5993C98B">
            <w:pPr>
              <w:ind w:left="0" w:leftChars="0" w:firstLine="0" w:firstLineChars="0"/>
              <w:jc w:val="center"/>
              <w:rPr>
                <w:rFonts w:hint="eastAsia" w:ascii="宋体" w:hAnsi="宋体" w:cs="宋体"/>
                <w:color w:val="auto"/>
                <w:sz w:val="21"/>
                <w:szCs w:val="21"/>
                <w:highlight w:val="none"/>
                <w:lang w:val="en-US" w:eastAsia="zh-CN"/>
              </w:rPr>
            </w:pPr>
          </w:p>
        </w:tc>
      </w:tr>
      <w:tr w14:paraId="5D89F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554855B">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8FA2A3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尖嘴钳</w:t>
            </w:r>
          </w:p>
        </w:tc>
        <w:tc>
          <w:tcPr>
            <w:tcW w:w="5472" w:type="dxa"/>
            <w:noWrap w:val="0"/>
            <w:vAlign w:val="center"/>
          </w:tcPr>
          <w:p w14:paraId="20AD436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材质：镍铬合金钢</w:t>
            </w:r>
          </w:p>
        </w:tc>
        <w:tc>
          <w:tcPr>
            <w:tcW w:w="603" w:type="dxa"/>
            <w:noWrap w:val="0"/>
            <w:vAlign w:val="center"/>
          </w:tcPr>
          <w:p w14:paraId="5C1112D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57618AB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F20CE1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13.65</w:t>
            </w:r>
          </w:p>
        </w:tc>
        <w:tc>
          <w:tcPr>
            <w:tcW w:w="635" w:type="dxa"/>
            <w:noWrap w:val="0"/>
            <w:vAlign w:val="center"/>
          </w:tcPr>
          <w:p w14:paraId="5C90383E">
            <w:pPr>
              <w:ind w:left="0" w:leftChars="0" w:firstLine="0" w:firstLineChars="0"/>
              <w:jc w:val="center"/>
              <w:rPr>
                <w:rFonts w:hint="eastAsia" w:ascii="宋体" w:hAnsi="宋体" w:cs="宋体"/>
                <w:color w:val="auto"/>
                <w:sz w:val="21"/>
                <w:szCs w:val="21"/>
                <w:highlight w:val="none"/>
                <w:lang w:val="en-US" w:eastAsia="zh-CN"/>
              </w:rPr>
            </w:pPr>
          </w:p>
        </w:tc>
      </w:tr>
      <w:tr w14:paraId="6A8F2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8BCE0E3">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05FF8D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木工锯</w:t>
            </w:r>
          </w:p>
        </w:tc>
        <w:tc>
          <w:tcPr>
            <w:tcW w:w="5472" w:type="dxa"/>
            <w:noWrap w:val="0"/>
            <w:vAlign w:val="center"/>
          </w:tcPr>
          <w:p w14:paraId="487B0A6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带把手锯</w:t>
            </w:r>
          </w:p>
        </w:tc>
        <w:tc>
          <w:tcPr>
            <w:tcW w:w="603" w:type="dxa"/>
            <w:noWrap w:val="0"/>
            <w:vAlign w:val="center"/>
          </w:tcPr>
          <w:p w14:paraId="76EEB63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451F6BB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BAAF21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25.35</w:t>
            </w:r>
          </w:p>
        </w:tc>
        <w:tc>
          <w:tcPr>
            <w:tcW w:w="635" w:type="dxa"/>
            <w:noWrap w:val="0"/>
            <w:vAlign w:val="center"/>
          </w:tcPr>
          <w:p w14:paraId="6382F1A8">
            <w:pPr>
              <w:ind w:left="0" w:leftChars="0" w:firstLine="0" w:firstLineChars="0"/>
              <w:jc w:val="center"/>
              <w:rPr>
                <w:rFonts w:hint="eastAsia" w:ascii="宋体" w:hAnsi="宋体" w:cs="宋体"/>
                <w:color w:val="auto"/>
                <w:sz w:val="21"/>
                <w:szCs w:val="21"/>
                <w:highlight w:val="none"/>
                <w:lang w:val="en-US" w:eastAsia="zh-CN"/>
              </w:rPr>
            </w:pPr>
          </w:p>
        </w:tc>
      </w:tr>
      <w:tr w14:paraId="42D89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2EEB1A">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ED602D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钢手锯</w:t>
            </w:r>
          </w:p>
        </w:tc>
        <w:tc>
          <w:tcPr>
            <w:tcW w:w="5472" w:type="dxa"/>
            <w:noWrap w:val="0"/>
            <w:vAlign w:val="center"/>
          </w:tcPr>
          <w:p w14:paraId="3E09A0C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总长 450mm,铁质材料，表面喷漆，锯条长 310mm.</w:t>
            </w:r>
          </w:p>
        </w:tc>
        <w:tc>
          <w:tcPr>
            <w:tcW w:w="603" w:type="dxa"/>
            <w:noWrap w:val="0"/>
            <w:vAlign w:val="center"/>
          </w:tcPr>
          <w:p w14:paraId="42970B1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7EB8E45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58F758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32.5</w:t>
            </w:r>
          </w:p>
        </w:tc>
        <w:tc>
          <w:tcPr>
            <w:tcW w:w="635" w:type="dxa"/>
            <w:noWrap w:val="0"/>
            <w:vAlign w:val="center"/>
          </w:tcPr>
          <w:p w14:paraId="3BF2750A">
            <w:pPr>
              <w:ind w:left="0" w:leftChars="0" w:firstLine="0" w:firstLineChars="0"/>
              <w:jc w:val="center"/>
              <w:rPr>
                <w:rFonts w:hint="eastAsia" w:ascii="宋体" w:hAnsi="宋体" w:cs="宋体"/>
                <w:color w:val="auto"/>
                <w:sz w:val="21"/>
                <w:szCs w:val="21"/>
                <w:highlight w:val="none"/>
                <w:lang w:val="en-US" w:eastAsia="zh-CN"/>
              </w:rPr>
            </w:pPr>
          </w:p>
        </w:tc>
      </w:tr>
      <w:tr w14:paraId="68726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E91794">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AEEF49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钢丝钳</w:t>
            </w:r>
          </w:p>
        </w:tc>
        <w:tc>
          <w:tcPr>
            <w:tcW w:w="5472" w:type="dxa"/>
            <w:noWrap w:val="0"/>
            <w:vAlign w:val="center"/>
          </w:tcPr>
          <w:p w14:paraId="0F65D7F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钳体采用优质高碳钢，高频淬火；双色胶柄，开合灵活，手柄覆膜，表面防锈处理。</w:t>
            </w:r>
          </w:p>
        </w:tc>
        <w:tc>
          <w:tcPr>
            <w:tcW w:w="603" w:type="dxa"/>
            <w:noWrap w:val="0"/>
            <w:vAlign w:val="center"/>
          </w:tcPr>
          <w:p w14:paraId="565159C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6B63CD6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4B202A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23.4</w:t>
            </w:r>
          </w:p>
        </w:tc>
        <w:tc>
          <w:tcPr>
            <w:tcW w:w="635" w:type="dxa"/>
            <w:noWrap w:val="0"/>
            <w:vAlign w:val="center"/>
          </w:tcPr>
          <w:p w14:paraId="1EAA4AB4">
            <w:pPr>
              <w:ind w:left="0" w:leftChars="0" w:firstLine="0" w:firstLineChars="0"/>
              <w:jc w:val="center"/>
              <w:rPr>
                <w:rFonts w:hint="eastAsia" w:ascii="宋体" w:hAnsi="宋体" w:cs="宋体"/>
                <w:color w:val="auto"/>
                <w:sz w:val="21"/>
                <w:szCs w:val="21"/>
                <w:highlight w:val="none"/>
                <w:lang w:val="en-US" w:eastAsia="zh-CN"/>
              </w:rPr>
            </w:pPr>
          </w:p>
        </w:tc>
      </w:tr>
      <w:tr w14:paraId="2C733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51A366">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33DA3D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手锤</w:t>
            </w:r>
          </w:p>
        </w:tc>
        <w:tc>
          <w:tcPr>
            <w:tcW w:w="5472" w:type="dxa"/>
            <w:noWrap w:val="0"/>
            <w:vAlign w:val="center"/>
          </w:tcPr>
          <w:p w14:paraId="2F83A896">
            <w:pPr>
              <w:numPr>
                <w:ilvl w:val="0"/>
                <w:numId w:val="16"/>
              </w:num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适用范围：供实验教学实验用；</w:t>
            </w:r>
          </w:p>
          <w:p w14:paraId="06F1791D">
            <w:pPr>
              <w:numPr>
                <w:ilvl w:val="0"/>
                <w:numId w:val="0"/>
              </w:numPr>
              <w:spacing w:before="65"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1、规格：圆柱形；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2、锤体用 45＃优质碳素钢制成，手锤把与手锤连接牢固。</w:t>
            </w:r>
          </w:p>
        </w:tc>
        <w:tc>
          <w:tcPr>
            <w:tcW w:w="603" w:type="dxa"/>
            <w:noWrap w:val="0"/>
            <w:vAlign w:val="center"/>
          </w:tcPr>
          <w:p w14:paraId="6ECE3FA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20D7AEF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AE2F3A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26.4</w:t>
            </w:r>
          </w:p>
        </w:tc>
        <w:tc>
          <w:tcPr>
            <w:tcW w:w="635" w:type="dxa"/>
            <w:noWrap w:val="0"/>
            <w:vAlign w:val="center"/>
          </w:tcPr>
          <w:p w14:paraId="01C28D96">
            <w:pPr>
              <w:ind w:left="0" w:leftChars="0" w:firstLine="0" w:firstLineChars="0"/>
              <w:jc w:val="center"/>
              <w:rPr>
                <w:rFonts w:hint="eastAsia" w:ascii="宋体" w:hAnsi="宋体" w:cs="宋体"/>
                <w:color w:val="auto"/>
                <w:sz w:val="21"/>
                <w:szCs w:val="21"/>
                <w:highlight w:val="none"/>
                <w:lang w:val="en-US" w:eastAsia="zh-CN"/>
              </w:rPr>
            </w:pPr>
          </w:p>
        </w:tc>
      </w:tr>
      <w:tr w14:paraId="16A44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DEB2A3C">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E4EDFB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活扳手</w:t>
            </w:r>
          </w:p>
        </w:tc>
        <w:tc>
          <w:tcPr>
            <w:tcW w:w="5472" w:type="dxa"/>
            <w:noWrap w:val="0"/>
            <w:vAlign w:val="center"/>
          </w:tcPr>
          <w:p w14:paraId="0A74C27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150mm - 250mm</w:t>
            </w:r>
          </w:p>
        </w:tc>
        <w:tc>
          <w:tcPr>
            <w:tcW w:w="603" w:type="dxa"/>
            <w:noWrap w:val="0"/>
            <w:vAlign w:val="center"/>
          </w:tcPr>
          <w:p w14:paraId="1D8F007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2CD86F2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3F45AF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32.5</w:t>
            </w:r>
          </w:p>
        </w:tc>
        <w:tc>
          <w:tcPr>
            <w:tcW w:w="635" w:type="dxa"/>
            <w:noWrap w:val="0"/>
            <w:vAlign w:val="center"/>
          </w:tcPr>
          <w:p w14:paraId="03B66289">
            <w:pPr>
              <w:ind w:left="0" w:leftChars="0" w:firstLine="0" w:firstLineChars="0"/>
              <w:jc w:val="center"/>
              <w:rPr>
                <w:rFonts w:hint="eastAsia" w:ascii="宋体" w:hAnsi="宋体" w:cs="宋体"/>
                <w:color w:val="auto"/>
                <w:sz w:val="21"/>
                <w:szCs w:val="21"/>
                <w:highlight w:val="none"/>
                <w:lang w:val="en-US" w:eastAsia="zh-CN"/>
              </w:rPr>
            </w:pPr>
          </w:p>
        </w:tc>
      </w:tr>
      <w:tr w14:paraId="7985F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71287A">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687C60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电烙铁</w:t>
            </w:r>
          </w:p>
        </w:tc>
        <w:tc>
          <w:tcPr>
            <w:tcW w:w="5472" w:type="dxa"/>
            <w:noWrap w:val="0"/>
            <w:vAlign w:val="center"/>
          </w:tcPr>
          <w:p w14:paraId="5215738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20W-60W</w:t>
            </w:r>
          </w:p>
        </w:tc>
        <w:tc>
          <w:tcPr>
            <w:tcW w:w="603" w:type="dxa"/>
            <w:noWrap w:val="0"/>
            <w:vAlign w:val="center"/>
          </w:tcPr>
          <w:p w14:paraId="16EA707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330CC1D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w:t>
            </w:r>
          </w:p>
        </w:tc>
        <w:tc>
          <w:tcPr>
            <w:tcW w:w="1110" w:type="dxa"/>
            <w:noWrap w:val="0"/>
            <w:vAlign w:val="center"/>
          </w:tcPr>
          <w:p w14:paraId="1FA6FE0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32.5</w:t>
            </w:r>
          </w:p>
        </w:tc>
        <w:tc>
          <w:tcPr>
            <w:tcW w:w="635" w:type="dxa"/>
            <w:noWrap w:val="0"/>
            <w:vAlign w:val="center"/>
          </w:tcPr>
          <w:p w14:paraId="5884AAFA">
            <w:pPr>
              <w:ind w:left="0" w:leftChars="0" w:firstLine="0" w:firstLineChars="0"/>
              <w:jc w:val="center"/>
              <w:rPr>
                <w:rFonts w:hint="eastAsia" w:ascii="宋体" w:hAnsi="宋体" w:cs="宋体"/>
                <w:color w:val="auto"/>
                <w:sz w:val="21"/>
                <w:szCs w:val="21"/>
                <w:highlight w:val="none"/>
                <w:lang w:val="en-US" w:eastAsia="zh-CN"/>
              </w:rPr>
            </w:pPr>
          </w:p>
        </w:tc>
      </w:tr>
      <w:tr w14:paraId="2109F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73DAB5F">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D69FEE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手电钻</w:t>
            </w:r>
          </w:p>
        </w:tc>
        <w:tc>
          <w:tcPr>
            <w:tcW w:w="5472" w:type="dxa"/>
            <w:noWrap w:val="0"/>
            <w:vAlign w:val="center"/>
          </w:tcPr>
          <w:p w14:paraId="2581BBE4">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φ1mm～φ13mm</w:t>
            </w:r>
          </w:p>
        </w:tc>
        <w:tc>
          <w:tcPr>
            <w:tcW w:w="603" w:type="dxa"/>
            <w:noWrap w:val="0"/>
            <w:vAlign w:val="center"/>
          </w:tcPr>
          <w:p w14:paraId="145E0A0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E0C6B9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6D7E34D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217.1</w:t>
            </w:r>
          </w:p>
        </w:tc>
        <w:tc>
          <w:tcPr>
            <w:tcW w:w="635" w:type="dxa"/>
            <w:noWrap w:val="0"/>
            <w:vAlign w:val="center"/>
          </w:tcPr>
          <w:p w14:paraId="63DE28C9">
            <w:pPr>
              <w:ind w:left="0" w:leftChars="0" w:firstLine="0" w:firstLineChars="0"/>
              <w:jc w:val="center"/>
              <w:rPr>
                <w:rFonts w:hint="eastAsia" w:ascii="宋体" w:hAnsi="宋体" w:cs="宋体"/>
                <w:color w:val="auto"/>
                <w:sz w:val="21"/>
                <w:szCs w:val="21"/>
                <w:highlight w:val="none"/>
                <w:lang w:val="en-US" w:eastAsia="zh-CN"/>
              </w:rPr>
            </w:pPr>
          </w:p>
        </w:tc>
      </w:tr>
      <w:tr w14:paraId="1D350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8256C94">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7FBC89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剪刀</w:t>
            </w:r>
          </w:p>
        </w:tc>
        <w:tc>
          <w:tcPr>
            <w:tcW w:w="5472" w:type="dxa"/>
            <w:noWrap w:val="0"/>
            <w:vAlign w:val="center"/>
          </w:tcPr>
          <w:p w14:paraId="58A36D6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不锈钢制造，刃口机磨，刀身抛光，剪切锋利，全新 ABS 料塑料手柄。全长不小于 150mm</w:t>
            </w:r>
          </w:p>
        </w:tc>
        <w:tc>
          <w:tcPr>
            <w:tcW w:w="603" w:type="dxa"/>
            <w:noWrap w:val="0"/>
            <w:vAlign w:val="center"/>
          </w:tcPr>
          <w:p w14:paraId="0661899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04F8EEE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0BDF75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w:t>
            </w:r>
          </w:p>
        </w:tc>
        <w:tc>
          <w:tcPr>
            <w:tcW w:w="635" w:type="dxa"/>
            <w:noWrap w:val="0"/>
            <w:vAlign w:val="center"/>
          </w:tcPr>
          <w:p w14:paraId="2AE9B4AA">
            <w:pPr>
              <w:ind w:left="0" w:leftChars="0" w:firstLine="0" w:firstLineChars="0"/>
              <w:jc w:val="center"/>
              <w:rPr>
                <w:rFonts w:hint="eastAsia" w:ascii="宋体" w:hAnsi="宋体" w:cs="宋体"/>
                <w:color w:val="auto"/>
                <w:sz w:val="21"/>
                <w:szCs w:val="21"/>
                <w:highlight w:val="none"/>
                <w:lang w:val="en-US" w:eastAsia="zh-CN"/>
              </w:rPr>
            </w:pPr>
          </w:p>
        </w:tc>
      </w:tr>
      <w:tr w14:paraId="7BBF6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D001C04">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E775E7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花盆</w:t>
            </w:r>
          </w:p>
        </w:tc>
        <w:tc>
          <w:tcPr>
            <w:tcW w:w="5472" w:type="dxa"/>
            <w:noWrap w:val="0"/>
            <w:vAlign w:val="center"/>
          </w:tcPr>
          <w:p w14:paraId="0588BF7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塑料材质</w:t>
            </w:r>
          </w:p>
        </w:tc>
        <w:tc>
          <w:tcPr>
            <w:tcW w:w="603" w:type="dxa"/>
            <w:noWrap w:val="0"/>
            <w:vAlign w:val="center"/>
          </w:tcPr>
          <w:p w14:paraId="2705E06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7438A0A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D2A111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w:t>
            </w:r>
          </w:p>
        </w:tc>
        <w:tc>
          <w:tcPr>
            <w:tcW w:w="635" w:type="dxa"/>
            <w:noWrap w:val="0"/>
            <w:vAlign w:val="center"/>
          </w:tcPr>
          <w:p w14:paraId="7AF36F46">
            <w:pPr>
              <w:ind w:left="0" w:leftChars="0" w:firstLine="0" w:firstLineChars="0"/>
              <w:jc w:val="center"/>
              <w:rPr>
                <w:rFonts w:hint="eastAsia" w:ascii="宋体" w:hAnsi="宋体" w:cs="宋体"/>
                <w:color w:val="auto"/>
                <w:sz w:val="21"/>
                <w:szCs w:val="21"/>
                <w:highlight w:val="none"/>
                <w:lang w:val="en-US" w:eastAsia="zh-CN"/>
              </w:rPr>
            </w:pPr>
          </w:p>
        </w:tc>
      </w:tr>
      <w:tr w14:paraId="012E0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DD55EF1">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7EEADD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小刀</w:t>
            </w:r>
          </w:p>
        </w:tc>
        <w:tc>
          <w:tcPr>
            <w:tcW w:w="5472" w:type="dxa"/>
            <w:noWrap w:val="0"/>
            <w:vAlign w:val="center"/>
          </w:tcPr>
          <w:p w14:paraId="59DC067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塑料手柄，可折叠</w:t>
            </w:r>
          </w:p>
        </w:tc>
        <w:tc>
          <w:tcPr>
            <w:tcW w:w="603" w:type="dxa"/>
            <w:noWrap w:val="0"/>
            <w:vAlign w:val="center"/>
          </w:tcPr>
          <w:p w14:paraId="467D352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6A39B64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0793FE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3C07E815">
            <w:pPr>
              <w:ind w:left="0" w:leftChars="0" w:firstLine="0" w:firstLineChars="0"/>
              <w:jc w:val="center"/>
              <w:rPr>
                <w:rFonts w:hint="eastAsia" w:ascii="宋体" w:hAnsi="宋体" w:cs="宋体"/>
                <w:color w:val="auto"/>
                <w:sz w:val="21"/>
                <w:szCs w:val="21"/>
                <w:highlight w:val="none"/>
                <w:lang w:val="en-US" w:eastAsia="zh-CN"/>
              </w:rPr>
            </w:pPr>
          </w:p>
        </w:tc>
      </w:tr>
      <w:tr w14:paraId="0A7F7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4CCE3EC">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90F119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塑料桶</w:t>
            </w:r>
          </w:p>
        </w:tc>
        <w:tc>
          <w:tcPr>
            <w:tcW w:w="5472" w:type="dxa"/>
            <w:noWrap w:val="0"/>
            <w:vAlign w:val="center"/>
          </w:tcPr>
          <w:p w14:paraId="3B89781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塑料材质，带盖</w:t>
            </w:r>
          </w:p>
        </w:tc>
        <w:tc>
          <w:tcPr>
            <w:tcW w:w="603" w:type="dxa"/>
            <w:noWrap w:val="0"/>
            <w:vAlign w:val="center"/>
          </w:tcPr>
          <w:p w14:paraId="62D3BE7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5DF4328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62B934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35" w:type="dxa"/>
            <w:noWrap w:val="0"/>
            <w:vAlign w:val="center"/>
          </w:tcPr>
          <w:p w14:paraId="5DEC7951">
            <w:pPr>
              <w:ind w:left="0" w:leftChars="0" w:firstLine="0" w:firstLineChars="0"/>
              <w:jc w:val="center"/>
              <w:rPr>
                <w:rFonts w:hint="eastAsia" w:ascii="宋体" w:hAnsi="宋体" w:cs="宋体"/>
                <w:color w:val="auto"/>
                <w:sz w:val="21"/>
                <w:szCs w:val="21"/>
                <w:highlight w:val="none"/>
                <w:lang w:val="en-US" w:eastAsia="zh-CN"/>
              </w:rPr>
            </w:pPr>
          </w:p>
        </w:tc>
      </w:tr>
      <w:tr w14:paraId="06750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A1EE357">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925F4D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手摇铃</w:t>
            </w:r>
          </w:p>
        </w:tc>
        <w:tc>
          <w:tcPr>
            <w:tcW w:w="5472" w:type="dxa"/>
            <w:noWrap w:val="0"/>
            <w:vAlign w:val="center"/>
          </w:tcPr>
          <w:p w14:paraId="2E98264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铜质铃，塑料手柄</w:t>
            </w:r>
          </w:p>
        </w:tc>
        <w:tc>
          <w:tcPr>
            <w:tcW w:w="603" w:type="dxa"/>
            <w:noWrap w:val="0"/>
            <w:vAlign w:val="center"/>
          </w:tcPr>
          <w:p w14:paraId="3F249B6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7D99B8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A5E09A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13.26</w:t>
            </w:r>
          </w:p>
        </w:tc>
        <w:tc>
          <w:tcPr>
            <w:tcW w:w="635" w:type="dxa"/>
            <w:noWrap w:val="0"/>
            <w:vAlign w:val="center"/>
          </w:tcPr>
          <w:p w14:paraId="502B8427">
            <w:pPr>
              <w:ind w:left="0" w:leftChars="0" w:firstLine="0" w:firstLineChars="0"/>
              <w:jc w:val="center"/>
              <w:rPr>
                <w:rFonts w:hint="eastAsia" w:ascii="宋体" w:hAnsi="宋体" w:cs="宋体"/>
                <w:color w:val="auto"/>
                <w:sz w:val="21"/>
                <w:szCs w:val="21"/>
                <w:highlight w:val="none"/>
                <w:lang w:val="en-US" w:eastAsia="zh-CN"/>
              </w:rPr>
            </w:pPr>
          </w:p>
        </w:tc>
      </w:tr>
      <w:tr w14:paraId="766D4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7F5FC8E">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9FFCB4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手持筛子</w:t>
            </w:r>
          </w:p>
        </w:tc>
        <w:tc>
          <w:tcPr>
            <w:tcW w:w="5472" w:type="dxa"/>
            <w:noWrap w:val="0"/>
            <w:vAlign w:val="center"/>
          </w:tcPr>
          <w:p w14:paraId="5CC2688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不锈钢，直径≥ 200mm,高度≥ 5cm</w:t>
            </w:r>
          </w:p>
        </w:tc>
        <w:tc>
          <w:tcPr>
            <w:tcW w:w="603" w:type="dxa"/>
            <w:noWrap w:val="0"/>
            <w:vAlign w:val="center"/>
          </w:tcPr>
          <w:p w14:paraId="56D30AC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021A4B1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AFB327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12.48</w:t>
            </w:r>
          </w:p>
        </w:tc>
        <w:tc>
          <w:tcPr>
            <w:tcW w:w="635" w:type="dxa"/>
            <w:noWrap w:val="0"/>
            <w:vAlign w:val="center"/>
          </w:tcPr>
          <w:p w14:paraId="68FDB5CA">
            <w:pPr>
              <w:ind w:left="0" w:leftChars="0" w:firstLine="0" w:firstLineChars="0"/>
              <w:jc w:val="center"/>
              <w:rPr>
                <w:rFonts w:hint="eastAsia" w:ascii="宋体" w:hAnsi="宋体" w:cs="宋体"/>
                <w:color w:val="auto"/>
                <w:sz w:val="21"/>
                <w:szCs w:val="21"/>
                <w:highlight w:val="none"/>
                <w:lang w:val="en-US" w:eastAsia="zh-CN"/>
              </w:rPr>
            </w:pPr>
          </w:p>
        </w:tc>
      </w:tr>
      <w:tr w14:paraId="55FCF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15F9CF9">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D38DC4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喷水壶</w:t>
            </w:r>
          </w:p>
        </w:tc>
        <w:tc>
          <w:tcPr>
            <w:tcW w:w="5472" w:type="dxa"/>
            <w:noWrap w:val="0"/>
            <w:vAlign w:val="center"/>
          </w:tcPr>
          <w:p w14:paraId="2AA0F8C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≥2L</w:t>
            </w:r>
          </w:p>
        </w:tc>
        <w:tc>
          <w:tcPr>
            <w:tcW w:w="603" w:type="dxa"/>
            <w:noWrap w:val="0"/>
            <w:vAlign w:val="center"/>
          </w:tcPr>
          <w:p w14:paraId="671E1F6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32C383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00D4FE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19.5</w:t>
            </w:r>
          </w:p>
        </w:tc>
        <w:tc>
          <w:tcPr>
            <w:tcW w:w="635" w:type="dxa"/>
            <w:noWrap w:val="0"/>
            <w:vAlign w:val="center"/>
          </w:tcPr>
          <w:p w14:paraId="695D217F">
            <w:pPr>
              <w:ind w:left="0" w:leftChars="0" w:firstLine="0" w:firstLineChars="0"/>
              <w:jc w:val="center"/>
              <w:rPr>
                <w:rFonts w:hint="eastAsia" w:ascii="宋体" w:hAnsi="宋体" w:cs="宋体"/>
                <w:color w:val="auto"/>
                <w:sz w:val="21"/>
                <w:szCs w:val="21"/>
                <w:highlight w:val="none"/>
                <w:lang w:val="en-US" w:eastAsia="zh-CN"/>
              </w:rPr>
            </w:pPr>
          </w:p>
        </w:tc>
      </w:tr>
      <w:tr w14:paraId="77738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75113B2">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DB5F62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吹风机</w:t>
            </w:r>
          </w:p>
        </w:tc>
        <w:tc>
          <w:tcPr>
            <w:tcW w:w="5472" w:type="dxa"/>
            <w:noWrap w:val="0"/>
            <w:vAlign w:val="center"/>
          </w:tcPr>
          <w:p w14:paraId="342EF28B">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w:t>
            </w:r>
          </w:p>
        </w:tc>
        <w:tc>
          <w:tcPr>
            <w:tcW w:w="603" w:type="dxa"/>
            <w:noWrap w:val="0"/>
            <w:vAlign w:val="center"/>
          </w:tcPr>
          <w:p w14:paraId="4D02DB6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4B1D3B9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5F68713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w:t>
            </w:r>
          </w:p>
        </w:tc>
        <w:tc>
          <w:tcPr>
            <w:tcW w:w="635" w:type="dxa"/>
            <w:noWrap w:val="0"/>
            <w:vAlign w:val="center"/>
          </w:tcPr>
          <w:p w14:paraId="0C7FA074">
            <w:pPr>
              <w:ind w:left="0" w:leftChars="0" w:firstLine="0" w:firstLineChars="0"/>
              <w:jc w:val="center"/>
              <w:rPr>
                <w:rFonts w:hint="eastAsia" w:ascii="宋体" w:hAnsi="宋体" w:cs="宋体"/>
                <w:color w:val="auto"/>
                <w:sz w:val="21"/>
                <w:szCs w:val="21"/>
                <w:highlight w:val="none"/>
                <w:lang w:val="en-US" w:eastAsia="zh-CN"/>
              </w:rPr>
            </w:pPr>
          </w:p>
        </w:tc>
      </w:tr>
      <w:tr w14:paraId="42A6B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4C58D7">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6012D2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采集捕捞工具</w:t>
            </w:r>
          </w:p>
        </w:tc>
        <w:tc>
          <w:tcPr>
            <w:tcW w:w="5472" w:type="dxa"/>
            <w:noWrap w:val="0"/>
            <w:vAlign w:val="center"/>
          </w:tcPr>
          <w:p w14:paraId="593D021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标本夹、捕虫网、水网、小铁铲、枝剪等</w:t>
            </w:r>
          </w:p>
        </w:tc>
        <w:tc>
          <w:tcPr>
            <w:tcW w:w="603" w:type="dxa"/>
            <w:noWrap w:val="0"/>
            <w:vAlign w:val="center"/>
          </w:tcPr>
          <w:p w14:paraId="6989752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0991607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9BAF29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115.2</w:t>
            </w:r>
          </w:p>
        </w:tc>
        <w:tc>
          <w:tcPr>
            <w:tcW w:w="635" w:type="dxa"/>
            <w:noWrap w:val="0"/>
            <w:vAlign w:val="center"/>
          </w:tcPr>
          <w:p w14:paraId="31B73A9A">
            <w:pPr>
              <w:ind w:left="0" w:leftChars="0" w:firstLine="0" w:firstLineChars="0"/>
              <w:jc w:val="center"/>
              <w:rPr>
                <w:rFonts w:hint="eastAsia" w:ascii="宋体" w:hAnsi="宋体" w:cs="宋体"/>
                <w:color w:val="auto"/>
                <w:sz w:val="21"/>
                <w:szCs w:val="21"/>
                <w:highlight w:val="none"/>
                <w:lang w:val="en-US" w:eastAsia="zh-CN"/>
              </w:rPr>
            </w:pPr>
          </w:p>
        </w:tc>
      </w:tr>
      <w:tr w14:paraId="72931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AEA5B19">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0CB4D3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榨汁器</w:t>
            </w:r>
          </w:p>
        </w:tc>
        <w:tc>
          <w:tcPr>
            <w:tcW w:w="5472" w:type="dxa"/>
            <w:noWrap w:val="0"/>
            <w:vAlign w:val="center"/>
          </w:tcPr>
          <w:p w14:paraId="6B8AF94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手动式，盛汁杯、榨汁机体、渣盘组成，透明度高，坚固卫生，符合环保要求。</w:t>
            </w:r>
          </w:p>
        </w:tc>
        <w:tc>
          <w:tcPr>
            <w:tcW w:w="603" w:type="dxa"/>
            <w:noWrap w:val="0"/>
            <w:vAlign w:val="center"/>
          </w:tcPr>
          <w:p w14:paraId="02AF0BF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6C669A8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EB2D98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45.5</w:t>
            </w:r>
          </w:p>
        </w:tc>
        <w:tc>
          <w:tcPr>
            <w:tcW w:w="635" w:type="dxa"/>
            <w:noWrap w:val="0"/>
            <w:vAlign w:val="center"/>
          </w:tcPr>
          <w:p w14:paraId="74EFC742">
            <w:pPr>
              <w:ind w:left="0" w:leftChars="0" w:firstLine="0" w:firstLineChars="0"/>
              <w:jc w:val="center"/>
              <w:rPr>
                <w:rFonts w:hint="eastAsia" w:ascii="宋体" w:hAnsi="宋体" w:cs="宋体"/>
                <w:color w:val="auto"/>
                <w:sz w:val="21"/>
                <w:szCs w:val="21"/>
                <w:highlight w:val="none"/>
                <w:lang w:val="en-US" w:eastAsia="zh-CN"/>
              </w:rPr>
            </w:pPr>
          </w:p>
        </w:tc>
      </w:tr>
      <w:tr w14:paraId="6F17E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5190239">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AD11E9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仪器柜</w:t>
            </w:r>
          </w:p>
        </w:tc>
        <w:tc>
          <w:tcPr>
            <w:tcW w:w="5472" w:type="dxa"/>
            <w:noWrap w:val="0"/>
            <w:vAlign w:val="center"/>
          </w:tcPr>
          <w:p w14:paraId="7437E57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1000*500*2000mm，铝木结构，采用结构为内槽式铝合金框架结构</w:t>
            </w:r>
          </w:p>
        </w:tc>
        <w:tc>
          <w:tcPr>
            <w:tcW w:w="603" w:type="dxa"/>
            <w:noWrap w:val="0"/>
            <w:vAlign w:val="center"/>
          </w:tcPr>
          <w:p w14:paraId="3C6CD28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00" w:type="dxa"/>
            <w:noWrap w:val="0"/>
            <w:vAlign w:val="center"/>
          </w:tcPr>
          <w:p w14:paraId="2C57067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1600A9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1300</w:t>
            </w:r>
          </w:p>
        </w:tc>
        <w:tc>
          <w:tcPr>
            <w:tcW w:w="635" w:type="dxa"/>
            <w:noWrap w:val="0"/>
            <w:vAlign w:val="center"/>
          </w:tcPr>
          <w:p w14:paraId="5666C99A">
            <w:pPr>
              <w:ind w:left="0" w:leftChars="0" w:firstLine="0" w:firstLineChars="0"/>
              <w:jc w:val="center"/>
              <w:rPr>
                <w:rFonts w:hint="eastAsia" w:ascii="宋体" w:hAnsi="宋体" w:cs="宋体"/>
                <w:color w:val="auto"/>
                <w:sz w:val="21"/>
                <w:szCs w:val="21"/>
                <w:highlight w:val="none"/>
                <w:lang w:val="en-US" w:eastAsia="zh-CN"/>
              </w:rPr>
            </w:pPr>
          </w:p>
        </w:tc>
      </w:tr>
      <w:tr w14:paraId="5E907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337D8DB">
            <w:pPr>
              <w:numPr>
                <w:ilvl w:val="0"/>
                <w:numId w:val="13"/>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E201C1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文化布置</w:t>
            </w:r>
            <w:r>
              <w:rPr>
                <w:rFonts w:hint="eastAsia" w:ascii="宋体" w:hAnsi="宋体" w:cs="宋体"/>
                <w:color w:val="auto"/>
                <w:sz w:val="21"/>
                <w:szCs w:val="21"/>
                <w:highlight w:val="none"/>
                <w:lang w:val="en-US" w:eastAsia="zh-CN"/>
              </w:rPr>
              <w:t>服务</w:t>
            </w:r>
          </w:p>
        </w:tc>
        <w:tc>
          <w:tcPr>
            <w:tcW w:w="5472" w:type="dxa"/>
            <w:noWrap w:val="0"/>
            <w:vAlign w:val="center"/>
          </w:tcPr>
          <w:p w14:paraId="6E1F7CD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简单文化布置</w:t>
            </w:r>
            <w:r>
              <w:rPr>
                <w:rFonts w:hint="eastAsia" w:ascii="宋体" w:hAnsi="宋体" w:cs="宋体"/>
                <w:color w:val="auto"/>
                <w:sz w:val="21"/>
                <w:szCs w:val="21"/>
                <w:highlight w:val="none"/>
                <w:lang w:val="en-US" w:eastAsia="zh-CN"/>
              </w:rPr>
              <w:t>（例如：标语、宣传语、管理规定、安全提示等各类规定）</w:t>
            </w:r>
          </w:p>
        </w:tc>
        <w:tc>
          <w:tcPr>
            <w:tcW w:w="603" w:type="dxa"/>
            <w:noWrap w:val="0"/>
            <w:vAlign w:val="center"/>
          </w:tcPr>
          <w:p w14:paraId="131611F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3E9CF8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10" w:type="dxa"/>
            <w:noWrap w:val="0"/>
            <w:vAlign w:val="center"/>
          </w:tcPr>
          <w:p w14:paraId="7261514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2143.705</w:t>
            </w:r>
          </w:p>
        </w:tc>
        <w:tc>
          <w:tcPr>
            <w:tcW w:w="635" w:type="dxa"/>
            <w:noWrap w:val="0"/>
            <w:vAlign w:val="center"/>
          </w:tcPr>
          <w:p w14:paraId="5D163E38">
            <w:pPr>
              <w:ind w:left="0" w:leftChars="0" w:firstLine="0" w:firstLineChars="0"/>
              <w:jc w:val="center"/>
              <w:rPr>
                <w:rFonts w:hint="eastAsia" w:ascii="宋体" w:hAnsi="宋体" w:cs="宋体"/>
                <w:color w:val="auto"/>
                <w:sz w:val="21"/>
                <w:szCs w:val="21"/>
                <w:highlight w:val="none"/>
                <w:lang w:val="en-US" w:eastAsia="zh-CN"/>
              </w:rPr>
            </w:pPr>
          </w:p>
        </w:tc>
      </w:tr>
      <w:tr w14:paraId="4FB5E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6920D38B">
            <w:pPr>
              <w:spacing w:line="240"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本项合计</w:t>
            </w:r>
          </w:p>
        </w:tc>
        <w:tc>
          <w:tcPr>
            <w:tcW w:w="5472" w:type="dxa"/>
            <w:noWrap w:val="0"/>
            <w:vAlign w:val="center"/>
          </w:tcPr>
          <w:p w14:paraId="5A52ECEF">
            <w:pPr>
              <w:spacing w:line="240" w:lineRule="auto"/>
              <w:ind w:left="0" w:leftChars="0" w:firstLine="0" w:firstLineChars="0"/>
              <w:jc w:val="left"/>
              <w:rPr>
                <w:rFonts w:hint="eastAsia" w:ascii="宋体" w:hAnsi="宋体" w:cs="宋体"/>
                <w:color w:val="auto"/>
                <w:sz w:val="21"/>
                <w:szCs w:val="21"/>
                <w:highlight w:val="none"/>
                <w:lang w:val="en-US" w:eastAsia="zh-CN"/>
              </w:rPr>
            </w:pPr>
          </w:p>
        </w:tc>
        <w:tc>
          <w:tcPr>
            <w:tcW w:w="2313" w:type="dxa"/>
            <w:gridSpan w:val="3"/>
            <w:noWrap w:val="0"/>
            <w:vAlign w:val="center"/>
          </w:tcPr>
          <w:p w14:paraId="2A6D9534">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100942.74</w:t>
            </w:r>
          </w:p>
        </w:tc>
        <w:tc>
          <w:tcPr>
            <w:tcW w:w="635" w:type="dxa"/>
            <w:noWrap w:val="0"/>
            <w:vAlign w:val="center"/>
          </w:tcPr>
          <w:p w14:paraId="33EFEEE3">
            <w:pPr>
              <w:ind w:left="0" w:leftChars="0" w:firstLine="0" w:firstLineChars="0"/>
              <w:jc w:val="center"/>
              <w:rPr>
                <w:rFonts w:hint="eastAsia" w:ascii="宋体" w:hAnsi="宋体" w:cs="宋体"/>
                <w:color w:val="auto"/>
                <w:sz w:val="21"/>
                <w:szCs w:val="21"/>
                <w:highlight w:val="none"/>
                <w:lang w:val="en-US" w:eastAsia="zh-CN"/>
              </w:rPr>
            </w:pPr>
          </w:p>
        </w:tc>
      </w:tr>
      <w:tr w14:paraId="75C41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0E5D62CF">
            <w:pPr>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第四项合计</w:t>
            </w:r>
          </w:p>
        </w:tc>
        <w:tc>
          <w:tcPr>
            <w:tcW w:w="5472" w:type="dxa"/>
            <w:noWrap w:val="0"/>
            <w:vAlign w:val="center"/>
          </w:tcPr>
          <w:p w14:paraId="3065214D">
            <w:pPr>
              <w:spacing w:line="240" w:lineRule="auto"/>
              <w:ind w:left="0" w:leftChars="0" w:firstLine="0" w:firstLineChars="0"/>
              <w:jc w:val="left"/>
              <w:rPr>
                <w:rFonts w:hint="eastAsia" w:ascii="宋体" w:hAnsi="宋体" w:cs="宋体"/>
                <w:color w:val="auto"/>
                <w:sz w:val="21"/>
                <w:szCs w:val="21"/>
                <w:highlight w:val="none"/>
                <w:lang w:val="en-US" w:eastAsia="zh-CN"/>
              </w:rPr>
            </w:pPr>
          </w:p>
        </w:tc>
        <w:tc>
          <w:tcPr>
            <w:tcW w:w="2313" w:type="dxa"/>
            <w:gridSpan w:val="3"/>
            <w:noWrap w:val="0"/>
            <w:vAlign w:val="center"/>
          </w:tcPr>
          <w:p w14:paraId="14DD5366">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128084.00</w:t>
            </w:r>
          </w:p>
        </w:tc>
        <w:tc>
          <w:tcPr>
            <w:tcW w:w="635" w:type="dxa"/>
            <w:noWrap w:val="0"/>
            <w:vAlign w:val="center"/>
          </w:tcPr>
          <w:p w14:paraId="30AF1035">
            <w:pPr>
              <w:ind w:left="0" w:leftChars="0" w:firstLine="0" w:firstLineChars="0"/>
              <w:jc w:val="center"/>
              <w:rPr>
                <w:rFonts w:hint="eastAsia" w:ascii="宋体" w:hAnsi="宋体" w:cs="宋体"/>
                <w:color w:val="auto"/>
                <w:sz w:val="21"/>
                <w:szCs w:val="21"/>
                <w:highlight w:val="none"/>
                <w:lang w:val="en-US" w:eastAsia="zh-CN"/>
              </w:rPr>
            </w:pPr>
          </w:p>
        </w:tc>
      </w:tr>
      <w:tr w14:paraId="6DDF1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C9A304F">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eastAsia="zh-CN" w:bidi="ar"/>
              </w:rPr>
              <w:t>五</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心理咨询室</w:t>
            </w:r>
          </w:p>
        </w:tc>
      </w:tr>
      <w:tr w14:paraId="7A174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555" w:type="dxa"/>
            <w:noWrap w:val="0"/>
            <w:vAlign w:val="center"/>
          </w:tcPr>
          <w:p w14:paraId="1C77C6F3">
            <w:pPr>
              <w:numPr>
                <w:ilvl w:val="0"/>
                <w:numId w:val="17"/>
              </w:numPr>
              <w:spacing w:before="65" w:line="185" w:lineRule="auto"/>
              <w:ind w:left="425" w:leftChars="0" w:hanging="425" w:firstLineChars="0"/>
              <w:jc w:val="both"/>
              <w:rPr>
                <w:rFonts w:hint="default" w:ascii="宋体" w:hAnsi="宋体" w:eastAsia="宋体" w:cs="宋体"/>
                <w:color w:val="auto"/>
                <w:sz w:val="21"/>
                <w:szCs w:val="21"/>
                <w:highlight w:val="none"/>
                <w:lang w:val="en-US" w:eastAsia="zh-CN"/>
              </w:rPr>
            </w:pPr>
          </w:p>
        </w:tc>
        <w:tc>
          <w:tcPr>
            <w:tcW w:w="1245" w:type="dxa"/>
            <w:noWrap w:val="0"/>
            <w:vAlign w:val="center"/>
          </w:tcPr>
          <w:p w14:paraId="2439885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办公桌椅</w:t>
            </w:r>
          </w:p>
        </w:tc>
        <w:tc>
          <w:tcPr>
            <w:tcW w:w="5472" w:type="dxa"/>
            <w:noWrap w:val="0"/>
            <w:vAlign w:val="center"/>
          </w:tcPr>
          <w:p w14:paraId="39B1915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胡桃木，应为实木板材，环保油漆，中式风格，皮质座椅；尺寸：桌子：约为140*75*70cm，椅子：约为89*48*48cm；</w:t>
            </w:r>
          </w:p>
        </w:tc>
        <w:tc>
          <w:tcPr>
            <w:tcW w:w="603" w:type="dxa"/>
            <w:noWrap w:val="0"/>
            <w:vAlign w:val="center"/>
          </w:tcPr>
          <w:p w14:paraId="496E875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E04AD9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B3E03A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w:t>
            </w:r>
          </w:p>
        </w:tc>
        <w:tc>
          <w:tcPr>
            <w:tcW w:w="635" w:type="dxa"/>
            <w:noWrap w:val="0"/>
            <w:vAlign w:val="center"/>
          </w:tcPr>
          <w:p w14:paraId="58DC3148">
            <w:pPr>
              <w:spacing w:before="65" w:line="189" w:lineRule="auto"/>
              <w:ind w:left="182"/>
              <w:jc w:val="center"/>
              <w:rPr>
                <w:rFonts w:hint="eastAsia" w:ascii="宋体" w:hAnsi="宋体" w:eastAsia="宋体" w:cs="宋体"/>
                <w:color w:val="auto"/>
                <w:sz w:val="21"/>
                <w:szCs w:val="21"/>
                <w:highlight w:val="none"/>
              </w:rPr>
            </w:pPr>
          </w:p>
        </w:tc>
      </w:tr>
      <w:tr w14:paraId="3EBC1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9635798">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9470C7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沙发</w:t>
            </w:r>
          </w:p>
        </w:tc>
        <w:tc>
          <w:tcPr>
            <w:tcW w:w="5472" w:type="dxa"/>
            <w:noWrap w:val="0"/>
            <w:vAlign w:val="center"/>
          </w:tcPr>
          <w:p w14:paraId="060D1FC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一张三人位（约200cm×85cm×92cm），两张单人位（约100cm×85cm×92cm），全木质框架，布艺材质。颜色为暖色调</w:t>
            </w:r>
          </w:p>
        </w:tc>
        <w:tc>
          <w:tcPr>
            <w:tcW w:w="603" w:type="dxa"/>
            <w:noWrap w:val="0"/>
            <w:vAlign w:val="center"/>
          </w:tcPr>
          <w:p w14:paraId="29DC041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4FF75A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62AB16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w:t>
            </w:r>
          </w:p>
        </w:tc>
        <w:tc>
          <w:tcPr>
            <w:tcW w:w="635" w:type="dxa"/>
            <w:noWrap w:val="0"/>
            <w:vAlign w:val="center"/>
          </w:tcPr>
          <w:p w14:paraId="3574B79F">
            <w:pPr>
              <w:spacing w:before="65" w:line="189" w:lineRule="auto"/>
              <w:ind w:left="182"/>
              <w:jc w:val="center"/>
              <w:rPr>
                <w:rFonts w:hint="eastAsia" w:ascii="宋体" w:hAnsi="宋体" w:eastAsia="宋体" w:cs="宋体"/>
                <w:color w:val="auto"/>
                <w:sz w:val="21"/>
                <w:szCs w:val="21"/>
                <w:highlight w:val="none"/>
              </w:rPr>
            </w:pPr>
          </w:p>
        </w:tc>
      </w:tr>
      <w:tr w14:paraId="721FE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C77C208">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D749B2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茶几</w:t>
            </w:r>
          </w:p>
        </w:tc>
        <w:tc>
          <w:tcPr>
            <w:tcW w:w="5472" w:type="dxa"/>
            <w:noWrap w:val="0"/>
            <w:vAlign w:val="center"/>
          </w:tcPr>
          <w:p w14:paraId="06C0CB6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木质长方体客厅招待茶几,颜色：暖色调，尺寸：约130cm×70cm×55cm</w:t>
            </w:r>
          </w:p>
        </w:tc>
        <w:tc>
          <w:tcPr>
            <w:tcW w:w="603" w:type="dxa"/>
            <w:noWrap w:val="0"/>
            <w:vAlign w:val="center"/>
          </w:tcPr>
          <w:p w14:paraId="47A94C3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4466B78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B8E15E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w:t>
            </w:r>
          </w:p>
        </w:tc>
        <w:tc>
          <w:tcPr>
            <w:tcW w:w="635" w:type="dxa"/>
            <w:noWrap w:val="0"/>
            <w:vAlign w:val="center"/>
          </w:tcPr>
          <w:p w14:paraId="4C8ABC26">
            <w:pPr>
              <w:spacing w:before="65" w:line="189" w:lineRule="auto"/>
              <w:ind w:left="182"/>
              <w:jc w:val="center"/>
              <w:rPr>
                <w:rFonts w:hint="eastAsia" w:ascii="宋体" w:hAnsi="宋体" w:eastAsia="宋体" w:cs="宋体"/>
                <w:color w:val="auto"/>
                <w:sz w:val="21"/>
                <w:szCs w:val="21"/>
                <w:highlight w:val="none"/>
              </w:rPr>
            </w:pPr>
          </w:p>
        </w:tc>
      </w:tr>
      <w:tr w14:paraId="0740C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22E1002">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34EBDD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心理信箱</w:t>
            </w:r>
          </w:p>
        </w:tc>
        <w:tc>
          <w:tcPr>
            <w:tcW w:w="5472" w:type="dxa"/>
            <w:noWrap w:val="0"/>
            <w:vAlign w:val="center"/>
          </w:tcPr>
          <w:p w14:paraId="2B9498C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 xml:space="preserve">产品尺寸约 长366mm 宽120mm 高359mm </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产品颜色</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 xml:space="preserve"> 红色</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产品描述</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 xml:space="preserve"> 这是一款挂墙式信箱，需要在墙上钻孔，配套安装螺丝固定。带锁。上面post字样是投件口，下面是取件口，底部带有透视小窗口，可看到信箱内是否有信件。取件口左上角是一个标签口，可插入自行需要的小标签</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 xml:space="preserve"> 喷漆工序：表面处理：表面去污磷化处理-静电喷涂-高温户外烘烤=(汽车漆效果处理)</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 xml:space="preserve"> 应保证产品持久耐高温，抗指外线，不变色不发黄。</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产品材质</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 xml:space="preserve"> 镀锌板  </w:t>
            </w:r>
          </w:p>
        </w:tc>
        <w:tc>
          <w:tcPr>
            <w:tcW w:w="603" w:type="dxa"/>
            <w:noWrap w:val="0"/>
            <w:vAlign w:val="center"/>
          </w:tcPr>
          <w:p w14:paraId="3AC6AA0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D035AB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29F176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c>
          <w:tcPr>
            <w:tcW w:w="635" w:type="dxa"/>
            <w:noWrap w:val="0"/>
            <w:vAlign w:val="center"/>
          </w:tcPr>
          <w:p w14:paraId="754E3D3D">
            <w:pPr>
              <w:spacing w:before="65" w:line="189" w:lineRule="auto"/>
              <w:ind w:left="182"/>
              <w:jc w:val="center"/>
              <w:rPr>
                <w:rFonts w:hint="eastAsia" w:ascii="宋体" w:hAnsi="宋体" w:eastAsia="宋体" w:cs="宋体"/>
                <w:color w:val="auto"/>
                <w:sz w:val="21"/>
                <w:szCs w:val="21"/>
                <w:highlight w:val="none"/>
              </w:rPr>
            </w:pPr>
          </w:p>
        </w:tc>
      </w:tr>
      <w:tr w14:paraId="59D3A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8D8A6A4">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70161F7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盆栽</w:t>
            </w:r>
          </w:p>
        </w:tc>
        <w:tc>
          <w:tcPr>
            <w:tcW w:w="5472" w:type="dxa"/>
            <w:noWrap w:val="0"/>
            <w:vAlign w:val="center"/>
          </w:tcPr>
          <w:p w14:paraId="13377D9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办公室用盆栽，两盆龟背竹</w:t>
            </w:r>
          </w:p>
        </w:tc>
        <w:tc>
          <w:tcPr>
            <w:tcW w:w="603" w:type="dxa"/>
            <w:noWrap w:val="0"/>
            <w:vAlign w:val="center"/>
          </w:tcPr>
          <w:p w14:paraId="7E01999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7187AD5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盆</w:t>
            </w:r>
          </w:p>
        </w:tc>
        <w:tc>
          <w:tcPr>
            <w:tcW w:w="1110" w:type="dxa"/>
            <w:noWrap w:val="0"/>
            <w:vAlign w:val="center"/>
          </w:tcPr>
          <w:p w14:paraId="1691A07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c>
          <w:tcPr>
            <w:tcW w:w="635" w:type="dxa"/>
            <w:noWrap w:val="0"/>
            <w:vAlign w:val="center"/>
          </w:tcPr>
          <w:p w14:paraId="280AE2C3">
            <w:pPr>
              <w:spacing w:before="65" w:line="189" w:lineRule="auto"/>
              <w:ind w:left="182"/>
              <w:jc w:val="center"/>
              <w:rPr>
                <w:rFonts w:hint="eastAsia" w:ascii="宋体" w:hAnsi="宋体" w:eastAsia="宋体" w:cs="宋体"/>
                <w:color w:val="auto"/>
                <w:sz w:val="21"/>
                <w:szCs w:val="21"/>
                <w:highlight w:val="none"/>
              </w:rPr>
            </w:pPr>
          </w:p>
        </w:tc>
      </w:tr>
      <w:tr w14:paraId="34C3B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74B561">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3E75B8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文件柜</w:t>
            </w:r>
          </w:p>
        </w:tc>
        <w:tc>
          <w:tcPr>
            <w:tcW w:w="5472" w:type="dxa"/>
            <w:noWrap w:val="0"/>
            <w:vAlign w:val="center"/>
          </w:tcPr>
          <w:p w14:paraId="4DFCDCC0">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外观尺寸：约180*39*85mm；</w:t>
            </w:r>
          </w:p>
        </w:tc>
        <w:tc>
          <w:tcPr>
            <w:tcW w:w="603" w:type="dxa"/>
            <w:noWrap w:val="0"/>
            <w:vAlign w:val="center"/>
          </w:tcPr>
          <w:p w14:paraId="7419677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4D7BCF2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3708D3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w:t>
            </w:r>
          </w:p>
        </w:tc>
        <w:tc>
          <w:tcPr>
            <w:tcW w:w="635" w:type="dxa"/>
            <w:noWrap w:val="0"/>
            <w:vAlign w:val="center"/>
          </w:tcPr>
          <w:p w14:paraId="0E53D3F9">
            <w:pPr>
              <w:spacing w:before="65" w:line="189" w:lineRule="auto"/>
              <w:ind w:left="182"/>
              <w:jc w:val="center"/>
              <w:rPr>
                <w:rFonts w:hint="eastAsia" w:ascii="宋体" w:hAnsi="宋体" w:eastAsia="宋体" w:cs="宋体"/>
                <w:color w:val="auto"/>
                <w:sz w:val="21"/>
                <w:szCs w:val="21"/>
                <w:highlight w:val="none"/>
              </w:rPr>
            </w:pPr>
          </w:p>
        </w:tc>
      </w:tr>
      <w:tr w14:paraId="5E5E5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EE57A7B">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716F13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智慧黑板</w:t>
            </w:r>
          </w:p>
        </w:tc>
        <w:tc>
          <w:tcPr>
            <w:tcW w:w="5472" w:type="dxa"/>
            <w:noWrap w:val="0"/>
            <w:vAlign w:val="center"/>
          </w:tcPr>
          <w:p w14:paraId="496A77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4FE31A5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76DD8C91">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40AE1E6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0129F103">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109DA1E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358456A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1A7530E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29DBDC4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7025F6D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5823E62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3FF026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4748D24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081C9B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70D1344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51A13E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385E0BB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6D03C7E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5360ED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54A005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12601A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10CDA3F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4C347C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4AB9982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35FA859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50CEB5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35326F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6599DD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5E2B82C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36B05FE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6961AC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61C1C8C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25050F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0059EE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4B5A1B5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3FE366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6A3D95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1CB7991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0A61DC8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376F3AC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4A17F40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3ACACC1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58CDD5C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5C5F0DF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1768D9E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479697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129994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64009B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32BA2A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5AC252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541371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291E69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2078083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4DFA93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43A8047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663457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63F6C03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4AFEF5C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777471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7E31C99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1545D4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4A9AFE4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0FB82E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4FE816A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0021884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180579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023D553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1C96D9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45D19A0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726DA6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2942D9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0D7EDEF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082770E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21BF72E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0CE6C6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062A3F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52FA60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18429C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6D91FE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15ACA3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0D3E961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5FA3BD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2C601A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731903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638FA0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53C4E9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1883BC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2C0F89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1258F6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31615F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7BB445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213C40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65413A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674DEB7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1BA18CF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565D3F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7E807AC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39FC926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6D0CA9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59E4BE9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20370FF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0AB7A3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36B4D6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054D5A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0ECC16F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0A3AF58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2F69CB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56366D8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7D8C64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63E92AB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0CCC32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01B4BF2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4A1A19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57DE7C8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12DCE1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07AA51E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2FC15E7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07B614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0BCF87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72DF07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2BC95C1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248536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416AC9F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55337E3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0DDDCA9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7FD6E0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7A0D9F8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5FFC75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33A53F8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1F10395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6BF6351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771CFE5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0F43B59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11A72A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5A61DE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544F6B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1F4C62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1934933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04870D7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784DAD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666721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0BC43B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597D5DF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39E8E4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60EB6A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3C09EB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2305328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0FE3333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00A5DBD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29E2DA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2400A1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76A85D8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7AC78A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124D0E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1EC07F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7DA13F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0715682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08BAA4F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0093C5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57F4F41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62069CF0">
            <w:pPr>
              <w:pStyle w:val="5"/>
              <w:numPr>
                <w:ilvl w:val="3"/>
                <w:numId w:val="0"/>
              </w:numPr>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78D3FD8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1B46417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6041C1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24400</w:t>
            </w:r>
          </w:p>
        </w:tc>
        <w:tc>
          <w:tcPr>
            <w:tcW w:w="635" w:type="dxa"/>
            <w:noWrap w:val="0"/>
            <w:vAlign w:val="center"/>
          </w:tcPr>
          <w:p w14:paraId="335B9DAC">
            <w:pPr>
              <w:spacing w:before="65" w:line="189" w:lineRule="auto"/>
              <w:ind w:left="182"/>
              <w:jc w:val="center"/>
              <w:rPr>
                <w:rFonts w:hint="eastAsia" w:ascii="宋体" w:hAnsi="宋体" w:eastAsia="宋体" w:cs="宋体"/>
                <w:color w:val="auto"/>
                <w:sz w:val="21"/>
                <w:szCs w:val="21"/>
                <w:highlight w:val="none"/>
              </w:rPr>
            </w:pPr>
          </w:p>
        </w:tc>
      </w:tr>
      <w:tr w14:paraId="0A922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E1713B7">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4E8CCB3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高清壁挂展台</w:t>
            </w:r>
          </w:p>
        </w:tc>
        <w:tc>
          <w:tcPr>
            <w:tcW w:w="5472" w:type="dxa"/>
            <w:noWrap w:val="0"/>
            <w:vAlign w:val="center"/>
          </w:tcPr>
          <w:p w14:paraId="4731E4D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智慧黑板同品牌高清壁挂展台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一）硬件部分：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1、整机采用圆弧式设计，无锐角；同时托板采用磁吸吸附式机构，防止托板打落，方便打开及固定，避免机械式锁具故障率高的问题。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3、A4大小拍摄幅面，1080P动态视频预览达到30帧/秒；托板及挂墙部分采用金属加强，托板可承重3kg，整机壁挂式安装。</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4、支持展台成像画面实时批注，预设多种笔</w:t>
            </w:r>
            <w:r>
              <w:rPr>
                <w:rFonts w:hint="eastAsia" w:ascii="宋体" w:hAnsi="宋体" w:cs="宋体"/>
                <w:color w:val="auto"/>
                <w:sz w:val="21"/>
                <w:szCs w:val="21"/>
                <w:highlight w:val="none"/>
                <w:lang w:val="en-US" w:eastAsia="zh-CN"/>
              </w:rPr>
              <w:t>画</w:t>
            </w:r>
            <w:r>
              <w:rPr>
                <w:rFonts w:hint="eastAsia" w:ascii="宋体" w:hAnsi="宋体" w:eastAsia="宋体" w:cs="宋体"/>
                <w:color w:val="auto"/>
                <w:sz w:val="21"/>
                <w:szCs w:val="21"/>
                <w:highlight w:val="none"/>
                <w:lang w:val="en-US" w:eastAsia="zh-CN"/>
              </w:rPr>
              <w:t>粗细及颜色供选择，且支持对展台成像画面</w:t>
            </w:r>
            <w:r>
              <w:rPr>
                <w:rFonts w:hint="eastAsia" w:ascii="宋体" w:hAnsi="宋体" w:cs="宋体"/>
                <w:color w:val="auto"/>
                <w:sz w:val="21"/>
                <w:szCs w:val="21"/>
                <w:highlight w:val="none"/>
                <w:lang w:val="en-US" w:eastAsia="zh-CN"/>
              </w:rPr>
              <w:t>连</w:t>
            </w:r>
            <w:r>
              <w:rPr>
                <w:rFonts w:hint="eastAsia" w:ascii="宋体" w:hAnsi="宋体" w:eastAsia="宋体" w:cs="宋体"/>
                <w:color w:val="auto"/>
                <w:sz w:val="21"/>
                <w:szCs w:val="21"/>
                <w:highlight w:val="none"/>
                <w:lang w:val="en-US" w:eastAsia="zh-CN"/>
              </w:rPr>
              <w:t>同批注内容进行同步缩放、移动。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5、展示托板正上方具备LED补光灯，保证展示区域的亮度及展示效果，补光灯开关采用触摸按键设计，同时可通过交互智能平板中的软件直接控制开关。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6、带自动对焦摄像头；外壳在摄像头部分带保护镜片密封，防止灰尘沾染摄像头，防护等级达到IP4X级别。</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7、具有故障自动检测功能：在调用展台却无法出现镜头采集画面信号时，可自动出现检测链接，并给出导致性原因（如硬件连接、摄像头占用、配套软件版本等问题）。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（二）软件部分：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1、支持对展台实时画面进行放大、缩小、旋转、自适应、冻结画面等操作。</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2、支持展台画面实时批注，预设多种笔划粗细及颜色供选择，且支持对展台画面联同批注内容进行同步缩放、移动。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3、支持展台画面拍照截图并进行多图预览，可对任一图片进行全屏显示。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4、老师可在一体机或电脑上选择延时拍照功能，支持5秒或10秒延时模式，预留充足时间以便调整拍摄内容。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5、可选择图像、文本或动态三种情景模式，适应不同展示内容。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6、具备图像增强功能，可自动裁剪背景并增强文字显示，使文档画面更清晰。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189BDB2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646C741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3E83F27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w:t>
            </w:r>
          </w:p>
        </w:tc>
        <w:tc>
          <w:tcPr>
            <w:tcW w:w="635" w:type="dxa"/>
            <w:noWrap w:val="0"/>
            <w:vAlign w:val="center"/>
          </w:tcPr>
          <w:p w14:paraId="6150F44E">
            <w:pPr>
              <w:spacing w:before="65" w:line="189" w:lineRule="auto"/>
              <w:ind w:left="182"/>
              <w:jc w:val="center"/>
              <w:rPr>
                <w:rFonts w:hint="eastAsia" w:ascii="宋体" w:hAnsi="宋体" w:eastAsia="宋体" w:cs="宋体"/>
                <w:color w:val="auto"/>
                <w:sz w:val="21"/>
                <w:szCs w:val="21"/>
                <w:highlight w:val="none"/>
              </w:rPr>
            </w:pPr>
          </w:p>
        </w:tc>
      </w:tr>
      <w:tr w14:paraId="5951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4EC4A55">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EDE325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智慧黑板支架</w:t>
            </w:r>
          </w:p>
        </w:tc>
        <w:tc>
          <w:tcPr>
            <w:tcW w:w="5472" w:type="dxa"/>
            <w:noWrap w:val="0"/>
            <w:vAlign w:val="center"/>
          </w:tcPr>
          <w:p w14:paraId="228E794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配套定制支架</w:t>
            </w:r>
          </w:p>
        </w:tc>
        <w:tc>
          <w:tcPr>
            <w:tcW w:w="603" w:type="dxa"/>
            <w:noWrap w:val="0"/>
            <w:vAlign w:val="center"/>
          </w:tcPr>
          <w:p w14:paraId="6E19007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1B2E082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C4739E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3000</w:t>
            </w:r>
          </w:p>
        </w:tc>
        <w:tc>
          <w:tcPr>
            <w:tcW w:w="635" w:type="dxa"/>
            <w:noWrap w:val="0"/>
            <w:vAlign w:val="center"/>
          </w:tcPr>
          <w:p w14:paraId="08416BBA">
            <w:pPr>
              <w:spacing w:before="65" w:line="189" w:lineRule="auto"/>
              <w:ind w:left="182"/>
              <w:jc w:val="center"/>
              <w:rPr>
                <w:rFonts w:hint="eastAsia" w:ascii="宋体" w:hAnsi="宋体" w:eastAsia="宋体" w:cs="宋体"/>
                <w:color w:val="auto"/>
                <w:sz w:val="21"/>
                <w:szCs w:val="21"/>
                <w:highlight w:val="none"/>
              </w:rPr>
            </w:pPr>
          </w:p>
        </w:tc>
      </w:tr>
      <w:tr w14:paraId="2F207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89C25F0">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53FB92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心理健康工作平台</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（管理中心版）</w:t>
            </w:r>
          </w:p>
        </w:tc>
        <w:tc>
          <w:tcPr>
            <w:tcW w:w="5472" w:type="dxa"/>
            <w:noWrap w:val="0"/>
            <w:vAlign w:val="center"/>
          </w:tcPr>
          <w:p w14:paraId="0EC7060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从心理学角度出发，为单位打造集心理测试、危机评估干预、在线心理咨询、科研数据分析于一体的信息化心理健康网站，系统后台包含用户信息管理、量表信息管理、测试方案管理、测试数据管理、危机评估干预、心理咨询管理、科研数据管理、网站信息管理、系统安全设置九大模块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二、技术描述：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1、系统架构：系统采用B/S架构，.NET语言。采用浏览器+应用服务器+数据库的多架构运行模式，能够兼容在不同的操作系统上运行，能够支持庞大用户量和数据量。客户端无需安装，以IE 等浏览器为操作界面，并兼容SOGOU、360、 Firefox浏览器等。</w:t>
            </w:r>
          </w:p>
        </w:tc>
        <w:tc>
          <w:tcPr>
            <w:tcW w:w="603" w:type="dxa"/>
            <w:noWrap w:val="0"/>
            <w:vAlign w:val="center"/>
          </w:tcPr>
          <w:p w14:paraId="5EA8705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78A59B5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06F158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17000</w:t>
            </w:r>
          </w:p>
        </w:tc>
        <w:tc>
          <w:tcPr>
            <w:tcW w:w="635" w:type="dxa"/>
            <w:noWrap w:val="0"/>
            <w:vAlign w:val="center"/>
          </w:tcPr>
          <w:p w14:paraId="47A9DF85">
            <w:pPr>
              <w:spacing w:before="65" w:line="189" w:lineRule="auto"/>
              <w:ind w:left="182"/>
              <w:jc w:val="center"/>
              <w:rPr>
                <w:rFonts w:hint="eastAsia" w:ascii="宋体" w:hAnsi="宋体" w:eastAsia="宋体" w:cs="宋体"/>
                <w:color w:val="auto"/>
                <w:sz w:val="21"/>
                <w:szCs w:val="21"/>
                <w:highlight w:val="none"/>
              </w:rPr>
            </w:pPr>
          </w:p>
        </w:tc>
      </w:tr>
      <w:tr w14:paraId="5D658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44F109A">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581031F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心理健康展示</w:t>
            </w:r>
            <w:r>
              <w:rPr>
                <w:rFonts w:hint="eastAsia" w:ascii="宋体" w:hAnsi="宋体" w:cs="宋体"/>
                <w:color w:val="auto"/>
                <w:sz w:val="21"/>
                <w:szCs w:val="21"/>
                <w:highlight w:val="none"/>
                <w:lang w:val="en-US" w:eastAsia="zh-CN"/>
              </w:rPr>
              <w:t>器</w:t>
            </w:r>
          </w:p>
        </w:tc>
        <w:tc>
          <w:tcPr>
            <w:tcW w:w="5472" w:type="dxa"/>
            <w:noWrap w:val="0"/>
            <w:vAlign w:val="center"/>
          </w:tcPr>
          <w:p w14:paraId="1282597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软件</w:t>
            </w:r>
            <w:r>
              <w:rPr>
                <w:rFonts w:hint="eastAsia" w:ascii="宋体" w:hAnsi="宋体" w:eastAsia="宋体" w:cs="宋体"/>
                <w:color w:val="auto"/>
                <w:sz w:val="21"/>
                <w:szCs w:val="21"/>
                <w:highlight w:val="none"/>
                <w:lang w:val="en-US" w:eastAsia="zh-CN"/>
              </w:rPr>
              <w:t>系统包含</w:t>
            </w:r>
            <w:r>
              <w:rPr>
                <w:rFonts w:hint="eastAsia" w:ascii="宋体" w:hAnsi="宋体" w:cs="宋体"/>
                <w:color w:val="auto"/>
                <w:sz w:val="21"/>
                <w:szCs w:val="21"/>
                <w:highlight w:val="none"/>
                <w:lang w:val="en-US" w:eastAsia="zh-CN"/>
              </w:rPr>
              <w:t>但不限于</w:t>
            </w:r>
            <w:r>
              <w:rPr>
                <w:rFonts w:hint="eastAsia" w:ascii="宋体" w:hAnsi="宋体" w:eastAsia="宋体" w:cs="宋体"/>
                <w:color w:val="auto"/>
                <w:sz w:val="21"/>
                <w:szCs w:val="21"/>
                <w:highlight w:val="none"/>
                <w:lang w:val="en-US" w:eastAsia="zh-CN"/>
              </w:rPr>
              <w:t>中心介绍、中心活动花絮、你所不知道的心理学、心理咨询师风采、我是谁以及心灵鸡汤六大版块。</w:t>
            </w:r>
            <w:r>
              <w:rPr>
                <w:rFonts w:hint="eastAsia" w:ascii="宋体" w:hAnsi="宋体" w:eastAsia="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嵌入式互动屏配置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1、≥32英寸</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2、防爆触摸屏，具有高透明度，高强度，高透光率等特点。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可承受超过60000000次以上的单点触摸。</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3、abs材质外壳，表面应防磁、防静电、内置风扇、功放。</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4、音响应采用双声道，立体声环绕功放系统，功率：≥2x2W频响：20Hz~20KHz。</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5、网络接口为RJ45或RJ11。</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6、展示平台主体颜色应为天蓝色。柜体为天蓝色与白色嵌合式设计，正前方整体外观为≥2个长椭圆形的合拢式设计，美观大方。触摸屏到地面的高度不少于700 mm，长度不少于725 mm，宽度不少于435 mm。</w:t>
            </w:r>
          </w:p>
        </w:tc>
        <w:tc>
          <w:tcPr>
            <w:tcW w:w="603" w:type="dxa"/>
            <w:noWrap w:val="0"/>
            <w:vAlign w:val="center"/>
          </w:tcPr>
          <w:p w14:paraId="7A6B628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197E4C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81F575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31500</w:t>
            </w:r>
          </w:p>
        </w:tc>
        <w:tc>
          <w:tcPr>
            <w:tcW w:w="635" w:type="dxa"/>
            <w:noWrap w:val="0"/>
            <w:vAlign w:val="center"/>
          </w:tcPr>
          <w:p w14:paraId="083552EC">
            <w:pPr>
              <w:spacing w:before="65" w:line="189" w:lineRule="auto"/>
              <w:ind w:left="182"/>
              <w:jc w:val="center"/>
              <w:rPr>
                <w:rFonts w:hint="eastAsia" w:ascii="宋体" w:hAnsi="宋体" w:eastAsia="宋体" w:cs="宋体"/>
                <w:color w:val="auto"/>
                <w:sz w:val="21"/>
                <w:szCs w:val="21"/>
                <w:highlight w:val="none"/>
              </w:rPr>
            </w:pPr>
          </w:p>
        </w:tc>
      </w:tr>
      <w:tr w14:paraId="63062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C89375D">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18009F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身心反馈训练系统（三通道）</w:t>
            </w:r>
          </w:p>
        </w:tc>
        <w:tc>
          <w:tcPr>
            <w:tcW w:w="5472" w:type="dxa"/>
            <w:noWrap w:val="0"/>
            <w:vAlign w:val="center"/>
          </w:tcPr>
          <w:p w14:paraId="37D094F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软件</w:t>
            </w:r>
            <w:r>
              <w:rPr>
                <w:rFonts w:hint="eastAsia" w:ascii="宋体" w:hAnsi="宋体" w:cs="宋体"/>
                <w:color w:val="auto"/>
                <w:sz w:val="21"/>
                <w:szCs w:val="21"/>
                <w:highlight w:val="none"/>
                <w:lang w:val="en-US" w:eastAsia="zh-CN"/>
              </w:rPr>
              <w:t>至少包含以下功能：</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身心反馈训练系统（三通道）是一种身心放松训练设备，通过心率、呼吸、脑波三种传感器采集人体生理指标，经过系统智能分析，展示出用户的身心状态，帮助用户及时进行身心放松，舒缓心理压力，保持身心健康。</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硬件配置</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放松训练椅尺寸约为（展开）：约196cm *99cm*115cm</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脑电波采集器</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身心反馈（三通道）管理系统</w:t>
            </w:r>
          </w:p>
        </w:tc>
        <w:tc>
          <w:tcPr>
            <w:tcW w:w="603" w:type="dxa"/>
            <w:noWrap w:val="0"/>
            <w:vAlign w:val="center"/>
          </w:tcPr>
          <w:p w14:paraId="03E9539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042748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6F99E1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41000</w:t>
            </w:r>
          </w:p>
        </w:tc>
        <w:tc>
          <w:tcPr>
            <w:tcW w:w="635" w:type="dxa"/>
            <w:noWrap w:val="0"/>
            <w:vAlign w:val="center"/>
          </w:tcPr>
          <w:p w14:paraId="2BAE6967">
            <w:pPr>
              <w:spacing w:before="65" w:line="189" w:lineRule="auto"/>
              <w:ind w:left="182"/>
              <w:jc w:val="center"/>
              <w:rPr>
                <w:rFonts w:hint="eastAsia" w:ascii="宋体" w:hAnsi="宋体" w:eastAsia="宋体" w:cs="宋体"/>
                <w:color w:val="auto"/>
                <w:sz w:val="21"/>
                <w:szCs w:val="21"/>
                <w:highlight w:val="none"/>
              </w:rPr>
            </w:pPr>
          </w:p>
        </w:tc>
      </w:tr>
      <w:tr w14:paraId="3EFA7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6F8DBDE">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4F7AB49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音乐放松训练系统(标准型)</w:t>
            </w:r>
          </w:p>
        </w:tc>
        <w:tc>
          <w:tcPr>
            <w:tcW w:w="5472" w:type="dxa"/>
            <w:noWrap w:val="0"/>
            <w:vAlign w:val="center"/>
          </w:tcPr>
          <w:p w14:paraId="6B80F00C">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1.功能</w:t>
            </w:r>
            <w:r>
              <w:rPr>
                <w:rFonts w:hint="eastAsia" w:ascii="宋体" w:hAnsi="宋体" w:cs="宋体"/>
                <w:color w:val="auto"/>
                <w:sz w:val="21"/>
                <w:szCs w:val="21"/>
                <w:highlight w:val="none"/>
                <w:lang w:val="en-US" w:eastAsia="zh-CN"/>
              </w:rPr>
              <w:t>要求</w:t>
            </w:r>
            <w:r>
              <w:rPr>
                <w:rFonts w:hint="default"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（一）学习中心：应具备自助式放松训练功能，包含意念式呼吸法、腹式呼吸法、基本渐进式肌肉放松法 等三种模式，提供专业真人教学视频。</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（三）放松中心：应包含放松方案、放松环境、辅助催眠、系统管理、放松情况、使用帮助6大模块。可以实时监测使用者心率、压力指数、HRV、PNN50等数值，更加深入地分析用户的身心状态。</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（四）记录中心1、可以查询使用者本次及历次使用记录，可根据放松日期、用户名、用户所属进行查询用户训练记录，记录包含最大血氧、最大脉率、平均血氧、平均脉率、使用的方案等内容</w:t>
            </w:r>
          </w:p>
        </w:tc>
        <w:tc>
          <w:tcPr>
            <w:tcW w:w="603" w:type="dxa"/>
            <w:noWrap w:val="0"/>
            <w:vAlign w:val="center"/>
          </w:tcPr>
          <w:p w14:paraId="05C5AB4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1ABEE4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C6E488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34000</w:t>
            </w:r>
          </w:p>
        </w:tc>
        <w:tc>
          <w:tcPr>
            <w:tcW w:w="635" w:type="dxa"/>
            <w:noWrap w:val="0"/>
            <w:vAlign w:val="center"/>
          </w:tcPr>
          <w:p w14:paraId="4EB9AF06">
            <w:pPr>
              <w:spacing w:before="65" w:line="189" w:lineRule="auto"/>
              <w:ind w:left="182"/>
              <w:jc w:val="center"/>
              <w:rPr>
                <w:rFonts w:hint="eastAsia" w:ascii="宋体" w:hAnsi="宋体" w:eastAsia="宋体" w:cs="宋体"/>
                <w:color w:val="auto"/>
                <w:sz w:val="21"/>
                <w:szCs w:val="21"/>
                <w:highlight w:val="none"/>
              </w:rPr>
            </w:pPr>
          </w:p>
        </w:tc>
      </w:tr>
      <w:tr w14:paraId="67779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7D983C0">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2C007F7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沙盘套装</w:t>
            </w:r>
          </w:p>
        </w:tc>
        <w:tc>
          <w:tcPr>
            <w:tcW w:w="5472" w:type="dxa"/>
            <w:noWrap w:val="0"/>
            <w:vAlign w:val="center"/>
          </w:tcPr>
          <w:p w14:paraId="5933BC58">
            <w:pPr>
              <w:numPr>
                <w:ilvl w:val="0"/>
                <w:numId w:val="18"/>
              </w:num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1、沙具架：沙具陈列架两个，材质应为松木原木。尺寸：约为宽120cm×高160 cm×深35cm，6层11阶设计，木本色，清漆涂层。2、沙箱：标准个体沙箱≥一个，标准团体沙箱≥一个。材质为松木原木。1)尺寸：约为57*72*7cm；；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团体沙箱规格：按照国际标准1)尺寸： 约为85*120*10cm； 3、沙箱腿：整体为整条方木原木制作结构，材质为松木原木制作。高度70－100cm正好适合于手放置沙具的位置，美观实用。</w:t>
            </w:r>
          </w:p>
          <w:p w14:paraId="4C32EE33">
            <w:pPr>
              <w:numPr>
                <w:ilvl w:val="0"/>
                <w:numId w:val="0"/>
              </w:numPr>
              <w:spacing w:before="65"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4、沙具：≥1600个，沙具为树脂、陶瓷、聚氨脂材料制造。包含人物类、交通工具类、动物类、植物类、食品类、家居类、家禽类、宗教类等18大类别。</w:t>
            </w:r>
          </w:p>
        </w:tc>
        <w:tc>
          <w:tcPr>
            <w:tcW w:w="603" w:type="dxa"/>
            <w:noWrap w:val="0"/>
            <w:vAlign w:val="center"/>
          </w:tcPr>
          <w:p w14:paraId="75E2939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13D04ED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662847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16024</w:t>
            </w:r>
          </w:p>
        </w:tc>
        <w:tc>
          <w:tcPr>
            <w:tcW w:w="635" w:type="dxa"/>
            <w:noWrap w:val="0"/>
            <w:vAlign w:val="center"/>
          </w:tcPr>
          <w:p w14:paraId="47436467">
            <w:pPr>
              <w:spacing w:before="65" w:line="189" w:lineRule="auto"/>
              <w:ind w:left="182"/>
              <w:jc w:val="center"/>
              <w:rPr>
                <w:rFonts w:hint="eastAsia" w:ascii="宋体" w:hAnsi="宋体" w:eastAsia="宋体" w:cs="宋体"/>
                <w:color w:val="auto"/>
                <w:sz w:val="21"/>
                <w:szCs w:val="21"/>
                <w:highlight w:val="none"/>
              </w:rPr>
            </w:pPr>
          </w:p>
        </w:tc>
      </w:tr>
      <w:tr w14:paraId="55E56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191749">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2DF3977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宣泄人套装（标准版）</w:t>
            </w:r>
          </w:p>
        </w:tc>
        <w:tc>
          <w:tcPr>
            <w:tcW w:w="5472" w:type="dxa"/>
            <w:noWrap w:val="0"/>
            <w:vAlign w:val="center"/>
          </w:tcPr>
          <w:p w14:paraId="24629DF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宣泄人2个，仿真人形，2、宣泄人头套4个3、宣泄棒2根，4、立式宣泄球2套，立式不倒，5、护手套2副：6、宣泄挂图4幅7、储物凳1个，可以随机配送绿色、黑色、棕色、红色这4种颜色，以方便存放头套及护手套等配套器材。</w:t>
            </w:r>
          </w:p>
        </w:tc>
        <w:tc>
          <w:tcPr>
            <w:tcW w:w="603" w:type="dxa"/>
            <w:noWrap w:val="0"/>
            <w:vAlign w:val="center"/>
          </w:tcPr>
          <w:p w14:paraId="2EDF2C2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A3015F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DD33A9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7800</w:t>
            </w:r>
          </w:p>
        </w:tc>
        <w:tc>
          <w:tcPr>
            <w:tcW w:w="635" w:type="dxa"/>
            <w:noWrap w:val="0"/>
            <w:vAlign w:val="center"/>
          </w:tcPr>
          <w:p w14:paraId="34C77D6F">
            <w:pPr>
              <w:spacing w:before="65" w:line="189" w:lineRule="auto"/>
              <w:ind w:left="182"/>
              <w:jc w:val="center"/>
              <w:rPr>
                <w:rFonts w:hint="eastAsia" w:ascii="宋体" w:hAnsi="宋体" w:eastAsia="宋体" w:cs="宋体"/>
                <w:color w:val="auto"/>
                <w:sz w:val="21"/>
                <w:szCs w:val="21"/>
                <w:highlight w:val="none"/>
              </w:rPr>
            </w:pPr>
          </w:p>
        </w:tc>
      </w:tr>
      <w:tr w14:paraId="40A3C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4070C13">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59C433D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档案柜</w:t>
            </w:r>
          </w:p>
        </w:tc>
        <w:tc>
          <w:tcPr>
            <w:tcW w:w="5472" w:type="dxa"/>
            <w:noWrap w:val="0"/>
            <w:vAlign w:val="center"/>
          </w:tcPr>
          <w:p w14:paraId="051F232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约为80cm×195cm铁皮档案柜，厚度≥0.8mm</w:t>
            </w:r>
          </w:p>
        </w:tc>
        <w:tc>
          <w:tcPr>
            <w:tcW w:w="603" w:type="dxa"/>
            <w:noWrap w:val="0"/>
            <w:vAlign w:val="center"/>
          </w:tcPr>
          <w:p w14:paraId="71CEEEC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7C5329E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2237E9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w:t>
            </w:r>
          </w:p>
        </w:tc>
        <w:tc>
          <w:tcPr>
            <w:tcW w:w="635" w:type="dxa"/>
            <w:noWrap w:val="0"/>
            <w:vAlign w:val="center"/>
          </w:tcPr>
          <w:p w14:paraId="637CF3E4">
            <w:pPr>
              <w:spacing w:before="65" w:line="189" w:lineRule="auto"/>
              <w:ind w:left="182"/>
              <w:jc w:val="center"/>
              <w:rPr>
                <w:rFonts w:hint="eastAsia" w:ascii="宋体" w:hAnsi="宋体" w:eastAsia="宋体" w:cs="宋体"/>
                <w:color w:val="auto"/>
                <w:sz w:val="21"/>
                <w:szCs w:val="21"/>
                <w:highlight w:val="none"/>
              </w:rPr>
            </w:pPr>
          </w:p>
        </w:tc>
      </w:tr>
      <w:tr w14:paraId="0D3A0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402893">
            <w:pPr>
              <w:numPr>
                <w:ilvl w:val="0"/>
                <w:numId w:val="17"/>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67A4754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书柜</w:t>
            </w:r>
          </w:p>
        </w:tc>
        <w:tc>
          <w:tcPr>
            <w:tcW w:w="5472" w:type="dxa"/>
            <w:noWrap w:val="0"/>
            <w:vAlign w:val="center"/>
          </w:tcPr>
          <w:p w14:paraId="3E84410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约为80cm×195cm实木≥5层书柜，带双开门，实木坂，厚度≥3cm</w:t>
            </w:r>
          </w:p>
        </w:tc>
        <w:tc>
          <w:tcPr>
            <w:tcW w:w="603" w:type="dxa"/>
            <w:noWrap w:val="0"/>
            <w:vAlign w:val="center"/>
          </w:tcPr>
          <w:p w14:paraId="5A5BEF9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0A54B6F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11AEC3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635" w:type="dxa"/>
            <w:noWrap w:val="0"/>
            <w:vAlign w:val="center"/>
          </w:tcPr>
          <w:p w14:paraId="086C2224">
            <w:pPr>
              <w:spacing w:before="65" w:line="189" w:lineRule="auto"/>
              <w:ind w:left="182"/>
              <w:jc w:val="center"/>
              <w:rPr>
                <w:rFonts w:hint="eastAsia" w:ascii="宋体" w:hAnsi="宋体" w:eastAsia="宋体" w:cs="宋体"/>
                <w:color w:val="auto"/>
                <w:sz w:val="21"/>
                <w:szCs w:val="21"/>
                <w:highlight w:val="none"/>
              </w:rPr>
            </w:pPr>
          </w:p>
        </w:tc>
      </w:tr>
      <w:tr w14:paraId="72D6B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216F488">
            <w:pPr>
              <w:numPr>
                <w:ilvl w:val="0"/>
                <w:numId w:val="17"/>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73C263B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心理宣讲材料</w:t>
            </w:r>
          </w:p>
        </w:tc>
        <w:tc>
          <w:tcPr>
            <w:tcW w:w="5472" w:type="dxa"/>
            <w:noWrap w:val="0"/>
            <w:vAlign w:val="center"/>
          </w:tcPr>
          <w:p w14:paraId="317BCC3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心理宣讲材料</w:t>
            </w:r>
          </w:p>
        </w:tc>
        <w:tc>
          <w:tcPr>
            <w:tcW w:w="603" w:type="dxa"/>
            <w:noWrap w:val="0"/>
            <w:vAlign w:val="center"/>
          </w:tcPr>
          <w:p w14:paraId="6584BD6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600" w:type="dxa"/>
            <w:noWrap w:val="0"/>
            <w:vAlign w:val="center"/>
          </w:tcPr>
          <w:p w14:paraId="769556F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册</w:t>
            </w:r>
          </w:p>
        </w:tc>
        <w:tc>
          <w:tcPr>
            <w:tcW w:w="1110" w:type="dxa"/>
            <w:noWrap w:val="0"/>
            <w:vAlign w:val="center"/>
          </w:tcPr>
          <w:p w14:paraId="137C742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635" w:type="dxa"/>
            <w:noWrap w:val="0"/>
            <w:vAlign w:val="center"/>
          </w:tcPr>
          <w:p w14:paraId="57414723">
            <w:pPr>
              <w:spacing w:before="65" w:line="189" w:lineRule="auto"/>
              <w:ind w:left="182"/>
              <w:jc w:val="center"/>
              <w:rPr>
                <w:rFonts w:hint="eastAsia" w:ascii="宋体" w:hAnsi="宋体" w:eastAsia="宋体" w:cs="宋体"/>
                <w:color w:val="auto"/>
                <w:sz w:val="21"/>
                <w:szCs w:val="21"/>
                <w:highlight w:val="none"/>
              </w:rPr>
            </w:pPr>
          </w:p>
        </w:tc>
      </w:tr>
      <w:tr w14:paraId="779EB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E213C09">
            <w:pPr>
              <w:numPr>
                <w:ilvl w:val="0"/>
                <w:numId w:val="17"/>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3439CAB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团体心理辅导器材箱</w:t>
            </w:r>
          </w:p>
        </w:tc>
        <w:tc>
          <w:tcPr>
            <w:tcW w:w="5472" w:type="dxa"/>
            <w:noWrap w:val="0"/>
            <w:vAlign w:val="center"/>
          </w:tcPr>
          <w:p w14:paraId="57EF74FC">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主题活动所需器材及团体辅导管理软件</w:t>
            </w:r>
          </w:p>
        </w:tc>
        <w:tc>
          <w:tcPr>
            <w:tcW w:w="603" w:type="dxa"/>
            <w:noWrap w:val="0"/>
            <w:vAlign w:val="center"/>
          </w:tcPr>
          <w:p w14:paraId="446E99B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A69112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6239B2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6800</w:t>
            </w:r>
          </w:p>
        </w:tc>
        <w:tc>
          <w:tcPr>
            <w:tcW w:w="635" w:type="dxa"/>
            <w:noWrap w:val="0"/>
            <w:vAlign w:val="center"/>
          </w:tcPr>
          <w:p w14:paraId="37D9DABF">
            <w:pPr>
              <w:spacing w:before="65" w:line="189" w:lineRule="auto"/>
              <w:ind w:left="182"/>
              <w:jc w:val="center"/>
              <w:rPr>
                <w:rFonts w:hint="eastAsia" w:ascii="宋体" w:hAnsi="宋体" w:eastAsia="宋体" w:cs="宋体"/>
                <w:color w:val="auto"/>
                <w:sz w:val="21"/>
                <w:szCs w:val="21"/>
                <w:highlight w:val="none"/>
              </w:rPr>
            </w:pPr>
          </w:p>
        </w:tc>
      </w:tr>
      <w:tr w14:paraId="43142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B671544">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43D06A3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工作台</w:t>
            </w:r>
          </w:p>
        </w:tc>
        <w:tc>
          <w:tcPr>
            <w:tcW w:w="5472" w:type="dxa"/>
            <w:noWrap w:val="0"/>
            <w:vAlign w:val="center"/>
          </w:tcPr>
          <w:p w14:paraId="79054F2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六边形木制</w:t>
            </w:r>
            <w:r>
              <w:rPr>
                <w:rFonts w:hint="eastAsia" w:ascii="宋体" w:hAnsi="宋体" w:cs="宋体"/>
                <w:color w:val="auto"/>
                <w:sz w:val="21"/>
                <w:szCs w:val="21"/>
                <w:highlight w:val="none"/>
                <w:lang w:val="en-US" w:eastAsia="zh-CN"/>
              </w:rPr>
              <w:t>工作台</w:t>
            </w:r>
            <w:r>
              <w:rPr>
                <w:rFonts w:hint="eastAsia" w:ascii="宋体" w:hAnsi="宋体" w:eastAsia="宋体" w:cs="宋体"/>
                <w:color w:val="auto"/>
                <w:sz w:val="21"/>
                <w:szCs w:val="21"/>
                <w:highlight w:val="none"/>
                <w:lang w:val="en-US" w:eastAsia="zh-CN"/>
              </w:rPr>
              <w:t>，能同时容纳≥6个人，直径≥120cm，半径≥50cm，单边长≥60cm，高度≥65cm，中间镂空</w:t>
            </w:r>
          </w:p>
        </w:tc>
        <w:tc>
          <w:tcPr>
            <w:tcW w:w="603" w:type="dxa"/>
            <w:noWrap w:val="0"/>
            <w:vAlign w:val="center"/>
          </w:tcPr>
          <w:p w14:paraId="042FA04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7189ED2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22C626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635" w:type="dxa"/>
            <w:noWrap w:val="0"/>
            <w:vAlign w:val="center"/>
          </w:tcPr>
          <w:p w14:paraId="45671899">
            <w:pPr>
              <w:spacing w:before="65" w:line="189" w:lineRule="auto"/>
              <w:ind w:left="182"/>
              <w:jc w:val="center"/>
              <w:rPr>
                <w:rFonts w:hint="eastAsia" w:ascii="宋体" w:hAnsi="宋体" w:eastAsia="宋体" w:cs="宋体"/>
                <w:color w:val="auto"/>
                <w:sz w:val="21"/>
                <w:szCs w:val="21"/>
                <w:highlight w:val="none"/>
              </w:rPr>
            </w:pPr>
          </w:p>
        </w:tc>
      </w:tr>
      <w:tr w14:paraId="2D1E5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09EF31">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45FA292D">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工作椅</w:t>
            </w:r>
          </w:p>
        </w:tc>
        <w:tc>
          <w:tcPr>
            <w:tcW w:w="5472" w:type="dxa"/>
            <w:noWrap w:val="0"/>
            <w:vAlign w:val="center"/>
          </w:tcPr>
          <w:p w14:paraId="3A01FAA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与六边形</w:t>
            </w:r>
            <w:r>
              <w:rPr>
                <w:rFonts w:hint="eastAsia" w:ascii="宋体" w:hAnsi="宋体" w:cs="宋体"/>
                <w:color w:val="auto"/>
                <w:sz w:val="21"/>
                <w:szCs w:val="21"/>
                <w:highlight w:val="none"/>
                <w:lang w:val="en-US" w:eastAsia="zh-CN"/>
              </w:rPr>
              <w:t>工作台</w:t>
            </w:r>
            <w:r>
              <w:rPr>
                <w:rFonts w:hint="eastAsia" w:ascii="宋体" w:hAnsi="宋体" w:eastAsia="宋体" w:cs="宋体"/>
                <w:color w:val="auto"/>
                <w:sz w:val="21"/>
                <w:szCs w:val="21"/>
                <w:highlight w:val="none"/>
                <w:lang w:val="en-US" w:eastAsia="zh-CN"/>
              </w:rPr>
              <w:t>配套</w:t>
            </w:r>
          </w:p>
        </w:tc>
        <w:tc>
          <w:tcPr>
            <w:tcW w:w="603" w:type="dxa"/>
            <w:noWrap w:val="0"/>
            <w:vAlign w:val="center"/>
          </w:tcPr>
          <w:p w14:paraId="11F722C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2B537F5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把</w:t>
            </w:r>
          </w:p>
        </w:tc>
        <w:tc>
          <w:tcPr>
            <w:tcW w:w="1110" w:type="dxa"/>
            <w:noWrap w:val="0"/>
            <w:vAlign w:val="center"/>
          </w:tcPr>
          <w:p w14:paraId="29706E4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635" w:type="dxa"/>
            <w:noWrap w:val="0"/>
            <w:vAlign w:val="center"/>
          </w:tcPr>
          <w:p w14:paraId="2C76AFF6">
            <w:pPr>
              <w:spacing w:before="65" w:line="189" w:lineRule="auto"/>
              <w:ind w:left="182"/>
              <w:jc w:val="center"/>
              <w:rPr>
                <w:rFonts w:hint="eastAsia" w:ascii="宋体" w:hAnsi="宋体" w:eastAsia="宋体" w:cs="宋体"/>
                <w:color w:val="auto"/>
                <w:sz w:val="21"/>
                <w:szCs w:val="21"/>
                <w:highlight w:val="none"/>
              </w:rPr>
            </w:pPr>
          </w:p>
        </w:tc>
      </w:tr>
      <w:tr w14:paraId="7E580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AA811F9">
            <w:pPr>
              <w:numPr>
                <w:ilvl w:val="0"/>
                <w:numId w:val="17"/>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A5AC8B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时钟</w:t>
            </w:r>
          </w:p>
        </w:tc>
        <w:tc>
          <w:tcPr>
            <w:tcW w:w="5472" w:type="dxa"/>
            <w:noWrap w:val="0"/>
            <w:vAlign w:val="center"/>
          </w:tcPr>
          <w:p w14:paraId="6E50C6C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圆形挂式时钟</w:t>
            </w:r>
          </w:p>
        </w:tc>
        <w:tc>
          <w:tcPr>
            <w:tcW w:w="603" w:type="dxa"/>
            <w:noWrap w:val="0"/>
            <w:vAlign w:val="center"/>
          </w:tcPr>
          <w:p w14:paraId="21F0E3A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94762D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B31632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c>
          <w:tcPr>
            <w:tcW w:w="635" w:type="dxa"/>
            <w:noWrap w:val="0"/>
            <w:vAlign w:val="center"/>
          </w:tcPr>
          <w:p w14:paraId="520A213F">
            <w:pPr>
              <w:spacing w:before="65" w:line="189" w:lineRule="auto"/>
              <w:ind w:left="182"/>
              <w:jc w:val="center"/>
              <w:rPr>
                <w:rFonts w:hint="eastAsia" w:ascii="宋体" w:hAnsi="宋体" w:eastAsia="宋体" w:cs="宋体"/>
                <w:color w:val="auto"/>
                <w:sz w:val="21"/>
                <w:szCs w:val="21"/>
                <w:highlight w:val="none"/>
              </w:rPr>
            </w:pPr>
          </w:p>
        </w:tc>
      </w:tr>
      <w:tr w14:paraId="34DA0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B74367">
            <w:pPr>
              <w:numPr>
                <w:ilvl w:val="0"/>
                <w:numId w:val="17"/>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0F5CA6C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环境创设</w:t>
            </w:r>
            <w:r>
              <w:rPr>
                <w:rFonts w:hint="eastAsia" w:ascii="宋体" w:hAnsi="宋体" w:cs="宋体"/>
                <w:color w:val="auto"/>
                <w:sz w:val="21"/>
                <w:szCs w:val="21"/>
                <w:highlight w:val="none"/>
                <w:lang w:val="en-US" w:eastAsia="zh-CN"/>
              </w:rPr>
              <w:t>服务</w:t>
            </w:r>
          </w:p>
        </w:tc>
        <w:tc>
          <w:tcPr>
            <w:tcW w:w="5472" w:type="dxa"/>
            <w:noWrap w:val="0"/>
            <w:vAlign w:val="center"/>
          </w:tcPr>
          <w:p w14:paraId="22CC357C">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使用≥15mmPVC板制作，包约40cm×80cm宣传板6块，约900cmx500cm教室后墙装修字及图案，颜色及内容根据学校要求制作。</w:t>
            </w:r>
          </w:p>
        </w:tc>
        <w:tc>
          <w:tcPr>
            <w:tcW w:w="603" w:type="dxa"/>
            <w:noWrap w:val="0"/>
            <w:vAlign w:val="center"/>
          </w:tcPr>
          <w:p w14:paraId="23A93A2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BE456D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10" w:type="dxa"/>
            <w:noWrap w:val="0"/>
            <w:vAlign w:val="center"/>
          </w:tcPr>
          <w:p w14:paraId="58B6A5C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3000</w:t>
            </w:r>
          </w:p>
        </w:tc>
        <w:tc>
          <w:tcPr>
            <w:tcW w:w="635" w:type="dxa"/>
            <w:noWrap w:val="0"/>
            <w:vAlign w:val="center"/>
          </w:tcPr>
          <w:p w14:paraId="3E4FC197">
            <w:pPr>
              <w:spacing w:before="65" w:line="189" w:lineRule="auto"/>
              <w:ind w:left="182"/>
              <w:jc w:val="center"/>
              <w:rPr>
                <w:rFonts w:hint="eastAsia" w:ascii="宋体" w:hAnsi="宋体" w:eastAsia="宋体" w:cs="宋体"/>
                <w:color w:val="auto"/>
                <w:sz w:val="21"/>
                <w:szCs w:val="21"/>
                <w:highlight w:val="none"/>
              </w:rPr>
            </w:pPr>
          </w:p>
        </w:tc>
      </w:tr>
      <w:tr w14:paraId="4D8D3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0EA29BE7">
            <w:pPr>
              <w:spacing w:before="65" w:line="279" w:lineRule="auto"/>
              <w:ind w:left="0" w:leftChars="0" w:right="115"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第五项</w:t>
            </w:r>
            <w:r>
              <w:rPr>
                <w:rFonts w:hint="eastAsia" w:ascii="宋体" w:hAnsi="宋体" w:eastAsia="宋体" w:cs="宋体"/>
                <w:b/>
                <w:bCs/>
                <w:color w:val="auto"/>
                <w:sz w:val="21"/>
                <w:szCs w:val="21"/>
                <w:highlight w:val="none"/>
                <w:lang w:eastAsia="zh-CN"/>
              </w:rPr>
              <w:t>合计</w:t>
            </w:r>
          </w:p>
        </w:tc>
        <w:tc>
          <w:tcPr>
            <w:tcW w:w="5472" w:type="dxa"/>
            <w:noWrap w:val="0"/>
            <w:vAlign w:val="center"/>
          </w:tcPr>
          <w:p w14:paraId="347DD984">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0B2EEA95">
            <w:pPr>
              <w:tabs>
                <w:tab w:val="left" w:pos="1036"/>
              </w:tabs>
              <w:spacing w:before="65" w:line="187" w:lineRule="auto"/>
              <w:ind w:left="141"/>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199424.00</w:t>
            </w:r>
          </w:p>
        </w:tc>
        <w:tc>
          <w:tcPr>
            <w:tcW w:w="635" w:type="dxa"/>
            <w:noWrap w:val="0"/>
            <w:vAlign w:val="center"/>
          </w:tcPr>
          <w:p w14:paraId="44BA4B87">
            <w:pPr>
              <w:spacing w:before="65" w:line="189" w:lineRule="auto"/>
              <w:ind w:left="182"/>
              <w:jc w:val="center"/>
              <w:rPr>
                <w:rFonts w:hint="eastAsia" w:ascii="宋体" w:hAnsi="宋体" w:eastAsia="宋体" w:cs="宋体"/>
                <w:color w:val="auto"/>
                <w:sz w:val="21"/>
                <w:szCs w:val="21"/>
                <w:highlight w:val="none"/>
              </w:rPr>
            </w:pPr>
          </w:p>
        </w:tc>
      </w:tr>
      <w:tr w14:paraId="639C2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18A3216A">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eastAsia="zh-CN" w:bidi="ar"/>
              </w:rPr>
              <w:t>六</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管乐队器材</w:t>
            </w:r>
          </w:p>
        </w:tc>
      </w:tr>
      <w:tr w14:paraId="093A0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F2B8A17">
            <w:pPr>
              <w:numPr>
                <w:ilvl w:val="0"/>
                <w:numId w:val="19"/>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5FEFB42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小号</w:t>
            </w:r>
          </w:p>
        </w:tc>
        <w:tc>
          <w:tcPr>
            <w:tcW w:w="5472" w:type="dxa"/>
            <w:noWrap w:val="0"/>
            <w:vAlign w:val="center"/>
          </w:tcPr>
          <w:p w14:paraId="0CA2D7A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JBTR-300 小号乐器小号</w:t>
            </w:r>
          </w:p>
        </w:tc>
        <w:tc>
          <w:tcPr>
            <w:tcW w:w="603" w:type="dxa"/>
            <w:noWrap w:val="0"/>
            <w:vAlign w:val="center"/>
          </w:tcPr>
          <w:p w14:paraId="360807A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600" w:type="dxa"/>
            <w:noWrap w:val="0"/>
            <w:vAlign w:val="center"/>
          </w:tcPr>
          <w:p w14:paraId="2227D2D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C319CD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758</w:t>
            </w:r>
          </w:p>
        </w:tc>
        <w:tc>
          <w:tcPr>
            <w:tcW w:w="635" w:type="dxa"/>
            <w:noWrap w:val="0"/>
            <w:vAlign w:val="center"/>
          </w:tcPr>
          <w:p w14:paraId="37F991B3">
            <w:pPr>
              <w:spacing w:before="65" w:line="189" w:lineRule="auto"/>
              <w:ind w:left="182"/>
              <w:jc w:val="center"/>
              <w:rPr>
                <w:rFonts w:hint="eastAsia" w:ascii="宋体" w:hAnsi="宋体" w:eastAsia="宋体" w:cs="宋体"/>
                <w:color w:val="auto"/>
                <w:sz w:val="21"/>
                <w:szCs w:val="21"/>
                <w:highlight w:val="none"/>
              </w:rPr>
            </w:pPr>
          </w:p>
        </w:tc>
      </w:tr>
      <w:tr w14:paraId="77FCA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FCBBA1C">
            <w:pPr>
              <w:numPr>
                <w:ilvl w:val="0"/>
                <w:numId w:val="19"/>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25FB15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大队鼓</w:t>
            </w:r>
          </w:p>
        </w:tc>
        <w:tc>
          <w:tcPr>
            <w:tcW w:w="5472" w:type="dxa"/>
            <w:noWrap w:val="0"/>
            <w:vAlign w:val="center"/>
          </w:tcPr>
          <w:p w14:paraId="6C5B5BE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演奏学生打击乐器18-24英寸</w:t>
            </w:r>
          </w:p>
        </w:tc>
        <w:tc>
          <w:tcPr>
            <w:tcW w:w="603" w:type="dxa"/>
            <w:noWrap w:val="0"/>
            <w:vAlign w:val="center"/>
          </w:tcPr>
          <w:p w14:paraId="1BE2599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600" w:type="dxa"/>
            <w:noWrap w:val="0"/>
            <w:vAlign w:val="center"/>
          </w:tcPr>
          <w:p w14:paraId="070E45A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A65D35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340</w:t>
            </w:r>
          </w:p>
        </w:tc>
        <w:tc>
          <w:tcPr>
            <w:tcW w:w="635" w:type="dxa"/>
            <w:noWrap w:val="0"/>
            <w:vAlign w:val="center"/>
          </w:tcPr>
          <w:p w14:paraId="74A02BCD">
            <w:pPr>
              <w:spacing w:before="65" w:line="189" w:lineRule="auto"/>
              <w:ind w:left="182"/>
              <w:jc w:val="center"/>
              <w:rPr>
                <w:rFonts w:hint="eastAsia" w:ascii="宋体" w:hAnsi="宋体" w:eastAsia="宋体" w:cs="宋体"/>
                <w:color w:val="auto"/>
                <w:sz w:val="21"/>
                <w:szCs w:val="21"/>
                <w:highlight w:val="none"/>
              </w:rPr>
            </w:pPr>
          </w:p>
        </w:tc>
      </w:tr>
      <w:tr w14:paraId="1B606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AD5A7D6">
            <w:pPr>
              <w:numPr>
                <w:ilvl w:val="0"/>
                <w:numId w:val="19"/>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6CA5170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小队鼓</w:t>
            </w:r>
          </w:p>
        </w:tc>
        <w:tc>
          <w:tcPr>
            <w:tcW w:w="5472" w:type="dxa"/>
            <w:noWrap w:val="0"/>
            <w:vAlign w:val="center"/>
          </w:tcPr>
          <w:p w14:paraId="551FC16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演奏学生打击乐器12-16英寸</w:t>
            </w:r>
          </w:p>
        </w:tc>
        <w:tc>
          <w:tcPr>
            <w:tcW w:w="603" w:type="dxa"/>
            <w:noWrap w:val="0"/>
            <w:vAlign w:val="center"/>
          </w:tcPr>
          <w:p w14:paraId="71E75DF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600" w:type="dxa"/>
            <w:noWrap w:val="0"/>
            <w:vAlign w:val="center"/>
          </w:tcPr>
          <w:p w14:paraId="2B665F8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6589C8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240</w:t>
            </w:r>
          </w:p>
        </w:tc>
        <w:tc>
          <w:tcPr>
            <w:tcW w:w="635" w:type="dxa"/>
            <w:noWrap w:val="0"/>
            <w:vAlign w:val="center"/>
          </w:tcPr>
          <w:p w14:paraId="6CA79B36">
            <w:pPr>
              <w:spacing w:before="65" w:line="189" w:lineRule="auto"/>
              <w:ind w:left="182"/>
              <w:jc w:val="center"/>
              <w:rPr>
                <w:rFonts w:hint="eastAsia" w:ascii="宋体" w:hAnsi="宋体" w:eastAsia="宋体" w:cs="宋体"/>
                <w:color w:val="auto"/>
                <w:sz w:val="21"/>
                <w:szCs w:val="21"/>
                <w:highlight w:val="none"/>
              </w:rPr>
            </w:pPr>
          </w:p>
        </w:tc>
      </w:tr>
      <w:tr w14:paraId="4941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5D37F27">
            <w:pPr>
              <w:numPr>
                <w:ilvl w:val="0"/>
                <w:numId w:val="19"/>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240BAC3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大镲</w:t>
            </w:r>
          </w:p>
        </w:tc>
        <w:tc>
          <w:tcPr>
            <w:tcW w:w="5472" w:type="dxa"/>
            <w:noWrap w:val="0"/>
            <w:vAlign w:val="center"/>
          </w:tcPr>
          <w:p w14:paraId="428F1FB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21-30cm</w:t>
            </w:r>
          </w:p>
        </w:tc>
        <w:tc>
          <w:tcPr>
            <w:tcW w:w="603" w:type="dxa"/>
            <w:noWrap w:val="0"/>
            <w:vAlign w:val="center"/>
          </w:tcPr>
          <w:p w14:paraId="1C6FD11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600" w:type="dxa"/>
            <w:noWrap w:val="0"/>
            <w:vAlign w:val="center"/>
          </w:tcPr>
          <w:p w14:paraId="6D184AD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6116EF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280</w:t>
            </w:r>
          </w:p>
        </w:tc>
        <w:tc>
          <w:tcPr>
            <w:tcW w:w="635" w:type="dxa"/>
            <w:noWrap w:val="0"/>
            <w:vAlign w:val="center"/>
          </w:tcPr>
          <w:p w14:paraId="7BEF5404">
            <w:pPr>
              <w:spacing w:before="65" w:line="189" w:lineRule="auto"/>
              <w:ind w:left="182"/>
              <w:jc w:val="center"/>
              <w:rPr>
                <w:rFonts w:hint="eastAsia" w:ascii="宋体" w:hAnsi="宋体" w:eastAsia="宋体" w:cs="宋体"/>
                <w:color w:val="auto"/>
                <w:sz w:val="21"/>
                <w:szCs w:val="21"/>
                <w:highlight w:val="none"/>
              </w:rPr>
            </w:pPr>
          </w:p>
        </w:tc>
      </w:tr>
      <w:tr w14:paraId="3A850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DBD5962">
            <w:pPr>
              <w:numPr>
                <w:ilvl w:val="0"/>
                <w:numId w:val="19"/>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5C78DC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小镲</w:t>
            </w:r>
          </w:p>
        </w:tc>
        <w:tc>
          <w:tcPr>
            <w:tcW w:w="5472" w:type="dxa"/>
            <w:noWrap w:val="0"/>
            <w:vAlign w:val="center"/>
          </w:tcPr>
          <w:p w14:paraId="62E0AA7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直径≥150mm，厚度≥1.6mm，锅帽直径≥55mm，高≥20mm</w:t>
            </w:r>
          </w:p>
        </w:tc>
        <w:tc>
          <w:tcPr>
            <w:tcW w:w="603" w:type="dxa"/>
            <w:noWrap w:val="0"/>
            <w:vAlign w:val="center"/>
          </w:tcPr>
          <w:p w14:paraId="2C88394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00549E1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46BCF1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w:t>
            </w:r>
          </w:p>
        </w:tc>
        <w:tc>
          <w:tcPr>
            <w:tcW w:w="635" w:type="dxa"/>
            <w:noWrap w:val="0"/>
            <w:vAlign w:val="center"/>
          </w:tcPr>
          <w:p w14:paraId="5ABFB7F1">
            <w:pPr>
              <w:spacing w:before="65" w:line="189" w:lineRule="auto"/>
              <w:ind w:left="182"/>
              <w:jc w:val="center"/>
              <w:rPr>
                <w:rFonts w:hint="eastAsia" w:ascii="宋体" w:hAnsi="宋体" w:eastAsia="宋体" w:cs="宋体"/>
                <w:color w:val="auto"/>
                <w:sz w:val="21"/>
                <w:szCs w:val="21"/>
                <w:highlight w:val="none"/>
              </w:rPr>
            </w:pPr>
          </w:p>
        </w:tc>
      </w:tr>
      <w:tr w14:paraId="3BDE5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F493CE">
            <w:pPr>
              <w:numPr>
                <w:ilvl w:val="0"/>
                <w:numId w:val="19"/>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59871A2">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指挥旗（杖）</w:t>
            </w:r>
          </w:p>
        </w:tc>
        <w:tc>
          <w:tcPr>
            <w:tcW w:w="5472" w:type="dxa"/>
            <w:noWrap w:val="0"/>
            <w:vAlign w:val="center"/>
          </w:tcPr>
          <w:p w14:paraId="72E4F72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不锈钢棒身/不锈钢球体(内装有砂子)/电镀ABS矛头</w:t>
            </w:r>
          </w:p>
        </w:tc>
        <w:tc>
          <w:tcPr>
            <w:tcW w:w="603" w:type="dxa"/>
            <w:noWrap w:val="0"/>
            <w:vAlign w:val="center"/>
          </w:tcPr>
          <w:p w14:paraId="12A1BF4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4103BA3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58923E4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220</w:t>
            </w:r>
          </w:p>
        </w:tc>
        <w:tc>
          <w:tcPr>
            <w:tcW w:w="635" w:type="dxa"/>
            <w:noWrap w:val="0"/>
            <w:vAlign w:val="center"/>
          </w:tcPr>
          <w:p w14:paraId="4FBD867C">
            <w:pPr>
              <w:spacing w:before="65" w:line="189" w:lineRule="auto"/>
              <w:ind w:left="182"/>
              <w:jc w:val="center"/>
              <w:rPr>
                <w:rFonts w:hint="eastAsia" w:ascii="宋体" w:hAnsi="宋体" w:eastAsia="宋体" w:cs="宋体"/>
                <w:color w:val="auto"/>
                <w:sz w:val="21"/>
                <w:szCs w:val="21"/>
                <w:highlight w:val="none"/>
              </w:rPr>
            </w:pPr>
          </w:p>
        </w:tc>
      </w:tr>
      <w:tr w14:paraId="22A3F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3580B2E5">
            <w:pPr>
              <w:spacing w:before="65" w:line="240" w:lineRule="auto"/>
              <w:ind w:left="125" w:right="115" w:firstLine="95"/>
              <w:jc w:val="both"/>
              <w:rPr>
                <w:rFonts w:hint="eastAsia" w:ascii="宋体" w:hAnsi="宋体" w:eastAsia="宋体" w:cs="宋体"/>
                <w:color w:val="auto"/>
                <w:sz w:val="21"/>
                <w:szCs w:val="21"/>
                <w:highlight w:val="none"/>
              </w:rPr>
            </w:pPr>
            <w:r>
              <w:rPr>
                <w:rFonts w:hint="eastAsia" w:ascii="宋体" w:hAnsi="宋体" w:cs="宋体"/>
                <w:b/>
                <w:bCs/>
                <w:color w:val="auto"/>
                <w:sz w:val="21"/>
                <w:szCs w:val="21"/>
                <w:highlight w:val="none"/>
                <w:lang w:eastAsia="zh-CN"/>
              </w:rPr>
              <w:t>第六</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37DC9693">
            <w:pPr>
              <w:spacing w:before="68" w:line="240"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2ED5D0C4">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31064.00</w:t>
            </w:r>
          </w:p>
        </w:tc>
        <w:tc>
          <w:tcPr>
            <w:tcW w:w="635" w:type="dxa"/>
            <w:noWrap w:val="0"/>
            <w:vAlign w:val="center"/>
          </w:tcPr>
          <w:p w14:paraId="55394E58">
            <w:pPr>
              <w:spacing w:before="65" w:line="189" w:lineRule="auto"/>
              <w:ind w:left="182"/>
              <w:jc w:val="center"/>
              <w:rPr>
                <w:rFonts w:hint="eastAsia" w:ascii="宋体" w:hAnsi="宋体" w:eastAsia="宋体" w:cs="宋体"/>
                <w:color w:val="auto"/>
                <w:sz w:val="21"/>
                <w:szCs w:val="21"/>
                <w:highlight w:val="none"/>
              </w:rPr>
            </w:pPr>
          </w:p>
        </w:tc>
      </w:tr>
      <w:tr w14:paraId="76DB1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79D254A0">
            <w:pPr>
              <w:spacing w:before="65"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eastAsia="zh-CN" w:bidi="ar"/>
              </w:rPr>
              <w:t>七</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图书阅览室</w:t>
            </w:r>
          </w:p>
        </w:tc>
      </w:tr>
      <w:tr w14:paraId="6812E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20AD947">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国标黑体" w:hAnsi="国标黑体" w:eastAsia="国标黑体" w:cs="国标黑体"/>
                <w:color w:val="auto"/>
                <w:sz w:val="21"/>
                <w:szCs w:val="21"/>
                <w:highlight w:val="none"/>
                <w:lang w:val="en-US" w:eastAsia="zh-CN"/>
              </w:rPr>
              <w:t>345</w:t>
            </w:r>
          </w:p>
        </w:tc>
        <w:tc>
          <w:tcPr>
            <w:tcW w:w="1245" w:type="dxa"/>
            <w:noWrap w:val="0"/>
            <w:vAlign w:val="center"/>
          </w:tcPr>
          <w:p w14:paraId="2A3F969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图书</w:t>
            </w:r>
          </w:p>
        </w:tc>
        <w:tc>
          <w:tcPr>
            <w:tcW w:w="5472" w:type="dxa"/>
            <w:noWrap w:val="0"/>
            <w:vAlign w:val="center"/>
          </w:tcPr>
          <w:p w14:paraId="2BFB094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小学生课外读物（包含图书馆上架及防盗芯片等）</w:t>
            </w:r>
          </w:p>
          <w:p w14:paraId="61F7782B">
            <w:pPr>
              <w:pStyle w:val="44"/>
              <w:ind w:left="0" w:leftChars="0" w:firstLine="0" w:firstLineChars="0"/>
              <w:rPr>
                <w:rFonts w:hint="eastAsia"/>
                <w:color w:val="auto"/>
                <w:highlight w:val="none"/>
              </w:rPr>
            </w:pPr>
            <w:r>
              <w:rPr>
                <w:rFonts w:hint="eastAsia" w:ascii="宋体" w:hAnsi="宋体" w:cs="宋体"/>
                <w:b/>
                <w:bCs/>
                <w:color w:val="auto"/>
                <w:sz w:val="21"/>
                <w:szCs w:val="21"/>
                <w:highlight w:val="none"/>
                <w:lang w:val="en-US" w:eastAsia="zh-CN"/>
              </w:rPr>
              <w:t>注：供应商须提供有效《中华人民共和国出版物经营许可证》</w:t>
            </w:r>
          </w:p>
        </w:tc>
        <w:tc>
          <w:tcPr>
            <w:tcW w:w="603" w:type="dxa"/>
            <w:noWrap w:val="0"/>
            <w:vAlign w:val="center"/>
          </w:tcPr>
          <w:p w14:paraId="02D3A3C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7865</w:t>
            </w:r>
          </w:p>
        </w:tc>
        <w:tc>
          <w:tcPr>
            <w:tcW w:w="600" w:type="dxa"/>
            <w:noWrap w:val="0"/>
            <w:vAlign w:val="center"/>
          </w:tcPr>
          <w:p w14:paraId="4290AFA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册</w:t>
            </w:r>
          </w:p>
        </w:tc>
        <w:tc>
          <w:tcPr>
            <w:tcW w:w="1110" w:type="dxa"/>
            <w:noWrap w:val="0"/>
            <w:vAlign w:val="center"/>
          </w:tcPr>
          <w:p w14:paraId="43272B1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635" w:type="dxa"/>
            <w:noWrap w:val="0"/>
            <w:vAlign w:val="center"/>
          </w:tcPr>
          <w:p w14:paraId="6DFD49AB">
            <w:pPr>
              <w:spacing w:before="65" w:line="189" w:lineRule="auto"/>
              <w:ind w:left="182"/>
              <w:jc w:val="center"/>
              <w:rPr>
                <w:rFonts w:hint="eastAsia" w:ascii="宋体" w:hAnsi="宋体" w:eastAsia="宋体" w:cs="宋体"/>
                <w:color w:val="auto"/>
                <w:sz w:val="21"/>
                <w:szCs w:val="21"/>
                <w:highlight w:val="none"/>
              </w:rPr>
            </w:pPr>
          </w:p>
        </w:tc>
      </w:tr>
      <w:tr w14:paraId="1693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0582C815">
            <w:pPr>
              <w:spacing w:before="65" w:line="240" w:lineRule="auto"/>
              <w:ind w:left="125" w:right="115" w:firstLine="95"/>
              <w:jc w:val="center"/>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第七</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383C00F3">
            <w:pPr>
              <w:spacing w:before="68" w:line="240"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35EBBD6C">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94380.00</w:t>
            </w:r>
          </w:p>
        </w:tc>
        <w:tc>
          <w:tcPr>
            <w:tcW w:w="635" w:type="dxa"/>
            <w:noWrap w:val="0"/>
            <w:vAlign w:val="center"/>
          </w:tcPr>
          <w:p w14:paraId="33EFFE45">
            <w:pPr>
              <w:spacing w:before="65" w:line="189" w:lineRule="auto"/>
              <w:ind w:left="182"/>
              <w:jc w:val="center"/>
              <w:rPr>
                <w:rFonts w:hint="eastAsia" w:ascii="宋体" w:hAnsi="宋体" w:eastAsia="宋体" w:cs="宋体"/>
                <w:color w:val="auto"/>
                <w:sz w:val="21"/>
                <w:szCs w:val="21"/>
                <w:highlight w:val="none"/>
              </w:rPr>
            </w:pPr>
          </w:p>
        </w:tc>
      </w:tr>
      <w:tr w14:paraId="4343A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0E4629DF">
            <w:pPr>
              <w:spacing w:before="65"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eastAsia="zh-CN" w:bidi="ar"/>
              </w:rPr>
              <w:t>八</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舞台室外led屏</w:t>
            </w:r>
          </w:p>
        </w:tc>
      </w:tr>
      <w:tr w14:paraId="2AE35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3B7B330">
            <w:pPr>
              <w:spacing w:before="65" w:line="189" w:lineRule="auto"/>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主屏体部分</w:t>
            </w:r>
          </w:p>
        </w:tc>
      </w:tr>
      <w:tr w14:paraId="0D15E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D848886">
            <w:pPr>
              <w:numPr>
                <w:ilvl w:val="0"/>
                <w:numId w:val="2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6A9868D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户外全彩LED屏</w:t>
            </w:r>
          </w:p>
        </w:tc>
        <w:tc>
          <w:tcPr>
            <w:tcW w:w="5472" w:type="dxa"/>
            <w:noWrap w:val="0"/>
            <w:vAlign w:val="center"/>
          </w:tcPr>
          <w:p w14:paraId="34056F4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1.像素点间距：≤4mm，模组尺寸：约320mm*160mm，像素密度：≥62500Dots/㎡，亮度：≥4500cd/㎡；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2.失真效果检测：显示画面无几何畸变、扭曲、比例失调情况，无亮度、色温非线性失真；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3.支持图像锐化功能，支持补偿图像边缘及灰度跳变；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4.在1×105～1×109Ω技术要求下满足点对点电阻（A面）≤2.69×108；点对点电阻（B面）≤2.35×108；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5.支持通过实时智能分析算法，识别高亮画面，自动调整高亮亮度，解决刺眼问题，提高人眼观看舒适度，并实现功耗降低≥20％；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6.模组可触及表面的温度，以及金属零部件温度，热能量源分级符合TS1级；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7.灰度处理能力：红、绿、蓝各16384级，支持色彩和亮度自动调整，对色彩及亮度自动调整，保持色彩亮度一致性；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8.最大亮度白色连续工作2小时，表面温升小于15℃,符合GB 4943.1-2022要求；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9.在单一故障条件下，显示屏无起火和电击的危险发生；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10.具有智能的白平衡补偿和修正功能；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11.可抵抗太阳光等强光干扰，照度在95KLux能正常观看；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12.支持无信号输入自动熄屏待机，有信号时输入自动唤醒屏体；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13.红、绿、蓝色坐标偏差绝对值＜0.1；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14.在1/2亮度值（2500cd/㎡）时，左右水平视角各位≥82.5°，上下垂直视角各位≥82.5°；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15.一体化驱动控制，同时具有独特的消隐、节能处理、EMC处理、智能模组存储处理功能电路；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16.具有白场亮色度补偿技术，能够快速准确地对当前LED显示屏亮色度进行补偿，使显示屏白场亮色度达到目标状态；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17.通过大面积色彩还原测试，主观评价优，检测结果评分：5分；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18.表面应力≥110MPa；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19.散热系数：≤200（W/m·K）；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包含屏幕两侧装饰定制，面积11平方。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屏幕刷新率为3840HZ。</w:t>
            </w:r>
          </w:p>
        </w:tc>
        <w:tc>
          <w:tcPr>
            <w:tcW w:w="603" w:type="dxa"/>
            <w:noWrap w:val="0"/>
            <w:vAlign w:val="center"/>
          </w:tcPr>
          <w:p w14:paraId="275CDD4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w:t>
            </w:r>
          </w:p>
        </w:tc>
        <w:tc>
          <w:tcPr>
            <w:tcW w:w="600" w:type="dxa"/>
            <w:noWrap w:val="0"/>
            <w:vAlign w:val="center"/>
          </w:tcPr>
          <w:p w14:paraId="711610F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c>
          <w:tcPr>
            <w:tcW w:w="1110" w:type="dxa"/>
            <w:noWrap w:val="0"/>
            <w:vAlign w:val="center"/>
          </w:tcPr>
          <w:p w14:paraId="1B919EB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2500 </w:t>
            </w:r>
          </w:p>
        </w:tc>
        <w:tc>
          <w:tcPr>
            <w:tcW w:w="635" w:type="dxa"/>
            <w:noWrap w:val="0"/>
            <w:vAlign w:val="center"/>
          </w:tcPr>
          <w:p w14:paraId="009DABE9">
            <w:pPr>
              <w:spacing w:before="65" w:line="189" w:lineRule="auto"/>
              <w:ind w:left="182"/>
              <w:jc w:val="center"/>
              <w:rPr>
                <w:rFonts w:hint="eastAsia" w:ascii="宋体" w:hAnsi="宋体" w:eastAsia="宋体" w:cs="宋体"/>
                <w:color w:val="auto"/>
                <w:sz w:val="21"/>
                <w:szCs w:val="21"/>
                <w:highlight w:val="none"/>
              </w:rPr>
            </w:pPr>
          </w:p>
        </w:tc>
      </w:tr>
      <w:tr w14:paraId="3949E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8BE5E73">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764327B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视频处理器</w:t>
            </w:r>
          </w:p>
        </w:tc>
        <w:tc>
          <w:tcPr>
            <w:tcW w:w="5472" w:type="dxa"/>
            <w:noWrap w:val="0"/>
            <w:vAlign w:val="center"/>
          </w:tcPr>
          <w:p w14:paraId="08E70A98">
            <w:pPr>
              <w:keepNext w:val="0"/>
              <w:keepLines w:val="0"/>
              <w:widowControl/>
              <w:numPr>
                <w:ilvl w:val="0"/>
                <w:numId w:val="21"/>
              </w:numPr>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设备配备有真彩色LCD面板，可生动地显示设备状态信息。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2、输入支持2路HDMI，1路DVI，1路USB。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3、输出支持4路网口输出，整机分辨率可达260万像素，支持自定义分辨率，最宽可达4096像素，最高可达2048像素。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4、支持无缝切换：设备在进行信号切换时，期间无黑屏、闪烁现象。</w:t>
            </w:r>
          </w:p>
          <w:p w14:paraId="186B5A5C">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5、支持任意串线功能，网线带载不受矩形限制，提高带载利用率。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6、设备HDMI支持音频输入的同时具备独立的音频输入接口，音频输出信号可加嵌在网口输出信号当中进行传输，通过多功能卡可将音频解码。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7、支持U盘播放功能，插上U盘，可播放U盘当中的图片及视频文档。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8、为保证系统稳定，操作简单方便，以及售后服务统一可靠，控制系统（含多画面拼接器、视频控制器、独立主控、同步接收卡）及播控系统（含播控软件及服务器）应采用同一生产厂家同一品牌产品。</w:t>
            </w:r>
          </w:p>
        </w:tc>
        <w:tc>
          <w:tcPr>
            <w:tcW w:w="603" w:type="dxa"/>
            <w:noWrap w:val="0"/>
            <w:vAlign w:val="center"/>
          </w:tcPr>
          <w:p w14:paraId="3C15D03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41FE0B6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00341DD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635" w:type="dxa"/>
            <w:noWrap w:val="0"/>
            <w:vAlign w:val="center"/>
          </w:tcPr>
          <w:p w14:paraId="4288174E">
            <w:pPr>
              <w:spacing w:before="65" w:line="189" w:lineRule="auto"/>
              <w:ind w:left="182"/>
              <w:jc w:val="center"/>
              <w:rPr>
                <w:rFonts w:hint="eastAsia" w:ascii="宋体" w:hAnsi="宋体" w:eastAsia="宋体" w:cs="宋体"/>
                <w:color w:val="auto"/>
                <w:sz w:val="21"/>
                <w:szCs w:val="21"/>
                <w:highlight w:val="none"/>
              </w:rPr>
            </w:pPr>
          </w:p>
        </w:tc>
      </w:tr>
      <w:tr w14:paraId="62269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9B9EAF8">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77E506C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控制系统接收卡</w:t>
            </w:r>
          </w:p>
        </w:tc>
        <w:tc>
          <w:tcPr>
            <w:tcW w:w="5472" w:type="dxa"/>
            <w:noWrap w:val="0"/>
            <w:vAlign w:val="center"/>
          </w:tcPr>
          <w:p w14:paraId="27E4CD5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1.单卡16个标准接口，输出32RGB数据，最大带载13.1W像素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2.支持高灰高刷、低亮高灰显示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3.细节处理更完美，可消除某行偏暗、低灰偏红、鬼影等细节问题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4.支持亮度、色度逐点校正，提供校正低灰补偿，保障低灰显示效果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5.支持各种PWM芯片、双锁存芯片、逐点检测芯片及通用芯片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6.支持静态屏、1/2~1/64扫之间的任意扫描类型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7.为保证控制系统的兼容性，要求播控多媒体服务器、多画面拼接处理器、控制系统为同一品牌</w:t>
            </w:r>
          </w:p>
        </w:tc>
        <w:tc>
          <w:tcPr>
            <w:tcW w:w="603" w:type="dxa"/>
            <w:noWrap w:val="0"/>
            <w:vAlign w:val="center"/>
          </w:tcPr>
          <w:p w14:paraId="4A54DF1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22</w:t>
            </w:r>
          </w:p>
        </w:tc>
        <w:tc>
          <w:tcPr>
            <w:tcW w:w="600" w:type="dxa"/>
            <w:noWrap w:val="0"/>
            <w:vAlign w:val="center"/>
          </w:tcPr>
          <w:p w14:paraId="5FB10DE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1110" w:type="dxa"/>
            <w:noWrap w:val="0"/>
            <w:vAlign w:val="center"/>
          </w:tcPr>
          <w:p w14:paraId="4C5C861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635" w:type="dxa"/>
            <w:noWrap w:val="0"/>
            <w:vAlign w:val="center"/>
          </w:tcPr>
          <w:p w14:paraId="0979E84D">
            <w:pPr>
              <w:spacing w:before="65" w:line="189" w:lineRule="auto"/>
              <w:ind w:left="182"/>
              <w:jc w:val="center"/>
              <w:rPr>
                <w:rFonts w:hint="eastAsia" w:ascii="宋体" w:hAnsi="宋体" w:eastAsia="宋体" w:cs="宋体"/>
                <w:color w:val="auto"/>
                <w:sz w:val="21"/>
                <w:szCs w:val="21"/>
                <w:highlight w:val="none"/>
              </w:rPr>
            </w:pPr>
          </w:p>
        </w:tc>
      </w:tr>
      <w:tr w14:paraId="6A3CD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736BC49">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5B8F184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防雨全彩电源</w:t>
            </w:r>
          </w:p>
        </w:tc>
        <w:tc>
          <w:tcPr>
            <w:tcW w:w="5472" w:type="dxa"/>
            <w:noWrap w:val="0"/>
            <w:vAlign w:val="center"/>
          </w:tcPr>
          <w:p w14:paraId="5AB36AE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工作温度 Operating ambient -30℃～60℃ 低温-40 ℃ ，输入AC220Vac，输出满载，能够起机散热方式 Heat-dissipating method 自然冷却过功率保护 Over Power Protection 额定输出功率的110%～150%，自恢复短路保护 Short Circuit Protection 可长期短路，消除短路后自动恢复工作过流保护 Over Current Protection 最大电流的110%～150%，自恢复输出总功率 Output Power 350W</w:t>
            </w:r>
          </w:p>
        </w:tc>
        <w:tc>
          <w:tcPr>
            <w:tcW w:w="603" w:type="dxa"/>
            <w:noWrap w:val="0"/>
            <w:vAlign w:val="center"/>
          </w:tcPr>
          <w:p w14:paraId="6FDA76F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70</w:t>
            </w:r>
          </w:p>
        </w:tc>
        <w:tc>
          <w:tcPr>
            <w:tcW w:w="600" w:type="dxa"/>
            <w:noWrap w:val="0"/>
            <w:vAlign w:val="center"/>
          </w:tcPr>
          <w:p w14:paraId="04DAE4A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109B5EF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635" w:type="dxa"/>
            <w:noWrap w:val="0"/>
            <w:vAlign w:val="center"/>
          </w:tcPr>
          <w:p w14:paraId="774BC5A0">
            <w:pPr>
              <w:spacing w:before="65" w:line="189" w:lineRule="auto"/>
              <w:ind w:left="182"/>
              <w:jc w:val="center"/>
              <w:rPr>
                <w:rFonts w:hint="eastAsia" w:ascii="宋体" w:hAnsi="宋体" w:eastAsia="宋体" w:cs="宋体"/>
                <w:color w:val="auto"/>
                <w:sz w:val="21"/>
                <w:szCs w:val="21"/>
                <w:highlight w:val="none"/>
              </w:rPr>
            </w:pPr>
          </w:p>
        </w:tc>
      </w:tr>
      <w:tr w14:paraId="3820B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99C9945">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426BDE2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机柜</w:t>
            </w:r>
          </w:p>
        </w:tc>
        <w:tc>
          <w:tcPr>
            <w:tcW w:w="5472" w:type="dxa"/>
            <w:noWrap w:val="0"/>
            <w:vAlign w:val="center"/>
          </w:tcPr>
          <w:p w14:paraId="35589EE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约600×800×1200（mm）</w:t>
            </w:r>
          </w:p>
        </w:tc>
        <w:tc>
          <w:tcPr>
            <w:tcW w:w="603" w:type="dxa"/>
            <w:noWrap w:val="0"/>
            <w:vAlign w:val="center"/>
          </w:tcPr>
          <w:p w14:paraId="4EFE6B3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176493C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1960406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2200 </w:t>
            </w:r>
          </w:p>
        </w:tc>
        <w:tc>
          <w:tcPr>
            <w:tcW w:w="635" w:type="dxa"/>
            <w:noWrap w:val="0"/>
            <w:vAlign w:val="center"/>
          </w:tcPr>
          <w:p w14:paraId="50218977">
            <w:pPr>
              <w:spacing w:before="65" w:line="189" w:lineRule="auto"/>
              <w:ind w:left="182"/>
              <w:jc w:val="center"/>
              <w:rPr>
                <w:rFonts w:hint="eastAsia" w:ascii="宋体" w:hAnsi="宋体" w:eastAsia="宋体" w:cs="宋体"/>
                <w:color w:val="auto"/>
                <w:sz w:val="21"/>
                <w:szCs w:val="21"/>
                <w:highlight w:val="none"/>
              </w:rPr>
            </w:pPr>
          </w:p>
        </w:tc>
      </w:tr>
      <w:tr w14:paraId="02646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9A38E3D">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E23AB8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散热系统</w:t>
            </w:r>
          </w:p>
        </w:tc>
        <w:tc>
          <w:tcPr>
            <w:tcW w:w="5472" w:type="dxa"/>
            <w:noWrap w:val="0"/>
            <w:vAlign w:val="center"/>
          </w:tcPr>
          <w:p w14:paraId="463A26C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操控方式：键控/遥控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能效等级：一级能效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变频/定频：变频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类型：壁挂式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冷暖类型：冷暖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匹数：≥1.5匹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功能：自清洁，独立除湿，可拆洗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适用面积：≥15-20㎡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面板材质：HIPS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制冷剂：R32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电压/频率：220V/50Hz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能效比：≥5.27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内机最大噪音：≤41dB(A)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制热量：≥5010W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外机最大噪音：≤51dB(A)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循环风量：≥640m3/h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制冷功率：≥810W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内机噪音（静音/低风）：≤18dB(A)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扫风方式：上下扫风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制热功率：≥1250W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制冷量：≥3510W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睡眠模式：按键调节</w:t>
            </w:r>
          </w:p>
        </w:tc>
        <w:tc>
          <w:tcPr>
            <w:tcW w:w="603" w:type="dxa"/>
            <w:noWrap w:val="0"/>
            <w:vAlign w:val="center"/>
          </w:tcPr>
          <w:p w14:paraId="54F57ED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2D5589C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687231E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3500 </w:t>
            </w:r>
          </w:p>
        </w:tc>
        <w:tc>
          <w:tcPr>
            <w:tcW w:w="635" w:type="dxa"/>
            <w:noWrap w:val="0"/>
            <w:vAlign w:val="center"/>
          </w:tcPr>
          <w:p w14:paraId="06D8CF92">
            <w:pPr>
              <w:spacing w:before="65" w:line="189" w:lineRule="auto"/>
              <w:ind w:left="182"/>
              <w:jc w:val="center"/>
              <w:rPr>
                <w:rFonts w:hint="eastAsia" w:ascii="宋体" w:hAnsi="宋体" w:eastAsia="宋体" w:cs="宋体"/>
                <w:color w:val="auto"/>
                <w:sz w:val="21"/>
                <w:szCs w:val="21"/>
                <w:highlight w:val="none"/>
              </w:rPr>
            </w:pPr>
          </w:p>
        </w:tc>
      </w:tr>
      <w:tr w14:paraId="0728E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9FC40CD">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08EA5A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配电柜</w:t>
            </w:r>
          </w:p>
        </w:tc>
        <w:tc>
          <w:tcPr>
            <w:tcW w:w="5472" w:type="dxa"/>
            <w:noWrap w:val="0"/>
            <w:vAlign w:val="center"/>
          </w:tcPr>
          <w:p w14:paraId="02FDCDA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≥70KW功率 :≥70KW </w:t>
            </w:r>
          </w:p>
          <w:p w14:paraId="444ECF8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电压:380V /220V </w:t>
            </w:r>
          </w:p>
          <w:p w14:paraId="6AF059D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总制开关: CDM3-125A </w:t>
            </w:r>
          </w:p>
          <w:p w14:paraId="55F27A1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交流接触器: CJX2S-3210</w:t>
            </w:r>
          </w:p>
          <w:p w14:paraId="1D962D2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负荷开关: DZ47S-63A1P</w:t>
            </w:r>
          </w:p>
          <w:p w14:paraId="2D8A3A9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屏体≥12路输出</w:t>
            </w:r>
          </w:p>
          <w:p w14:paraId="598823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配套：</w:t>
            </w:r>
          </w:p>
          <w:p w14:paraId="79DFBA8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1）时控功能&lt;可定时开关&gt;</w:t>
            </w:r>
          </w:p>
          <w:p w14:paraId="3ACA68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2）防雷防浪涌</w:t>
            </w:r>
          </w:p>
          <w:p w14:paraId="5F59C47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智能配电控制系统，分步式上电、分步式断电</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RS232串口通讯、干接点，支持对接中控系统，平板开关</w:t>
            </w:r>
          </w:p>
          <w:p w14:paraId="3155D97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预留远程控制端子位</w:t>
            </w:r>
          </w:p>
          <w:p w14:paraId="3626AFD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备用≥1路常有电（机柜/照明）</w:t>
            </w:r>
          </w:p>
          <w:p w14:paraId="039586D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检修照明插座</w:t>
            </w:r>
          </w:p>
          <w:p w14:paraId="3FCF57B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加厚阻燃壁挂式基业箱体尺寸:≥500宽*600高*200深</w:t>
            </w:r>
          </w:p>
        </w:tc>
        <w:tc>
          <w:tcPr>
            <w:tcW w:w="603" w:type="dxa"/>
            <w:noWrap w:val="0"/>
            <w:vAlign w:val="center"/>
          </w:tcPr>
          <w:p w14:paraId="405FEBA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B1F98C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0A71807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635" w:type="dxa"/>
            <w:noWrap w:val="0"/>
            <w:vAlign w:val="center"/>
          </w:tcPr>
          <w:p w14:paraId="2D454831">
            <w:pPr>
              <w:spacing w:before="65" w:line="189" w:lineRule="auto"/>
              <w:ind w:left="182"/>
              <w:jc w:val="center"/>
              <w:rPr>
                <w:rFonts w:hint="eastAsia" w:ascii="宋体" w:hAnsi="宋体" w:eastAsia="宋体" w:cs="宋体"/>
                <w:color w:val="auto"/>
                <w:sz w:val="21"/>
                <w:szCs w:val="21"/>
                <w:highlight w:val="none"/>
              </w:rPr>
            </w:pPr>
          </w:p>
        </w:tc>
      </w:tr>
      <w:tr w14:paraId="51FE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26E0D5">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5D0462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户外全彩LED屏</w:t>
            </w:r>
          </w:p>
        </w:tc>
        <w:tc>
          <w:tcPr>
            <w:tcW w:w="5472" w:type="dxa"/>
            <w:noWrap w:val="0"/>
            <w:vAlign w:val="center"/>
          </w:tcPr>
          <w:p w14:paraId="5675AF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1.像素点间距：≤4mm，模组尺寸：约320mm*160mm，像素密度：≥62500Dots/㎡，亮度：≥4500cd/㎡；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2.失真效果检测：显示画面无几何畸变、扭曲、比例失调情况，无亮度、色温非线性失真；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3.支持图像锐化功能，支持补偿图像边缘及灰度跳变；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4.在1×105～1×109Ω技术要求下满足点对点电阻（A面）≤2.69×108；点对点电阻（B面）≤2.35×108；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5.支持通过实时智能分析算法，识别高亮画面，自动调整高亮亮度，解决刺眼问题，提高人眼观看舒适度，并实现功耗降低≥20％；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6.模组可触及表面的温度，以及金属零部件温度，热能量源分级符合TS1级；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7.灰度处理能力：红、绿、蓝各16384级，支持色彩和亮度自动调整，对色彩及亮度自动调整，保持色彩亮度一致性；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8.最大亮度白色连续工作2小时，表面温升小于15℃,符合GB 4943.1-2022要求；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9.在单一故障条件下，显示屏无起火和电击的危险发生；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10.具有智能的白平衡补偿和修正功能；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11.可抵抗太阳光等强光干扰，照度在95KLux能正常观看；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12.支持无信号输入自动熄屏待机，有信号时输入自动唤醒屏体；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13.红、绿、蓝色坐标偏差绝对值＜0.1；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14.在1/2亮度值（2500cd/㎡）时，左右水平视角各位≥82.5°，上下垂直视角各位≥82.5°；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15.一体化驱动控制，同时具有独特的消隐、节能处理、EMC处理、智能模组存储处理功能电路；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16.具有白场亮色度补偿技术，能够快速准确地对当前LED显示屏亮色度进行补偿，使显示屏白场亮色度达到目标状态；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17.通过大面积色彩还原测试，主观评价优，检测结果评分：5分；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18.表面应力≥110MPa；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19.散热系数：≤200（W/m·K）；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包含屏幕两侧装饰定制，面积11平方。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屏幕刷新率为3840HZ。</w:t>
            </w:r>
          </w:p>
        </w:tc>
        <w:tc>
          <w:tcPr>
            <w:tcW w:w="603" w:type="dxa"/>
            <w:noWrap w:val="0"/>
            <w:vAlign w:val="center"/>
          </w:tcPr>
          <w:p w14:paraId="0128AC8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w:t>
            </w:r>
          </w:p>
        </w:tc>
        <w:tc>
          <w:tcPr>
            <w:tcW w:w="600" w:type="dxa"/>
            <w:noWrap w:val="0"/>
            <w:vAlign w:val="center"/>
          </w:tcPr>
          <w:p w14:paraId="441B412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c>
          <w:tcPr>
            <w:tcW w:w="1110" w:type="dxa"/>
            <w:noWrap w:val="0"/>
            <w:vAlign w:val="center"/>
          </w:tcPr>
          <w:p w14:paraId="06BCB7A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2500 </w:t>
            </w:r>
          </w:p>
        </w:tc>
        <w:tc>
          <w:tcPr>
            <w:tcW w:w="635" w:type="dxa"/>
            <w:noWrap w:val="0"/>
            <w:vAlign w:val="center"/>
          </w:tcPr>
          <w:p w14:paraId="0F1515CA">
            <w:pPr>
              <w:spacing w:before="65" w:line="189" w:lineRule="auto"/>
              <w:ind w:left="182"/>
              <w:jc w:val="center"/>
              <w:rPr>
                <w:rFonts w:hint="eastAsia" w:ascii="宋体" w:hAnsi="宋体" w:eastAsia="宋体" w:cs="宋体"/>
                <w:color w:val="auto"/>
                <w:sz w:val="21"/>
                <w:szCs w:val="21"/>
                <w:highlight w:val="none"/>
              </w:rPr>
            </w:pPr>
          </w:p>
        </w:tc>
      </w:tr>
      <w:tr w14:paraId="754FC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2F451BBB">
            <w:pPr>
              <w:spacing w:before="65" w:line="279" w:lineRule="auto"/>
              <w:ind w:left="125" w:right="115" w:firstLine="95"/>
              <w:jc w:val="both"/>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1537AA25">
            <w:pPr>
              <w:spacing w:before="68" w:line="223" w:lineRule="auto"/>
              <w:jc w:val="left"/>
              <w:rPr>
                <w:rFonts w:hint="eastAsia" w:ascii="宋体" w:hAnsi="宋体" w:eastAsia="宋体" w:cs="宋体"/>
                <w:color w:val="auto"/>
                <w:sz w:val="21"/>
                <w:szCs w:val="21"/>
                <w:highlight w:val="none"/>
              </w:rPr>
            </w:pPr>
          </w:p>
        </w:tc>
        <w:tc>
          <w:tcPr>
            <w:tcW w:w="2313" w:type="dxa"/>
            <w:gridSpan w:val="3"/>
            <w:noWrap w:val="0"/>
            <w:vAlign w:val="center"/>
          </w:tcPr>
          <w:p w14:paraId="5DFAE4C1">
            <w:pPr>
              <w:spacing w:before="65" w:line="187" w:lineRule="auto"/>
              <w:ind w:left="14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r>
              <w:rPr>
                <w:rFonts w:hint="eastAsia" w:ascii="宋体" w:hAnsi="宋体" w:cs="宋体"/>
                <w:color w:val="auto"/>
                <w:sz w:val="21"/>
                <w:szCs w:val="21"/>
                <w:highlight w:val="none"/>
                <w:lang w:val="en-US" w:eastAsia="zh-CN"/>
              </w:rPr>
              <w:t>4960</w:t>
            </w:r>
            <w:r>
              <w:rPr>
                <w:rFonts w:hint="eastAsia" w:ascii="宋体" w:hAnsi="宋体" w:eastAsia="宋体" w:cs="宋体"/>
                <w:color w:val="auto"/>
                <w:sz w:val="21"/>
                <w:szCs w:val="21"/>
                <w:highlight w:val="none"/>
                <w:lang w:val="en-US" w:eastAsia="zh-CN"/>
              </w:rPr>
              <w:t>.00</w:t>
            </w:r>
          </w:p>
        </w:tc>
        <w:tc>
          <w:tcPr>
            <w:tcW w:w="635" w:type="dxa"/>
            <w:noWrap w:val="0"/>
            <w:vAlign w:val="center"/>
          </w:tcPr>
          <w:p w14:paraId="7A4E2322">
            <w:pPr>
              <w:spacing w:before="65" w:line="189" w:lineRule="auto"/>
              <w:ind w:left="182"/>
              <w:jc w:val="center"/>
              <w:rPr>
                <w:rFonts w:hint="eastAsia" w:ascii="宋体" w:hAnsi="宋体" w:eastAsia="宋体" w:cs="宋体"/>
                <w:color w:val="auto"/>
                <w:sz w:val="21"/>
                <w:szCs w:val="21"/>
                <w:highlight w:val="none"/>
              </w:rPr>
            </w:pPr>
          </w:p>
        </w:tc>
      </w:tr>
      <w:tr w14:paraId="44E08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55708CC">
            <w:pPr>
              <w:spacing w:before="65" w:line="189"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辅助材料</w:t>
            </w:r>
          </w:p>
        </w:tc>
      </w:tr>
      <w:tr w14:paraId="2F079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E43C0D0">
            <w:pPr>
              <w:numPr>
                <w:ilvl w:val="0"/>
                <w:numId w:val="22"/>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9F2A00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屏幕支撑立柱</w:t>
            </w:r>
          </w:p>
        </w:tc>
        <w:tc>
          <w:tcPr>
            <w:tcW w:w="5472" w:type="dxa"/>
            <w:noWrap w:val="0"/>
            <w:vAlign w:val="center"/>
          </w:tcPr>
          <w:p w14:paraId="473AC3A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定制（屏幕支撑立柱施工安装所需的材料及施工费用）</w:t>
            </w:r>
          </w:p>
        </w:tc>
        <w:tc>
          <w:tcPr>
            <w:tcW w:w="603" w:type="dxa"/>
            <w:noWrap w:val="0"/>
            <w:vAlign w:val="center"/>
          </w:tcPr>
          <w:p w14:paraId="419BC5D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F1CB88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7FD83D7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30000</w:t>
            </w:r>
          </w:p>
        </w:tc>
        <w:tc>
          <w:tcPr>
            <w:tcW w:w="635" w:type="dxa"/>
            <w:noWrap w:val="0"/>
            <w:vAlign w:val="center"/>
          </w:tcPr>
          <w:p w14:paraId="67B7E5EE">
            <w:pPr>
              <w:spacing w:before="65" w:line="189" w:lineRule="auto"/>
              <w:ind w:left="182"/>
              <w:jc w:val="center"/>
              <w:rPr>
                <w:rFonts w:hint="eastAsia" w:ascii="宋体" w:hAnsi="宋体" w:eastAsia="宋体" w:cs="宋体"/>
                <w:color w:val="auto"/>
                <w:sz w:val="21"/>
                <w:szCs w:val="21"/>
                <w:highlight w:val="none"/>
              </w:rPr>
            </w:pPr>
          </w:p>
        </w:tc>
      </w:tr>
      <w:tr w14:paraId="14200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881A359">
            <w:pPr>
              <w:numPr>
                <w:ilvl w:val="0"/>
                <w:numId w:val="22"/>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726CD5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连接线</w:t>
            </w:r>
          </w:p>
        </w:tc>
        <w:tc>
          <w:tcPr>
            <w:tcW w:w="5472" w:type="dxa"/>
            <w:noWrap w:val="0"/>
            <w:vAlign w:val="center"/>
          </w:tcPr>
          <w:p w14:paraId="76B56E6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2.5平方</w:t>
            </w:r>
            <w:r>
              <w:rPr>
                <w:rFonts w:hint="eastAsia" w:ascii="宋体" w:hAnsi="宋体" w:cs="宋体"/>
                <w:i w:val="0"/>
                <w:iCs w:val="0"/>
                <w:color w:val="auto"/>
                <w:kern w:val="0"/>
                <w:sz w:val="21"/>
                <w:szCs w:val="21"/>
                <w:highlight w:val="none"/>
                <w:u w:val="none"/>
                <w:lang w:val="en-US" w:eastAsia="zh-CN" w:bidi="ar"/>
              </w:rPr>
              <w:t>毫米</w:t>
            </w:r>
            <w:r>
              <w:rPr>
                <w:rFonts w:hint="eastAsia" w:ascii="宋体" w:hAnsi="宋体" w:eastAsia="宋体" w:cs="宋体"/>
                <w:i w:val="0"/>
                <w:iCs w:val="0"/>
                <w:color w:val="auto"/>
                <w:kern w:val="0"/>
                <w:sz w:val="21"/>
                <w:szCs w:val="21"/>
                <w:highlight w:val="none"/>
                <w:u w:val="none"/>
                <w:lang w:val="en-US" w:eastAsia="zh-CN" w:bidi="ar"/>
              </w:rPr>
              <w:t>线材及配件（包含电源线、排线、网线水晶头、扎带、绝缘胶布、接头等耗材及施工调试费用）（屏体输出三相4平方电缆线.主线路三</w:t>
            </w:r>
            <w:r>
              <w:rPr>
                <w:rFonts w:hint="eastAsia" w:ascii="宋体" w:hAnsi="宋体" w:cs="宋体"/>
                <w:i w:val="0"/>
                <w:iCs w:val="0"/>
                <w:color w:val="auto"/>
                <w:kern w:val="0"/>
                <w:sz w:val="21"/>
                <w:szCs w:val="21"/>
                <w:highlight w:val="none"/>
                <w:u w:val="none"/>
                <w:lang w:val="en-US" w:eastAsia="zh-CN" w:bidi="ar"/>
              </w:rPr>
              <w:t>根</w:t>
            </w:r>
            <w:r>
              <w:rPr>
                <w:rFonts w:hint="eastAsia" w:ascii="宋体" w:hAnsi="宋体" w:eastAsia="宋体" w:cs="宋体"/>
                <w:i w:val="0"/>
                <w:iCs w:val="0"/>
                <w:color w:val="auto"/>
                <w:kern w:val="0"/>
                <w:sz w:val="21"/>
                <w:szCs w:val="21"/>
                <w:highlight w:val="none"/>
                <w:u w:val="none"/>
                <w:lang w:val="en-US" w:eastAsia="zh-CN" w:bidi="ar"/>
              </w:rPr>
              <w:t>16平方</w:t>
            </w:r>
            <w:r>
              <w:rPr>
                <w:rFonts w:hint="eastAsia" w:ascii="宋体" w:hAnsi="宋体" w:cs="宋体"/>
                <w:i w:val="0"/>
                <w:iCs w:val="0"/>
                <w:color w:val="auto"/>
                <w:kern w:val="0"/>
                <w:sz w:val="21"/>
                <w:szCs w:val="21"/>
                <w:highlight w:val="none"/>
                <w:u w:val="none"/>
                <w:lang w:val="en-US" w:eastAsia="zh-CN" w:bidi="ar"/>
              </w:rPr>
              <w:t>毫米</w:t>
            </w:r>
            <w:r>
              <w:rPr>
                <w:rFonts w:hint="eastAsia" w:ascii="宋体" w:hAnsi="宋体" w:eastAsia="宋体" w:cs="宋体"/>
                <w:i w:val="0"/>
                <w:iCs w:val="0"/>
                <w:color w:val="auto"/>
                <w:kern w:val="0"/>
                <w:sz w:val="21"/>
                <w:szCs w:val="21"/>
                <w:highlight w:val="none"/>
                <w:u w:val="none"/>
                <w:lang w:val="en-US" w:eastAsia="zh-CN" w:bidi="ar"/>
              </w:rPr>
              <w:t>电缆线需从学校配电箱至屏幕配电箱预计200米）</w:t>
            </w:r>
          </w:p>
        </w:tc>
        <w:tc>
          <w:tcPr>
            <w:tcW w:w="603" w:type="dxa"/>
            <w:noWrap w:val="0"/>
            <w:vAlign w:val="center"/>
          </w:tcPr>
          <w:p w14:paraId="4D067FA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23E2F3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04ECF98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30000</w:t>
            </w:r>
          </w:p>
        </w:tc>
        <w:tc>
          <w:tcPr>
            <w:tcW w:w="635" w:type="dxa"/>
            <w:noWrap w:val="0"/>
            <w:vAlign w:val="center"/>
          </w:tcPr>
          <w:p w14:paraId="240A4BCA">
            <w:pPr>
              <w:spacing w:before="65" w:line="189" w:lineRule="auto"/>
              <w:ind w:left="182"/>
              <w:jc w:val="center"/>
              <w:rPr>
                <w:rFonts w:hint="eastAsia" w:ascii="宋体" w:hAnsi="宋体" w:eastAsia="宋体" w:cs="宋体"/>
                <w:color w:val="auto"/>
                <w:sz w:val="21"/>
                <w:szCs w:val="21"/>
                <w:highlight w:val="none"/>
              </w:rPr>
            </w:pPr>
          </w:p>
        </w:tc>
      </w:tr>
      <w:tr w14:paraId="63E0D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46DAD7C">
            <w:pPr>
              <w:numPr>
                <w:ilvl w:val="0"/>
                <w:numId w:val="22"/>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2B5F80D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支撑钢结构、 屏体包边</w:t>
            </w:r>
          </w:p>
        </w:tc>
        <w:tc>
          <w:tcPr>
            <w:tcW w:w="5472" w:type="dxa"/>
            <w:noWrap w:val="0"/>
            <w:vAlign w:val="center"/>
          </w:tcPr>
          <w:p w14:paraId="070519E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定制（包含屏体包边及支撑钢结构施工安装所需的材料及施工费用）</w:t>
            </w:r>
          </w:p>
        </w:tc>
        <w:tc>
          <w:tcPr>
            <w:tcW w:w="603" w:type="dxa"/>
            <w:noWrap w:val="0"/>
            <w:vAlign w:val="center"/>
          </w:tcPr>
          <w:p w14:paraId="3839A71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F7214E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1420740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19000</w:t>
            </w:r>
          </w:p>
        </w:tc>
        <w:tc>
          <w:tcPr>
            <w:tcW w:w="635" w:type="dxa"/>
            <w:noWrap w:val="0"/>
            <w:vAlign w:val="center"/>
          </w:tcPr>
          <w:p w14:paraId="11E220A6">
            <w:pPr>
              <w:spacing w:before="65" w:line="189" w:lineRule="auto"/>
              <w:ind w:left="182"/>
              <w:jc w:val="center"/>
              <w:rPr>
                <w:rFonts w:hint="eastAsia" w:ascii="宋体" w:hAnsi="宋体" w:eastAsia="宋体" w:cs="宋体"/>
                <w:color w:val="auto"/>
                <w:sz w:val="21"/>
                <w:szCs w:val="21"/>
                <w:highlight w:val="none"/>
              </w:rPr>
            </w:pPr>
          </w:p>
        </w:tc>
      </w:tr>
      <w:tr w14:paraId="0A3AB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5B422C9">
            <w:pPr>
              <w:numPr>
                <w:ilvl w:val="0"/>
                <w:numId w:val="22"/>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62D5677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操作室</w:t>
            </w:r>
          </w:p>
        </w:tc>
        <w:tc>
          <w:tcPr>
            <w:tcW w:w="5472" w:type="dxa"/>
            <w:noWrap w:val="0"/>
            <w:vAlign w:val="center"/>
          </w:tcPr>
          <w:p w14:paraId="5F1227B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集装箱式，彩钢集成房屋深3米x宽8米高3米（里面包含电源插座，平板灯.网络AP）</w:t>
            </w:r>
          </w:p>
        </w:tc>
        <w:tc>
          <w:tcPr>
            <w:tcW w:w="603" w:type="dxa"/>
            <w:noWrap w:val="0"/>
            <w:vAlign w:val="center"/>
          </w:tcPr>
          <w:p w14:paraId="27C4380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1FED7C1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397AFE2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50000</w:t>
            </w:r>
          </w:p>
        </w:tc>
        <w:tc>
          <w:tcPr>
            <w:tcW w:w="635" w:type="dxa"/>
            <w:noWrap w:val="0"/>
            <w:vAlign w:val="center"/>
          </w:tcPr>
          <w:p w14:paraId="7DD87955">
            <w:pPr>
              <w:spacing w:before="65" w:line="189" w:lineRule="auto"/>
              <w:ind w:left="182"/>
              <w:jc w:val="center"/>
              <w:rPr>
                <w:rFonts w:hint="eastAsia" w:ascii="宋体" w:hAnsi="宋体" w:eastAsia="宋体" w:cs="宋体"/>
                <w:color w:val="auto"/>
                <w:sz w:val="21"/>
                <w:szCs w:val="21"/>
                <w:highlight w:val="none"/>
              </w:rPr>
            </w:pPr>
          </w:p>
        </w:tc>
      </w:tr>
      <w:tr w14:paraId="6F2C9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2009D4F7">
            <w:pPr>
              <w:spacing w:before="65" w:line="279" w:lineRule="auto"/>
              <w:ind w:left="125" w:right="115" w:firstLine="95"/>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6259FFBC">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0FE67A90">
            <w:pPr>
              <w:spacing w:before="65" w:line="187" w:lineRule="auto"/>
              <w:ind w:left="14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129000.00</w:t>
            </w:r>
          </w:p>
        </w:tc>
        <w:tc>
          <w:tcPr>
            <w:tcW w:w="635" w:type="dxa"/>
            <w:noWrap w:val="0"/>
            <w:vAlign w:val="center"/>
          </w:tcPr>
          <w:p w14:paraId="60E8EC9A">
            <w:pPr>
              <w:spacing w:before="65" w:line="189" w:lineRule="auto"/>
              <w:ind w:left="182"/>
              <w:jc w:val="center"/>
              <w:rPr>
                <w:rFonts w:hint="eastAsia" w:ascii="宋体" w:hAnsi="宋体" w:eastAsia="宋体" w:cs="宋体"/>
                <w:color w:val="auto"/>
                <w:sz w:val="21"/>
                <w:szCs w:val="21"/>
                <w:highlight w:val="none"/>
              </w:rPr>
            </w:pPr>
          </w:p>
        </w:tc>
      </w:tr>
      <w:tr w14:paraId="32733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77BB92E6">
            <w:pPr>
              <w:spacing w:before="65" w:line="279" w:lineRule="auto"/>
              <w:ind w:left="125" w:right="115" w:firstLine="95"/>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第</w:t>
            </w:r>
            <w:r>
              <w:rPr>
                <w:rFonts w:hint="eastAsia" w:ascii="宋体" w:hAnsi="宋体" w:cs="宋体"/>
                <w:b/>
                <w:bCs/>
                <w:color w:val="auto"/>
                <w:sz w:val="21"/>
                <w:szCs w:val="21"/>
                <w:highlight w:val="none"/>
                <w:lang w:eastAsia="zh-CN"/>
              </w:rPr>
              <w:t>八</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34040B68">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049520F4">
            <w:pPr>
              <w:spacing w:before="65" w:line="187" w:lineRule="auto"/>
              <w:ind w:left="141"/>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243960</w:t>
            </w:r>
            <w:r>
              <w:rPr>
                <w:rFonts w:hint="eastAsia" w:ascii="宋体" w:hAnsi="宋体" w:eastAsia="宋体" w:cs="宋体"/>
                <w:color w:val="auto"/>
                <w:sz w:val="21"/>
                <w:szCs w:val="21"/>
                <w:highlight w:val="none"/>
                <w:lang w:val="en-US" w:eastAsia="zh-CN"/>
              </w:rPr>
              <w:t>.00</w:t>
            </w:r>
          </w:p>
        </w:tc>
        <w:tc>
          <w:tcPr>
            <w:tcW w:w="635" w:type="dxa"/>
            <w:noWrap w:val="0"/>
            <w:vAlign w:val="center"/>
          </w:tcPr>
          <w:p w14:paraId="209A1CEB">
            <w:pPr>
              <w:spacing w:before="65" w:line="189" w:lineRule="auto"/>
              <w:ind w:left="182"/>
              <w:jc w:val="center"/>
              <w:rPr>
                <w:rFonts w:hint="eastAsia" w:ascii="宋体" w:hAnsi="宋体" w:eastAsia="宋体" w:cs="宋体"/>
                <w:color w:val="auto"/>
                <w:sz w:val="21"/>
                <w:szCs w:val="21"/>
                <w:highlight w:val="none"/>
              </w:rPr>
            </w:pPr>
          </w:p>
        </w:tc>
      </w:tr>
      <w:tr w14:paraId="0ABFC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439D9E4D">
            <w:pPr>
              <w:spacing w:before="65" w:line="189" w:lineRule="auto"/>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kern w:val="0"/>
                <w:sz w:val="21"/>
                <w:szCs w:val="21"/>
                <w:highlight w:val="none"/>
                <w:lang w:eastAsia="zh-CN" w:bidi="ar"/>
              </w:rPr>
              <w:t>九</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录播室</w:t>
            </w:r>
          </w:p>
        </w:tc>
      </w:tr>
      <w:tr w14:paraId="64DFE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46AAC266">
            <w:pPr>
              <w:spacing w:before="65" w:line="189" w:lineRule="auto"/>
              <w:ind w:left="182"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录播系统</w:t>
            </w:r>
          </w:p>
        </w:tc>
      </w:tr>
      <w:tr w14:paraId="7AA26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A20414C">
            <w:pPr>
              <w:numPr>
                <w:ilvl w:val="0"/>
                <w:numId w:val="23"/>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7F6D21F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录播主机</w:t>
            </w:r>
          </w:p>
        </w:tc>
        <w:tc>
          <w:tcPr>
            <w:tcW w:w="5472" w:type="dxa"/>
            <w:noWrap w:val="0"/>
            <w:vAlign w:val="center"/>
          </w:tcPr>
          <w:p w14:paraId="30F0DBD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1.内置LCD屏，显示设备运行状态、参数信息、硬盘容量、音频状态、资源通道录制状态、文件拷贝进度。设备具备≥4个物理按键，具备一键录制、停止、直播以及一键拷贝录制文件的能力。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备≥6路HDMI信号输入接口，全HDMI接口视频≥4K分辨率画面采集，具备≥1路Type-C接口采集画面，≥1080P分辨率采集画面。具备≥4路HDMI信号输出接口，其中≥2路4K分辨率以及音频同时输出；其他≥2路HDMI输出口具备自定义通道画面输出。具备≥1路3.5mm音频接口以及≥2路凤凰端子采集音频；≥1路3.5mm音频接口以及≥2路凤凰端子输出音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具备≥3路RS-232凤凰端子接口和≥1路RS-485凤凰端子接口，其中≥1路RS232和≥1路RS485带12V电压供电，可对接各种串口协议设备并对该设备进行供电；具备≥5路USB接口，用于接U盘拷贝文件或者键盘鼠标操作内嵌导播台；自带≥4英寸触摸面板，可快捷操作录制、直播和导播切换。具备≥1路802.3ab 1000Base-T千兆RJ45网络接口，≥1路光纤网口，支持IPv4地址和IPv6地址。</w:t>
            </w:r>
            <w:r>
              <w:rPr>
                <w:rFonts w:hint="eastAsia" w:ascii="宋体" w:hAnsi="宋体" w:eastAsia="宋体" w:cs="宋体"/>
                <w:b/>
                <w:bCs/>
                <w:i w:val="0"/>
                <w:iCs w:val="0"/>
                <w:color w:val="auto"/>
                <w:kern w:val="0"/>
                <w:sz w:val="21"/>
                <w:szCs w:val="21"/>
                <w:highlight w:val="none"/>
                <w:u w:val="none"/>
                <w:lang w:val="en-US" w:eastAsia="zh-CN" w:bidi="ar"/>
              </w:rPr>
              <w:t>(需提供得到CMA或CNAS认可的检测机构出具的检测报告作为该技术参数证明材料)</w:t>
            </w:r>
            <w:r>
              <w:rPr>
                <w:rFonts w:hint="eastAsia" w:ascii="宋体" w:hAnsi="宋体" w:eastAsia="宋体" w:cs="宋体"/>
                <w:b/>
                <w:bCs/>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4.设备可实现≥8路4K网络摄像头同时接入解码，具备≥6路资源画面合成输出≥4K分辨率PGM画面。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备嵌入式导播控制台，可实时预览≥9路画面，≥1路PGM画面预览和≥8路资源通道预览，≥9路视频流同时录制，录制的文件格式支持MP4、AVI、MOV、FLV、TS和MKV格式。具备独立录制功能，各路录制可自由绑定音频通道，可独立录制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6.异常修复：具备供电异常导致的损坏的视频文件可进行文件修复，修复的文件格式包括但不限于MP4、AVI、MOV、FLV和MKV视频封装格式。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7.支持对接语音转写服务器，实现语音转写功能，将语音转写成文本并自动生成字幕文件。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具备软件中控，在录播管理界面填写好中控指令，即可通过界面进行中控操作，对接其它设备进行一键控制；支持录播安卓APP对接和控制；支持对接私有云平台服务器。对接成功后，云平台可对设备进行统一的管控，方便对多台录播设备进行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音视频互动模式下，可实现HDMI输出主会场和分会场的画面，当主会场开启辅流共享时，主会场和分会场的HDMI接口都输出主会场的电脑课件内容；主会场不开启辅流共享时，主会场的HDMI接口输出主会场的电脑课件内容，分会场的HDMI接口输出分会场的电脑课件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加密录制：可实现对录制文件加密录制，≥2种加密方式；可实现对录制视频进行加密操作或通过可配置多个加密狗对录制文件进行加密；加密视频需使用解密播放器进行播放，需使用U盾或密码对加密视频进行授权播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具备用户模式和高级模式设置。用户设置：支持一键设置超高清、高清，标清，流畅四个等级；高级设置：可自定义分辨率、码率、帧率。码率支持256kbps~20Mbps，支持动态编码以及静态编码选择；支持自定义分辨率，不同分辨率比例设置，包括9:16、16:9、32:9设置，支持≥4K分辨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12.音频编码支持多种格式，支持AAC、PCM、G.711A、G.711U、ADPCM格式，音频采样率支持48K、44.1K、8K。提供音频管理功能，支持音频混音管理，对≥5路音频输入混音设置以及每路通道音量大小单独控制。</w:t>
            </w:r>
          </w:p>
        </w:tc>
        <w:tc>
          <w:tcPr>
            <w:tcW w:w="603" w:type="dxa"/>
            <w:noWrap w:val="0"/>
            <w:vAlign w:val="center"/>
          </w:tcPr>
          <w:p w14:paraId="5BD1BAF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BB0734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2AA92BB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19500</w:t>
            </w:r>
          </w:p>
        </w:tc>
        <w:tc>
          <w:tcPr>
            <w:tcW w:w="635" w:type="dxa"/>
            <w:noWrap w:val="0"/>
            <w:vAlign w:val="center"/>
          </w:tcPr>
          <w:p w14:paraId="3BB71848">
            <w:pPr>
              <w:spacing w:before="65" w:line="189" w:lineRule="auto"/>
              <w:ind w:left="182"/>
              <w:jc w:val="center"/>
              <w:rPr>
                <w:rFonts w:hint="eastAsia" w:ascii="宋体" w:hAnsi="宋体" w:eastAsia="宋体" w:cs="宋体"/>
                <w:color w:val="auto"/>
                <w:sz w:val="21"/>
                <w:szCs w:val="21"/>
                <w:highlight w:val="none"/>
              </w:rPr>
            </w:pPr>
          </w:p>
        </w:tc>
      </w:tr>
      <w:tr w14:paraId="5AB9F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7E5D1D6">
            <w:pPr>
              <w:numPr>
                <w:ilvl w:val="0"/>
                <w:numId w:val="23"/>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239784F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自动录制控制内嵌软件</w:t>
            </w:r>
          </w:p>
        </w:tc>
        <w:tc>
          <w:tcPr>
            <w:tcW w:w="5472" w:type="dxa"/>
            <w:noWrap w:val="0"/>
            <w:vAlign w:val="center"/>
          </w:tcPr>
          <w:p w14:paraId="2ECFFBC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1.软件内嵌录播主机，运行在Linux操作系统环境，支持B/S管理。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2.软件支持添加录制片头、添加字幕、添加logo以及预约录制等功能。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3.软件支持对课堂或培训课堂录制的控制和管理，具有录制资源模式、录制电影模式、录制暂停、选择录制格式等功能。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4.软件支持多画面模式等，支持自定义布局。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5.软件支持通过导播台、导播键盘、导播软件等方式进行控制和管理录播主机。</w:t>
            </w:r>
          </w:p>
        </w:tc>
        <w:tc>
          <w:tcPr>
            <w:tcW w:w="603" w:type="dxa"/>
            <w:noWrap w:val="0"/>
            <w:vAlign w:val="center"/>
          </w:tcPr>
          <w:p w14:paraId="5456274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1FE5CDB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66CAF7E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内嵌</w:t>
            </w:r>
          </w:p>
        </w:tc>
        <w:tc>
          <w:tcPr>
            <w:tcW w:w="635" w:type="dxa"/>
            <w:noWrap w:val="0"/>
            <w:vAlign w:val="center"/>
          </w:tcPr>
          <w:p w14:paraId="0550DE34">
            <w:pPr>
              <w:spacing w:before="65" w:line="189" w:lineRule="auto"/>
              <w:ind w:left="182"/>
              <w:jc w:val="center"/>
              <w:rPr>
                <w:rFonts w:hint="eastAsia" w:ascii="宋体" w:hAnsi="宋体" w:eastAsia="宋体" w:cs="宋体"/>
                <w:color w:val="auto"/>
                <w:sz w:val="21"/>
                <w:szCs w:val="21"/>
                <w:highlight w:val="none"/>
              </w:rPr>
            </w:pPr>
          </w:p>
        </w:tc>
      </w:tr>
      <w:tr w14:paraId="6684F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BE84287">
            <w:pPr>
              <w:numPr>
                <w:ilvl w:val="0"/>
                <w:numId w:val="23"/>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615AEA6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摄像机</w:t>
            </w:r>
          </w:p>
        </w:tc>
        <w:tc>
          <w:tcPr>
            <w:tcW w:w="5472" w:type="dxa"/>
            <w:noWrap w:val="0"/>
            <w:vAlign w:val="center"/>
          </w:tcPr>
          <w:p w14:paraId="46CD30C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1.高清摄像机具备≥20倍光学变倍镜头，并支持≥16倍数字变焦；采用1/2.8英寸、≥207万有效像素的高品质HD CMOS传感器。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2.镜头焦距f4.42mm ~ 88.5mm, 光圈系数F1.8 ~ F2.8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3.支持1080P60，1080P59.94，1080P50，1080I60，1080I59.94，1080I50，1080P30，1080P29.97，1080P25，720P60，720P59.94，720P50分辨率，支持输出帧率≥60帧/秒。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4.支持HDMI、SDI、USB、网络四路视频同时输出。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5.支持RS232和RS485串口，可对摄像机进行控制；支持预置位数量≥255个，预置位精度：≤0.1°。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6.水平视场角：60.7°～3.36°；支持水平转动范围：-170°～+170°，垂直转动范围：-30°～+90°，水平转动速度范围：水平：1.7° ~ 100°/s，俯仰：1.7° ~ 69.9°/s。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7.支持先进的2D、3D降噪技术。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8.内置AI技术和行人重识别技术，实现自动识别目标人形并跟踪、自动框选功能。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9.支持AAC音频编码，音质更佳，带宽占用更小。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10.支持PoE供电。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11.具备≥1路HDMI输出接口、≥1路3G-SDI输出接口、≥1路USB3.0输出接口，具备≥1路3.5mm音频输入接口和≥1路3.5mm音频输出接口。</w:t>
            </w:r>
            <w:r>
              <w:rPr>
                <w:rFonts w:hint="eastAsia" w:ascii="宋体" w:hAnsi="宋体" w:eastAsia="宋体" w:cs="宋体"/>
                <w:i w:val="0"/>
                <w:iCs w:val="0"/>
                <w:color w:val="auto"/>
                <w:kern w:val="0"/>
                <w:sz w:val="21"/>
                <w:szCs w:val="21"/>
                <w:highlight w:val="none"/>
                <w:u w:val="none"/>
                <w:lang w:val="en-US" w:eastAsia="zh-CN" w:bidi="ar"/>
              </w:rPr>
              <w:br w:type="textWrapping"/>
            </w:r>
          </w:p>
        </w:tc>
        <w:tc>
          <w:tcPr>
            <w:tcW w:w="603" w:type="dxa"/>
            <w:noWrap w:val="0"/>
            <w:vAlign w:val="center"/>
          </w:tcPr>
          <w:p w14:paraId="6283DFB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00" w:type="dxa"/>
            <w:noWrap w:val="0"/>
            <w:vAlign w:val="center"/>
          </w:tcPr>
          <w:p w14:paraId="58F9879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7DC47C9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7800</w:t>
            </w:r>
          </w:p>
        </w:tc>
        <w:tc>
          <w:tcPr>
            <w:tcW w:w="635" w:type="dxa"/>
            <w:noWrap w:val="0"/>
            <w:vAlign w:val="center"/>
          </w:tcPr>
          <w:p w14:paraId="2A3BCEA7">
            <w:pPr>
              <w:spacing w:before="65" w:line="189" w:lineRule="auto"/>
              <w:ind w:left="182"/>
              <w:jc w:val="center"/>
              <w:rPr>
                <w:rFonts w:hint="eastAsia" w:ascii="宋体" w:hAnsi="宋体" w:eastAsia="宋体" w:cs="宋体"/>
                <w:color w:val="auto"/>
                <w:sz w:val="21"/>
                <w:szCs w:val="21"/>
                <w:highlight w:val="none"/>
              </w:rPr>
            </w:pPr>
          </w:p>
        </w:tc>
      </w:tr>
      <w:tr w14:paraId="40624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E5D93C1">
            <w:pPr>
              <w:numPr>
                <w:ilvl w:val="0"/>
                <w:numId w:val="23"/>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8704DA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高清视频会议专用摄像头内嵌软件</w:t>
            </w:r>
          </w:p>
        </w:tc>
        <w:tc>
          <w:tcPr>
            <w:tcW w:w="5472" w:type="dxa"/>
            <w:noWrap w:val="0"/>
            <w:vAlign w:val="center"/>
          </w:tcPr>
          <w:p w14:paraId="71400C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1.软件内嵌于高清视频会议专用摄像头，实现高清视频拍摄采集处理功能。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2.支持对高清视频信号的处理、传输；支持H.264视频编解码技术能力。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3.支持光学变焦处理能力，支持通过串口实现远程控制。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4.支持2D、3D降噪技术。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5.支持预置位设定及调用功能。</w:t>
            </w:r>
          </w:p>
        </w:tc>
        <w:tc>
          <w:tcPr>
            <w:tcW w:w="603" w:type="dxa"/>
            <w:noWrap w:val="0"/>
            <w:vAlign w:val="center"/>
          </w:tcPr>
          <w:p w14:paraId="13A86DC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00" w:type="dxa"/>
            <w:noWrap w:val="0"/>
            <w:vAlign w:val="center"/>
          </w:tcPr>
          <w:p w14:paraId="678E75B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7CC2B2F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内嵌</w:t>
            </w:r>
          </w:p>
        </w:tc>
        <w:tc>
          <w:tcPr>
            <w:tcW w:w="635" w:type="dxa"/>
            <w:noWrap w:val="0"/>
            <w:vAlign w:val="center"/>
          </w:tcPr>
          <w:p w14:paraId="206A512C">
            <w:pPr>
              <w:spacing w:before="65" w:line="189" w:lineRule="auto"/>
              <w:ind w:left="182"/>
              <w:jc w:val="center"/>
              <w:rPr>
                <w:rFonts w:hint="eastAsia" w:ascii="宋体" w:hAnsi="宋体" w:eastAsia="宋体" w:cs="宋体"/>
                <w:color w:val="auto"/>
                <w:sz w:val="21"/>
                <w:szCs w:val="21"/>
                <w:highlight w:val="none"/>
              </w:rPr>
            </w:pPr>
          </w:p>
        </w:tc>
      </w:tr>
      <w:tr w14:paraId="0BD76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E6D2C12">
            <w:pPr>
              <w:numPr>
                <w:ilvl w:val="0"/>
                <w:numId w:val="23"/>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0AB563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摄像机</w:t>
            </w:r>
          </w:p>
        </w:tc>
        <w:tc>
          <w:tcPr>
            <w:tcW w:w="5472" w:type="dxa"/>
            <w:noWrap w:val="0"/>
            <w:vAlign w:val="center"/>
          </w:tcPr>
          <w:p w14:paraId="3E2C6DB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1.支持≥846万像素，≥1/2.8英寸CMOS传感器，支持数字变焦功能。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2.支持≥3840x2160@30fps分辨率网络流的输出，并向下兼容。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3.摄像机水平场视角≥44°，垂直≥25°。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4.支持四路码流同时输出，即特写镜头两路码流，全景镜头两路码流，并可支持特写和全景同时RTMP推流。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5.内置基于深度学习的老师跟踪或学生定位智能视频算法，单摄像机同时实现全景景别和跟踪特写景别拍摄。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6.应用基于骨骼关键点的行为识别算法，教师机可直接识别教师板书动作。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7.基于深度学习的学生跟踪算法，在误检率极低的情况下大幅提高检测率。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8.学生跟踪算法可适应各种站立角度和各种不规则的站立过程。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9.具备≥1路USB接口，支持UVC功能，兼容各种主流会议软件和平台软件。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10.具备≥1路RJ45网口接口，支持POE功能。</w:t>
            </w:r>
          </w:p>
        </w:tc>
        <w:tc>
          <w:tcPr>
            <w:tcW w:w="603" w:type="dxa"/>
            <w:noWrap w:val="0"/>
            <w:vAlign w:val="center"/>
          </w:tcPr>
          <w:p w14:paraId="301B554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C8BF01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08D199A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2600</w:t>
            </w:r>
          </w:p>
        </w:tc>
        <w:tc>
          <w:tcPr>
            <w:tcW w:w="635" w:type="dxa"/>
            <w:noWrap w:val="0"/>
            <w:vAlign w:val="center"/>
          </w:tcPr>
          <w:p w14:paraId="206C6043">
            <w:pPr>
              <w:spacing w:before="65" w:line="189" w:lineRule="auto"/>
              <w:ind w:left="182"/>
              <w:jc w:val="center"/>
              <w:rPr>
                <w:rFonts w:hint="eastAsia" w:ascii="宋体" w:hAnsi="宋体" w:eastAsia="宋体" w:cs="宋体"/>
                <w:color w:val="auto"/>
                <w:sz w:val="21"/>
                <w:szCs w:val="21"/>
                <w:highlight w:val="none"/>
              </w:rPr>
            </w:pPr>
          </w:p>
        </w:tc>
      </w:tr>
      <w:tr w14:paraId="702C3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A842D96">
            <w:pPr>
              <w:numPr>
                <w:ilvl w:val="0"/>
                <w:numId w:val="23"/>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207C4D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摄像机</w:t>
            </w:r>
          </w:p>
        </w:tc>
        <w:tc>
          <w:tcPr>
            <w:tcW w:w="5472" w:type="dxa"/>
            <w:noWrap w:val="0"/>
            <w:vAlign w:val="center"/>
          </w:tcPr>
          <w:p w14:paraId="42361A8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1.支持≥846万像素，≥1/2.8英寸CMOS传感器，支持数字变焦功能。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2.支持≥3840x2160@30fps分辨率网络流的输出，并向下兼容。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3.摄像机水平场视角≥82°，垂直≥51°。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4.支持四路码流同时输出，即特写镜头两路码流，全景镜头两路码流，并可支持特写和全景同时RTMP推流。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5.内置基于深度学习的老师跟踪或学生定位智能视频算法，单摄像机同时实现全景景别和跟踪特写景别拍摄。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6.应用基于骨骼关键点的行为识别算法，教师机可直接识别教师板书动作。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7.基于深度学习的学生跟踪算法，在误检率极低的情况下大幅提高检测率。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8.学生跟踪算法可适应各种站立角度和各种不规则的站立过程。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9.具备≥1路USB接口，支持UVC功能，兼容各种主流会议软件和平台软件。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10.具备≥1路RJ45网口接口，支持POE功能。</w:t>
            </w:r>
          </w:p>
        </w:tc>
        <w:tc>
          <w:tcPr>
            <w:tcW w:w="603" w:type="dxa"/>
            <w:noWrap w:val="0"/>
            <w:vAlign w:val="center"/>
          </w:tcPr>
          <w:p w14:paraId="5F49A85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4B9DD07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6A53B43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2600</w:t>
            </w:r>
          </w:p>
        </w:tc>
        <w:tc>
          <w:tcPr>
            <w:tcW w:w="635" w:type="dxa"/>
            <w:noWrap w:val="0"/>
            <w:vAlign w:val="center"/>
          </w:tcPr>
          <w:p w14:paraId="3E3C6D63">
            <w:pPr>
              <w:spacing w:before="65" w:line="189" w:lineRule="auto"/>
              <w:ind w:left="182"/>
              <w:jc w:val="center"/>
              <w:rPr>
                <w:rFonts w:hint="eastAsia" w:ascii="宋体" w:hAnsi="宋体" w:eastAsia="宋体" w:cs="宋体"/>
                <w:color w:val="auto"/>
                <w:sz w:val="21"/>
                <w:szCs w:val="21"/>
                <w:highlight w:val="none"/>
              </w:rPr>
            </w:pPr>
          </w:p>
        </w:tc>
      </w:tr>
      <w:tr w14:paraId="5F9A9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A6E4E1C">
            <w:pPr>
              <w:numPr>
                <w:ilvl w:val="0"/>
                <w:numId w:val="23"/>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68AC980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无线麦克风</w:t>
            </w:r>
          </w:p>
        </w:tc>
        <w:tc>
          <w:tcPr>
            <w:tcW w:w="5472" w:type="dxa"/>
            <w:noWrap w:val="0"/>
            <w:vAlign w:val="center"/>
          </w:tcPr>
          <w:p w14:paraId="0E7773E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1.麦克风音频编码方式采用LC3 plus。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2.支持啸叫抑制算法，通过算法可实现本地扩声时无啸叫现象。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4.支持多通道输入混音。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1.支持≥1个USB Type-C接口。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2.支持≥1个3.5mm Line out音频输出接口。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3.支持内置状态显示灯，可显示当前接收器工作状态。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4.支持壁挂支架安装，实现0°或180°安装。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5.供电电压DC≤5V。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6.支持通过录播系统，实现OTA自动升级。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7.支持通过Type-C接口实现手动升级。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8.支持同时连接两个麦克风并工作。</w:t>
            </w:r>
          </w:p>
        </w:tc>
        <w:tc>
          <w:tcPr>
            <w:tcW w:w="603" w:type="dxa"/>
            <w:noWrap w:val="0"/>
            <w:vAlign w:val="center"/>
          </w:tcPr>
          <w:p w14:paraId="34050EC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558BE0D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20E7CE8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1000</w:t>
            </w:r>
          </w:p>
        </w:tc>
        <w:tc>
          <w:tcPr>
            <w:tcW w:w="635" w:type="dxa"/>
            <w:noWrap w:val="0"/>
            <w:vAlign w:val="center"/>
          </w:tcPr>
          <w:p w14:paraId="54A18C33">
            <w:pPr>
              <w:spacing w:before="65" w:line="189" w:lineRule="auto"/>
              <w:ind w:left="182"/>
              <w:jc w:val="center"/>
              <w:rPr>
                <w:rFonts w:hint="eastAsia" w:ascii="宋体" w:hAnsi="宋体" w:eastAsia="宋体" w:cs="宋体"/>
                <w:color w:val="auto"/>
                <w:sz w:val="21"/>
                <w:szCs w:val="21"/>
                <w:highlight w:val="none"/>
              </w:rPr>
            </w:pPr>
          </w:p>
        </w:tc>
      </w:tr>
      <w:tr w14:paraId="0F67E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B738FB">
            <w:pPr>
              <w:numPr>
                <w:ilvl w:val="0"/>
                <w:numId w:val="23"/>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7DD5BC6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交换机</w:t>
            </w:r>
          </w:p>
        </w:tc>
        <w:tc>
          <w:tcPr>
            <w:tcW w:w="5472" w:type="dxa"/>
            <w:noWrap w:val="0"/>
            <w:vAlign w:val="center"/>
          </w:tcPr>
          <w:p w14:paraId="4FBAEAE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1.24个10/100/1000Base-T RJ45端口（支持PoE+供电）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2.2个独立千兆SFP端口,整机最大PoE供电功率为225W，单端口最大PoE供电功率为30W</w:t>
            </w:r>
          </w:p>
        </w:tc>
        <w:tc>
          <w:tcPr>
            <w:tcW w:w="603" w:type="dxa"/>
            <w:noWrap w:val="0"/>
            <w:vAlign w:val="center"/>
          </w:tcPr>
          <w:p w14:paraId="2EDFE9E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5B86408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54C49B9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3500</w:t>
            </w:r>
          </w:p>
        </w:tc>
        <w:tc>
          <w:tcPr>
            <w:tcW w:w="635" w:type="dxa"/>
            <w:noWrap w:val="0"/>
            <w:vAlign w:val="center"/>
          </w:tcPr>
          <w:p w14:paraId="50793B5B">
            <w:pPr>
              <w:spacing w:before="65" w:line="189" w:lineRule="auto"/>
              <w:ind w:left="182"/>
              <w:jc w:val="center"/>
              <w:rPr>
                <w:rFonts w:hint="eastAsia" w:ascii="宋体" w:hAnsi="宋体" w:eastAsia="宋体" w:cs="宋体"/>
                <w:color w:val="auto"/>
                <w:sz w:val="21"/>
                <w:szCs w:val="21"/>
                <w:highlight w:val="none"/>
              </w:rPr>
            </w:pPr>
          </w:p>
        </w:tc>
      </w:tr>
      <w:tr w14:paraId="2EE10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CB6CBD">
            <w:pPr>
              <w:numPr>
                <w:ilvl w:val="0"/>
                <w:numId w:val="23"/>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3EB28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智能讲台</w:t>
            </w:r>
          </w:p>
        </w:tc>
        <w:tc>
          <w:tcPr>
            <w:tcW w:w="5472" w:type="dxa"/>
            <w:noWrap w:val="0"/>
            <w:vAlign w:val="center"/>
          </w:tcPr>
          <w:p w14:paraId="5E6D542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定制</w:t>
            </w:r>
          </w:p>
        </w:tc>
        <w:tc>
          <w:tcPr>
            <w:tcW w:w="603" w:type="dxa"/>
            <w:noWrap w:val="0"/>
            <w:vAlign w:val="center"/>
          </w:tcPr>
          <w:p w14:paraId="7C16CF8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54FE458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6A78528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4500</w:t>
            </w:r>
          </w:p>
        </w:tc>
        <w:tc>
          <w:tcPr>
            <w:tcW w:w="635" w:type="dxa"/>
            <w:noWrap w:val="0"/>
            <w:vAlign w:val="center"/>
          </w:tcPr>
          <w:p w14:paraId="182A6DC2">
            <w:pPr>
              <w:spacing w:before="65" w:line="189" w:lineRule="auto"/>
              <w:ind w:left="182"/>
              <w:jc w:val="center"/>
              <w:rPr>
                <w:rFonts w:hint="eastAsia" w:ascii="宋体" w:hAnsi="宋体" w:eastAsia="宋体" w:cs="宋体"/>
                <w:color w:val="auto"/>
                <w:sz w:val="21"/>
                <w:szCs w:val="21"/>
                <w:highlight w:val="none"/>
              </w:rPr>
            </w:pPr>
          </w:p>
        </w:tc>
      </w:tr>
      <w:tr w14:paraId="0273B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FE3C95F">
            <w:pPr>
              <w:numPr>
                <w:ilvl w:val="0"/>
                <w:numId w:val="23"/>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5A77D08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智慧黑板</w:t>
            </w:r>
          </w:p>
        </w:tc>
        <w:tc>
          <w:tcPr>
            <w:tcW w:w="5472" w:type="dxa"/>
            <w:noWrap w:val="0"/>
            <w:vAlign w:val="center"/>
          </w:tcPr>
          <w:p w14:paraId="1DCEA4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5CEC4A4A">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44071E2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1F6456F8">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7A001ECC">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00C062D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6DB3444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2967083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1F9E3E32">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156397FC">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34DDAC5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7D5A12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5221F51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28961A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5336F2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35BBB66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6DCF61B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6438DA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1CA3C78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1569786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726166B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4BBCC0B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3C3C05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6D6433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12DC60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0A668E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5CE047C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0CC38D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5C09C6E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5A7B7EE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4F8403E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1D3953D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78B2AB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3253365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1C91E0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7F464FB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0C3077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42FC132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2271B1D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4C97E6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491AAFF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4BB31DE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13D286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0D9EDE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743AD75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55D2214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7105582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128FEC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727D4E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16D766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4561D55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3B9CC45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26E49F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0CF1881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1848CA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1840F12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3ECFB3A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25A221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418011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5D18E43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574527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0587A3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7BD9BB3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1DC2B39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5CB6A1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3D08389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2470760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1054F2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7436CA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173FEB4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209F07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5B8F7B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41DC352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1A914C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5C4446D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3E4FCF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4C8FEAB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151CF1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153691F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189957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1688F2D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71658C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17678C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346C6E2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2DE1ED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38979F1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5F7F3B7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1E0646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4ADF60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1A494D3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609A73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02216B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5A2D0B5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47F28AF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769EAC2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5A56D5D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5E64E63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12AB56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6BEA9C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34F64A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0EAB52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41CCE03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1CAE6D6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772D87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00C5934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158AD6A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2C12E52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74147D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5D5B05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6F045E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20F71E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2E15483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1984F91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686527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5A1D91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438AD00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597D7F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43F63FE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37DD9BC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40A8B6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3A441DB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04B44FD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4D9354B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374CEA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591C65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0F59B7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60E35A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5FC4FB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0494AD1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79772B0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16D0C0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1DC74A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0799EB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18FF46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55C175A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0E27B2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20F010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5FC968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4EFFD51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71AF96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0C1A12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615F91F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6B5901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61E6C9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4032130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2C80B7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6B50CCD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388D87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018F22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5E020B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3241B12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384E6F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291D7A2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33003C1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63C38A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252D74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1A27CC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693A758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485A4C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2B4A425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073A127E">
            <w:pPr>
              <w:keepNext w:val="0"/>
              <w:keepLines w:val="0"/>
              <w:widowControl/>
              <w:numPr>
                <w:ilvl w:val="0"/>
                <w:numId w:val="0"/>
              </w:numPr>
              <w:suppressLineNumbers w:val="0"/>
              <w:spacing w:line="240" w:lineRule="auto"/>
              <w:jc w:val="left"/>
              <w:textAlignment w:val="center"/>
              <w:rPr>
                <w:rFonts w:hint="eastAsia" w:eastAsia="黑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11A3EBA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166A456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27283A2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24400</w:t>
            </w:r>
          </w:p>
        </w:tc>
        <w:tc>
          <w:tcPr>
            <w:tcW w:w="635" w:type="dxa"/>
            <w:noWrap w:val="0"/>
            <w:vAlign w:val="center"/>
          </w:tcPr>
          <w:p w14:paraId="7CF583C5">
            <w:pPr>
              <w:spacing w:before="65" w:line="189" w:lineRule="auto"/>
              <w:ind w:left="182"/>
              <w:jc w:val="center"/>
              <w:rPr>
                <w:rFonts w:hint="eastAsia" w:ascii="宋体" w:hAnsi="宋体" w:eastAsia="宋体" w:cs="宋体"/>
                <w:color w:val="auto"/>
                <w:sz w:val="21"/>
                <w:szCs w:val="21"/>
                <w:highlight w:val="none"/>
              </w:rPr>
            </w:pPr>
          </w:p>
        </w:tc>
      </w:tr>
      <w:tr w14:paraId="6E16B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00D8BE">
            <w:pPr>
              <w:numPr>
                <w:ilvl w:val="0"/>
                <w:numId w:val="23"/>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16CAAAA0">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高清壁挂展台</w:t>
            </w:r>
          </w:p>
        </w:tc>
        <w:tc>
          <w:tcPr>
            <w:tcW w:w="5472" w:type="dxa"/>
            <w:noWrap w:val="0"/>
            <w:vAlign w:val="center"/>
          </w:tcPr>
          <w:p w14:paraId="5AD1EF1B">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智慧黑板同品牌高清壁挂展台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一）硬件部分：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1、整机采用圆弧式设计，无锐角；同时托板采用磁吸吸附式机构，防止托板打落，方便打开及固定，避免机械式锁具故障率高的问题。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3、A4大小拍摄幅面，1080P动态视频预览达到30帧/秒；托板及挂墙部分采用金属加强，托板可承重3kg，整机壁挂式安装。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4、支持展台成像画面实时批注，预设多种笔划粗细及颜色供选择，且支持对展台成像画面联同批注内容进行同步缩放、移动。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5、展示托板正上方具备LED补光灯，保证展示区域的亮度及展示效果，补光灯开关采用触摸按键设计，同时可通过交互智能平板中的软件直接控制开关。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6、带自动对焦摄像头；外壳在摄像头部分带保护镜片密封，防止灰尘沾染摄像头，防护等级达到IP4X级别。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7、具有故障自动检测功能：在调用展台却无法出现镜头采集画面信号时，可自动出现检测链接，并给出导致性原因（如硬件连接、摄像头占用、配套软件版本等问题）。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（二）软件部分：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1、支持对展台实时画面进行放大、缩小、旋转、自适应、冻结画面等操作。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2、支持展台画面实时批注，预设多种笔划粗细及颜色供选择，且支持对展台画面联同批注内容进行同步缩放、移动。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3、支持展台画面拍照截图并进行多图预览，可对任一图片进行全屏显示。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4、老师可在一体机或电脑上选择延时拍照功能，支持5秒或10秒延时模式，预留充足时间以便调整拍摄内容。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5、可选择图像、文本或动态三种情景模式，适应不同展示内容。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6、具备图像增强功能，可自动裁剪背景并增强文字显示，使文档画面更清晰。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55612BE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08C7148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19424CD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600</w:t>
            </w:r>
          </w:p>
        </w:tc>
        <w:tc>
          <w:tcPr>
            <w:tcW w:w="635" w:type="dxa"/>
            <w:noWrap w:val="0"/>
            <w:vAlign w:val="center"/>
          </w:tcPr>
          <w:p w14:paraId="33287D78">
            <w:pPr>
              <w:spacing w:before="65" w:line="189" w:lineRule="auto"/>
              <w:ind w:left="182"/>
              <w:jc w:val="center"/>
              <w:rPr>
                <w:rFonts w:hint="eastAsia" w:ascii="宋体" w:hAnsi="宋体" w:eastAsia="宋体" w:cs="宋体"/>
                <w:color w:val="auto"/>
                <w:sz w:val="21"/>
                <w:szCs w:val="21"/>
                <w:highlight w:val="none"/>
              </w:rPr>
            </w:pPr>
          </w:p>
        </w:tc>
      </w:tr>
      <w:tr w14:paraId="3F4B0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1ADA78D7">
            <w:pPr>
              <w:spacing w:before="65" w:line="279" w:lineRule="auto"/>
              <w:ind w:left="0" w:leftChars="0" w:right="115"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1253CF95">
            <w:pPr>
              <w:spacing w:before="68" w:line="223" w:lineRule="auto"/>
              <w:jc w:val="left"/>
              <w:rPr>
                <w:rFonts w:hint="eastAsia" w:ascii="宋体" w:hAnsi="宋体" w:eastAsia="宋体" w:cs="宋体"/>
                <w:color w:val="auto"/>
                <w:sz w:val="21"/>
                <w:szCs w:val="21"/>
                <w:highlight w:val="none"/>
              </w:rPr>
            </w:pPr>
          </w:p>
        </w:tc>
        <w:tc>
          <w:tcPr>
            <w:tcW w:w="2313" w:type="dxa"/>
            <w:gridSpan w:val="3"/>
            <w:noWrap w:val="0"/>
            <w:vAlign w:val="center"/>
          </w:tcPr>
          <w:p w14:paraId="422F1864">
            <w:pPr>
              <w:spacing w:before="65" w:line="187"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108100.00</w:t>
            </w:r>
          </w:p>
        </w:tc>
        <w:tc>
          <w:tcPr>
            <w:tcW w:w="635" w:type="dxa"/>
            <w:noWrap w:val="0"/>
            <w:vAlign w:val="center"/>
          </w:tcPr>
          <w:p w14:paraId="08DAF8C0">
            <w:pPr>
              <w:spacing w:before="65" w:line="189" w:lineRule="auto"/>
              <w:ind w:left="182"/>
              <w:jc w:val="center"/>
              <w:rPr>
                <w:rFonts w:hint="eastAsia" w:ascii="宋体" w:hAnsi="宋体" w:eastAsia="宋体" w:cs="宋体"/>
                <w:color w:val="auto"/>
                <w:sz w:val="21"/>
                <w:szCs w:val="21"/>
                <w:highlight w:val="none"/>
              </w:rPr>
            </w:pPr>
          </w:p>
        </w:tc>
      </w:tr>
      <w:tr w14:paraId="6B05E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4A237EDC">
            <w:pPr>
              <w:spacing w:before="65" w:line="189" w:lineRule="auto"/>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音频系统</w:t>
            </w:r>
          </w:p>
        </w:tc>
      </w:tr>
      <w:tr w14:paraId="7DA1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FAC68FA">
            <w:pPr>
              <w:numPr>
                <w:ilvl w:val="0"/>
                <w:numId w:val="0"/>
              </w:numPr>
              <w:spacing w:before="65" w:line="185" w:lineRule="auto"/>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369</w:t>
            </w:r>
          </w:p>
        </w:tc>
        <w:tc>
          <w:tcPr>
            <w:tcW w:w="1245" w:type="dxa"/>
            <w:noWrap w:val="0"/>
            <w:vAlign w:val="center"/>
          </w:tcPr>
          <w:p w14:paraId="70D9186F">
            <w:pPr>
              <w:spacing w:before="65" w:line="240" w:lineRule="auto"/>
              <w:ind w:left="0" w:leftChars="0" w:right="115"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无线话筒</w:t>
            </w:r>
          </w:p>
        </w:tc>
        <w:tc>
          <w:tcPr>
            <w:tcW w:w="5472" w:type="dxa"/>
            <w:noWrap w:val="0"/>
            <w:vAlign w:val="center"/>
          </w:tcPr>
          <w:p w14:paraId="51271CE3">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1话筒基于数字U段的传输技术，pi/4-DQPSK调制方式，采用国产主控芯片，传输距离≥80米，接收机具有≥2路平衡输出、≥1路非平衡混音输出；具有混响、均衡、智能静音、音频加密、功率调节功能。</w:t>
            </w:r>
          </w:p>
          <w:p w14:paraId="0B0E47E4">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2.具有≥1台接收主机、≥1只手持发射机、≥1只头戴腰包发射机；频率范围等同或优于470MHz-510MHz、540MHz-590MHz、640MHz-690MHz、807MHz-830MHz四个频段使用。</w:t>
            </w:r>
          </w:p>
          <w:p w14:paraId="1D5E6B76">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接收机前面板具有≥2个TFT-LCD显示屏、≥2个编码旋钮、≥2个频率扫描实体按键、≥2个红外对频实体按键、≥1个电源开关按键、≥1个二合一指示灯（红外发射管+对频指示灯）；后面板具有≥1个LINE-OUT接口、≥2个XLR-OUT接口、≥2个BNC接口、≥1个DC接口。腰包发射机具有≥1个显示屏、≥4个实体按键（包括≥1个静音键、≥1个音量减少键、≥1个音量增加键、≥1个电源开关键）、≥1个电源状态指示灯、≥1个静音指示灯。手持发射机具有≥1个OLED 显示屏、≥1个开关机/静音按键、≥1个工作状态指示灯、≥1个红外对频指示灯。</w:t>
            </w:r>
          </w:p>
          <w:p w14:paraId="4CF8F965">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4.具有自动静音功能，麦克风跌落、抛掷时，毫秒级自动静音，避免冲击声；实时监测设备姿态，静置≥5秒静音，≥8分钟关机，无需手动干预。</w:t>
            </w:r>
          </w:p>
          <w:p w14:paraId="0740711D">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5.具有多档位混响调节功能，混响效果≥15625个，效果占比、回响延时、混响幅度调节，三种音效各具有≥25档调节方式。</w:t>
            </w:r>
          </w:p>
          <w:p w14:paraId="20E627A9">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6.具有多频段均衡调节功能，均衡调节≥2197种，麦克风均衡器调节功能，具有高、中、低音三种调节档位，每种效果支持≥13档调节。</w:t>
            </w:r>
          </w:p>
          <w:p w14:paraId="5A63505D">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7.具有长时间续航，发射机连续使用时长≥10小时。</w:t>
            </w:r>
          </w:p>
          <w:p w14:paraId="59119995">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8.具有ID码防串扰功能，采用32位唯一ID码，用于接收和发射配对，收发ID码必须相同才能对码，能够有效防止相同频率的信号相互串台。</w:t>
            </w:r>
          </w:p>
          <w:p w14:paraId="7A58087B">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9.接收机具有≥2个2.2英寸的TFT-LCD显示屏；发射机具有≥0.96英寸OLED显示屏，能够显示频率信息、音频加密状态、功率挡位、静音状态、电量格数信息。</w:t>
            </w:r>
          </w:p>
        </w:tc>
        <w:tc>
          <w:tcPr>
            <w:tcW w:w="603" w:type="dxa"/>
            <w:noWrap w:val="0"/>
            <w:vAlign w:val="center"/>
          </w:tcPr>
          <w:p w14:paraId="1C978EE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B81A4D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594C9FA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3500</w:t>
            </w:r>
          </w:p>
        </w:tc>
        <w:tc>
          <w:tcPr>
            <w:tcW w:w="635" w:type="dxa"/>
            <w:noWrap w:val="0"/>
            <w:vAlign w:val="center"/>
          </w:tcPr>
          <w:p w14:paraId="4D4B8446">
            <w:pPr>
              <w:spacing w:before="65" w:line="189" w:lineRule="auto"/>
              <w:ind w:left="182"/>
              <w:jc w:val="center"/>
              <w:rPr>
                <w:rFonts w:hint="eastAsia" w:ascii="宋体" w:hAnsi="宋体" w:eastAsia="宋体" w:cs="宋体"/>
                <w:color w:val="auto"/>
                <w:sz w:val="21"/>
                <w:szCs w:val="21"/>
                <w:highlight w:val="none"/>
              </w:rPr>
            </w:pPr>
          </w:p>
        </w:tc>
      </w:tr>
      <w:tr w14:paraId="01C7F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48C4EA">
            <w:pPr>
              <w:keepNext w:val="0"/>
              <w:keepLines w:val="0"/>
              <w:widowControl/>
              <w:numPr>
                <w:ilvl w:val="0"/>
                <w:numId w:val="0"/>
              </w:numPr>
              <w:suppressLineNumbers w:val="0"/>
              <w:ind w:left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370</w:t>
            </w:r>
          </w:p>
        </w:tc>
        <w:tc>
          <w:tcPr>
            <w:tcW w:w="1245" w:type="dxa"/>
            <w:noWrap w:val="0"/>
            <w:vAlign w:val="center"/>
          </w:tcPr>
          <w:p w14:paraId="474C95E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话筒呼叫控制嵌入软件</w:t>
            </w:r>
          </w:p>
        </w:tc>
        <w:tc>
          <w:tcPr>
            <w:tcW w:w="5472" w:type="dxa"/>
            <w:noWrap w:val="0"/>
            <w:vAlign w:val="center"/>
          </w:tcPr>
          <w:p w14:paraId="22E5612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1.软件内嵌于无线话筒系统设备，话筒呼叫控制功能。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2.采用UHF超高频段双真分集接收，并采用PLL锁相环多信道频率合成技术。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3.支持自动选讯接收方式。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4.支持信道选择、频率可调、可设置主机与话筒配对。</w:t>
            </w:r>
          </w:p>
        </w:tc>
        <w:tc>
          <w:tcPr>
            <w:tcW w:w="603" w:type="dxa"/>
            <w:noWrap w:val="0"/>
            <w:vAlign w:val="center"/>
          </w:tcPr>
          <w:p w14:paraId="4AA6AD3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0B43AAE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1E37EDF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内嵌</w:t>
            </w:r>
          </w:p>
        </w:tc>
        <w:tc>
          <w:tcPr>
            <w:tcW w:w="635" w:type="dxa"/>
            <w:noWrap w:val="0"/>
            <w:vAlign w:val="center"/>
          </w:tcPr>
          <w:p w14:paraId="3ED84C8B">
            <w:pPr>
              <w:spacing w:before="65" w:line="189" w:lineRule="auto"/>
              <w:ind w:left="182"/>
              <w:jc w:val="center"/>
              <w:rPr>
                <w:rFonts w:hint="eastAsia" w:ascii="宋体" w:hAnsi="宋体" w:eastAsia="宋体" w:cs="宋体"/>
                <w:color w:val="auto"/>
                <w:sz w:val="21"/>
                <w:szCs w:val="21"/>
                <w:highlight w:val="none"/>
              </w:rPr>
            </w:pPr>
          </w:p>
        </w:tc>
      </w:tr>
      <w:tr w14:paraId="68562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9C5BCA3">
            <w:pPr>
              <w:keepNext w:val="0"/>
              <w:keepLines w:val="0"/>
              <w:widowControl/>
              <w:numPr>
                <w:ilvl w:val="0"/>
                <w:numId w:val="0"/>
              </w:numPr>
              <w:suppressLineNumbers w:val="0"/>
              <w:ind w:left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371</w:t>
            </w:r>
          </w:p>
        </w:tc>
        <w:tc>
          <w:tcPr>
            <w:tcW w:w="1245" w:type="dxa"/>
            <w:noWrap w:val="0"/>
            <w:vAlign w:val="center"/>
          </w:tcPr>
          <w:p w14:paraId="5732F0C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话筒天线</w:t>
            </w:r>
          </w:p>
        </w:tc>
        <w:tc>
          <w:tcPr>
            <w:tcW w:w="5472" w:type="dxa"/>
            <w:noWrap w:val="0"/>
            <w:vAlign w:val="center"/>
          </w:tcPr>
          <w:p w14:paraId="19CB715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1.射频频率范围等同或优于470～950MHz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2.驻波比：≤2.0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3.输入阻抗：≤50Ω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4.指向性：≥180度指向</w:t>
            </w:r>
          </w:p>
        </w:tc>
        <w:tc>
          <w:tcPr>
            <w:tcW w:w="603" w:type="dxa"/>
            <w:noWrap w:val="0"/>
            <w:vAlign w:val="center"/>
          </w:tcPr>
          <w:p w14:paraId="2019215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4D16EF0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6390BB7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2650</w:t>
            </w:r>
          </w:p>
        </w:tc>
        <w:tc>
          <w:tcPr>
            <w:tcW w:w="635" w:type="dxa"/>
            <w:noWrap w:val="0"/>
            <w:vAlign w:val="center"/>
          </w:tcPr>
          <w:p w14:paraId="6045310E">
            <w:pPr>
              <w:spacing w:before="65" w:line="189" w:lineRule="auto"/>
              <w:ind w:left="182"/>
              <w:jc w:val="center"/>
              <w:rPr>
                <w:rFonts w:hint="eastAsia" w:ascii="宋体" w:hAnsi="宋体" w:eastAsia="宋体" w:cs="宋体"/>
                <w:color w:val="auto"/>
                <w:sz w:val="21"/>
                <w:szCs w:val="21"/>
                <w:highlight w:val="none"/>
              </w:rPr>
            </w:pPr>
          </w:p>
        </w:tc>
      </w:tr>
      <w:tr w14:paraId="6B949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6AF16EE">
            <w:pPr>
              <w:keepNext w:val="0"/>
              <w:keepLines w:val="0"/>
              <w:widowControl/>
              <w:numPr>
                <w:ilvl w:val="0"/>
                <w:numId w:val="0"/>
              </w:numPr>
              <w:suppressLineNumbers w:val="0"/>
              <w:ind w:left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372</w:t>
            </w:r>
          </w:p>
        </w:tc>
        <w:tc>
          <w:tcPr>
            <w:tcW w:w="1245" w:type="dxa"/>
            <w:noWrap w:val="0"/>
            <w:vAlign w:val="center"/>
          </w:tcPr>
          <w:p w14:paraId="79D19BF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吸顶麦克风</w:t>
            </w:r>
          </w:p>
        </w:tc>
        <w:tc>
          <w:tcPr>
            <w:tcW w:w="5472" w:type="dxa"/>
            <w:noWrap w:val="0"/>
            <w:vAlign w:val="center"/>
          </w:tcPr>
          <w:p w14:paraId="15965A6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1.采用高灵敏度全指向性咪头，全向拾音。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2.内置专用音频信号处理功能。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3.支持48V幻象供电，平衡输出。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4.信号处理电路：专用音频信号处理电路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5.内置雷击保护、电源极性反接保护和静电保护。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6.拾音范围等同或优于：5-50㎡</w:t>
            </w:r>
          </w:p>
        </w:tc>
        <w:tc>
          <w:tcPr>
            <w:tcW w:w="603" w:type="dxa"/>
            <w:noWrap w:val="0"/>
            <w:vAlign w:val="center"/>
          </w:tcPr>
          <w:p w14:paraId="454D14C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600" w:type="dxa"/>
            <w:noWrap w:val="0"/>
            <w:vAlign w:val="center"/>
          </w:tcPr>
          <w:p w14:paraId="3DABDAB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16650DD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1450</w:t>
            </w:r>
          </w:p>
        </w:tc>
        <w:tc>
          <w:tcPr>
            <w:tcW w:w="635" w:type="dxa"/>
            <w:noWrap w:val="0"/>
            <w:vAlign w:val="center"/>
          </w:tcPr>
          <w:p w14:paraId="2D0F2ADC">
            <w:pPr>
              <w:spacing w:before="65" w:line="189" w:lineRule="auto"/>
              <w:ind w:left="182"/>
              <w:jc w:val="center"/>
              <w:rPr>
                <w:rFonts w:hint="eastAsia" w:ascii="宋体" w:hAnsi="宋体" w:eastAsia="宋体" w:cs="宋体"/>
                <w:color w:val="auto"/>
                <w:sz w:val="21"/>
                <w:szCs w:val="21"/>
                <w:highlight w:val="none"/>
              </w:rPr>
            </w:pPr>
          </w:p>
        </w:tc>
      </w:tr>
      <w:tr w14:paraId="1EC64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A34E50">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37</w:t>
            </w:r>
            <w:r>
              <w:rPr>
                <w:rFonts w:hint="eastAsia" w:ascii="宋体" w:hAnsi="宋体" w:cs="宋体"/>
                <w:color w:val="auto"/>
                <w:kern w:val="2"/>
                <w:sz w:val="21"/>
                <w:szCs w:val="21"/>
                <w:highlight w:val="none"/>
                <w:lang w:val="en-US" w:eastAsia="zh-CN" w:bidi="ar-SA"/>
              </w:rPr>
              <w:t>3</w:t>
            </w:r>
          </w:p>
        </w:tc>
        <w:tc>
          <w:tcPr>
            <w:tcW w:w="1245" w:type="dxa"/>
            <w:noWrap w:val="0"/>
            <w:vAlign w:val="center"/>
          </w:tcPr>
          <w:p w14:paraId="4EDBD14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音频处理器</w:t>
            </w:r>
          </w:p>
        </w:tc>
        <w:tc>
          <w:tcPr>
            <w:tcW w:w="5472" w:type="dxa"/>
            <w:noWrap w:val="0"/>
            <w:vAlign w:val="center"/>
          </w:tcPr>
          <w:p w14:paraId="5537AA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1.采用工业级嵌入式架构，集成自动噪音抑制技术。具备回声消除功能，远程回声消除延迟能力有128ms，256ms，512ms。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2.具备≥8路平衡输入接口，支持差分输入，支持48V幻象供电，支持≥16段EQ处理功能；具备≥4路单声道LINE IN输入接口；具备≥4路平衡输出接口。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3.支持≥8路智能混音。支持NOMA功能，根据开启的MIC 数量自动调整系统的输出电平。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4.支持灵活的配置方式，支持通过网口、RS485接口进行软件升级和参数配置输入/输出增益、EQ、AGC、降噪等级等参数。可通过网络进行监听，软件升级和参数配置。</w:t>
            </w:r>
          </w:p>
        </w:tc>
        <w:tc>
          <w:tcPr>
            <w:tcW w:w="603" w:type="dxa"/>
            <w:noWrap w:val="0"/>
            <w:vAlign w:val="center"/>
          </w:tcPr>
          <w:p w14:paraId="722C4DD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1736D31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03B1E97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6000</w:t>
            </w:r>
          </w:p>
        </w:tc>
        <w:tc>
          <w:tcPr>
            <w:tcW w:w="635" w:type="dxa"/>
            <w:noWrap w:val="0"/>
            <w:vAlign w:val="center"/>
          </w:tcPr>
          <w:p w14:paraId="1A18D1BE">
            <w:pPr>
              <w:spacing w:before="65" w:line="189" w:lineRule="auto"/>
              <w:ind w:left="182"/>
              <w:jc w:val="center"/>
              <w:rPr>
                <w:rFonts w:hint="eastAsia" w:ascii="宋体" w:hAnsi="宋体" w:eastAsia="宋体" w:cs="宋体"/>
                <w:color w:val="auto"/>
                <w:sz w:val="21"/>
                <w:szCs w:val="21"/>
                <w:highlight w:val="none"/>
              </w:rPr>
            </w:pPr>
          </w:p>
        </w:tc>
      </w:tr>
      <w:tr w14:paraId="114EA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240A567">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37</w:t>
            </w:r>
            <w:r>
              <w:rPr>
                <w:rFonts w:hint="eastAsia" w:ascii="宋体" w:hAnsi="宋体" w:cs="宋体"/>
                <w:color w:val="auto"/>
                <w:kern w:val="2"/>
                <w:sz w:val="21"/>
                <w:szCs w:val="21"/>
                <w:highlight w:val="none"/>
                <w:lang w:val="en-US" w:eastAsia="zh-CN" w:bidi="ar-SA"/>
              </w:rPr>
              <w:t>4</w:t>
            </w:r>
          </w:p>
        </w:tc>
        <w:tc>
          <w:tcPr>
            <w:tcW w:w="1245" w:type="dxa"/>
            <w:noWrap w:val="0"/>
            <w:vAlign w:val="center"/>
          </w:tcPr>
          <w:p w14:paraId="4DBD6C9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专业功放</w:t>
            </w:r>
          </w:p>
        </w:tc>
        <w:tc>
          <w:tcPr>
            <w:tcW w:w="5472" w:type="dxa"/>
            <w:noWrap w:val="0"/>
            <w:vAlign w:val="center"/>
          </w:tcPr>
          <w:p w14:paraId="572B3EF5">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1.标准≤1U机箱设计，采用D类数字功放设计方案。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2.标准XLR输入接口，和LINK输出口。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3.电源采用开关电源技术，效率高，有效的抑制电源谐波。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4.内置智能削峰限幅器，支持开机软启动，防止开机时向电网吸收大电流，干扰其它用电设备。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5.具有：过压保护，欠压保护，过流保护，直流保护，输出短路保护，温控风扇等功能。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6.输出功率：立体声@8Ω：≥200W×2；立体声@4Ω：≥400W×2。</w:t>
            </w:r>
          </w:p>
        </w:tc>
        <w:tc>
          <w:tcPr>
            <w:tcW w:w="603" w:type="dxa"/>
            <w:noWrap w:val="0"/>
            <w:vAlign w:val="center"/>
          </w:tcPr>
          <w:p w14:paraId="4DFA525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00DED74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7642E19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4500</w:t>
            </w:r>
          </w:p>
        </w:tc>
        <w:tc>
          <w:tcPr>
            <w:tcW w:w="635" w:type="dxa"/>
            <w:noWrap w:val="0"/>
            <w:vAlign w:val="center"/>
          </w:tcPr>
          <w:p w14:paraId="15A495F2">
            <w:pPr>
              <w:spacing w:before="65" w:line="189" w:lineRule="auto"/>
              <w:ind w:left="182"/>
              <w:jc w:val="center"/>
              <w:rPr>
                <w:rFonts w:hint="eastAsia" w:ascii="宋体" w:hAnsi="宋体" w:eastAsia="宋体" w:cs="宋体"/>
                <w:color w:val="auto"/>
                <w:sz w:val="21"/>
                <w:szCs w:val="21"/>
                <w:highlight w:val="none"/>
              </w:rPr>
            </w:pPr>
          </w:p>
        </w:tc>
      </w:tr>
      <w:tr w14:paraId="74357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BE9D60A">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75</w:t>
            </w:r>
          </w:p>
        </w:tc>
        <w:tc>
          <w:tcPr>
            <w:tcW w:w="1245" w:type="dxa"/>
            <w:noWrap w:val="0"/>
            <w:vAlign w:val="center"/>
          </w:tcPr>
          <w:p w14:paraId="4DB37D4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调音台</w:t>
            </w:r>
          </w:p>
        </w:tc>
        <w:tc>
          <w:tcPr>
            <w:tcW w:w="5472" w:type="dxa"/>
            <w:noWrap w:val="0"/>
            <w:vAlign w:val="center"/>
          </w:tcPr>
          <w:p w14:paraId="692C923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1.8路XLR平衡单声通道输入、超低噪音线路设计，动态余量大。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2.每通道带3段均衡调节，MUTE静音开关，60MM平滑推子衰减器。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3.1组立体声母线输出+2组AUX母线输出（包括FX)。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4.1组返回，1组RAC输出。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5.内置48V幻象电源供电。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6.内置16种DSP数字效果器。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7.USB音频播放MP3 ;USB录音。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8.自带蓝牙播放MP3。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9.LED显示屏清淅显示播放状态。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10.十段三色电平灯显示。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11.适用全球供电电压功率30瓦；使用灵活。具有无噪声、瞬间反应好、电耗低的特性。</w:t>
            </w:r>
          </w:p>
        </w:tc>
        <w:tc>
          <w:tcPr>
            <w:tcW w:w="603" w:type="dxa"/>
            <w:noWrap w:val="0"/>
            <w:vAlign w:val="center"/>
          </w:tcPr>
          <w:p w14:paraId="0AAFDA7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5B49368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689783E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3000</w:t>
            </w:r>
          </w:p>
        </w:tc>
        <w:tc>
          <w:tcPr>
            <w:tcW w:w="635" w:type="dxa"/>
            <w:noWrap w:val="0"/>
            <w:vAlign w:val="center"/>
          </w:tcPr>
          <w:p w14:paraId="35E2A191">
            <w:pPr>
              <w:spacing w:before="65" w:line="189" w:lineRule="auto"/>
              <w:ind w:left="182"/>
              <w:jc w:val="center"/>
              <w:rPr>
                <w:rFonts w:hint="eastAsia" w:ascii="宋体" w:hAnsi="宋体" w:eastAsia="宋体" w:cs="宋体"/>
                <w:color w:val="auto"/>
                <w:sz w:val="21"/>
                <w:szCs w:val="21"/>
                <w:highlight w:val="none"/>
              </w:rPr>
            </w:pPr>
          </w:p>
        </w:tc>
      </w:tr>
      <w:tr w14:paraId="11BC6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E5823AE">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76</w:t>
            </w:r>
          </w:p>
        </w:tc>
        <w:tc>
          <w:tcPr>
            <w:tcW w:w="1245" w:type="dxa"/>
            <w:noWrap w:val="0"/>
            <w:vAlign w:val="center"/>
          </w:tcPr>
          <w:p w14:paraId="7764075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专业音箱150W</w:t>
            </w:r>
          </w:p>
        </w:tc>
        <w:tc>
          <w:tcPr>
            <w:tcW w:w="5472" w:type="dxa"/>
            <w:noWrap w:val="0"/>
            <w:vAlign w:val="center"/>
          </w:tcPr>
          <w:p w14:paraId="41795C6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1.阻抗≤8Ω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2.频响等同或优于70Hz-20KHz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3.额定功率≥150W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4.灵敏度≥96dB/W/M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5.水平覆盖角≥100°，垂直覆盖角≥80°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6.高音≥3"锥形高音单元×2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7.低音≥8"低音×1</w:t>
            </w:r>
          </w:p>
        </w:tc>
        <w:tc>
          <w:tcPr>
            <w:tcW w:w="603" w:type="dxa"/>
            <w:noWrap w:val="0"/>
            <w:vAlign w:val="center"/>
          </w:tcPr>
          <w:p w14:paraId="7438A5B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224922E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110" w:type="dxa"/>
            <w:noWrap w:val="0"/>
            <w:vAlign w:val="center"/>
          </w:tcPr>
          <w:p w14:paraId="0488604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2200</w:t>
            </w:r>
          </w:p>
        </w:tc>
        <w:tc>
          <w:tcPr>
            <w:tcW w:w="635" w:type="dxa"/>
            <w:noWrap w:val="0"/>
            <w:vAlign w:val="center"/>
          </w:tcPr>
          <w:p w14:paraId="228D9C28">
            <w:pPr>
              <w:spacing w:before="65" w:line="189" w:lineRule="auto"/>
              <w:ind w:left="182"/>
              <w:jc w:val="center"/>
              <w:rPr>
                <w:rFonts w:hint="eastAsia" w:ascii="宋体" w:hAnsi="宋体" w:eastAsia="宋体" w:cs="宋体"/>
                <w:color w:val="auto"/>
                <w:sz w:val="21"/>
                <w:szCs w:val="21"/>
                <w:highlight w:val="none"/>
              </w:rPr>
            </w:pPr>
          </w:p>
        </w:tc>
      </w:tr>
      <w:tr w14:paraId="4207B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A83C6A">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77</w:t>
            </w:r>
          </w:p>
        </w:tc>
        <w:tc>
          <w:tcPr>
            <w:tcW w:w="1245" w:type="dxa"/>
            <w:noWrap w:val="0"/>
            <w:vAlign w:val="center"/>
          </w:tcPr>
          <w:p w14:paraId="5504F0B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支架</w:t>
            </w:r>
          </w:p>
        </w:tc>
        <w:tc>
          <w:tcPr>
            <w:tcW w:w="5472" w:type="dxa"/>
            <w:noWrap w:val="0"/>
            <w:vAlign w:val="center"/>
          </w:tcPr>
          <w:p w14:paraId="53F945F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音箱支架</w:t>
            </w:r>
          </w:p>
        </w:tc>
        <w:tc>
          <w:tcPr>
            <w:tcW w:w="603" w:type="dxa"/>
            <w:noWrap w:val="0"/>
            <w:vAlign w:val="center"/>
          </w:tcPr>
          <w:p w14:paraId="115417D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71F523D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110" w:type="dxa"/>
            <w:noWrap w:val="0"/>
            <w:vAlign w:val="center"/>
          </w:tcPr>
          <w:p w14:paraId="277049B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270</w:t>
            </w:r>
          </w:p>
        </w:tc>
        <w:tc>
          <w:tcPr>
            <w:tcW w:w="635" w:type="dxa"/>
            <w:noWrap w:val="0"/>
            <w:vAlign w:val="center"/>
          </w:tcPr>
          <w:p w14:paraId="168F1618">
            <w:pPr>
              <w:spacing w:before="65" w:line="189" w:lineRule="auto"/>
              <w:ind w:left="182"/>
              <w:jc w:val="center"/>
              <w:rPr>
                <w:rFonts w:hint="eastAsia" w:ascii="宋体" w:hAnsi="宋体" w:eastAsia="宋体" w:cs="宋体"/>
                <w:color w:val="auto"/>
                <w:sz w:val="21"/>
                <w:szCs w:val="21"/>
                <w:highlight w:val="none"/>
              </w:rPr>
            </w:pPr>
          </w:p>
        </w:tc>
      </w:tr>
      <w:tr w14:paraId="22992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212901">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78</w:t>
            </w:r>
          </w:p>
        </w:tc>
        <w:tc>
          <w:tcPr>
            <w:tcW w:w="1245" w:type="dxa"/>
            <w:noWrap w:val="0"/>
            <w:vAlign w:val="center"/>
          </w:tcPr>
          <w:p w14:paraId="1F01BCA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电源管理器</w:t>
            </w:r>
          </w:p>
        </w:tc>
        <w:tc>
          <w:tcPr>
            <w:tcW w:w="5472" w:type="dxa"/>
            <w:noWrap w:val="0"/>
            <w:vAlign w:val="center"/>
          </w:tcPr>
          <w:p w14:paraId="05BC22D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1.支持≥8通道电源时序打开/关闭，每路动作延时时间：≤1秒，支持远程控制（上电+24V直流信号）8通道电源时序打开/关闭—当电源开关处于off位置时有效。支持配置CH1和CH2通道为受控或不受控状态。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2.当远程控制有效时同时控制后板ALARM（报警）端口导通以起到级联控制ALARM（报警）功能。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3.单个通道最大负载功率≥2200W，所有通道负载总功率≥6000W。输出连接器：多用途电源插座。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4.具有一路及以上USB输出接口。</w:t>
            </w:r>
          </w:p>
        </w:tc>
        <w:tc>
          <w:tcPr>
            <w:tcW w:w="603" w:type="dxa"/>
            <w:noWrap w:val="0"/>
            <w:vAlign w:val="center"/>
          </w:tcPr>
          <w:p w14:paraId="3DE6ED9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249BC18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5905741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1450</w:t>
            </w:r>
          </w:p>
        </w:tc>
        <w:tc>
          <w:tcPr>
            <w:tcW w:w="635" w:type="dxa"/>
            <w:noWrap w:val="0"/>
            <w:vAlign w:val="center"/>
          </w:tcPr>
          <w:p w14:paraId="67BB4793">
            <w:pPr>
              <w:spacing w:before="65" w:line="189" w:lineRule="auto"/>
              <w:ind w:left="182"/>
              <w:jc w:val="center"/>
              <w:rPr>
                <w:rFonts w:hint="eastAsia" w:ascii="宋体" w:hAnsi="宋体" w:eastAsia="宋体" w:cs="宋体"/>
                <w:color w:val="auto"/>
                <w:sz w:val="21"/>
                <w:szCs w:val="21"/>
                <w:highlight w:val="none"/>
              </w:rPr>
            </w:pPr>
          </w:p>
        </w:tc>
      </w:tr>
      <w:tr w14:paraId="15B55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923AC56">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79</w:t>
            </w:r>
          </w:p>
        </w:tc>
        <w:tc>
          <w:tcPr>
            <w:tcW w:w="1245" w:type="dxa"/>
            <w:noWrap w:val="0"/>
            <w:vAlign w:val="center"/>
          </w:tcPr>
          <w:p w14:paraId="79A48EC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防水型无源全频音箱</w:t>
            </w:r>
          </w:p>
        </w:tc>
        <w:tc>
          <w:tcPr>
            <w:tcW w:w="5472" w:type="dxa"/>
            <w:noWrap w:val="0"/>
            <w:vAlign w:val="center"/>
          </w:tcPr>
          <w:p w14:paraId="24FBF61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1.倒相式低频辐射的二分频全频系统，高效，高质量单元配置，多个吊挂孔设置，可悬挂安装；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2.表面大斑点水性油漆喷涂处理木箱，有孔金属网背贴声学透声棉；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3.防潮、防腐蚀、防水工艺，对箱体内外做全方位的防水处理，以便适用于相对恶劣的潮湿、高温、多雨、暴晒的环境并能够达到令人满意的音乐效果的音箱。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性能规格：</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1.驱动单元 LF10"×1 HF1.35"×1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2.频率响应 48Hz-18kHz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3.灵敏度 96±2dB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4.最大声压级 119±2dB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5.额定阻抗 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6.额定功率 250W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7.指向性（H×V） 90°×40°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8.尺寸(高×宽×深) </w:t>
            </w: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515×315×287mm</w:t>
            </w:r>
          </w:p>
        </w:tc>
        <w:tc>
          <w:tcPr>
            <w:tcW w:w="603" w:type="dxa"/>
            <w:noWrap w:val="0"/>
            <w:vAlign w:val="center"/>
          </w:tcPr>
          <w:p w14:paraId="0AA6B6F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4571E94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110" w:type="dxa"/>
            <w:noWrap w:val="0"/>
            <w:vAlign w:val="center"/>
          </w:tcPr>
          <w:p w14:paraId="2F0F052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2650</w:t>
            </w:r>
          </w:p>
        </w:tc>
        <w:tc>
          <w:tcPr>
            <w:tcW w:w="635" w:type="dxa"/>
            <w:noWrap w:val="0"/>
            <w:vAlign w:val="center"/>
          </w:tcPr>
          <w:p w14:paraId="1BB7D241">
            <w:pPr>
              <w:spacing w:before="65" w:line="189" w:lineRule="auto"/>
              <w:ind w:left="182"/>
              <w:jc w:val="center"/>
              <w:rPr>
                <w:rFonts w:hint="eastAsia" w:ascii="宋体" w:hAnsi="宋体" w:eastAsia="宋体" w:cs="宋体"/>
                <w:color w:val="auto"/>
                <w:sz w:val="21"/>
                <w:szCs w:val="21"/>
                <w:highlight w:val="none"/>
              </w:rPr>
            </w:pPr>
          </w:p>
        </w:tc>
      </w:tr>
      <w:tr w14:paraId="5E49F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9E4E8DE">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38</w:t>
            </w:r>
            <w:r>
              <w:rPr>
                <w:rFonts w:hint="eastAsia" w:ascii="宋体" w:hAnsi="宋体" w:cs="宋体"/>
                <w:color w:val="auto"/>
                <w:kern w:val="2"/>
                <w:sz w:val="21"/>
                <w:szCs w:val="21"/>
                <w:highlight w:val="none"/>
                <w:lang w:val="en-US" w:eastAsia="zh-CN" w:bidi="ar-SA"/>
              </w:rPr>
              <w:t>0</w:t>
            </w:r>
          </w:p>
        </w:tc>
        <w:tc>
          <w:tcPr>
            <w:tcW w:w="1245" w:type="dxa"/>
            <w:noWrap w:val="0"/>
            <w:vAlign w:val="center"/>
          </w:tcPr>
          <w:p w14:paraId="6B50FA0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网络广播管理软件</w:t>
            </w:r>
          </w:p>
        </w:tc>
        <w:tc>
          <w:tcPr>
            <w:tcW w:w="5472" w:type="dxa"/>
            <w:noWrap w:val="0"/>
            <w:vAlign w:val="center"/>
          </w:tcPr>
          <w:p w14:paraId="73E77A9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1.系统支持集中模式管理。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2.可对所有分区进行自定义分组操作，对分区进行广播、调节音量操作。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3.显示分组信息、分区状态（开关/音量/实时节目名称）、节目列表、定时点信息。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4.可对一个或多个分组/分区进行广播节目操作。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5.所有分区都可设置程控和非程控（手动）两种控制模式。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6.可创建50个定时方案，每个定时方案可包括150个定时点，定时方案支持备份存储，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7.可直接导入/导出使用。可添加/修改/删除定时点，把定时点下发给指定分区。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8.可集中管理所有网络终端设备，可对终端设备的节目源、定时方案和设备的升级维护。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9.网络广播系统支持移动平台（iOS）的APP，可使用iPad对网络中的终端设备进行无线控制</w:t>
            </w:r>
          </w:p>
        </w:tc>
        <w:tc>
          <w:tcPr>
            <w:tcW w:w="603" w:type="dxa"/>
            <w:noWrap w:val="0"/>
            <w:vAlign w:val="center"/>
          </w:tcPr>
          <w:p w14:paraId="7583583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0DA63F9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1D81650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3200</w:t>
            </w:r>
          </w:p>
        </w:tc>
        <w:tc>
          <w:tcPr>
            <w:tcW w:w="635" w:type="dxa"/>
            <w:noWrap w:val="0"/>
            <w:vAlign w:val="center"/>
          </w:tcPr>
          <w:p w14:paraId="5D6BC840">
            <w:pPr>
              <w:spacing w:before="65" w:line="189" w:lineRule="auto"/>
              <w:ind w:left="182"/>
              <w:jc w:val="center"/>
              <w:rPr>
                <w:rFonts w:hint="eastAsia" w:ascii="宋体" w:hAnsi="宋体" w:eastAsia="宋体" w:cs="宋体"/>
                <w:color w:val="auto"/>
                <w:sz w:val="21"/>
                <w:szCs w:val="21"/>
                <w:highlight w:val="none"/>
              </w:rPr>
            </w:pPr>
          </w:p>
        </w:tc>
      </w:tr>
      <w:tr w14:paraId="6F956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28C6E5">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38</w:t>
            </w:r>
            <w:r>
              <w:rPr>
                <w:rFonts w:hint="eastAsia" w:ascii="宋体" w:hAnsi="宋体" w:cs="宋体"/>
                <w:color w:val="auto"/>
                <w:kern w:val="2"/>
                <w:sz w:val="21"/>
                <w:szCs w:val="21"/>
                <w:highlight w:val="none"/>
                <w:lang w:val="en-US" w:eastAsia="zh-CN" w:bidi="ar-SA"/>
              </w:rPr>
              <w:t>1</w:t>
            </w:r>
          </w:p>
        </w:tc>
        <w:tc>
          <w:tcPr>
            <w:tcW w:w="1245" w:type="dxa"/>
            <w:noWrap w:val="0"/>
            <w:vAlign w:val="center"/>
          </w:tcPr>
          <w:p w14:paraId="4B7436E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网络解码器</w:t>
            </w:r>
          </w:p>
        </w:tc>
        <w:tc>
          <w:tcPr>
            <w:tcW w:w="5472" w:type="dxa"/>
            <w:noWrap w:val="0"/>
            <w:vAlign w:val="center"/>
          </w:tcPr>
          <w:p w14:paraId="7175690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1.一通道输出终端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2.基于TCP/IP协议，网络化多功能前置播放器，可跨网段工作。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3.支持SIP2.0（RFC3261）以及相关的RFC。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4.具有背景广播、业务广播、紧急广播等功能。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5.内置独立IP控制模块、音频输入模块，可实现独立解码播放。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6.支持节能模式，在检测到无广播信号时可自动切断所挂接功放的电源，当有广播信号时可开启功放。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7.支持音频格式：MP3，WAV等。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8.可外接音源输入。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9.可通过网络广播管理软件控制、播放。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10.1U机身设计，占用空间小，重量轻。</w:t>
            </w:r>
          </w:p>
        </w:tc>
        <w:tc>
          <w:tcPr>
            <w:tcW w:w="603" w:type="dxa"/>
            <w:noWrap w:val="0"/>
            <w:vAlign w:val="center"/>
          </w:tcPr>
          <w:p w14:paraId="198D850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4795C70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4FDF067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1650</w:t>
            </w:r>
          </w:p>
        </w:tc>
        <w:tc>
          <w:tcPr>
            <w:tcW w:w="635" w:type="dxa"/>
            <w:noWrap w:val="0"/>
            <w:vAlign w:val="center"/>
          </w:tcPr>
          <w:p w14:paraId="33B2C950">
            <w:pPr>
              <w:spacing w:before="65" w:line="189" w:lineRule="auto"/>
              <w:ind w:left="182"/>
              <w:jc w:val="center"/>
              <w:rPr>
                <w:rFonts w:hint="eastAsia" w:ascii="宋体" w:hAnsi="宋体" w:eastAsia="宋体" w:cs="宋体"/>
                <w:color w:val="auto"/>
                <w:sz w:val="21"/>
                <w:szCs w:val="21"/>
                <w:highlight w:val="none"/>
              </w:rPr>
            </w:pPr>
          </w:p>
        </w:tc>
      </w:tr>
      <w:tr w14:paraId="19D11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3096DCC">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38</w:t>
            </w:r>
            <w:r>
              <w:rPr>
                <w:rFonts w:hint="eastAsia" w:ascii="宋体" w:hAnsi="宋体" w:cs="宋体"/>
                <w:color w:val="auto"/>
                <w:kern w:val="2"/>
                <w:sz w:val="21"/>
                <w:szCs w:val="21"/>
                <w:highlight w:val="none"/>
                <w:lang w:val="en-US" w:eastAsia="zh-CN" w:bidi="ar-SA"/>
              </w:rPr>
              <w:t>2</w:t>
            </w:r>
          </w:p>
        </w:tc>
        <w:tc>
          <w:tcPr>
            <w:tcW w:w="1245" w:type="dxa"/>
            <w:noWrap w:val="0"/>
            <w:vAlign w:val="center"/>
          </w:tcPr>
          <w:p w14:paraId="596D013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四路天线放大器</w:t>
            </w:r>
          </w:p>
        </w:tc>
        <w:tc>
          <w:tcPr>
            <w:tcW w:w="5472" w:type="dxa"/>
            <w:noWrap w:val="0"/>
            <w:vAlign w:val="center"/>
          </w:tcPr>
          <w:p w14:paraId="317E8CE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1.有效工作频率为400MHZ-950MHZ，信号增益+2DBM到+12DBM可调。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2.基本兼容市面上大部分品牌UHF频段无线麦克风接收机工作使用。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3.在天线板安装了高效的强滤波电路，有效过滤与隔离了工作范围外的干忧信号的输入。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4.在天线板加入了高性能的高频增益芯片，可对话筒信号进行无损的增强与补偿。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5.系统分配主机提供了4路稳定高质量信号输出（可多机级联增路）。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6.所有同轴电缆线材为5层结构的带屏蔽铝箔的高频铜芯专用线。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7.系统提供两个可伸缩与转向调节的天线板金属安装支架。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8.定向天线翼板与增益强波器控制电路巧妙一体化设计，结构更简洁耐用。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9.天线翼板上的强波器电路由散热快的铝合金外壳密封，防淋雨防晒，适合户外长期固定安装。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10.系统主机设计有系统连接状态指示灯，当天线板正常安装并工作的时候，指示灯长亮。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11.天线翼板设计有连接状态指示灯，当与系统主机正常连接并工作的时候，指示灯长亮。</w:t>
            </w:r>
          </w:p>
        </w:tc>
        <w:tc>
          <w:tcPr>
            <w:tcW w:w="603" w:type="dxa"/>
            <w:noWrap w:val="0"/>
            <w:vAlign w:val="center"/>
          </w:tcPr>
          <w:p w14:paraId="5F6288C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60FBA5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0A5C035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3600</w:t>
            </w:r>
          </w:p>
        </w:tc>
        <w:tc>
          <w:tcPr>
            <w:tcW w:w="635" w:type="dxa"/>
            <w:noWrap w:val="0"/>
            <w:vAlign w:val="center"/>
          </w:tcPr>
          <w:p w14:paraId="507FE47B">
            <w:pPr>
              <w:spacing w:before="65" w:line="189" w:lineRule="auto"/>
              <w:ind w:left="182"/>
              <w:jc w:val="center"/>
              <w:rPr>
                <w:rFonts w:hint="eastAsia" w:ascii="宋体" w:hAnsi="宋体" w:eastAsia="宋体" w:cs="宋体"/>
                <w:color w:val="auto"/>
                <w:sz w:val="21"/>
                <w:szCs w:val="21"/>
                <w:highlight w:val="none"/>
              </w:rPr>
            </w:pPr>
          </w:p>
        </w:tc>
      </w:tr>
      <w:tr w14:paraId="08133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2AB4294">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38</w:t>
            </w:r>
            <w:r>
              <w:rPr>
                <w:rFonts w:hint="eastAsia" w:ascii="宋体" w:hAnsi="宋体" w:cs="宋体"/>
                <w:color w:val="auto"/>
                <w:kern w:val="2"/>
                <w:sz w:val="21"/>
                <w:szCs w:val="21"/>
                <w:highlight w:val="none"/>
                <w:lang w:val="en-US" w:eastAsia="zh-CN" w:bidi="ar-SA"/>
              </w:rPr>
              <w:t>3</w:t>
            </w:r>
          </w:p>
        </w:tc>
        <w:tc>
          <w:tcPr>
            <w:tcW w:w="1245" w:type="dxa"/>
            <w:noWrap w:val="0"/>
            <w:vAlign w:val="center"/>
          </w:tcPr>
          <w:p w14:paraId="492C156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真分集无线话筒套装</w:t>
            </w:r>
          </w:p>
        </w:tc>
        <w:tc>
          <w:tcPr>
            <w:tcW w:w="5472" w:type="dxa"/>
            <w:noWrap w:val="0"/>
            <w:vAlign w:val="center"/>
          </w:tcPr>
          <w:p w14:paraId="0BAB60E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1.波段范围（UHF）：632MHz～695MHz；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2.PLL双频道锁相环回路设计；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3.UHF200频道PLL数字锁定自动通讯功能；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4.显示屏显示功能(显示频率、频道、静噪、电平等)；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5.每通道有音量调节功能；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6.AF输出（采用“XLR”型插座分别输出，混合输出）；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7.发射功率调节，高功率14dBm; 低功率6dBm；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8.发射机采用2节5号1.5V碱性电池；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9.动态范围：88dB;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10.最大频偏：±45KHz；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11.频率响应：120Hz-16KHz(±3dB)；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12.综合信噪比：&gt;73dB；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13.综合失真度：≤1%；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14.发射机工作时间8小时以上；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15.含1台一拖二接收机及2只手持式话筒.</w:t>
            </w:r>
          </w:p>
        </w:tc>
        <w:tc>
          <w:tcPr>
            <w:tcW w:w="603" w:type="dxa"/>
            <w:noWrap w:val="0"/>
            <w:vAlign w:val="center"/>
          </w:tcPr>
          <w:p w14:paraId="064534D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32B57BC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2C5DE66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3250</w:t>
            </w:r>
          </w:p>
        </w:tc>
        <w:tc>
          <w:tcPr>
            <w:tcW w:w="635" w:type="dxa"/>
            <w:noWrap w:val="0"/>
            <w:vAlign w:val="center"/>
          </w:tcPr>
          <w:p w14:paraId="244F3DB6">
            <w:pPr>
              <w:spacing w:before="65" w:line="189" w:lineRule="auto"/>
              <w:ind w:left="182"/>
              <w:jc w:val="center"/>
              <w:rPr>
                <w:rFonts w:hint="eastAsia" w:ascii="宋体" w:hAnsi="宋体" w:eastAsia="宋体" w:cs="宋体"/>
                <w:color w:val="auto"/>
                <w:sz w:val="21"/>
                <w:szCs w:val="21"/>
                <w:highlight w:val="none"/>
              </w:rPr>
            </w:pPr>
          </w:p>
        </w:tc>
      </w:tr>
      <w:tr w14:paraId="25857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67972F3">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38</w:t>
            </w:r>
            <w:r>
              <w:rPr>
                <w:rFonts w:hint="eastAsia" w:ascii="宋体" w:hAnsi="宋体" w:cs="宋体"/>
                <w:color w:val="auto"/>
                <w:kern w:val="2"/>
                <w:sz w:val="21"/>
                <w:szCs w:val="21"/>
                <w:highlight w:val="none"/>
                <w:lang w:val="en-US" w:eastAsia="zh-CN" w:bidi="ar-SA"/>
              </w:rPr>
              <w:t>4</w:t>
            </w:r>
          </w:p>
        </w:tc>
        <w:tc>
          <w:tcPr>
            <w:tcW w:w="1245" w:type="dxa"/>
            <w:noWrap w:val="0"/>
            <w:vAlign w:val="center"/>
          </w:tcPr>
          <w:p w14:paraId="75FE395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双通道专业数字功放</w:t>
            </w:r>
          </w:p>
        </w:tc>
        <w:tc>
          <w:tcPr>
            <w:tcW w:w="5472" w:type="dxa"/>
            <w:noWrap w:val="0"/>
            <w:vAlign w:val="center"/>
          </w:tcPr>
          <w:p w14:paraId="4505441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1.双声道立体声专业数字功率放大器,全系列统铝合金面板；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2.有双声道、单声道和BTL桥接三种输出方式供选择，输出方式开关选择；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3.每声道音量可调；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4.立体声工作最小负载阻抗为4Ω，BTL工作最小负载阻抗为8Ω；动态功率强劲，可实现低阻抗驱动。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5.全系列配置XLR平行输入输出接口，更适合专业设备的应用习惯；标配APFC主动式功率因数校正电路，可以在电网波动较大的供电条件下也能稳定满功率工作，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6.小信号的时候不会出现交越失真；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7.内置先进的电压压限，可以避免输入电压出现异常或过大导致功率输出异常，出现削波失真影响听音体验以及危害音箱的高音单元。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8.中高频比模拟功放更清晰，非常适合用于会议等多种不同场合的语言传输和扩声；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9.效率要高，发热量更少，工作温度范围更宽；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10.各通道均配备LED工作状态指示；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11.输入灵敏度：≤1000mV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12.信噪比：≥95dB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13.频响：20Hz-20kHz（±1.5dB）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14.通道串扰：≤70dB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15.转换速率：≥15V/uS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16.阻尼系数/8Ω@1Khz： ≥230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17.总谐波失真：≤0.3% （1kHz，正常工作条件）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18.额定功率：2X300W@8Ω 2X450W@4Ω 900W@桥接8Ω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19.指示灯：“电源”, “削顶”, “信号”,“保护”,“温度”     保护：超温、直流、短路、连续信号限制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20.电源：AC220/50-60Hz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21.机器尺寸（L×W×H  mm）：483×396×88 (2U)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22.净重：7.7KG</w:t>
            </w:r>
          </w:p>
        </w:tc>
        <w:tc>
          <w:tcPr>
            <w:tcW w:w="603" w:type="dxa"/>
            <w:noWrap w:val="0"/>
            <w:vAlign w:val="center"/>
          </w:tcPr>
          <w:p w14:paraId="3157F9F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10DFDA3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120338C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5200</w:t>
            </w:r>
          </w:p>
        </w:tc>
        <w:tc>
          <w:tcPr>
            <w:tcW w:w="635" w:type="dxa"/>
            <w:noWrap w:val="0"/>
            <w:vAlign w:val="center"/>
          </w:tcPr>
          <w:p w14:paraId="57B1C13C">
            <w:pPr>
              <w:spacing w:before="65" w:line="189" w:lineRule="auto"/>
              <w:ind w:left="182"/>
              <w:jc w:val="center"/>
              <w:rPr>
                <w:rFonts w:hint="eastAsia" w:ascii="宋体" w:hAnsi="宋体" w:eastAsia="宋体" w:cs="宋体"/>
                <w:color w:val="auto"/>
                <w:sz w:val="21"/>
                <w:szCs w:val="21"/>
                <w:highlight w:val="none"/>
              </w:rPr>
            </w:pPr>
          </w:p>
        </w:tc>
      </w:tr>
      <w:tr w14:paraId="4A903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9A87E1">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85</w:t>
            </w:r>
          </w:p>
        </w:tc>
        <w:tc>
          <w:tcPr>
            <w:tcW w:w="1245" w:type="dxa"/>
            <w:noWrap w:val="0"/>
            <w:vAlign w:val="center"/>
          </w:tcPr>
          <w:p w14:paraId="751F3FE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调音台</w:t>
            </w:r>
          </w:p>
        </w:tc>
        <w:tc>
          <w:tcPr>
            <w:tcW w:w="5472" w:type="dxa"/>
            <w:noWrap w:val="0"/>
            <w:vAlign w:val="center"/>
          </w:tcPr>
          <w:p w14:paraId="185920C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1.8路XLR平衡单声通道输入、超低噪音线路设计，动态余量大。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2.每通道带3段均衡调节，MUTE静音开关，60MM平滑推子衰减器。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3.1组立体声母线输出+2组AUX母线输出（包括FX)。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4.1组返回，1组RCA输出。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5.内置48V幻象电源供电。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6.内置16种DSP数字效果器。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7.USB音频播放MP3；USB录音。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8.自带蓝牙播放MP3。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9.LED显示屏清淅显示播放状态。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10.十段三色电平灯显示。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11.适用全球供电电压功率30瓦；使用灵活。具有无噪声、瞬间反应好、电耗低的特性。</w:t>
            </w:r>
          </w:p>
        </w:tc>
        <w:tc>
          <w:tcPr>
            <w:tcW w:w="603" w:type="dxa"/>
            <w:noWrap w:val="0"/>
            <w:vAlign w:val="center"/>
          </w:tcPr>
          <w:p w14:paraId="75BAE45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5188648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20EB716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2200</w:t>
            </w:r>
          </w:p>
        </w:tc>
        <w:tc>
          <w:tcPr>
            <w:tcW w:w="635" w:type="dxa"/>
            <w:noWrap w:val="0"/>
            <w:vAlign w:val="center"/>
          </w:tcPr>
          <w:p w14:paraId="47408860">
            <w:pPr>
              <w:spacing w:before="65" w:line="189" w:lineRule="auto"/>
              <w:ind w:left="182"/>
              <w:jc w:val="center"/>
              <w:rPr>
                <w:rFonts w:hint="eastAsia" w:ascii="宋体" w:hAnsi="宋体" w:eastAsia="宋体" w:cs="宋体"/>
                <w:color w:val="auto"/>
                <w:sz w:val="21"/>
                <w:szCs w:val="21"/>
                <w:highlight w:val="none"/>
              </w:rPr>
            </w:pPr>
          </w:p>
        </w:tc>
      </w:tr>
      <w:tr w14:paraId="23AF5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186662">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86</w:t>
            </w:r>
          </w:p>
        </w:tc>
        <w:tc>
          <w:tcPr>
            <w:tcW w:w="1245" w:type="dxa"/>
            <w:noWrap w:val="0"/>
            <w:vAlign w:val="center"/>
          </w:tcPr>
          <w:p w14:paraId="6A34787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电源时序器</w:t>
            </w:r>
          </w:p>
        </w:tc>
        <w:tc>
          <w:tcPr>
            <w:tcW w:w="5472" w:type="dxa"/>
            <w:noWrap w:val="0"/>
            <w:vAlign w:val="center"/>
          </w:tcPr>
          <w:p w14:paraId="17FDD38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1.独立的八路大功率电源输出，万能插座，可满足多种三极的电源插座，如国标插座、美标插座以及欧标插座等；还可满足二极欧式的圆头插座；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2.单路最大输出为 10A，总输入电流容量 16A；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3.八路通道开关状态可由面板控制操作和显示；通过面板一键开关，可时序关启通道，实现时序功能；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4.开机时由前级到后级按顺序逐个启动各类设备，关机时由后级到前级逐个关闭各个设备，有效的统一管理控制用电设备，确保整个系统的稳定运行；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5.可广泛用于多媒体教室、多功能厅、会议室、投影拼接、视频会议、监控中心、楼宇控制、管理指挥中心等领域。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6.性能规格：</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7.电源输出：8路，万能插座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8.单路最大负荷：10A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9.控制方式：手动顺序启动、外接短路信号触发启动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10.电源容量：总容量220V，16A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11.输入电源：AC220/50Hz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12.时序间隔：0.4-0.5s</w:t>
            </w:r>
          </w:p>
        </w:tc>
        <w:tc>
          <w:tcPr>
            <w:tcW w:w="603" w:type="dxa"/>
            <w:noWrap w:val="0"/>
            <w:vAlign w:val="center"/>
          </w:tcPr>
          <w:p w14:paraId="2BE79D0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383F20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4AE742F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950</w:t>
            </w:r>
          </w:p>
        </w:tc>
        <w:tc>
          <w:tcPr>
            <w:tcW w:w="635" w:type="dxa"/>
            <w:noWrap w:val="0"/>
            <w:vAlign w:val="center"/>
          </w:tcPr>
          <w:p w14:paraId="4DD46B71">
            <w:pPr>
              <w:spacing w:before="65" w:line="189" w:lineRule="auto"/>
              <w:ind w:left="182"/>
              <w:jc w:val="center"/>
              <w:rPr>
                <w:rFonts w:hint="eastAsia" w:ascii="宋体" w:hAnsi="宋体" w:eastAsia="宋体" w:cs="宋体"/>
                <w:color w:val="auto"/>
                <w:sz w:val="21"/>
                <w:szCs w:val="21"/>
                <w:highlight w:val="none"/>
              </w:rPr>
            </w:pPr>
          </w:p>
        </w:tc>
      </w:tr>
      <w:tr w14:paraId="38759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8B3D6A7">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87</w:t>
            </w:r>
          </w:p>
        </w:tc>
        <w:tc>
          <w:tcPr>
            <w:tcW w:w="1245" w:type="dxa"/>
            <w:noWrap w:val="0"/>
            <w:vAlign w:val="center"/>
          </w:tcPr>
          <w:p w14:paraId="094C6CB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机柜</w:t>
            </w:r>
          </w:p>
        </w:tc>
        <w:tc>
          <w:tcPr>
            <w:tcW w:w="5472" w:type="dxa"/>
            <w:noWrap w:val="0"/>
            <w:vAlign w:val="center"/>
          </w:tcPr>
          <w:p w14:paraId="3A869923">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600*600*1200mm标准机柜</w:t>
            </w:r>
          </w:p>
        </w:tc>
        <w:tc>
          <w:tcPr>
            <w:tcW w:w="603" w:type="dxa"/>
            <w:noWrap w:val="0"/>
            <w:vAlign w:val="center"/>
          </w:tcPr>
          <w:p w14:paraId="5F9A404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78194D5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436A568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1450</w:t>
            </w:r>
          </w:p>
        </w:tc>
        <w:tc>
          <w:tcPr>
            <w:tcW w:w="635" w:type="dxa"/>
            <w:noWrap w:val="0"/>
            <w:vAlign w:val="center"/>
          </w:tcPr>
          <w:p w14:paraId="7589A35C">
            <w:pPr>
              <w:spacing w:before="65" w:line="189" w:lineRule="auto"/>
              <w:ind w:left="182"/>
              <w:jc w:val="center"/>
              <w:rPr>
                <w:rFonts w:hint="eastAsia" w:ascii="宋体" w:hAnsi="宋体" w:eastAsia="宋体" w:cs="宋体"/>
                <w:color w:val="auto"/>
                <w:sz w:val="21"/>
                <w:szCs w:val="21"/>
                <w:highlight w:val="none"/>
              </w:rPr>
            </w:pPr>
          </w:p>
        </w:tc>
      </w:tr>
      <w:tr w14:paraId="0AD99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87C91EE">
            <w:pPr>
              <w:keepNext w:val="0"/>
              <w:keepLines w:val="0"/>
              <w:widowControl/>
              <w:numPr>
                <w:ilvl w:val="0"/>
                <w:numId w:val="0"/>
              </w:numPr>
              <w:suppressLineNumbers w:val="0"/>
              <w:ind w:leftChars="0"/>
              <w:jc w:val="center"/>
              <w:textAlignment w:val="center"/>
              <w:rPr>
                <w:rFonts w:hint="eastAsia" w:ascii="宋体" w:hAnsi="宋体" w:eastAsia="宋体" w:cs="宋体"/>
                <w:color w:val="auto"/>
                <w:sz w:val="21"/>
                <w:szCs w:val="21"/>
                <w:highlight w:val="none"/>
              </w:rPr>
            </w:pPr>
          </w:p>
        </w:tc>
        <w:tc>
          <w:tcPr>
            <w:tcW w:w="1245" w:type="dxa"/>
            <w:noWrap w:val="0"/>
            <w:vAlign w:val="center"/>
          </w:tcPr>
          <w:p w14:paraId="363DA3C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智能笔</w:t>
            </w:r>
          </w:p>
        </w:tc>
        <w:tc>
          <w:tcPr>
            <w:tcW w:w="5472" w:type="dxa"/>
            <w:noWrap w:val="0"/>
            <w:vAlign w:val="center"/>
          </w:tcPr>
          <w:p w14:paraId="6167B39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1、笔身造型采用圆润一体化笔型设计，表面采用手感漆工艺便于握持；笔身长度≤17cm,笔身直径≤13mm，笔身重量≤18g；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2、笔身配置不少于五个按键，具备上下翻页，智能语音，远程聚光灯/放大，书写颜色切换，兼顾触摸书写以及远程操控的握持姿态；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3、采用锥型笔尖设计，直径≤3mm；同时支持电容，红外触控设备书写，书写最小精度2mm；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唤醒语音识别时，可直接通过语音打开已安装的应用，可直接通过语音调用网络搜索引擎搜索查询相应资料，可进行语音转写输入，支持语音控制屏幕黑屏、亮屏，音量大小调整，返回桌面，截屏，关机等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5、支持按键调起批注功能，可通过按键实现批注颜色切换，长按按键可实现橡皮擦功能；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6、内置锂电池，支持type-c充电，待机时间≥60h,连续书写时间≥8h，从无电到满电的充电时长≤1小时；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7、无线dongle&amp;蓝牙连接距离≥12m，上下翻页/语音控制/远程批注实现距离≥12m，覆盖标准教室；</w:t>
            </w:r>
          </w:p>
        </w:tc>
        <w:tc>
          <w:tcPr>
            <w:tcW w:w="603" w:type="dxa"/>
            <w:noWrap w:val="0"/>
            <w:vAlign w:val="center"/>
          </w:tcPr>
          <w:p w14:paraId="60B65C1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2C83C40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1110" w:type="dxa"/>
            <w:noWrap w:val="0"/>
            <w:vAlign w:val="center"/>
          </w:tcPr>
          <w:p w14:paraId="520993A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450</w:t>
            </w:r>
          </w:p>
        </w:tc>
        <w:tc>
          <w:tcPr>
            <w:tcW w:w="635" w:type="dxa"/>
            <w:noWrap w:val="0"/>
            <w:vAlign w:val="center"/>
          </w:tcPr>
          <w:p w14:paraId="69006B5F">
            <w:pPr>
              <w:spacing w:before="65" w:line="189" w:lineRule="auto"/>
              <w:ind w:left="182"/>
              <w:jc w:val="center"/>
              <w:rPr>
                <w:rFonts w:hint="eastAsia" w:ascii="宋体" w:hAnsi="宋体" w:eastAsia="宋体" w:cs="宋体"/>
                <w:color w:val="auto"/>
                <w:sz w:val="21"/>
                <w:szCs w:val="21"/>
                <w:highlight w:val="none"/>
              </w:rPr>
            </w:pPr>
          </w:p>
        </w:tc>
      </w:tr>
      <w:tr w14:paraId="32935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72D5065">
            <w:pPr>
              <w:keepNext w:val="0"/>
              <w:keepLines w:val="0"/>
              <w:widowControl/>
              <w:suppressLineNumbers w:val="0"/>
              <w:spacing w:line="240" w:lineRule="auto"/>
              <w:ind w:firstLine="422" w:firstLineChars="20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731DF6F7">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p>
        </w:tc>
        <w:tc>
          <w:tcPr>
            <w:tcW w:w="2313" w:type="dxa"/>
            <w:gridSpan w:val="3"/>
            <w:noWrap w:val="0"/>
            <w:vAlign w:val="center"/>
          </w:tcPr>
          <w:p w14:paraId="7F18D46F">
            <w:pPr>
              <w:keepNext w:val="0"/>
              <w:keepLines w:val="0"/>
              <w:widowControl/>
              <w:suppressLineNumbers w:val="0"/>
              <w:ind w:firstLine="420" w:firstLineChars="20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63890.00</w:t>
            </w:r>
          </w:p>
        </w:tc>
        <w:tc>
          <w:tcPr>
            <w:tcW w:w="635" w:type="dxa"/>
            <w:noWrap w:val="0"/>
            <w:vAlign w:val="center"/>
          </w:tcPr>
          <w:p w14:paraId="3C3D73EA">
            <w:pPr>
              <w:spacing w:before="65" w:line="189" w:lineRule="auto"/>
              <w:ind w:left="182"/>
              <w:jc w:val="center"/>
              <w:rPr>
                <w:rFonts w:hint="eastAsia" w:ascii="宋体" w:hAnsi="宋体" w:eastAsia="宋体" w:cs="宋体"/>
                <w:color w:val="auto"/>
                <w:sz w:val="21"/>
                <w:szCs w:val="21"/>
                <w:highlight w:val="none"/>
              </w:rPr>
            </w:pPr>
          </w:p>
        </w:tc>
      </w:tr>
      <w:tr w14:paraId="18437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0B6D1566">
            <w:pPr>
              <w:spacing w:before="65" w:line="240" w:lineRule="auto"/>
              <w:ind w:left="18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观摩室</w:t>
            </w:r>
          </w:p>
        </w:tc>
      </w:tr>
      <w:tr w14:paraId="04A5F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FEFBF21">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88</w:t>
            </w:r>
          </w:p>
        </w:tc>
        <w:tc>
          <w:tcPr>
            <w:tcW w:w="1245" w:type="dxa"/>
            <w:noWrap w:val="0"/>
            <w:vAlign w:val="center"/>
          </w:tcPr>
          <w:p w14:paraId="2B17432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电视机</w:t>
            </w:r>
          </w:p>
        </w:tc>
        <w:tc>
          <w:tcPr>
            <w:tcW w:w="5472" w:type="dxa"/>
            <w:noWrap w:val="0"/>
            <w:vAlign w:val="center"/>
          </w:tcPr>
          <w:p w14:paraId="258458B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1.55英寸4K超高清全面屏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2.屏幕刷新率120hz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3.配备蓝牙5.0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4.10.7亿色彩显示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5.运行内存：2G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6.存储内存：32G</w:t>
            </w:r>
          </w:p>
          <w:p w14:paraId="7BCCC51E">
            <w:pPr>
              <w:bidi w:val="0"/>
              <w:ind w:left="0" w:leftChars="0" w:firstLine="0" w:firstLineChars="0"/>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651794D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77CD7B5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09828D0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3000</w:t>
            </w:r>
          </w:p>
        </w:tc>
        <w:tc>
          <w:tcPr>
            <w:tcW w:w="635" w:type="dxa"/>
            <w:noWrap w:val="0"/>
            <w:vAlign w:val="center"/>
          </w:tcPr>
          <w:p w14:paraId="1ACD4D9C">
            <w:pPr>
              <w:spacing w:before="65" w:line="189" w:lineRule="auto"/>
              <w:ind w:left="182"/>
              <w:jc w:val="center"/>
              <w:rPr>
                <w:rFonts w:hint="eastAsia" w:ascii="宋体" w:hAnsi="宋体" w:eastAsia="宋体" w:cs="宋体"/>
                <w:color w:val="auto"/>
                <w:sz w:val="21"/>
                <w:szCs w:val="21"/>
                <w:highlight w:val="none"/>
              </w:rPr>
            </w:pPr>
          </w:p>
        </w:tc>
      </w:tr>
      <w:tr w14:paraId="7E53D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6ED4145">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8</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3F5C0B3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显示屏</w:t>
            </w:r>
          </w:p>
        </w:tc>
        <w:tc>
          <w:tcPr>
            <w:tcW w:w="5472" w:type="dxa"/>
            <w:noWrap w:val="0"/>
            <w:vAlign w:val="center"/>
          </w:tcPr>
          <w:p w14:paraId="3C3FA52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1.屏幕尺寸：21.5英寸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2.面板类型：VA技术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3.分辨率：1920*1080@75Hz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4.接口：HDMI、VGA</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5.响应时间：8ms</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6.亮度：300cd/m²</w:t>
            </w:r>
          </w:p>
        </w:tc>
        <w:tc>
          <w:tcPr>
            <w:tcW w:w="603" w:type="dxa"/>
            <w:noWrap w:val="0"/>
            <w:vAlign w:val="center"/>
          </w:tcPr>
          <w:p w14:paraId="0038C1A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7A10AA5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620C9CD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635" w:type="dxa"/>
            <w:noWrap w:val="0"/>
            <w:vAlign w:val="center"/>
          </w:tcPr>
          <w:p w14:paraId="5B056B0E">
            <w:pPr>
              <w:spacing w:before="65" w:line="189" w:lineRule="auto"/>
              <w:ind w:left="182"/>
              <w:jc w:val="center"/>
              <w:rPr>
                <w:rFonts w:hint="eastAsia" w:ascii="宋体" w:hAnsi="宋体" w:eastAsia="宋体" w:cs="宋体"/>
                <w:color w:val="auto"/>
                <w:sz w:val="21"/>
                <w:szCs w:val="21"/>
                <w:highlight w:val="none"/>
              </w:rPr>
            </w:pPr>
          </w:p>
        </w:tc>
      </w:tr>
      <w:tr w14:paraId="5C829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9D5738">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390</w:t>
            </w:r>
          </w:p>
        </w:tc>
        <w:tc>
          <w:tcPr>
            <w:tcW w:w="1245" w:type="dxa"/>
            <w:noWrap w:val="0"/>
            <w:vAlign w:val="center"/>
          </w:tcPr>
          <w:p w14:paraId="08FEBCD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无线鼠标键盘</w:t>
            </w:r>
          </w:p>
        </w:tc>
        <w:tc>
          <w:tcPr>
            <w:tcW w:w="5472" w:type="dxa"/>
            <w:noWrap w:val="0"/>
            <w:vAlign w:val="center"/>
          </w:tcPr>
          <w:p w14:paraId="29CB455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1.无线键鼠套装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2.带无线2.4G接收器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3.键盘供电：2节7号电池；鼠标供电：2节5号电池</w:t>
            </w:r>
          </w:p>
        </w:tc>
        <w:tc>
          <w:tcPr>
            <w:tcW w:w="603" w:type="dxa"/>
            <w:noWrap w:val="0"/>
            <w:vAlign w:val="center"/>
          </w:tcPr>
          <w:p w14:paraId="39754B2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1CF40B9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1C2BD4E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200</w:t>
            </w:r>
          </w:p>
        </w:tc>
        <w:tc>
          <w:tcPr>
            <w:tcW w:w="635" w:type="dxa"/>
            <w:noWrap w:val="0"/>
            <w:vAlign w:val="center"/>
          </w:tcPr>
          <w:p w14:paraId="13231B47">
            <w:pPr>
              <w:spacing w:before="65" w:line="189" w:lineRule="auto"/>
              <w:ind w:left="182"/>
              <w:jc w:val="center"/>
              <w:rPr>
                <w:rFonts w:hint="eastAsia" w:ascii="宋体" w:hAnsi="宋体" w:eastAsia="宋体" w:cs="宋体"/>
                <w:color w:val="auto"/>
                <w:sz w:val="21"/>
                <w:szCs w:val="21"/>
                <w:highlight w:val="none"/>
              </w:rPr>
            </w:pPr>
          </w:p>
        </w:tc>
      </w:tr>
      <w:tr w14:paraId="5A2B0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E652030">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193BC39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有源音箱</w:t>
            </w:r>
          </w:p>
        </w:tc>
        <w:tc>
          <w:tcPr>
            <w:tcW w:w="5472" w:type="dxa"/>
            <w:noWrap w:val="0"/>
            <w:vAlign w:val="center"/>
          </w:tcPr>
          <w:p w14:paraId="1EE3812D">
            <w:pPr>
              <w:keepNext w:val="0"/>
              <w:keepLines w:val="0"/>
              <w:widowControl/>
              <w:numPr>
                <w:ilvl w:val="0"/>
                <w:numId w:val="24"/>
              </w:numPr>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有源音箱内置高保真扬声器，额定输出功率支持≥2×25W，支持4-8Ω输出阻抗。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2.支持≥1路话筒和≥1路立体声线路输入接口、≥1路立体声线路输出接口，带默音功能，话筒优先于线路输入。具有≥1个麦克风音量调节，≥1个线路输入音量调节，≥2个高低音调节。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3.支持≥100V广播输入接口。</w:t>
            </w:r>
          </w:p>
          <w:p w14:paraId="23774B9A">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4.具有输出过载、过压、短路保护。</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5.信噪比≥70dB，频率响应等同或优于40Hz~20KHz(≤±3dB)，谐波失真≤1%。</w:t>
            </w:r>
          </w:p>
        </w:tc>
        <w:tc>
          <w:tcPr>
            <w:tcW w:w="603" w:type="dxa"/>
            <w:noWrap w:val="0"/>
            <w:vAlign w:val="center"/>
          </w:tcPr>
          <w:p w14:paraId="1F76EEC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2410817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07A1F11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2620 </w:t>
            </w:r>
          </w:p>
        </w:tc>
        <w:tc>
          <w:tcPr>
            <w:tcW w:w="635" w:type="dxa"/>
            <w:noWrap w:val="0"/>
            <w:vAlign w:val="center"/>
          </w:tcPr>
          <w:p w14:paraId="570B6ADF">
            <w:pPr>
              <w:spacing w:before="65" w:line="189" w:lineRule="auto"/>
              <w:ind w:left="182"/>
              <w:jc w:val="center"/>
              <w:rPr>
                <w:rFonts w:hint="eastAsia" w:ascii="宋体" w:hAnsi="宋体" w:eastAsia="宋体" w:cs="宋体"/>
                <w:color w:val="auto"/>
                <w:sz w:val="21"/>
                <w:szCs w:val="21"/>
                <w:highlight w:val="none"/>
              </w:rPr>
            </w:pPr>
          </w:p>
        </w:tc>
      </w:tr>
      <w:tr w14:paraId="2E03A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F563A75">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6C996AA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资源管理平台（校级）</w:t>
            </w:r>
          </w:p>
        </w:tc>
        <w:tc>
          <w:tcPr>
            <w:tcW w:w="5472" w:type="dxa"/>
            <w:noWrap w:val="0"/>
            <w:vAlign w:val="center"/>
          </w:tcPr>
          <w:p w14:paraId="051FAF5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一、角色权限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1）支持管理员根据不同教师的工作需求创建角色，自定义该角色的名称和可试用的功能权限；支持管理员查看各角色人数。</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2）支持用户在发布课程时上传相关资料，上传资料格式支持≥5种；课程发布后，观众观看课程时支持下载相关资料。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3）支持管理员对本校教师申请发布的课程进行审核，监控公开公开课程资源的质量；可拒绝课程发布，拒绝时需填写拒绝原因。若课程未通过审核，消息中心会自动通知该课程归属老师。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4）支持用户对已发布的视频进行视频打点并插入课堂评价，所评论内容需关联视频对应的时间点。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5）支持用户在线对课堂视频进行评论，所评论的内容以新消息提示的方式自动提醒授课教师。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6）支持管理员对用户评论进行信息管理，可选择性删除评论内容，管控评论秩序。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7）支持在页面实时提醒新增课程计划、课程审核通过/被拒绝、认证成功、成功加入教研组等消息。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8）系统采用模块化的架构设计B/S架构，用户可通过浏览器实现专递课堂、名校网络课堂、直播活动、用户管理等功能。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9）角色自定义：支持管理员根据不同教师的工作需求创建角色，自定义该角色的名称和可使用的功能权限；并可查看各角色的人数，方便管理。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10）教师可以通过自主账号登录平台，根据教师个人学习需求对全校的视频课程进行筛选、点播观看、在线学习。</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11）视频管理：录播主机录制的视频自动上传至平台，支持本校教师或管理员对视频进行名称编辑、学科学段编辑、下载、删除、发布课程等操作。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12）上传附件：平台支持支持用户在发布课程时上传相关资料；所上传资料可支持不少于5种文件格式；课程发布后，观众观看课程时下载相关资料，进行深入学习。</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13）课程发布：课程发布时，可选择对应的学段、学科、发布模块、示范课分类等，方便用户按不同维度查找课程。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14）课程审核：支持学校管理员对本校教师申请发布的课程进行审核，监控公开课程资源的质量；拒绝课程发布时，需填写拒绝原因；若课程未通过时，系统将在消息中心自动通知该课程归属的教师。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15）平台应用终端配置：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二、直播功能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课程评论：支持用户对已发布视频进行视频打点并插入课堂评价，所评论内容需关联视频对应时间点。平台支持用户在线对课堂视频进行评论，所评论内容支持以新消息提示方式自动提醒授课教师。支持管理员对用户评论进行信息管理，可选择性删除评论内容，管控评论秩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2）账号管理：支持用户修改昵称、密码及头像设置等，并可重新绑定用户手机号，同时关联绑定/解绑个人微信号。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3）平台支持本地视频上传：可对上传视频进行标题描述、课程介绍等设置，可选择默认的视频缩略图封面，也可选择本地图片上传成为封面。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4）消息中心：新增课程计划、课程审核通过/被拒绝、成功加入教研组等消息可在主页面实时提醒。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5）设备管理：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①.显示管理员下辖的教室总数、在线教室总数、活跃教室数，实时呈现整体情况；</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②.管理员可实时查看教室信息和状态，包括：教室名称、设备IP、状态、信号源及教室详情，方便远程运维。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③.支持学校管理员进行远程关机、重启、密码设置等等操作。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6）公网直播：学校管理员可设置录播设备的直播模式为公网直播，自由发起公网直播活动，方便举办公开课、校园培训等活动。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①．全局调度系统：实时收集节点负载、网络质量，并根据终端用户的 IP，将用户请求引导至最优的节点，以降低时延，提升流畅率。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②．冗余带宽：云服务器具备T级的带宽储备和百万级并发承载能力，可应对突发增量的用户访问。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7）直播活动：支持用户创建直播，提前设置预约直播信息，并获取直播地址及二维码海报，方便提前发布直播信息。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8）直播状态：根据直播开始时间和结束时间，分类显示所有直播的当前状态，包括未开始、进行中、已结束；用户可通过状态筛选不同的直播进行编辑管理。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9）直播搜索：支持输入与直播名称相关的关键字，搜索直播活动。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10）直播管理：在直播结束前，支持教师修改直播的结束时间、名称、封面、课件、直播简介、聊天互动权限等设置，并保持原分享链接和二维码不变，活</w:t>
            </w:r>
          </w:p>
        </w:tc>
        <w:tc>
          <w:tcPr>
            <w:tcW w:w="603" w:type="dxa"/>
            <w:noWrap w:val="0"/>
            <w:vAlign w:val="center"/>
          </w:tcPr>
          <w:p w14:paraId="0A95A80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53142C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51E6AE0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12000 </w:t>
            </w:r>
          </w:p>
        </w:tc>
        <w:tc>
          <w:tcPr>
            <w:tcW w:w="635" w:type="dxa"/>
            <w:noWrap w:val="0"/>
            <w:vAlign w:val="center"/>
          </w:tcPr>
          <w:p w14:paraId="670C1E5B">
            <w:pPr>
              <w:spacing w:before="65" w:line="189" w:lineRule="auto"/>
              <w:ind w:left="182"/>
              <w:jc w:val="center"/>
              <w:rPr>
                <w:rFonts w:hint="eastAsia" w:ascii="宋体" w:hAnsi="宋体" w:eastAsia="宋体" w:cs="宋体"/>
                <w:color w:val="auto"/>
                <w:sz w:val="21"/>
                <w:szCs w:val="21"/>
                <w:highlight w:val="none"/>
              </w:rPr>
            </w:pPr>
          </w:p>
        </w:tc>
      </w:tr>
      <w:tr w14:paraId="09F2D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A281C46">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6092B6D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嵌入式</w:t>
            </w:r>
            <w:r>
              <w:rPr>
                <w:rFonts w:hint="eastAsia" w:ascii="宋体" w:hAnsi="宋体" w:eastAsia="宋体" w:cs="宋体"/>
                <w:i w:val="0"/>
                <w:iCs w:val="0"/>
                <w:color w:val="auto"/>
                <w:kern w:val="0"/>
                <w:sz w:val="22"/>
                <w:szCs w:val="22"/>
                <w:highlight w:val="none"/>
                <w:u w:val="none"/>
                <w:lang w:val="en-US" w:eastAsia="zh-CN" w:bidi="ar"/>
              </w:rPr>
              <w:t>网络共享资源平台</w:t>
            </w:r>
          </w:p>
        </w:tc>
        <w:tc>
          <w:tcPr>
            <w:tcW w:w="5472" w:type="dxa"/>
            <w:noWrap w:val="0"/>
            <w:vAlign w:val="center"/>
          </w:tcPr>
          <w:p w14:paraId="21B8E56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1)处理器：Intel E3-1245</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2)内存类型：DDR4</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3)内存空间：不小于16GB</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4)硬盘接口：SATA</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5)硬盘类型：3.5英吋HDD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6)硬盘空间：物理空间不小于25TB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7)设备高度：≤1U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8)操作系统：支持centos 64位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9)raid等级：支持raid 5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10)指示灯：RUN*1 HDD*1 LAN1*1 LAN2*1 Power*1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11)电源：220V AC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12)开关：船型开关 ；设备支持一键复位功能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13)USB：USB2.0≥4、USB3.0≥2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14)管理接口：IPMI*1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15)网络接口：RJ45≥4，支持10/100/1000Mbps 自适应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16)视频输出：VGA≥1 、HDMI≥1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17)调试接口：COM口≥1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18)点播流媒体服务：支持不少于200个点同时内网点播。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19)直播流媒体服务：支持不少于500个点同时内网直播。 </w:t>
            </w:r>
          </w:p>
        </w:tc>
        <w:tc>
          <w:tcPr>
            <w:tcW w:w="603" w:type="dxa"/>
            <w:noWrap w:val="0"/>
            <w:vAlign w:val="center"/>
          </w:tcPr>
          <w:p w14:paraId="12EF1BC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3147908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6E5EB15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30000 </w:t>
            </w:r>
          </w:p>
        </w:tc>
        <w:tc>
          <w:tcPr>
            <w:tcW w:w="635" w:type="dxa"/>
            <w:noWrap w:val="0"/>
            <w:vAlign w:val="center"/>
          </w:tcPr>
          <w:p w14:paraId="43212B82">
            <w:pPr>
              <w:spacing w:before="65" w:line="189" w:lineRule="auto"/>
              <w:ind w:left="182"/>
              <w:jc w:val="center"/>
              <w:rPr>
                <w:rFonts w:hint="eastAsia" w:ascii="宋体" w:hAnsi="宋体" w:eastAsia="宋体" w:cs="宋体"/>
                <w:color w:val="auto"/>
                <w:sz w:val="21"/>
                <w:szCs w:val="21"/>
                <w:highlight w:val="none"/>
              </w:rPr>
            </w:pPr>
          </w:p>
        </w:tc>
      </w:tr>
      <w:tr w14:paraId="78D99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271284">
            <w:pPr>
              <w:numPr>
                <w:ilvl w:val="0"/>
                <w:numId w:val="0"/>
              </w:numPr>
              <w:spacing w:before="65" w:line="185" w:lineRule="auto"/>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394</w:t>
            </w:r>
          </w:p>
        </w:tc>
        <w:tc>
          <w:tcPr>
            <w:tcW w:w="1245" w:type="dxa"/>
            <w:noWrap w:val="0"/>
            <w:vAlign w:val="center"/>
          </w:tcPr>
          <w:p w14:paraId="29E5735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导播键盘软件</w:t>
            </w:r>
          </w:p>
        </w:tc>
        <w:tc>
          <w:tcPr>
            <w:tcW w:w="5472" w:type="dxa"/>
            <w:noWrap w:val="0"/>
            <w:vAlign w:val="center"/>
          </w:tcPr>
          <w:p w14:paraId="37A4A9E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1.具有≥63个按键、≥1个三轴操纵杆、≥1个T型视频推杆、≥4路音量调节推子，具有通信接口：≥1个USB接口、≥1个RS232接口、≥1个RS422接口。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2.支持对≥4个通道音量开关及音量大小的调整，支持一键启动、暂停、停止录制，支持智能导播拍摄方式切换，可一键设置为自动或手动导播，支持一键启动直播推流和一键停止直播推流功能。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3.支持拍摄录制画面切换，支持通过≥6个快捷按键切换多种画面组合录制模式，包括有画中画、三画面、四画面及自定义画面等。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4.支持通过按键将≥8个通道画面切换至预览窗口，并且可通过T型视频推杆将预览PVW窗口画面切换至输出画面PGM，T型视频推杆具有LED进度指示功能。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5.支持通过按键选中对应通道的画面，并且通过三轴操纵杆进行快、慢速拍摄调节（上下左右、变倍等），通过搭配按键实现≥8个预置位的调用和存储。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6.支持按键调用字幕OSD预设1、OSD预设2功能，并且可一键清除字幕OSD预设功能。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7.支持听讲申请加入互动教室、听讲申请退出互动教室、听讲申请发言、主讲同意听讲1发言、主讲同意听讲2发言、主讲同意听讲3发言。</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8.支持特效切换功能，画面切换特效一键式搞定，支持一键设置为渐变切换效果、一键设置为百叶窗切换效果、一键清除效果。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9.支持一键锁屏/取消锁屏。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10.支持中控指令控制功能，通过连接录播主机完成中控指令的一键下发，具备有≥5个按键可自定义中控指令。</w:t>
            </w:r>
          </w:p>
        </w:tc>
        <w:tc>
          <w:tcPr>
            <w:tcW w:w="603" w:type="dxa"/>
            <w:noWrap w:val="0"/>
            <w:vAlign w:val="center"/>
          </w:tcPr>
          <w:p w14:paraId="2B090B9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5C3C683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64C5D23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8000 </w:t>
            </w:r>
          </w:p>
        </w:tc>
        <w:tc>
          <w:tcPr>
            <w:tcW w:w="635" w:type="dxa"/>
            <w:noWrap w:val="0"/>
            <w:vAlign w:val="center"/>
          </w:tcPr>
          <w:p w14:paraId="463AC6CC">
            <w:pPr>
              <w:spacing w:before="65" w:line="189" w:lineRule="auto"/>
              <w:ind w:left="182"/>
              <w:jc w:val="center"/>
              <w:rPr>
                <w:rFonts w:hint="eastAsia" w:ascii="宋体" w:hAnsi="宋体" w:eastAsia="宋体" w:cs="宋体"/>
                <w:color w:val="auto"/>
                <w:sz w:val="21"/>
                <w:szCs w:val="21"/>
                <w:highlight w:val="none"/>
              </w:rPr>
            </w:pPr>
          </w:p>
        </w:tc>
      </w:tr>
      <w:tr w14:paraId="67662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1A262B4E">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71758A6A">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480E620A">
            <w:pPr>
              <w:spacing w:before="65" w:line="187"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56620.00</w:t>
            </w:r>
          </w:p>
        </w:tc>
        <w:tc>
          <w:tcPr>
            <w:tcW w:w="635" w:type="dxa"/>
            <w:noWrap w:val="0"/>
            <w:vAlign w:val="center"/>
          </w:tcPr>
          <w:p w14:paraId="542E27E2">
            <w:pPr>
              <w:spacing w:before="65" w:line="189" w:lineRule="auto"/>
              <w:ind w:left="182"/>
              <w:jc w:val="center"/>
              <w:rPr>
                <w:rFonts w:hint="eastAsia" w:ascii="宋体" w:hAnsi="宋体" w:eastAsia="宋体" w:cs="宋体"/>
                <w:color w:val="auto"/>
                <w:sz w:val="21"/>
                <w:szCs w:val="21"/>
                <w:highlight w:val="none"/>
              </w:rPr>
            </w:pPr>
          </w:p>
        </w:tc>
      </w:tr>
      <w:tr w14:paraId="2BC25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7F607704">
            <w:pPr>
              <w:spacing w:before="65" w:line="189"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辅助线材</w:t>
            </w:r>
          </w:p>
        </w:tc>
      </w:tr>
      <w:tr w14:paraId="3E2CA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AE30C33">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0C2DF53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音频连接线</w:t>
            </w:r>
          </w:p>
        </w:tc>
        <w:tc>
          <w:tcPr>
            <w:tcW w:w="5472" w:type="dxa"/>
            <w:noWrap w:val="0"/>
            <w:vAlign w:val="center"/>
          </w:tcPr>
          <w:p w14:paraId="0DE0EA0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1.8米音频连接线：3.5（耳机插头）*1,双莲花（RCA）*1,线径：0.3mm</w:t>
            </w:r>
          </w:p>
        </w:tc>
        <w:tc>
          <w:tcPr>
            <w:tcW w:w="603" w:type="dxa"/>
            <w:noWrap w:val="0"/>
            <w:vAlign w:val="center"/>
          </w:tcPr>
          <w:p w14:paraId="5A70C05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600" w:type="dxa"/>
            <w:noWrap w:val="0"/>
            <w:vAlign w:val="center"/>
          </w:tcPr>
          <w:p w14:paraId="1CF79F1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根</w:t>
            </w:r>
          </w:p>
        </w:tc>
        <w:tc>
          <w:tcPr>
            <w:tcW w:w="1110" w:type="dxa"/>
            <w:noWrap w:val="0"/>
            <w:vAlign w:val="center"/>
          </w:tcPr>
          <w:p w14:paraId="2DFA1E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60 </w:t>
            </w:r>
          </w:p>
        </w:tc>
        <w:tc>
          <w:tcPr>
            <w:tcW w:w="635" w:type="dxa"/>
            <w:noWrap w:val="0"/>
            <w:vAlign w:val="center"/>
          </w:tcPr>
          <w:p w14:paraId="3688C16B">
            <w:pPr>
              <w:spacing w:before="65" w:line="189" w:lineRule="auto"/>
              <w:ind w:left="182"/>
              <w:jc w:val="center"/>
              <w:rPr>
                <w:rFonts w:hint="eastAsia" w:ascii="宋体" w:hAnsi="宋体" w:eastAsia="宋体" w:cs="宋体"/>
                <w:color w:val="auto"/>
                <w:sz w:val="21"/>
                <w:szCs w:val="21"/>
                <w:highlight w:val="none"/>
              </w:rPr>
            </w:pPr>
          </w:p>
        </w:tc>
      </w:tr>
      <w:tr w14:paraId="09CCD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62B3E82">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7B87384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音频连接线</w:t>
            </w:r>
          </w:p>
        </w:tc>
        <w:tc>
          <w:tcPr>
            <w:tcW w:w="5472" w:type="dxa"/>
            <w:noWrap w:val="0"/>
            <w:vAlign w:val="center"/>
          </w:tcPr>
          <w:p w14:paraId="72BBF7E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1.8米音频连接线：卡侬头（母）*1卡侬头（公）*1，线径：0.3mm</w:t>
            </w:r>
          </w:p>
        </w:tc>
        <w:tc>
          <w:tcPr>
            <w:tcW w:w="603" w:type="dxa"/>
            <w:noWrap w:val="0"/>
            <w:vAlign w:val="center"/>
          </w:tcPr>
          <w:p w14:paraId="7F9DF26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600" w:type="dxa"/>
            <w:noWrap w:val="0"/>
            <w:vAlign w:val="center"/>
          </w:tcPr>
          <w:p w14:paraId="16CC699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根</w:t>
            </w:r>
          </w:p>
        </w:tc>
        <w:tc>
          <w:tcPr>
            <w:tcW w:w="1110" w:type="dxa"/>
            <w:noWrap w:val="0"/>
            <w:vAlign w:val="center"/>
          </w:tcPr>
          <w:p w14:paraId="16A85D5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75 </w:t>
            </w:r>
          </w:p>
        </w:tc>
        <w:tc>
          <w:tcPr>
            <w:tcW w:w="635" w:type="dxa"/>
            <w:noWrap w:val="0"/>
            <w:vAlign w:val="center"/>
          </w:tcPr>
          <w:p w14:paraId="76A677D8">
            <w:pPr>
              <w:spacing w:before="65" w:line="189" w:lineRule="auto"/>
              <w:ind w:left="182"/>
              <w:jc w:val="center"/>
              <w:rPr>
                <w:rFonts w:hint="eastAsia" w:ascii="宋体" w:hAnsi="宋体" w:eastAsia="宋体" w:cs="宋体"/>
                <w:color w:val="auto"/>
                <w:sz w:val="21"/>
                <w:szCs w:val="21"/>
                <w:highlight w:val="none"/>
              </w:rPr>
            </w:pPr>
          </w:p>
        </w:tc>
      </w:tr>
      <w:tr w14:paraId="751C1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DFC52E1">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2AEB7AE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机柜</w:t>
            </w:r>
          </w:p>
        </w:tc>
        <w:tc>
          <w:tcPr>
            <w:tcW w:w="5472" w:type="dxa"/>
            <w:noWrap w:val="0"/>
            <w:vAlign w:val="center"/>
          </w:tcPr>
          <w:p w14:paraId="45CE316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1.尺寸</w:t>
            </w: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:600×800×1166mm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2.容量</w:t>
            </w: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:22U</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8位10A PDU插排一个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固定板1块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风扇部件2组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4.只两寸重型脚轮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M6方螺母钉40套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内六角扳手一只</w:t>
            </w:r>
          </w:p>
        </w:tc>
        <w:tc>
          <w:tcPr>
            <w:tcW w:w="603" w:type="dxa"/>
            <w:noWrap w:val="0"/>
            <w:vAlign w:val="center"/>
          </w:tcPr>
          <w:p w14:paraId="30E5067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24E7710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3B4C367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3000</w:t>
            </w:r>
          </w:p>
        </w:tc>
        <w:tc>
          <w:tcPr>
            <w:tcW w:w="635" w:type="dxa"/>
            <w:noWrap w:val="0"/>
            <w:vAlign w:val="center"/>
          </w:tcPr>
          <w:p w14:paraId="13598870">
            <w:pPr>
              <w:spacing w:before="65" w:line="189" w:lineRule="auto"/>
              <w:ind w:left="182"/>
              <w:jc w:val="center"/>
              <w:rPr>
                <w:rFonts w:hint="eastAsia" w:ascii="宋体" w:hAnsi="宋体" w:eastAsia="宋体" w:cs="宋体"/>
                <w:color w:val="auto"/>
                <w:sz w:val="21"/>
                <w:szCs w:val="21"/>
                <w:highlight w:val="none"/>
              </w:rPr>
            </w:pPr>
          </w:p>
        </w:tc>
      </w:tr>
      <w:tr w14:paraId="16ABF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09A947">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06A5812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2A12D16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1.分辨率:3840*2160，30Hz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2.屏蔽:铝箔+编织+地线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3.外被: PVC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4.线芯: 镀锡铜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5.支持HDMI 2.0版本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6.规格：长度10米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7.HDMI头大小：20*26*10.5mm，线径：8mm</w:t>
            </w:r>
          </w:p>
        </w:tc>
        <w:tc>
          <w:tcPr>
            <w:tcW w:w="603" w:type="dxa"/>
            <w:noWrap w:val="0"/>
            <w:vAlign w:val="center"/>
          </w:tcPr>
          <w:p w14:paraId="15696FA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0706BB2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1110" w:type="dxa"/>
            <w:vMerge w:val="restart"/>
            <w:noWrap w:val="0"/>
            <w:vAlign w:val="center"/>
          </w:tcPr>
          <w:p w14:paraId="5294D7C9">
            <w:pPr>
              <w:spacing w:before="65" w:line="187"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17755</w:t>
            </w:r>
          </w:p>
        </w:tc>
        <w:tc>
          <w:tcPr>
            <w:tcW w:w="635" w:type="dxa"/>
            <w:noWrap w:val="0"/>
            <w:vAlign w:val="center"/>
          </w:tcPr>
          <w:p w14:paraId="7CC40C54">
            <w:pPr>
              <w:spacing w:before="65" w:line="189" w:lineRule="auto"/>
              <w:ind w:left="182"/>
              <w:jc w:val="center"/>
              <w:rPr>
                <w:rFonts w:hint="eastAsia" w:ascii="宋体" w:hAnsi="宋体" w:eastAsia="宋体" w:cs="宋体"/>
                <w:color w:val="auto"/>
                <w:sz w:val="21"/>
                <w:szCs w:val="21"/>
                <w:highlight w:val="none"/>
              </w:rPr>
            </w:pPr>
          </w:p>
        </w:tc>
      </w:tr>
      <w:tr w14:paraId="69949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947BB11">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0759035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24107D0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1.分辨率：4k/60hz、2k/144hz、1080p/240hz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2.色彩空间：4:4:4、4:2:2、4:2:0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3.接口版本：HDMI 2.0</w:t>
            </w:r>
          </w:p>
        </w:tc>
        <w:tc>
          <w:tcPr>
            <w:tcW w:w="603" w:type="dxa"/>
            <w:noWrap w:val="0"/>
            <w:vAlign w:val="center"/>
          </w:tcPr>
          <w:p w14:paraId="6029F14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4EC9647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1110" w:type="dxa"/>
            <w:vMerge w:val="continue"/>
            <w:noWrap w:val="0"/>
            <w:vAlign w:val="center"/>
          </w:tcPr>
          <w:p w14:paraId="381F382B">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1E8C86F2">
            <w:pPr>
              <w:spacing w:before="65" w:line="189" w:lineRule="auto"/>
              <w:ind w:left="182"/>
              <w:jc w:val="center"/>
              <w:rPr>
                <w:rFonts w:hint="eastAsia" w:ascii="宋体" w:hAnsi="宋体" w:eastAsia="宋体" w:cs="宋体"/>
                <w:color w:val="auto"/>
                <w:sz w:val="21"/>
                <w:szCs w:val="21"/>
                <w:highlight w:val="none"/>
              </w:rPr>
            </w:pPr>
          </w:p>
        </w:tc>
      </w:tr>
      <w:tr w14:paraId="6AC27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29F3F81">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095E7D7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1291977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直径7.2mm，馈线50-5-1，200/卷</w:t>
            </w:r>
          </w:p>
        </w:tc>
        <w:tc>
          <w:tcPr>
            <w:tcW w:w="603" w:type="dxa"/>
            <w:noWrap w:val="0"/>
            <w:vAlign w:val="center"/>
          </w:tcPr>
          <w:p w14:paraId="6FD19A5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2D17C7B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vMerge w:val="continue"/>
            <w:noWrap w:val="0"/>
            <w:vAlign w:val="center"/>
          </w:tcPr>
          <w:p w14:paraId="1F750229">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6859D972">
            <w:pPr>
              <w:spacing w:before="65" w:line="189" w:lineRule="auto"/>
              <w:ind w:left="182"/>
              <w:jc w:val="center"/>
              <w:rPr>
                <w:rFonts w:hint="eastAsia" w:ascii="宋体" w:hAnsi="宋体" w:eastAsia="宋体" w:cs="宋体"/>
                <w:color w:val="auto"/>
                <w:sz w:val="21"/>
                <w:szCs w:val="21"/>
                <w:highlight w:val="none"/>
              </w:rPr>
            </w:pPr>
          </w:p>
        </w:tc>
      </w:tr>
      <w:tr w14:paraId="568A4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79C4CE7">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21DC9F6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插头</w:t>
            </w:r>
          </w:p>
        </w:tc>
        <w:tc>
          <w:tcPr>
            <w:tcW w:w="5472" w:type="dxa"/>
            <w:noWrap w:val="0"/>
            <w:vAlign w:val="center"/>
          </w:tcPr>
          <w:p w14:paraId="3C790A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1.材质：合金压铸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2.电阻：50欧姆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3.BNC铜芯接头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4.接法：焊锡丝接型</w:t>
            </w:r>
          </w:p>
        </w:tc>
        <w:tc>
          <w:tcPr>
            <w:tcW w:w="603" w:type="dxa"/>
            <w:noWrap w:val="0"/>
            <w:vAlign w:val="center"/>
          </w:tcPr>
          <w:p w14:paraId="2E56795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6A6CBBB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vMerge w:val="continue"/>
            <w:noWrap w:val="0"/>
            <w:vAlign w:val="center"/>
          </w:tcPr>
          <w:p w14:paraId="2510C7FF">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3AA10E69">
            <w:pPr>
              <w:spacing w:before="65" w:line="189" w:lineRule="auto"/>
              <w:ind w:left="182"/>
              <w:jc w:val="center"/>
              <w:rPr>
                <w:rFonts w:hint="eastAsia" w:ascii="宋体" w:hAnsi="宋体" w:eastAsia="宋体" w:cs="宋体"/>
                <w:color w:val="auto"/>
                <w:sz w:val="21"/>
                <w:szCs w:val="21"/>
                <w:highlight w:val="none"/>
              </w:rPr>
            </w:pPr>
          </w:p>
        </w:tc>
      </w:tr>
      <w:tr w14:paraId="37B2F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F65DC7">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126AAA9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318972C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双芯咪线RVPE2*0.5，100米/卷</w:t>
            </w:r>
          </w:p>
        </w:tc>
        <w:tc>
          <w:tcPr>
            <w:tcW w:w="603" w:type="dxa"/>
            <w:noWrap w:val="0"/>
            <w:vAlign w:val="center"/>
          </w:tcPr>
          <w:p w14:paraId="14B8181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6B7C470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vMerge w:val="continue"/>
            <w:noWrap w:val="0"/>
            <w:vAlign w:val="center"/>
          </w:tcPr>
          <w:p w14:paraId="01DE6424">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513D93E1">
            <w:pPr>
              <w:spacing w:before="65" w:line="189" w:lineRule="auto"/>
              <w:ind w:left="182"/>
              <w:jc w:val="center"/>
              <w:rPr>
                <w:rFonts w:hint="eastAsia" w:ascii="宋体" w:hAnsi="宋体" w:eastAsia="宋体" w:cs="宋体"/>
                <w:color w:val="auto"/>
                <w:sz w:val="21"/>
                <w:szCs w:val="21"/>
                <w:highlight w:val="none"/>
              </w:rPr>
            </w:pPr>
          </w:p>
        </w:tc>
      </w:tr>
      <w:tr w14:paraId="16CC3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1108660">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56F0BC3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12A7D29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六类屏蔽网线，300米/卷</w:t>
            </w:r>
          </w:p>
        </w:tc>
        <w:tc>
          <w:tcPr>
            <w:tcW w:w="603" w:type="dxa"/>
            <w:noWrap w:val="0"/>
            <w:vAlign w:val="center"/>
          </w:tcPr>
          <w:p w14:paraId="78338DA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02BE10D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vMerge w:val="continue"/>
            <w:noWrap w:val="0"/>
            <w:vAlign w:val="center"/>
          </w:tcPr>
          <w:p w14:paraId="3CE4B9A1">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7166FA1F">
            <w:pPr>
              <w:spacing w:before="65" w:line="189" w:lineRule="auto"/>
              <w:ind w:left="182"/>
              <w:jc w:val="center"/>
              <w:rPr>
                <w:rFonts w:hint="eastAsia" w:ascii="宋体" w:hAnsi="宋体" w:eastAsia="宋体" w:cs="宋体"/>
                <w:color w:val="auto"/>
                <w:sz w:val="21"/>
                <w:szCs w:val="21"/>
                <w:highlight w:val="none"/>
              </w:rPr>
            </w:pPr>
          </w:p>
        </w:tc>
      </w:tr>
      <w:tr w14:paraId="23672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100DC31">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2768165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水晶头</w:t>
            </w:r>
          </w:p>
        </w:tc>
        <w:tc>
          <w:tcPr>
            <w:tcW w:w="5472" w:type="dxa"/>
            <w:noWrap w:val="0"/>
            <w:vAlign w:val="center"/>
          </w:tcPr>
          <w:p w14:paraId="76A64FC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六类水晶头，100个一盒</w:t>
            </w:r>
          </w:p>
        </w:tc>
        <w:tc>
          <w:tcPr>
            <w:tcW w:w="603" w:type="dxa"/>
            <w:noWrap w:val="0"/>
            <w:vAlign w:val="center"/>
          </w:tcPr>
          <w:p w14:paraId="5189602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2C2C393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110" w:type="dxa"/>
            <w:vMerge w:val="continue"/>
            <w:noWrap w:val="0"/>
            <w:vAlign w:val="center"/>
          </w:tcPr>
          <w:p w14:paraId="6BFFE303">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78204B31">
            <w:pPr>
              <w:spacing w:before="65" w:line="189" w:lineRule="auto"/>
              <w:ind w:left="182"/>
              <w:jc w:val="center"/>
              <w:rPr>
                <w:rFonts w:hint="eastAsia" w:ascii="宋体" w:hAnsi="宋体" w:eastAsia="宋体" w:cs="宋体"/>
                <w:color w:val="auto"/>
                <w:sz w:val="21"/>
                <w:szCs w:val="21"/>
                <w:highlight w:val="none"/>
              </w:rPr>
            </w:pPr>
          </w:p>
        </w:tc>
      </w:tr>
      <w:tr w14:paraId="66D7C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64531A7">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180D309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02BDE22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铜芯护套线RVV3*1.5，200米/卷</w:t>
            </w:r>
          </w:p>
        </w:tc>
        <w:tc>
          <w:tcPr>
            <w:tcW w:w="603" w:type="dxa"/>
            <w:noWrap w:val="0"/>
            <w:vAlign w:val="center"/>
          </w:tcPr>
          <w:p w14:paraId="7A34874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0A9767E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vMerge w:val="continue"/>
            <w:noWrap w:val="0"/>
            <w:vAlign w:val="center"/>
          </w:tcPr>
          <w:p w14:paraId="416D2835">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37038C7F">
            <w:pPr>
              <w:spacing w:before="65" w:line="189" w:lineRule="auto"/>
              <w:ind w:left="182"/>
              <w:jc w:val="center"/>
              <w:rPr>
                <w:rFonts w:hint="eastAsia" w:ascii="宋体" w:hAnsi="宋体" w:eastAsia="宋体" w:cs="宋体"/>
                <w:color w:val="auto"/>
                <w:sz w:val="21"/>
                <w:szCs w:val="21"/>
                <w:highlight w:val="none"/>
              </w:rPr>
            </w:pPr>
          </w:p>
        </w:tc>
      </w:tr>
      <w:tr w14:paraId="54D8F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727940A">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08EE621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077BB94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铜芯护套线RVV3*2.5，200米/卷</w:t>
            </w:r>
          </w:p>
        </w:tc>
        <w:tc>
          <w:tcPr>
            <w:tcW w:w="603" w:type="dxa"/>
            <w:noWrap w:val="0"/>
            <w:vAlign w:val="center"/>
          </w:tcPr>
          <w:p w14:paraId="1677374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0D99A13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vMerge w:val="continue"/>
            <w:noWrap w:val="0"/>
            <w:vAlign w:val="center"/>
          </w:tcPr>
          <w:p w14:paraId="61A837DC">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73432E57">
            <w:pPr>
              <w:spacing w:before="65" w:line="189" w:lineRule="auto"/>
              <w:ind w:left="182"/>
              <w:jc w:val="center"/>
              <w:rPr>
                <w:rFonts w:hint="eastAsia" w:ascii="宋体" w:hAnsi="宋体" w:eastAsia="宋体" w:cs="宋体"/>
                <w:color w:val="auto"/>
                <w:sz w:val="21"/>
                <w:szCs w:val="21"/>
                <w:highlight w:val="none"/>
              </w:rPr>
            </w:pPr>
          </w:p>
        </w:tc>
      </w:tr>
      <w:tr w14:paraId="545B3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06EEDB">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21FF9DB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PVC管</w:t>
            </w:r>
          </w:p>
        </w:tc>
        <w:tc>
          <w:tcPr>
            <w:tcW w:w="5472" w:type="dxa"/>
            <w:noWrap w:val="0"/>
            <w:vAlign w:val="center"/>
          </w:tcPr>
          <w:p w14:paraId="479690F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白色线管A管DN25，4米</w:t>
            </w:r>
          </w:p>
        </w:tc>
        <w:tc>
          <w:tcPr>
            <w:tcW w:w="603" w:type="dxa"/>
            <w:noWrap w:val="0"/>
            <w:vAlign w:val="center"/>
          </w:tcPr>
          <w:p w14:paraId="57FB869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1E6A79B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vMerge w:val="continue"/>
            <w:noWrap w:val="0"/>
            <w:vAlign w:val="center"/>
          </w:tcPr>
          <w:p w14:paraId="6E76081F">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08EE6281">
            <w:pPr>
              <w:spacing w:before="65" w:line="189" w:lineRule="auto"/>
              <w:ind w:left="182"/>
              <w:jc w:val="center"/>
              <w:rPr>
                <w:rFonts w:hint="eastAsia" w:ascii="宋体" w:hAnsi="宋体" w:eastAsia="宋体" w:cs="宋体"/>
                <w:color w:val="auto"/>
                <w:sz w:val="21"/>
                <w:szCs w:val="21"/>
                <w:highlight w:val="none"/>
              </w:rPr>
            </w:pPr>
          </w:p>
        </w:tc>
      </w:tr>
      <w:tr w14:paraId="25A1E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64509D">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6FD83A1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PVC管</w:t>
            </w:r>
          </w:p>
        </w:tc>
        <w:tc>
          <w:tcPr>
            <w:tcW w:w="5472" w:type="dxa"/>
            <w:noWrap w:val="0"/>
            <w:vAlign w:val="center"/>
          </w:tcPr>
          <w:p w14:paraId="48335C0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白色线管A管DN32，4米</w:t>
            </w:r>
          </w:p>
        </w:tc>
        <w:tc>
          <w:tcPr>
            <w:tcW w:w="603" w:type="dxa"/>
            <w:noWrap w:val="0"/>
            <w:vAlign w:val="center"/>
          </w:tcPr>
          <w:p w14:paraId="06E6161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6478E1C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vMerge w:val="continue"/>
            <w:noWrap w:val="0"/>
            <w:vAlign w:val="center"/>
          </w:tcPr>
          <w:p w14:paraId="7D59CDB9">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4951D441">
            <w:pPr>
              <w:spacing w:before="65" w:line="189" w:lineRule="auto"/>
              <w:ind w:left="182"/>
              <w:jc w:val="center"/>
              <w:rPr>
                <w:rFonts w:hint="eastAsia" w:ascii="宋体" w:hAnsi="宋体" w:eastAsia="宋体" w:cs="宋体"/>
                <w:color w:val="auto"/>
                <w:sz w:val="21"/>
                <w:szCs w:val="21"/>
                <w:highlight w:val="none"/>
              </w:rPr>
            </w:pPr>
          </w:p>
        </w:tc>
      </w:tr>
      <w:tr w14:paraId="41925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DEA5EDB">
            <w:pPr>
              <w:numPr>
                <w:ilvl w:val="0"/>
                <w:numId w:val="0"/>
              </w:numPr>
              <w:spacing w:before="65" w:line="185" w:lineRule="auto"/>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409</w:t>
            </w:r>
          </w:p>
        </w:tc>
        <w:tc>
          <w:tcPr>
            <w:tcW w:w="1245" w:type="dxa"/>
            <w:noWrap w:val="0"/>
            <w:vAlign w:val="center"/>
          </w:tcPr>
          <w:p w14:paraId="2D3079C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布线安装调试</w:t>
            </w:r>
          </w:p>
        </w:tc>
        <w:tc>
          <w:tcPr>
            <w:tcW w:w="5472" w:type="dxa"/>
            <w:noWrap w:val="0"/>
            <w:vAlign w:val="center"/>
          </w:tcPr>
          <w:p w14:paraId="3C923DC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定制</w:t>
            </w:r>
          </w:p>
        </w:tc>
        <w:tc>
          <w:tcPr>
            <w:tcW w:w="603" w:type="dxa"/>
            <w:noWrap w:val="0"/>
            <w:vAlign w:val="center"/>
          </w:tcPr>
          <w:p w14:paraId="3BC12EE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2B4FEA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vMerge w:val="continue"/>
            <w:noWrap w:val="0"/>
            <w:vAlign w:val="center"/>
          </w:tcPr>
          <w:p w14:paraId="6438D27B">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7AC363F6">
            <w:pPr>
              <w:spacing w:before="65" w:line="189" w:lineRule="auto"/>
              <w:ind w:left="182"/>
              <w:jc w:val="center"/>
              <w:rPr>
                <w:rFonts w:hint="eastAsia" w:ascii="宋体" w:hAnsi="宋体" w:eastAsia="宋体" w:cs="宋体"/>
                <w:color w:val="auto"/>
                <w:sz w:val="21"/>
                <w:szCs w:val="21"/>
                <w:highlight w:val="none"/>
              </w:rPr>
            </w:pPr>
          </w:p>
        </w:tc>
      </w:tr>
      <w:tr w14:paraId="7D608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0155888D">
            <w:pPr>
              <w:spacing w:before="65" w:line="279" w:lineRule="auto"/>
              <w:ind w:left="0" w:leftChars="0" w:right="115"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4853C2A2">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5A770F57">
            <w:pPr>
              <w:spacing w:before="65" w:line="187"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21490.00</w:t>
            </w:r>
          </w:p>
        </w:tc>
        <w:tc>
          <w:tcPr>
            <w:tcW w:w="635" w:type="dxa"/>
            <w:noWrap w:val="0"/>
            <w:vAlign w:val="center"/>
          </w:tcPr>
          <w:p w14:paraId="3F5CF4EB">
            <w:pPr>
              <w:spacing w:before="65" w:line="189" w:lineRule="auto"/>
              <w:ind w:left="182"/>
              <w:jc w:val="center"/>
              <w:rPr>
                <w:rFonts w:hint="eastAsia" w:ascii="宋体" w:hAnsi="宋体" w:eastAsia="宋体" w:cs="宋体"/>
                <w:color w:val="auto"/>
                <w:sz w:val="21"/>
                <w:szCs w:val="21"/>
                <w:highlight w:val="none"/>
              </w:rPr>
            </w:pPr>
          </w:p>
        </w:tc>
      </w:tr>
      <w:tr w14:paraId="14F3F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207927C5">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第</w:t>
            </w:r>
            <w:r>
              <w:rPr>
                <w:rFonts w:hint="eastAsia" w:ascii="宋体" w:hAnsi="宋体" w:cs="宋体"/>
                <w:b/>
                <w:bCs/>
                <w:color w:val="auto"/>
                <w:sz w:val="21"/>
                <w:szCs w:val="21"/>
                <w:highlight w:val="none"/>
                <w:lang w:eastAsia="zh-CN"/>
              </w:rPr>
              <w:t>九</w:t>
            </w:r>
            <w:r>
              <w:rPr>
                <w:rFonts w:hint="eastAsia" w:ascii="宋体" w:hAnsi="宋体" w:eastAsia="宋体" w:cs="宋体"/>
                <w:b/>
                <w:bCs/>
                <w:color w:val="auto"/>
                <w:sz w:val="21"/>
                <w:szCs w:val="21"/>
                <w:highlight w:val="none"/>
                <w:lang w:eastAsia="zh-CN"/>
              </w:rPr>
              <w:t>项总合计</w:t>
            </w:r>
          </w:p>
        </w:tc>
        <w:tc>
          <w:tcPr>
            <w:tcW w:w="5472" w:type="dxa"/>
            <w:noWrap w:val="0"/>
            <w:vAlign w:val="center"/>
          </w:tcPr>
          <w:p w14:paraId="35101F74">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0C2785C4">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250100.00</w:t>
            </w:r>
          </w:p>
        </w:tc>
        <w:tc>
          <w:tcPr>
            <w:tcW w:w="635" w:type="dxa"/>
            <w:noWrap w:val="0"/>
            <w:vAlign w:val="center"/>
          </w:tcPr>
          <w:p w14:paraId="179E8E24">
            <w:pPr>
              <w:spacing w:before="65" w:line="189" w:lineRule="auto"/>
              <w:ind w:left="182"/>
              <w:jc w:val="center"/>
              <w:rPr>
                <w:rFonts w:hint="eastAsia" w:ascii="宋体" w:hAnsi="宋体" w:eastAsia="宋体" w:cs="宋体"/>
                <w:color w:val="auto"/>
                <w:sz w:val="21"/>
                <w:szCs w:val="21"/>
                <w:highlight w:val="none"/>
              </w:rPr>
            </w:pPr>
          </w:p>
        </w:tc>
      </w:tr>
      <w:tr w14:paraId="52A89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2C1F1C45">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eastAsia="zh-CN" w:bidi="ar"/>
              </w:rPr>
              <w:t>十</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体育器材室</w:t>
            </w:r>
          </w:p>
        </w:tc>
      </w:tr>
      <w:tr w14:paraId="1AE79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06E33D4">
            <w:pPr>
              <w:numPr>
                <w:ilvl w:val="0"/>
                <w:numId w:val="0"/>
              </w:numPr>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10</w:t>
            </w:r>
          </w:p>
        </w:tc>
        <w:tc>
          <w:tcPr>
            <w:tcW w:w="1245" w:type="dxa"/>
            <w:noWrap w:val="0"/>
            <w:vAlign w:val="center"/>
          </w:tcPr>
          <w:p w14:paraId="39CF6B0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接力棒</w:t>
            </w:r>
          </w:p>
        </w:tc>
        <w:tc>
          <w:tcPr>
            <w:tcW w:w="5472" w:type="dxa"/>
            <w:noWrap w:val="0"/>
            <w:vAlign w:val="center"/>
          </w:tcPr>
          <w:p w14:paraId="6E2AB7F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300mm（±5mm）×30mm（±1mm），中小学体育教学用；木质，表面静电喷涂、色泽鲜艳。</w:t>
            </w:r>
          </w:p>
        </w:tc>
        <w:tc>
          <w:tcPr>
            <w:tcW w:w="603" w:type="dxa"/>
            <w:noWrap w:val="0"/>
            <w:vAlign w:val="center"/>
          </w:tcPr>
          <w:p w14:paraId="699A75A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00" w:type="dxa"/>
            <w:noWrap w:val="0"/>
            <w:vAlign w:val="center"/>
          </w:tcPr>
          <w:p w14:paraId="52E740C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3C5E42E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35" w:type="dxa"/>
            <w:noWrap w:val="0"/>
            <w:vAlign w:val="center"/>
          </w:tcPr>
          <w:p w14:paraId="4768346A">
            <w:pPr>
              <w:jc w:val="center"/>
              <w:rPr>
                <w:rFonts w:hint="eastAsia" w:ascii="宋体" w:hAnsi="宋体" w:eastAsia="宋体" w:cs="宋体"/>
                <w:color w:val="auto"/>
                <w:sz w:val="21"/>
                <w:szCs w:val="21"/>
                <w:highlight w:val="none"/>
              </w:rPr>
            </w:pPr>
          </w:p>
        </w:tc>
      </w:tr>
      <w:tr w14:paraId="7196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55" w:type="dxa"/>
            <w:noWrap w:val="0"/>
            <w:vAlign w:val="center"/>
          </w:tcPr>
          <w:p w14:paraId="629E273D">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430719F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跨栏架</w:t>
            </w:r>
          </w:p>
        </w:tc>
        <w:tc>
          <w:tcPr>
            <w:tcW w:w="5472" w:type="dxa"/>
            <w:noWrap w:val="0"/>
            <w:vAlign w:val="center"/>
          </w:tcPr>
          <w:p w14:paraId="48580A0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钢塑，升降，折叠式，可升降，最低400mm；金属件外表面采用抛丸喷砂（或酸洗磷化）除锈、静电喷涂表面处理。</w:t>
            </w:r>
          </w:p>
        </w:tc>
        <w:tc>
          <w:tcPr>
            <w:tcW w:w="603" w:type="dxa"/>
            <w:noWrap w:val="0"/>
            <w:vAlign w:val="center"/>
          </w:tcPr>
          <w:p w14:paraId="4A5BF6F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00" w:type="dxa"/>
            <w:noWrap w:val="0"/>
            <w:vAlign w:val="center"/>
          </w:tcPr>
          <w:p w14:paraId="77666D0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197E675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192</w:t>
            </w:r>
          </w:p>
        </w:tc>
        <w:tc>
          <w:tcPr>
            <w:tcW w:w="635" w:type="dxa"/>
            <w:noWrap w:val="0"/>
            <w:vAlign w:val="center"/>
          </w:tcPr>
          <w:p w14:paraId="7FA90741">
            <w:pPr>
              <w:jc w:val="center"/>
              <w:rPr>
                <w:rFonts w:hint="eastAsia" w:ascii="宋体" w:hAnsi="宋体" w:eastAsia="宋体" w:cs="宋体"/>
                <w:color w:val="auto"/>
                <w:sz w:val="21"/>
                <w:szCs w:val="21"/>
                <w:highlight w:val="none"/>
              </w:rPr>
            </w:pPr>
          </w:p>
        </w:tc>
      </w:tr>
      <w:tr w14:paraId="16F48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8F1C97">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6735CDA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发令枪</w:t>
            </w:r>
          </w:p>
        </w:tc>
        <w:tc>
          <w:tcPr>
            <w:tcW w:w="5472" w:type="dxa"/>
            <w:noWrap w:val="0"/>
            <w:vAlign w:val="center"/>
          </w:tcPr>
          <w:p w14:paraId="37335C0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弹种定装式发令弹；</w:t>
            </w:r>
          </w:p>
          <w:p w14:paraId="122982D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容弹量2发；</w:t>
            </w:r>
          </w:p>
          <w:p w14:paraId="57EBC14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声响:膛口水平面正前方100处,声强值≧60分贝；</w:t>
            </w:r>
          </w:p>
          <w:p w14:paraId="02B772E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烟雾:在规定背景下,膛正前方150米清晰可见。带包，可空打试枪。</w:t>
            </w:r>
          </w:p>
        </w:tc>
        <w:tc>
          <w:tcPr>
            <w:tcW w:w="603" w:type="dxa"/>
            <w:noWrap w:val="0"/>
            <w:vAlign w:val="center"/>
          </w:tcPr>
          <w:p w14:paraId="43D30F1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72BCAD5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110" w:type="dxa"/>
            <w:noWrap w:val="0"/>
            <w:vAlign w:val="center"/>
          </w:tcPr>
          <w:p w14:paraId="10DD807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258</w:t>
            </w:r>
          </w:p>
        </w:tc>
        <w:tc>
          <w:tcPr>
            <w:tcW w:w="635" w:type="dxa"/>
            <w:noWrap w:val="0"/>
            <w:vAlign w:val="center"/>
          </w:tcPr>
          <w:p w14:paraId="64766C25">
            <w:pPr>
              <w:jc w:val="center"/>
              <w:rPr>
                <w:rFonts w:hint="eastAsia" w:ascii="宋体" w:hAnsi="宋体" w:eastAsia="宋体" w:cs="宋体"/>
                <w:color w:val="auto"/>
                <w:sz w:val="21"/>
                <w:szCs w:val="21"/>
                <w:highlight w:val="none"/>
              </w:rPr>
            </w:pPr>
          </w:p>
        </w:tc>
      </w:tr>
      <w:tr w14:paraId="58ED5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8147EF3">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1D95402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标志杆(筒)</w:t>
            </w:r>
          </w:p>
        </w:tc>
        <w:tc>
          <w:tcPr>
            <w:tcW w:w="5472" w:type="dxa"/>
            <w:noWrap w:val="0"/>
            <w:vAlign w:val="center"/>
          </w:tcPr>
          <w:p w14:paraId="3422C50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ABS工程塑料，立柱直径≧17mm，杆高≧1600mm，底座直径≧140mm，厚度≧12mm；配红色角旗。</w:t>
            </w:r>
          </w:p>
        </w:tc>
        <w:tc>
          <w:tcPr>
            <w:tcW w:w="603" w:type="dxa"/>
            <w:noWrap w:val="0"/>
            <w:vAlign w:val="center"/>
          </w:tcPr>
          <w:p w14:paraId="0BC1C23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00" w:type="dxa"/>
            <w:noWrap w:val="0"/>
            <w:vAlign w:val="center"/>
          </w:tcPr>
          <w:p w14:paraId="056F831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4302AAC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635" w:type="dxa"/>
            <w:noWrap w:val="0"/>
            <w:vAlign w:val="center"/>
          </w:tcPr>
          <w:p w14:paraId="552F3D03">
            <w:pPr>
              <w:jc w:val="center"/>
              <w:rPr>
                <w:rFonts w:hint="eastAsia" w:ascii="宋体" w:hAnsi="宋体" w:eastAsia="宋体" w:cs="宋体"/>
                <w:color w:val="auto"/>
                <w:sz w:val="21"/>
                <w:szCs w:val="21"/>
                <w:highlight w:val="none"/>
              </w:rPr>
            </w:pPr>
          </w:p>
        </w:tc>
      </w:tr>
      <w:tr w14:paraId="67DA7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721493D">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6141BE6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秒表</w:t>
            </w:r>
          </w:p>
        </w:tc>
        <w:tc>
          <w:tcPr>
            <w:tcW w:w="5472" w:type="dxa"/>
            <w:noWrap w:val="0"/>
            <w:vAlign w:val="center"/>
          </w:tcPr>
          <w:p w14:paraId="7029B14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电子秒表，供体育教学及比赛训练用；60道以上，精度1/100秒。防水防震，三排数码显示，具有分散、重叠和累计时间显示功能；具有记忆、存储、重现功能，能存储40种以上信息（60人以上的成绩）。</w:t>
            </w:r>
          </w:p>
        </w:tc>
        <w:tc>
          <w:tcPr>
            <w:tcW w:w="603" w:type="dxa"/>
            <w:noWrap w:val="0"/>
            <w:vAlign w:val="center"/>
          </w:tcPr>
          <w:p w14:paraId="5964A32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00" w:type="dxa"/>
            <w:noWrap w:val="0"/>
            <w:vAlign w:val="center"/>
          </w:tcPr>
          <w:p w14:paraId="4E5ED4E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110" w:type="dxa"/>
            <w:noWrap w:val="0"/>
            <w:vAlign w:val="center"/>
          </w:tcPr>
          <w:p w14:paraId="6C4418C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178</w:t>
            </w:r>
          </w:p>
        </w:tc>
        <w:tc>
          <w:tcPr>
            <w:tcW w:w="635" w:type="dxa"/>
            <w:noWrap w:val="0"/>
            <w:vAlign w:val="center"/>
          </w:tcPr>
          <w:p w14:paraId="642381B1">
            <w:pPr>
              <w:jc w:val="center"/>
              <w:rPr>
                <w:rFonts w:hint="eastAsia" w:ascii="宋体" w:hAnsi="宋体" w:eastAsia="宋体" w:cs="宋体"/>
                <w:color w:val="auto"/>
                <w:sz w:val="21"/>
                <w:szCs w:val="21"/>
                <w:highlight w:val="none"/>
              </w:rPr>
            </w:pPr>
          </w:p>
        </w:tc>
      </w:tr>
      <w:tr w14:paraId="1A6CC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210ADC3">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761241B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跳高架</w:t>
            </w:r>
          </w:p>
        </w:tc>
        <w:tc>
          <w:tcPr>
            <w:tcW w:w="5472" w:type="dxa"/>
            <w:noWrap w:val="0"/>
            <w:vAlign w:val="center"/>
          </w:tcPr>
          <w:p w14:paraId="40A49EE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立柱高度：1600-2000mm；高度刻度：500mm-1800mm；横杆托长：60±5mm，宽：40±5mm。跳高架高度应超过横杆实际提升高度100mm。跳高架立柱应垂直地面，垂直公差不大于1/800，其高度刻度应精确、清晰；两立柱高度刻度应对称。立柱应承受100N水平力而保持稳定，不得出现倾翻现象。立柱外观质量：表面光滑平整，色泽均匀，无起皮脱落、漏涂、裂痕及明显流痕，花斑、起泡凹凸等缺陷。不带轮。</w:t>
            </w:r>
          </w:p>
        </w:tc>
        <w:tc>
          <w:tcPr>
            <w:tcW w:w="603" w:type="dxa"/>
            <w:noWrap w:val="0"/>
            <w:vAlign w:val="center"/>
          </w:tcPr>
          <w:p w14:paraId="3F5FC60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7670B6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34EB555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742</w:t>
            </w:r>
          </w:p>
        </w:tc>
        <w:tc>
          <w:tcPr>
            <w:tcW w:w="635" w:type="dxa"/>
            <w:noWrap w:val="0"/>
            <w:vAlign w:val="center"/>
          </w:tcPr>
          <w:p w14:paraId="37D366B4">
            <w:pPr>
              <w:jc w:val="center"/>
              <w:rPr>
                <w:rFonts w:hint="eastAsia" w:ascii="宋体" w:hAnsi="宋体" w:eastAsia="宋体" w:cs="宋体"/>
                <w:color w:val="auto"/>
                <w:sz w:val="21"/>
                <w:szCs w:val="21"/>
                <w:highlight w:val="none"/>
              </w:rPr>
            </w:pPr>
          </w:p>
        </w:tc>
      </w:tr>
      <w:tr w14:paraId="36A56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DF2EDE5">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4A3698A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跳高横竿</w:t>
            </w:r>
          </w:p>
        </w:tc>
        <w:tc>
          <w:tcPr>
            <w:tcW w:w="5472" w:type="dxa"/>
            <w:noWrap w:val="0"/>
            <w:vAlign w:val="center"/>
          </w:tcPr>
          <w:p w14:paraId="5218F56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横杆长度：3000mm-4000mm；横杆直径：25mm1.-30mm，质量≤2000g竹竿。</w:t>
            </w:r>
          </w:p>
        </w:tc>
        <w:tc>
          <w:tcPr>
            <w:tcW w:w="603" w:type="dxa"/>
            <w:noWrap w:val="0"/>
            <w:vAlign w:val="center"/>
          </w:tcPr>
          <w:p w14:paraId="5E95127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20595EA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0338CDC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635" w:type="dxa"/>
            <w:noWrap w:val="0"/>
            <w:vAlign w:val="center"/>
          </w:tcPr>
          <w:p w14:paraId="52DB3544">
            <w:pPr>
              <w:jc w:val="center"/>
              <w:rPr>
                <w:rFonts w:hint="eastAsia" w:ascii="宋体" w:hAnsi="宋体" w:eastAsia="宋体" w:cs="宋体"/>
                <w:color w:val="auto"/>
                <w:sz w:val="21"/>
                <w:szCs w:val="21"/>
                <w:highlight w:val="none"/>
              </w:rPr>
            </w:pPr>
          </w:p>
        </w:tc>
      </w:tr>
      <w:tr w14:paraId="56EDE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9C99AEC">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4A99635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助跳板</w:t>
            </w:r>
          </w:p>
        </w:tc>
        <w:tc>
          <w:tcPr>
            <w:tcW w:w="5472" w:type="dxa"/>
            <w:noWrap w:val="0"/>
            <w:vAlign w:val="center"/>
          </w:tcPr>
          <w:p w14:paraId="6A020C0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助跳板长≥800mm，宽5≥00mm板条≥宽60mm，间距约17mm,板条厚≥25mm,最高点约160mm，最低点约50mm；助跳板背面加固定横衬，板条长≥800mm；材质：应采用坚硬而富有弹性的优质木材制成，表面刷透明漆，涂层均匀，光洁；木材应无裂缝，无疤痕，不变形，并经过脱脂干燥处理，制作工艺精细，各连接部位牢固可靠，经久耐用。</w:t>
            </w:r>
          </w:p>
        </w:tc>
        <w:tc>
          <w:tcPr>
            <w:tcW w:w="603" w:type="dxa"/>
            <w:noWrap w:val="0"/>
            <w:vAlign w:val="center"/>
          </w:tcPr>
          <w:p w14:paraId="526F2C6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2B78522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110" w:type="dxa"/>
            <w:noWrap w:val="0"/>
            <w:vAlign w:val="center"/>
          </w:tcPr>
          <w:p w14:paraId="7442D16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235</w:t>
            </w:r>
          </w:p>
        </w:tc>
        <w:tc>
          <w:tcPr>
            <w:tcW w:w="635" w:type="dxa"/>
            <w:noWrap w:val="0"/>
            <w:vAlign w:val="center"/>
          </w:tcPr>
          <w:p w14:paraId="032E43F1">
            <w:pPr>
              <w:jc w:val="center"/>
              <w:rPr>
                <w:rFonts w:hint="eastAsia" w:ascii="宋体" w:hAnsi="宋体" w:eastAsia="宋体" w:cs="宋体"/>
                <w:color w:val="auto"/>
                <w:sz w:val="21"/>
                <w:szCs w:val="21"/>
                <w:highlight w:val="none"/>
              </w:rPr>
            </w:pPr>
          </w:p>
        </w:tc>
      </w:tr>
      <w:tr w14:paraId="479B0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FEC033">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3E7F18B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小沙包</w:t>
            </w:r>
          </w:p>
        </w:tc>
        <w:tc>
          <w:tcPr>
            <w:tcW w:w="5472" w:type="dxa"/>
            <w:noWrap w:val="0"/>
            <w:vAlign w:val="center"/>
          </w:tcPr>
          <w:p w14:paraId="6A60DAB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优质约40mm×40mm帆布包砂缝制，针脚整齐，无跳线，重量≤150克。</w:t>
            </w:r>
          </w:p>
        </w:tc>
        <w:tc>
          <w:tcPr>
            <w:tcW w:w="603" w:type="dxa"/>
            <w:noWrap w:val="0"/>
            <w:vAlign w:val="center"/>
          </w:tcPr>
          <w:p w14:paraId="690490C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37A7FE1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162153D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635" w:type="dxa"/>
            <w:noWrap w:val="0"/>
            <w:vAlign w:val="center"/>
          </w:tcPr>
          <w:p w14:paraId="539734FE">
            <w:pPr>
              <w:jc w:val="center"/>
              <w:rPr>
                <w:rFonts w:hint="eastAsia" w:ascii="宋体" w:hAnsi="宋体" w:eastAsia="宋体" w:cs="宋体"/>
                <w:color w:val="auto"/>
                <w:sz w:val="21"/>
                <w:szCs w:val="21"/>
                <w:highlight w:val="none"/>
              </w:rPr>
            </w:pPr>
          </w:p>
        </w:tc>
      </w:tr>
      <w:tr w14:paraId="0A6AA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171BE7C">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3430BB1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垒球</w:t>
            </w:r>
          </w:p>
        </w:tc>
        <w:tc>
          <w:tcPr>
            <w:tcW w:w="5472" w:type="dxa"/>
            <w:noWrap w:val="0"/>
            <w:vAlign w:val="center"/>
          </w:tcPr>
          <w:p w14:paraId="39C58F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用强度较高的牛皮缝制，手感细腻；圆周长：230mm±10mm,重量为140g±5g；表面清洁，便于用后清洗消毒，清洗晾干后缩水率≤1%, 且不起皮,不裂纹。</w:t>
            </w:r>
          </w:p>
        </w:tc>
        <w:tc>
          <w:tcPr>
            <w:tcW w:w="603" w:type="dxa"/>
            <w:noWrap w:val="0"/>
            <w:vAlign w:val="center"/>
          </w:tcPr>
          <w:p w14:paraId="00AD5BB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63F86C7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7ACE52C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635" w:type="dxa"/>
            <w:noWrap w:val="0"/>
            <w:vAlign w:val="center"/>
          </w:tcPr>
          <w:p w14:paraId="29AD4570">
            <w:pPr>
              <w:jc w:val="center"/>
              <w:rPr>
                <w:rFonts w:hint="eastAsia" w:ascii="宋体" w:hAnsi="宋体" w:eastAsia="宋体" w:cs="宋体"/>
                <w:color w:val="auto"/>
                <w:sz w:val="21"/>
                <w:szCs w:val="21"/>
                <w:highlight w:val="none"/>
              </w:rPr>
            </w:pPr>
          </w:p>
        </w:tc>
      </w:tr>
      <w:tr w14:paraId="7B50B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D2EDDB">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09B5C7F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实心球</w:t>
            </w:r>
          </w:p>
        </w:tc>
        <w:tc>
          <w:tcPr>
            <w:tcW w:w="5472" w:type="dxa"/>
            <w:noWrap w:val="0"/>
            <w:vAlign w:val="center"/>
          </w:tcPr>
          <w:p w14:paraId="4292480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重量1Kg，直径≥180mm，壁厚≥1.5mm；材质为塑胶（PU）；表面手感有弹性，平滑、无毛刺；色彩鲜艳，符合学生心理特点。</w:t>
            </w:r>
          </w:p>
        </w:tc>
        <w:tc>
          <w:tcPr>
            <w:tcW w:w="603" w:type="dxa"/>
            <w:noWrap w:val="0"/>
            <w:vAlign w:val="center"/>
          </w:tcPr>
          <w:p w14:paraId="4FCD683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14083E3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69ED026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635" w:type="dxa"/>
            <w:noWrap w:val="0"/>
            <w:vAlign w:val="center"/>
          </w:tcPr>
          <w:p w14:paraId="4DCA2D1E">
            <w:pPr>
              <w:jc w:val="center"/>
              <w:rPr>
                <w:rFonts w:hint="eastAsia" w:ascii="宋体" w:hAnsi="宋体" w:eastAsia="宋体" w:cs="宋体"/>
                <w:color w:val="auto"/>
                <w:sz w:val="21"/>
                <w:szCs w:val="21"/>
                <w:highlight w:val="none"/>
              </w:rPr>
            </w:pPr>
          </w:p>
        </w:tc>
      </w:tr>
      <w:tr w14:paraId="5D533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AC312D4">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5262E63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实心球</w:t>
            </w:r>
          </w:p>
        </w:tc>
        <w:tc>
          <w:tcPr>
            <w:tcW w:w="5472" w:type="dxa"/>
            <w:noWrap w:val="0"/>
            <w:vAlign w:val="center"/>
          </w:tcPr>
          <w:p w14:paraId="6081F2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圆周长420mm～780mm,质量2000g±30g圆球形，充气式橡胶实心球，有内胆，手感柔软无伤害，外摸无填充物感觉；球面用4mm厚的天然橡胶整体成形，未使用再生胶，产品没有异味；从10M高处自由落体试验后，无破裂。球表面防滑，球上有明显不易脱落的商标、标志；外表面均匀分布乳头状小颗粒，半球结合处没有凹楞。</w:t>
            </w:r>
          </w:p>
        </w:tc>
        <w:tc>
          <w:tcPr>
            <w:tcW w:w="603" w:type="dxa"/>
            <w:noWrap w:val="0"/>
            <w:vAlign w:val="center"/>
          </w:tcPr>
          <w:p w14:paraId="10A39E1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7BA3B14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4A688ED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635" w:type="dxa"/>
            <w:noWrap w:val="0"/>
            <w:vAlign w:val="center"/>
          </w:tcPr>
          <w:p w14:paraId="318C56D7">
            <w:pPr>
              <w:jc w:val="center"/>
              <w:rPr>
                <w:rFonts w:hint="eastAsia" w:ascii="宋体" w:hAnsi="宋体" w:eastAsia="宋体" w:cs="宋体"/>
                <w:color w:val="auto"/>
                <w:sz w:val="21"/>
                <w:szCs w:val="21"/>
                <w:highlight w:val="none"/>
              </w:rPr>
            </w:pPr>
          </w:p>
        </w:tc>
      </w:tr>
      <w:tr w14:paraId="56A08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EDC14D5">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27F4BE4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投掷靶</w:t>
            </w:r>
          </w:p>
        </w:tc>
        <w:tc>
          <w:tcPr>
            <w:tcW w:w="5472" w:type="dxa"/>
            <w:noWrap w:val="0"/>
            <w:vAlign w:val="center"/>
          </w:tcPr>
          <w:p w14:paraId="6BF7AF6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组合用,带磁性靶心,靶箭≥6支,带支架，支架高≥1.60m,移动折叠式,可投掷小皮球、小沙包。</w:t>
            </w:r>
          </w:p>
        </w:tc>
        <w:tc>
          <w:tcPr>
            <w:tcW w:w="603" w:type="dxa"/>
            <w:noWrap w:val="0"/>
            <w:vAlign w:val="center"/>
          </w:tcPr>
          <w:p w14:paraId="728477C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464C452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3392B01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262</w:t>
            </w:r>
          </w:p>
        </w:tc>
        <w:tc>
          <w:tcPr>
            <w:tcW w:w="635" w:type="dxa"/>
            <w:noWrap w:val="0"/>
            <w:vAlign w:val="center"/>
          </w:tcPr>
          <w:p w14:paraId="5291E84A">
            <w:pPr>
              <w:jc w:val="center"/>
              <w:rPr>
                <w:rFonts w:hint="eastAsia" w:ascii="宋体" w:hAnsi="宋体" w:eastAsia="宋体" w:cs="宋体"/>
                <w:color w:val="auto"/>
                <w:sz w:val="21"/>
                <w:szCs w:val="21"/>
                <w:highlight w:val="none"/>
              </w:rPr>
            </w:pPr>
          </w:p>
        </w:tc>
      </w:tr>
      <w:tr w14:paraId="15D1F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8E6C89F">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66A5830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皮尺</w:t>
            </w:r>
          </w:p>
        </w:tc>
        <w:tc>
          <w:tcPr>
            <w:tcW w:w="5472" w:type="dxa"/>
            <w:noWrap w:val="0"/>
            <w:vAlign w:val="center"/>
          </w:tcPr>
          <w:p w14:paraId="561A162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盘式皮尺；长30m，刻度清晰，结构外观；转动灵活，尺盒、摇柄和首端装有金属拉环的整条尺带，分度值1cm，最少刻度1mm，材质为布质或纤维尺带，长度30m，尺宽≧12.5mm，厚度≧1mm。</w:t>
            </w:r>
          </w:p>
        </w:tc>
        <w:tc>
          <w:tcPr>
            <w:tcW w:w="603" w:type="dxa"/>
            <w:noWrap w:val="0"/>
            <w:vAlign w:val="center"/>
          </w:tcPr>
          <w:p w14:paraId="15920F6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AAF420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noWrap w:val="0"/>
            <w:vAlign w:val="center"/>
          </w:tcPr>
          <w:p w14:paraId="4139F57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635" w:type="dxa"/>
            <w:noWrap w:val="0"/>
            <w:vAlign w:val="center"/>
          </w:tcPr>
          <w:p w14:paraId="0C85FEFC">
            <w:pPr>
              <w:jc w:val="center"/>
              <w:rPr>
                <w:rFonts w:hint="eastAsia" w:ascii="宋体" w:hAnsi="宋体" w:eastAsia="宋体" w:cs="宋体"/>
                <w:color w:val="auto"/>
                <w:sz w:val="21"/>
                <w:szCs w:val="21"/>
                <w:highlight w:val="none"/>
              </w:rPr>
            </w:pPr>
          </w:p>
        </w:tc>
      </w:tr>
      <w:tr w14:paraId="60A22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3851EC">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69EB528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大体操垫</w:t>
            </w:r>
          </w:p>
        </w:tc>
        <w:tc>
          <w:tcPr>
            <w:tcW w:w="5472" w:type="dxa"/>
            <w:noWrap w:val="0"/>
            <w:vAlign w:val="center"/>
          </w:tcPr>
          <w:p w14:paraId="4B8E43D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2000mm×1000mm×100mm（±5mm），折叠式；体操垫外套为帆布，填料为整块聚氨酯，软硬均匀、适宜，回弹效果好；折叠式体操垫两面厚薄一致，两边连线牢固平值、缝线平直均匀牢固，不漏针，便于折叠；垫套表面平整无皱纹，棱角整齐，色泽一致，手把结实牢固，四角直角。符合相关标准要求。</w:t>
            </w:r>
          </w:p>
        </w:tc>
        <w:tc>
          <w:tcPr>
            <w:tcW w:w="603" w:type="dxa"/>
            <w:noWrap w:val="0"/>
            <w:vAlign w:val="center"/>
          </w:tcPr>
          <w:p w14:paraId="6C800D0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600" w:type="dxa"/>
            <w:noWrap w:val="0"/>
            <w:vAlign w:val="center"/>
          </w:tcPr>
          <w:p w14:paraId="394E876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110" w:type="dxa"/>
            <w:noWrap w:val="0"/>
            <w:vAlign w:val="center"/>
          </w:tcPr>
          <w:p w14:paraId="3CFE7AA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363</w:t>
            </w:r>
          </w:p>
        </w:tc>
        <w:tc>
          <w:tcPr>
            <w:tcW w:w="635" w:type="dxa"/>
            <w:noWrap w:val="0"/>
            <w:vAlign w:val="center"/>
          </w:tcPr>
          <w:p w14:paraId="204E509B">
            <w:pPr>
              <w:jc w:val="center"/>
              <w:rPr>
                <w:rFonts w:hint="eastAsia" w:ascii="宋体" w:hAnsi="宋体" w:eastAsia="宋体" w:cs="宋体"/>
                <w:color w:val="auto"/>
                <w:sz w:val="21"/>
                <w:szCs w:val="21"/>
                <w:highlight w:val="none"/>
              </w:rPr>
            </w:pPr>
          </w:p>
        </w:tc>
      </w:tr>
      <w:tr w14:paraId="3F0A5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C4B81E2">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69DC168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小体操垫</w:t>
            </w:r>
          </w:p>
        </w:tc>
        <w:tc>
          <w:tcPr>
            <w:tcW w:w="5472" w:type="dxa"/>
            <w:noWrap w:val="0"/>
            <w:vAlign w:val="center"/>
          </w:tcPr>
          <w:p w14:paraId="35C98CA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长1200mm（±5mm），宽600mm（±5mm），厚100mm（±5mm）；外层面料要求：结实耐用；内胆为聚氨酯材料，软硬适中，弹性好；四角为直角，表面平整、无皱折、色泽一致；当载荷落至跳垫时，外层不起皱，里外层不发生相对位移；在长度方向对半折叠，两侧各有提手；色彩鲜艳,符合学生心理特点；符合相关标准要求。</w:t>
            </w:r>
          </w:p>
        </w:tc>
        <w:tc>
          <w:tcPr>
            <w:tcW w:w="603" w:type="dxa"/>
            <w:noWrap w:val="0"/>
            <w:vAlign w:val="center"/>
          </w:tcPr>
          <w:p w14:paraId="7AE4BAC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594B0A1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110" w:type="dxa"/>
            <w:noWrap w:val="0"/>
            <w:vAlign w:val="center"/>
          </w:tcPr>
          <w:p w14:paraId="75AD62E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175</w:t>
            </w:r>
          </w:p>
        </w:tc>
        <w:tc>
          <w:tcPr>
            <w:tcW w:w="635" w:type="dxa"/>
            <w:noWrap w:val="0"/>
            <w:vAlign w:val="center"/>
          </w:tcPr>
          <w:p w14:paraId="163C8529">
            <w:pPr>
              <w:jc w:val="center"/>
              <w:rPr>
                <w:rFonts w:hint="eastAsia" w:ascii="宋体" w:hAnsi="宋体" w:eastAsia="宋体" w:cs="宋体"/>
                <w:color w:val="auto"/>
                <w:sz w:val="21"/>
                <w:szCs w:val="21"/>
                <w:highlight w:val="none"/>
              </w:rPr>
            </w:pPr>
          </w:p>
        </w:tc>
      </w:tr>
      <w:tr w14:paraId="5B0B6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6893BB29">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7E19702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毽子</w:t>
            </w:r>
          </w:p>
        </w:tc>
        <w:tc>
          <w:tcPr>
            <w:tcW w:w="5472" w:type="dxa"/>
            <w:noWrap w:val="0"/>
            <w:vAlign w:val="center"/>
          </w:tcPr>
          <w:p w14:paraId="09FA65C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毽子高130mm-135mm，重13-15g；毽垫直径38mm-40mm，厚度15mm-20mm；毽毛≥100mm；毽垫为金属材料，底部为橡胶制弹性底垫；毽毛为四根经处理的长鸭毛组成，羽毛宽32mm-35mm，插毛管高22mm-24mm。毽毛色彩鲜艳，符合学生心理特点。</w:t>
            </w:r>
          </w:p>
        </w:tc>
        <w:tc>
          <w:tcPr>
            <w:tcW w:w="603" w:type="dxa"/>
            <w:noWrap w:val="0"/>
            <w:vAlign w:val="center"/>
          </w:tcPr>
          <w:p w14:paraId="0CFA86F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600" w:type="dxa"/>
            <w:noWrap w:val="0"/>
            <w:vAlign w:val="center"/>
          </w:tcPr>
          <w:p w14:paraId="24A0292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1BEDA04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35" w:type="dxa"/>
            <w:noWrap w:val="0"/>
            <w:vAlign w:val="center"/>
          </w:tcPr>
          <w:p w14:paraId="1EAD8C89">
            <w:pPr>
              <w:jc w:val="center"/>
              <w:rPr>
                <w:rFonts w:hint="eastAsia" w:ascii="宋体" w:hAnsi="宋体" w:eastAsia="宋体" w:cs="宋体"/>
                <w:color w:val="auto"/>
                <w:sz w:val="21"/>
                <w:szCs w:val="21"/>
                <w:highlight w:val="none"/>
              </w:rPr>
            </w:pPr>
          </w:p>
        </w:tc>
      </w:tr>
      <w:tr w14:paraId="11D37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78AF940F">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618A3FB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短跳绳</w:t>
            </w:r>
          </w:p>
        </w:tc>
        <w:tc>
          <w:tcPr>
            <w:tcW w:w="5472" w:type="dxa"/>
            <w:noWrap w:val="0"/>
            <w:vAlign w:val="center"/>
          </w:tcPr>
          <w:p w14:paraId="4A25CE8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绳的规格：长度2600mm—2800mm，直径6mm—7mm；握手柄的规格：长度150-170mm，直径28-33mm；绳材质为棉绳材质制成，无毒、环保，柄材质为塑料加海绵防滑套；绳柔软，韧性好；旋转流畅、方便调节绳的长度，有锁紧绳装置；色彩鲜艳，符合学生心理特点。产品应符合GB/T19851.20-2007《跳绳》有关规定。</w:t>
            </w:r>
          </w:p>
        </w:tc>
        <w:tc>
          <w:tcPr>
            <w:tcW w:w="603" w:type="dxa"/>
            <w:noWrap w:val="0"/>
            <w:vAlign w:val="center"/>
          </w:tcPr>
          <w:p w14:paraId="1F9D7A0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600" w:type="dxa"/>
            <w:noWrap w:val="0"/>
            <w:vAlign w:val="center"/>
          </w:tcPr>
          <w:p w14:paraId="34299EC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5021C33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635" w:type="dxa"/>
            <w:noWrap w:val="0"/>
            <w:vAlign w:val="center"/>
          </w:tcPr>
          <w:p w14:paraId="3A58904A">
            <w:pPr>
              <w:jc w:val="center"/>
              <w:rPr>
                <w:rFonts w:hint="eastAsia" w:ascii="宋体" w:hAnsi="宋体" w:eastAsia="宋体" w:cs="宋体"/>
                <w:color w:val="auto"/>
                <w:sz w:val="21"/>
                <w:szCs w:val="21"/>
                <w:highlight w:val="none"/>
              </w:rPr>
            </w:pPr>
          </w:p>
        </w:tc>
      </w:tr>
      <w:tr w14:paraId="3395B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0C4C2AD7">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26AC1F3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长跳绳</w:t>
            </w:r>
          </w:p>
        </w:tc>
        <w:tc>
          <w:tcPr>
            <w:tcW w:w="5472" w:type="dxa"/>
            <w:noWrap w:val="0"/>
            <w:vAlign w:val="center"/>
          </w:tcPr>
          <w:p w14:paraId="54806FB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手柄用杂木制成，尺寸约为Φ26mm×130mm。表面光滑，无裂纹，无毛刺,手感舒适且与绳结合牢固；绳料用涤纶材质制成，绳粗约为Φ7mm，绳长500cm；手柄与绳的结合能承受20kg的力而不脱落；4、手柄与绳连接处灵活转动，无缠绞现象。产品应符合GB/T19851、20-2007《跳绳》有关规定。</w:t>
            </w:r>
          </w:p>
        </w:tc>
        <w:tc>
          <w:tcPr>
            <w:tcW w:w="603" w:type="dxa"/>
            <w:noWrap w:val="0"/>
            <w:vAlign w:val="center"/>
          </w:tcPr>
          <w:p w14:paraId="2B2C0EC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00" w:type="dxa"/>
            <w:noWrap w:val="0"/>
            <w:vAlign w:val="center"/>
          </w:tcPr>
          <w:p w14:paraId="584A271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62E4E92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35" w:type="dxa"/>
            <w:noWrap w:val="0"/>
            <w:vAlign w:val="center"/>
          </w:tcPr>
          <w:p w14:paraId="381AFCFD">
            <w:pPr>
              <w:jc w:val="center"/>
              <w:rPr>
                <w:rFonts w:hint="eastAsia" w:ascii="宋体" w:hAnsi="宋体" w:eastAsia="宋体" w:cs="宋体"/>
                <w:color w:val="auto"/>
                <w:sz w:val="21"/>
                <w:szCs w:val="21"/>
                <w:highlight w:val="none"/>
              </w:rPr>
            </w:pPr>
          </w:p>
        </w:tc>
      </w:tr>
      <w:tr w14:paraId="2AB71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6CD41474">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2A7EC94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拔河绳</w:t>
            </w:r>
          </w:p>
        </w:tc>
        <w:tc>
          <w:tcPr>
            <w:tcW w:w="5472" w:type="dxa"/>
            <w:noWrap w:val="0"/>
            <w:vAlign w:val="center"/>
          </w:tcPr>
          <w:p w14:paraId="27A3821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拔河绳应用麻绳多股绞合而成；绳长25m，直径Φ≥40mm；绳的抗拉力≥490KN3、绳的两端结孔，中间套以红色标记，绳的质地无霉变、腐朽、虫咬等缺陷。</w:t>
            </w:r>
          </w:p>
        </w:tc>
        <w:tc>
          <w:tcPr>
            <w:tcW w:w="603" w:type="dxa"/>
            <w:noWrap w:val="0"/>
            <w:vAlign w:val="center"/>
          </w:tcPr>
          <w:p w14:paraId="6C2EE4E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5A0F184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115CEEC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519</w:t>
            </w:r>
          </w:p>
        </w:tc>
        <w:tc>
          <w:tcPr>
            <w:tcW w:w="635" w:type="dxa"/>
            <w:noWrap w:val="0"/>
            <w:vAlign w:val="center"/>
          </w:tcPr>
          <w:p w14:paraId="0D02E67E">
            <w:pPr>
              <w:jc w:val="center"/>
              <w:rPr>
                <w:rFonts w:hint="eastAsia" w:ascii="宋体" w:hAnsi="宋体" w:eastAsia="宋体" w:cs="宋体"/>
                <w:color w:val="auto"/>
                <w:sz w:val="21"/>
                <w:szCs w:val="21"/>
                <w:highlight w:val="none"/>
              </w:rPr>
            </w:pPr>
          </w:p>
        </w:tc>
      </w:tr>
      <w:tr w14:paraId="03E6F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3C4F2EC0">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5C8F803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篮球</w:t>
            </w:r>
          </w:p>
        </w:tc>
        <w:tc>
          <w:tcPr>
            <w:tcW w:w="5472" w:type="dxa"/>
            <w:noWrap w:val="0"/>
            <w:vAlign w:val="center"/>
          </w:tcPr>
          <w:p w14:paraId="4C11FE1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天然革，5号，圆周长695mm～720mm，质量490g～520g，圆周差≤3.0mm；产品应符合GB/T19851.4-2005《篮球》的优等品有关标准。</w:t>
            </w:r>
          </w:p>
        </w:tc>
        <w:tc>
          <w:tcPr>
            <w:tcW w:w="603" w:type="dxa"/>
            <w:noWrap w:val="0"/>
            <w:vAlign w:val="center"/>
          </w:tcPr>
          <w:p w14:paraId="5F0AEA2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3F36E46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266F435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635" w:type="dxa"/>
            <w:noWrap w:val="0"/>
            <w:vAlign w:val="center"/>
          </w:tcPr>
          <w:p w14:paraId="6807D7BA">
            <w:pPr>
              <w:jc w:val="center"/>
              <w:rPr>
                <w:rFonts w:hint="eastAsia" w:ascii="宋体" w:hAnsi="宋体" w:eastAsia="宋体" w:cs="宋体"/>
                <w:color w:val="auto"/>
                <w:sz w:val="21"/>
                <w:szCs w:val="21"/>
                <w:highlight w:val="none"/>
              </w:rPr>
            </w:pPr>
          </w:p>
        </w:tc>
      </w:tr>
      <w:tr w14:paraId="0D80F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5C0D04D4">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057BD3D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足球</w:t>
            </w:r>
          </w:p>
        </w:tc>
        <w:tc>
          <w:tcPr>
            <w:tcW w:w="5472" w:type="dxa"/>
            <w:noWrap w:val="0"/>
            <w:vAlign w:val="center"/>
          </w:tcPr>
          <w:p w14:paraId="7C2EF58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5号，圆周长615mm～650mm，质量315g～405g，圆周差≤5mm；产品应符合GB/T22892-2008《足球》的日常活动用足球有关标准。</w:t>
            </w:r>
          </w:p>
        </w:tc>
        <w:tc>
          <w:tcPr>
            <w:tcW w:w="603" w:type="dxa"/>
            <w:noWrap w:val="0"/>
            <w:vAlign w:val="center"/>
          </w:tcPr>
          <w:p w14:paraId="363926C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575D1A5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070B011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635" w:type="dxa"/>
            <w:noWrap w:val="0"/>
            <w:vAlign w:val="center"/>
          </w:tcPr>
          <w:p w14:paraId="71316E10">
            <w:pPr>
              <w:jc w:val="center"/>
              <w:rPr>
                <w:rFonts w:hint="eastAsia" w:ascii="宋体" w:hAnsi="宋体" w:eastAsia="宋体" w:cs="宋体"/>
                <w:color w:val="auto"/>
                <w:sz w:val="21"/>
                <w:szCs w:val="21"/>
                <w:highlight w:val="none"/>
              </w:rPr>
            </w:pPr>
          </w:p>
        </w:tc>
      </w:tr>
      <w:tr w14:paraId="21270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60C7A427">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1ACDE62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气排球</w:t>
            </w:r>
          </w:p>
        </w:tc>
        <w:tc>
          <w:tcPr>
            <w:tcW w:w="5472" w:type="dxa"/>
            <w:noWrap w:val="0"/>
            <w:vAlign w:val="center"/>
          </w:tcPr>
          <w:p w14:paraId="3267823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圆周长650mm～670mm、质量235g～300g。圆周差均需≤5.0mm；2.图案商标字迹清晰、图案端正；污渍、颜色不均1m视距不明显。</w:t>
            </w:r>
          </w:p>
        </w:tc>
        <w:tc>
          <w:tcPr>
            <w:tcW w:w="603" w:type="dxa"/>
            <w:noWrap w:val="0"/>
            <w:vAlign w:val="center"/>
          </w:tcPr>
          <w:p w14:paraId="1D41F2F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4B392BC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75E0990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635" w:type="dxa"/>
            <w:noWrap w:val="0"/>
            <w:vAlign w:val="center"/>
          </w:tcPr>
          <w:p w14:paraId="4ADDDCD3">
            <w:pPr>
              <w:jc w:val="center"/>
              <w:rPr>
                <w:rFonts w:hint="eastAsia" w:ascii="宋体" w:hAnsi="宋体" w:eastAsia="宋体" w:cs="宋体"/>
                <w:color w:val="auto"/>
                <w:sz w:val="21"/>
                <w:szCs w:val="21"/>
                <w:highlight w:val="none"/>
              </w:rPr>
            </w:pPr>
          </w:p>
        </w:tc>
      </w:tr>
      <w:tr w14:paraId="3609F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078576C4">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708C8D4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乒乓球拍</w:t>
            </w:r>
          </w:p>
        </w:tc>
        <w:tc>
          <w:tcPr>
            <w:tcW w:w="5472" w:type="dxa"/>
            <w:noWrap w:val="0"/>
            <w:vAlign w:val="center"/>
          </w:tcPr>
          <w:p w14:paraId="3659C7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双胶面直握拍，产品应符合GB/T23115-2008《乒乓球拍》一等品的有关规定。</w:t>
            </w:r>
          </w:p>
        </w:tc>
        <w:tc>
          <w:tcPr>
            <w:tcW w:w="603" w:type="dxa"/>
            <w:noWrap w:val="0"/>
            <w:vAlign w:val="center"/>
          </w:tcPr>
          <w:p w14:paraId="5FDA215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448A846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056E1FF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635" w:type="dxa"/>
            <w:noWrap w:val="0"/>
            <w:vAlign w:val="center"/>
          </w:tcPr>
          <w:p w14:paraId="490D4D21">
            <w:pPr>
              <w:jc w:val="center"/>
              <w:rPr>
                <w:rFonts w:hint="eastAsia" w:ascii="宋体" w:hAnsi="宋体" w:eastAsia="宋体" w:cs="宋体"/>
                <w:color w:val="auto"/>
                <w:sz w:val="21"/>
                <w:szCs w:val="21"/>
                <w:highlight w:val="none"/>
              </w:rPr>
            </w:pPr>
          </w:p>
        </w:tc>
      </w:tr>
      <w:tr w14:paraId="787EF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CCD5040">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00C8DD2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乒乓球</w:t>
            </w:r>
          </w:p>
        </w:tc>
        <w:tc>
          <w:tcPr>
            <w:tcW w:w="5472" w:type="dxa"/>
            <w:noWrap w:val="0"/>
            <w:vAlign w:val="center"/>
          </w:tcPr>
          <w:p w14:paraId="6AF5E15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直径43.4mm～44.4mm；圆度0.40mm；重量2.20g～2.60g；弹跳220mm～250mm；牢度：受冲击≧700次无破裂；外观接缝整齐，表面不反光。产品应符合QB/T19851.8-2005《乒乓球》的有关规定。</w:t>
            </w:r>
          </w:p>
        </w:tc>
        <w:tc>
          <w:tcPr>
            <w:tcW w:w="603" w:type="dxa"/>
            <w:noWrap w:val="0"/>
            <w:vAlign w:val="center"/>
          </w:tcPr>
          <w:p w14:paraId="5CC5C4A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7CA8E92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6FF96EA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35" w:type="dxa"/>
            <w:noWrap w:val="0"/>
            <w:vAlign w:val="center"/>
          </w:tcPr>
          <w:p w14:paraId="0CABFCDB">
            <w:pPr>
              <w:jc w:val="center"/>
              <w:rPr>
                <w:rFonts w:hint="eastAsia" w:ascii="宋体" w:hAnsi="宋体" w:eastAsia="宋体" w:cs="宋体"/>
                <w:color w:val="auto"/>
                <w:sz w:val="21"/>
                <w:szCs w:val="21"/>
                <w:highlight w:val="none"/>
              </w:rPr>
            </w:pPr>
          </w:p>
        </w:tc>
      </w:tr>
      <w:tr w14:paraId="23869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FB12AFB">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49697E4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羽毛球</w:t>
            </w:r>
          </w:p>
        </w:tc>
        <w:tc>
          <w:tcPr>
            <w:tcW w:w="5472" w:type="dxa"/>
            <w:noWrap w:val="0"/>
            <w:vAlign w:val="center"/>
          </w:tcPr>
          <w:p w14:paraId="0D8DBFD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球口外径65mm～68mm；球头直径25mm～27mm；球头高度24mm～26mm；毛片插长63mm～64mm；质量4.50g～5.80g；毛片数量16片。</w:t>
            </w:r>
          </w:p>
        </w:tc>
        <w:tc>
          <w:tcPr>
            <w:tcW w:w="603" w:type="dxa"/>
            <w:noWrap w:val="0"/>
            <w:vAlign w:val="center"/>
          </w:tcPr>
          <w:p w14:paraId="17357E7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2E6184D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269D45E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35" w:type="dxa"/>
            <w:noWrap w:val="0"/>
            <w:vAlign w:val="center"/>
          </w:tcPr>
          <w:p w14:paraId="206B15F3">
            <w:pPr>
              <w:jc w:val="center"/>
              <w:rPr>
                <w:rFonts w:hint="eastAsia" w:ascii="宋体" w:hAnsi="宋体" w:eastAsia="宋体" w:cs="宋体"/>
                <w:color w:val="auto"/>
                <w:sz w:val="21"/>
                <w:szCs w:val="21"/>
                <w:highlight w:val="none"/>
              </w:rPr>
            </w:pPr>
          </w:p>
        </w:tc>
      </w:tr>
      <w:tr w14:paraId="505A6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60CA207">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5E64FD0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羽毛球拍</w:t>
            </w:r>
          </w:p>
        </w:tc>
        <w:tc>
          <w:tcPr>
            <w:tcW w:w="5472" w:type="dxa"/>
            <w:noWrap w:val="0"/>
            <w:vAlign w:val="center"/>
          </w:tcPr>
          <w:p w14:paraId="067626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一副，框柄一体羽毛球拍，性能要求≧：拍体长度650mm，球拍宽度230mm，球拍弦面长度280mm，拍弦直径0.9mm；网线张力：20ibs，握柄直径约25mm，整体重量约100g；产品应符合QB/T2770-2006《羽毛球拍》的有关规定。</w:t>
            </w:r>
          </w:p>
        </w:tc>
        <w:tc>
          <w:tcPr>
            <w:tcW w:w="603" w:type="dxa"/>
            <w:noWrap w:val="0"/>
            <w:vAlign w:val="center"/>
          </w:tcPr>
          <w:p w14:paraId="57F8F81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37F2F32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7094262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635" w:type="dxa"/>
            <w:noWrap w:val="0"/>
            <w:vAlign w:val="center"/>
          </w:tcPr>
          <w:p w14:paraId="7CEE3AB0">
            <w:pPr>
              <w:jc w:val="center"/>
              <w:rPr>
                <w:rFonts w:hint="eastAsia" w:ascii="宋体" w:hAnsi="宋体" w:eastAsia="宋体" w:cs="宋体"/>
                <w:color w:val="auto"/>
                <w:sz w:val="21"/>
                <w:szCs w:val="21"/>
                <w:highlight w:val="none"/>
              </w:rPr>
            </w:pPr>
          </w:p>
        </w:tc>
      </w:tr>
      <w:tr w14:paraId="1EFE4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3DC4211">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2CDC857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移动音响</w:t>
            </w:r>
          </w:p>
        </w:tc>
        <w:tc>
          <w:tcPr>
            <w:tcW w:w="5472" w:type="dxa"/>
            <w:noWrap w:val="0"/>
            <w:vAlign w:val="center"/>
          </w:tcPr>
          <w:p w14:paraId="57B9F599">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功率500W,交直流充电两用，续航9小时，喇叭：12英寸，功能：蓝牙接收、USB，搭配2支无线话筒</w:t>
            </w:r>
          </w:p>
        </w:tc>
        <w:tc>
          <w:tcPr>
            <w:tcW w:w="603" w:type="dxa"/>
            <w:noWrap w:val="0"/>
            <w:vAlign w:val="center"/>
          </w:tcPr>
          <w:p w14:paraId="04764E0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41BB5D8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53D1D23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2168</w:t>
            </w:r>
          </w:p>
        </w:tc>
        <w:tc>
          <w:tcPr>
            <w:tcW w:w="635" w:type="dxa"/>
            <w:noWrap w:val="0"/>
            <w:vAlign w:val="center"/>
          </w:tcPr>
          <w:p w14:paraId="498DFF7C">
            <w:pPr>
              <w:jc w:val="center"/>
              <w:rPr>
                <w:rFonts w:hint="eastAsia" w:ascii="宋体" w:hAnsi="宋体" w:eastAsia="宋体" w:cs="宋体"/>
                <w:color w:val="auto"/>
                <w:sz w:val="21"/>
                <w:szCs w:val="21"/>
                <w:highlight w:val="none"/>
              </w:rPr>
            </w:pPr>
          </w:p>
        </w:tc>
      </w:tr>
      <w:tr w14:paraId="1F54A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3B00B0">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4B48E3F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小学健康知识挂图</w:t>
            </w:r>
          </w:p>
        </w:tc>
        <w:tc>
          <w:tcPr>
            <w:tcW w:w="5472" w:type="dxa"/>
            <w:noWrap w:val="0"/>
            <w:vAlign w:val="center"/>
          </w:tcPr>
          <w:p w14:paraId="71DA40BE">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幅，对开、128g铜版纸；纸张规格：纸张≧105克铜版纸，覆膜；印刷：四色彩色胶印；图形：教学挂图应图像清晰，色泽自然鲜明，位置准确；附彩图说明书；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印刷标准：符合GB7705-87《平版装潢印刷品标准》。</w:t>
            </w:r>
          </w:p>
        </w:tc>
        <w:tc>
          <w:tcPr>
            <w:tcW w:w="603" w:type="dxa"/>
            <w:noWrap w:val="0"/>
            <w:vAlign w:val="center"/>
          </w:tcPr>
          <w:p w14:paraId="1C860E3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56AF91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71F5062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635" w:type="dxa"/>
            <w:noWrap w:val="0"/>
            <w:vAlign w:val="center"/>
          </w:tcPr>
          <w:p w14:paraId="2222D4CA">
            <w:pPr>
              <w:jc w:val="center"/>
              <w:rPr>
                <w:rFonts w:hint="eastAsia" w:ascii="宋体" w:hAnsi="宋体" w:eastAsia="宋体" w:cs="宋体"/>
                <w:color w:val="auto"/>
                <w:sz w:val="21"/>
                <w:szCs w:val="21"/>
                <w:highlight w:val="none"/>
              </w:rPr>
            </w:pPr>
          </w:p>
        </w:tc>
      </w:tr>
      <w:tr w14:paraId="3D914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6C53BB0">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15C7DEB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小学体育教学挂图</w:t>
            </w:r>
          </w:p>
        </w:tc>
        <w:tc>
          <w:tcPr>
            <w:tcW w:w="5472" w:type="dxa"/>
            <w:noWrap w:val="0"/>
            <w:vAlign w:val="center"/>
          </w:tcPr>
          <w:p w14:paraId="1384DF32">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30幅，对开、128g铜版纸；纸张规格：纸张≧105克铜版纸，覆膜；印刷：四色彩色胶印；图形：教学挂图应图像清晰，色泽自然鲜明，位置准确；附彩图说明书；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印刷标准：符合GB7705-87《平版装潢印刷品标准》。</w:t>
            </w:r>
          </w:p>
        </w:tc>
        <w:tc>
          <w:tcPr>
            <w:tcW w:w="603" w:type="dxa"/>
            <w:noWrap w:val="0"/>
            <w:vAlign w:val="center"/>
          </w:tcPr>
          <w:p w14:paraId="2D3C631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59EE17D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10EFA70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635" w:type="dxa"/>
            <w:noWrap w:val="0"/>
            <w:vAlign w:val="center"/>
          </w:tcPr>
          <w:p w14:paraId="141F4BE6">
            <w:pPr>
              <w:jc w:val="center"/>
              <w:rPr>
                <w:rFonts w:hint="eastAsia" w:ascii="宋体" w:hAnsi="宋体" w:eastAsia="宋体" w:cs="宋体"/>
                <w:color w:val="auto"/>
                <w:sz w:val="21"/>
                <w:szCs w:val="21"/>
                <w:highlight w:val="none"/>
              </w:rPr>
            </w:pPr>
          </w:p>
        </w:tc>
      </w:tr>
      <w:tr w14:paraId="0A30D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4127505">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58F07B2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球车</w:t>
            </w:r>
          </w:p>
        </w:tc>
        <w:tc>
          <w:tcPr>
            <w:tcW w:w="5472" w:type="dxa"/>
            <w:noWrap w:val="0"/>
            <w:vAlign w:val="center"/>
          </w:tcPr>
          <w:p w14:paraId="03C183EE">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可四轮移动，可折叠；用于装篮球、排球、足球等球类物品，球车四角为圆角。</w:t>
            </w:r>
          </w:p>
        </w:tc>
        <w:tc>
          <w:tcPr>
            <w:tcW w:w="603" w:type="dxa"/>
            <w:noWrap w:val="0"/>
            <w:vAlign w:val="center"/>
          </w:tcPr>
          <w:p w14:paraId="375C1A2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36B76C6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4498D55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555</w:t>
            </w:r>
          </w:p>
        </w:tc>
        <w:tc>
          <w:tcPr>
            <w:tcW w:w="635" w:type="dxa"/>
            <w:noWrap w:val="0"/>
            <w:vAlign w:val="center"/>
          </w:tcPr>
          <w:p w14:paraId="17215371">
            <w:pPr>
              <w:jc w:val="center"/>
              <w:rPr>
                <w:rFonts w:hint="eastAsia" w:ascii="宋体" w:hAnsi="宋体" w:eastAsia="宋体" w:cs="宋体"/>
                <w:color w:val="auto"/>
                <w:sz w:val="21"/>
                <w:szCs w:val="21"/>
                <w:highlight w:val="none"/>
              </w:rPr>
            </w:pPr>
          </w:p>
        </w:tc>
      </w:tr>
      <w:tr w14:paraId="30723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DE5195D">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05CCE00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肺活量测试仪</w:t>
            </w:r>
          </w:p>
        </w:tc>
        <w:tc>
          <w:tcPr>
            <w:tcW w:w="5472" w:type="dxa"/>
            <w:noWrap w:val="0"/>
            <w:vAlign w:val="center"/>
          </w:tcPr>
          <w:p w14:paraId="35EE193B">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测定人体呼吸的最大通气能力，测试数值反映肺的容积和肺的扩展能力。2.使用进口高精密传感器，精度高，吹管优化设计与处理，不易产生积水，防补气（防作弊）功能，补气时自动锁定数据。3.测试仪采用一体化设计，128×64液晶显示，具有锁定功能，读数方便。一键式操作，使用简便，同时具有清零功能。采用单节7号电池供电，低功耗设计，3分钟未使用自动关机，带低电量提示功能。4.主要技术参数：量程：50～9999ml 分度值：1ml 误差：±0.5%FS工作环境：0℃ ～ 40℃湿度＜90% 存储环境：-10℃ ～ 50℃湿度＜75%</w:t>
            </w:r>
          </w:p>
        </w:tc>
        <w:tc>
          <w:tcPr>
            <w:tcW w:w="603" w:type="dxa"/>
            <w:noWrap w:val="0"/>
            <w:vAlign w:val="center"/>
          </w:tcPr>
          <w:p w14:paraId="2192F3D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224A03C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071A227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815</w:t>
            </w:r>
          </w:p>
        </w:tc>
        <w:tc>
          <w:tcPr>
            <w:tcW w:w="635" w:type="dxa"/>
            <w:noWrap w:val="0"/>
            <w:vAlign w:val="center"/>
          </w:tcPr>
          <w:p w14:paraId="22AA45D9">
            <w:pPr>
              <w:jc w:val="center"/>
              <w:rPr>
                <w:rFonts w:hint="eastAsia" w:ascii="宋体" w:hAnsi="宋体" w:eastAsia="宋体" w:cs="宋体"/>
                <w:color w:val="auto"/>
                <w:sz w:val="21"/>
                <w:szCs w:val="21"/>
                <w:highlight w:val="none"/>
              </w:rPr>
            </w:pPr>
          </w:p>
        </w:tc>
      </w:tr>
      <w:tr w14:paraId="20C76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5F4F58A">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7D88072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肋木</w:t>
            </w:r>
          </w:p>
        </w:tc>
        <w:tc>
          <w:tcPr>
            <w:tcW w:w="5472" w:type="dxa"/>
            <w:noWrap w:val="0"/>
            <w:vAlign w:val="center"/>
          </w:tcPr>
          <w:p w14:paraId="091B5057">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必须符合GB/T19851.1—2005的要求；室外地埋固定式，两间为一副，地上1800（宽）㎜x2200（高）㎜；肋木架器材上相邻的上下横肋间的中心距250mm；横管为Φ28～32mm优质圆管；立柱直径≥76×3.0mm，国标钢管；立柱地埋深度≧550mm，并设预埋件；9、器械立柱与横杆焊接点光滑平整，无砂眼,牢固可靠，表面均作防锈处理，表面色泽一致、喷塑，无漏漆、挂漆、皱漆。</w:t>
            </w:r>
          </w:p>
        </w:tc>
        <w:tc>
          <w:tcPr>
            <w:tcW w:w="603" w:type="dxa"/>
            <w:noWrap w:val="0"/>
            <w:vAlign w:val="center"/>
          </w:tcPr>
          <w:p w14:paraId="434F793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BBB05A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间</w:t>
            </w:r>
          </w:p>
        </w:tc>
        <w:tc>
          <w:tcPr>
            <w:tcW w:w="1110" w:type="dxa"/>
            <w:noWrap w:val="0"/>
            <w:vAlign w:val="center"/>
          </w:tcPr>
          <w:p w14:paraId="42C240A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1799</w:t>
            </w:r>
          </w:p>
        </w:tc>
        <w:tc>
          <w:tcPr>
            <w:tcW w:w="635" w:type="dxa"/>
            <w:noWrap w:val="0"/>
            <w:vAlign w:val="center"/>
          </w:tcPr>
          <w:p w14:paraId="4422A228">
            <w:pPr>
              <w:jc w:val="center"/>
              <w:rPr>
                <w:rFonts w:hint="eastAsia" w:ascii="宋体" w:hAnsi="宋体" w:eastAsia="宋体" w:cs="宋体"/>
                <w:color w:val="auto"/>
                <w:sz w:val="21"/>
                <w:szCs w:val="21"/>
                <w:highlight w:val="none"/>
              </w:rPr>
            </w:pPr>
          </w:p>
        </w:tc>
      </w:tr>
      <w:tr w14:paraId="27888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B52DF3">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1981158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平梯</w:t>
            </w:r>
          </w:p>
        </w:tc>
        <w:tc>
          <w:tcPr>
            <w:tcW w:w="5472" w:type="dxa"/>
            <w:noWrap w:val="0"/>
            <w:vAlign w:val="center"/>
          </w:tcPr>
          <w:p w14:paraId="00D83A09">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平梯埋入地下后基本尺寸：长x高x宽=3000/3500×2100×600（mm）；埋入地下部分长600mm；云梯由上部横梯和下部支架组成，主要材料采用Φ76x3.0、Φ32x3（mm）圆管拼焊而成，焊接部位焊缝均匀，无虚焊；表面静电喷塑；必须符合GB/T19851、1—2005的要求。</w:t>
            </w:r>
          </w:p>
        </w:tc>
        <w:tc>
          <w:tcPr>
            <w:tcW w:w="603" w:type="dxa"/>
            <w:noWrap w:val="0"/>
            <w:vAlign w:val="center"/>
          </w:tcPr>
          <w:p w14:paraId="7371BC2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FB1893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架</w:t>
            </w:r>
          </w:p>
        </w:tc>
        <w:tc>
          <w:tcPr>
            <w:tcW w:w="1110" w:type="dxa"/>
            <w:noWrap w:val="0"/>
            <w:vAlign w:val="center"/>
          </w:tcPr>
          <w:p w14:paraId="5E43793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2593</w:t>
            </w:r>
          </w:p>
        </w:tc>
        <w:tc>
          <w:tcPr>
            <w:tcW w:w="635" w:type="dxa"/>
            <w:noWrap w:val="0"/>
            <w:vAlign w:val="center"/>
          </w:tcPr>
          <w:p w14:paraId="7BDF3704">
            <w:pPr>
              <w:jc w:val="center"/>
              <w:rPr>
                <w:rFonts w:hint="eastAsia" w:ascii="宋体" w:hAnsi="宋体" w:eastAsia="宋体" w:cs="宋体"/>
                <w:color w:val="auto"/>
                <w:sz w:val="21"/>
                <w:szCs w:val="21"/>
                <w:highlight w:val="none"/>
              </w:rPr>
            </w:pPr>
          </w:p>
        </w:tc>
      </w:tr>
      <w:tr w14:paraId="5B4C5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07B234">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1DDEFDD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爬绳、爬杆</w:t>
            </w:r>
          </w:p>
        </w:tc>
        <w:tc>
          <w:tcPr>
            <w:tcW w:w="5472" w:type="dxa"/>
            <w:noWrap w:val="0"/>
            <w:vAlign w:val="center"/>
          </w:tcPr>
          <w:p w14:paraId="4AA031E4">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规格：1个框架配2根绳2根杆，框架宽3m,地上高度2.5m, 绳和杆长2.2米；主管、横杆采用直径76mm×3mm优质圆钢管；爬绳、爬杆与主管采用保险卡环的连接方式；绳杆的握持直径为28㎜，绳杆的有效使用宽度600㎜；4、安装应采用直埋方式，立柱地埋深度600mm。桩基尺寸：500mm*500mm*600mm。符合GB/T19851.1—2011的要求。</w:t>
            </w:r>
          </w:p>
        </w:tc>
        <w:tc>
          <w:tcPr>
            <w:tcW w:w="603" w:type="dxa"/>
            <w:noWrap w:val="0"/>
            <w:vAlign w:val="center"/>
          </w:tcPr>
          <w:p w14:paraId="05DFC89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7F3E936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49E12B1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1657</w:t>
            </w:r>
          </w:p>
        </w:tc>
        <w:tc>
          <w:tcPr>
            <w:tcW w:w="635" w:type="dxa"/>
            <w:noWrap w:val="0"/>
            <w:vAlign w:val="center"/>
          </w:tcPr>
          <w:p w14:paraId="2E183341">
            <w:pPr>
              <w:jc w:val="center"/>
              <w:rPr>
                <w:rFonts w:hint="eastAsia" w:ascii="宋体" w:hAnsi="宋体" w:eastAsia="宋体" w:cs="宋体"/>
                <w:color w:val="auto"/>
                <w:sz w:val="21"/>
                <w:szCs w:val="21"/>
                <w:highlight w:val="none"/>
              </w:rPr>
            </w:pPr>
          </w:p>
        </w:tc>
      </w:tr>
      <w:tr w14:paraId="52541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22929DE">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5012204B">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篮球架</w:t>
            </w:r>
          </w:p>
        </w:tc>
        <w:tc>
          <w:tcPr>
            <w:tcW w:w="5472" w:type="dxa"/>
            <w:noWrap w:val="0"/>
            <w:vAlign w:val="center"/>
          </w:tcPr>
          <w:p w14:paraId="30186061">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篮球架伸臂长1200mm，篮圈上沿离地面2350mm，球架立柱采用直径Φ140mm×3mm优质钢管制作；篮架立柱底板、伸臂头部组件和伸臂底板均采用优质精密铸钢件制作，性能安全可靠；篮板规格：1400mm×900mm×13mm，篮板采用SMC材料，整体高温模压一次成型。背面采用V字型与井字型相结合的结构来增强板面的强度和耐撞击性，板面具有稳定性好，耐气候性强、耐老化程度高，防腐蚀、防晒、防雨、阻燃、不易变形、不开裂、不损坏等特点；产品的结构原理：产品采用专用铁制预埋件，在球架安装之前，预先埋好预埋件，待过了保养期后进行整体安装； 4、表面：静电喷塑，产品符合GB/T19851《篮球架》的有关规定。</w:t>
            </w:r>
          </w:p>
        </w:tc>
        <w:tc>
          <w:tcPr>
            <w:tcW w:w="603" w:type="dxa"/>
            <w:noWrap w:val="0"/>
            <w:vAlign w:val="center"/>
          </w:tcPr>
          <w:p w14:paraId="2057EF3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154ECCA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08EA171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6539</w:t>
            </w:r>
          </w:p>
        </w:tc>
        <w:tc>
          <w:tcPr>
            <w:tcW w:w="635" w:type="dxa"/>
            <w:noWrap w:val="0"/>
            <w:vAlign w:val="center"/>
          </w:tcPr>
          <w:p w14:paraId="49C0F416">
            <w:pPr>
              <w:jc w:val="center"/>
              <w:rPr>
                <w:rFonts w:hint="eastAsia" w:ascii="宋体" w:hAnsi="宋体" w:eastAsia="宋体" w:cs="宋体"/>
                <w:color w:val="auto"/>
                <w:sz w:val="21"/>
                <w:szCs w:val="21"/>
                <w:highlight w:val="none"/>
              </w:rPr>
            </w:pPr>
          </w:p>
        </w:tc>
      </w:tr>
      <w:tr w14:paraId="13CE9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9805294">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26C787A3">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足球门</w:t>
            </w:r>
          </w:p>
        </w:tc>
        <w:tc>
          <w:tcPr>
            <w:tcW w:w="5472" w:type="dxa"/>
            <w:noWrap w:val="0"/>
            <w:vAlign w:val="center"/>
          </w:tcPr>
          <w:p w14:paraId="4FD1D3C6">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小学用足球门：3号足球门，5人制足球比赛用的矩形足球门。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球门规格：长度*高度*宽</w:t>
            </w:r>
            <w:r>
              <w:rPr>
                <w:rFonts w:hint="eastAsia" w:ascii="宋体" w:hAnsi="宋体" w:eastAsia="宋体" w:cs="宋体"/>
                <w:i w:val="0"/>
                <w:iCs w:val="0"/>
                <w:color w:val="auto"/>
                <w:kern w:val="0"/>
                <w:sz w:val="21"/>
                <w:szCs w:val="21"/>
                <w:highlight w:val="none"/>
                <w:u w:val="none"/>
                <w:lang w:val="en-US" w:eastAsia="zh-CN" w:bidi="ar"/>
              </w:rPr>
              <w:t>度：约3000mm*2000mm*1200mm；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足球门由立杆、横梁、两侧撑杆、两侧横杆和后侧横杆组成；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球门立杆和横梁均采用直径76mm*3mm（小学）的优质钢管制成，上设网钩，置网方便，网球系线柱两侧撑杆采用直径48*2.5mm的钢管制成，横梁和立杆上没有可能危害到运动员安全的链接物件露在外面；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足球门应能承受的水平拉力为1000N，足球门横梁能承受2700N的静负荷，横梁不应出现断裂和明显的永久变形；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球门组装完成后，立杆与地面垂直，横梁与立杆的夹角为90度，连接件周边处理圆滑，无棱角，表面抛丸喷砂，静电喷涂。整体结构稳固，安全性好；配足球网1副；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产品其余符合GB/T19851、15-2007《中小学体育器材和场地—足球门》的标准。</w:t>
            </w:r>
          </w:p>
        </w:tc>
        <w:tc>
          <w:tcPr>
            <w:tcW w:w="603" w:type="dxa"/>
            <w:noWrap w:val="0"/>
            <w:vAlign w:val="center"/>
          </w:tcPr>
          <w:p w14:paraId="133C2CF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7A6A53C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2919954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3704</w:t>
            </w:r>
          </w:p>
        </w:tc>
        <w:tc>
          <w:tcPr>
            <w:tcW w:w="635" w:type="dxa"/>
            <w:noWrap w:val="0"/>
            <w:vAlign w:val="center"/>
          </w:tcPr>
          <w:p w14:paraId="3AC3D516">
            <w:pPr>
              <w:jc w:val="center"/>
              <w:rPr>
                <w:rFonts w:hint="eastAsia" w:ascii="宋体" w:hAnsi="宋体" w:eastAsia="宋体" w:cs="宋体"/>
                <w:color w:val="auto"/>
                <w:sz w:val="21"/>
                <w:szCs w:val="21"/>
                <w:highlight w:val="none"/>
              </w:rPr>
            </w:pPr>
          </w:p>
        </w:tc>
      </w:tr>
      <w:tr w14:paraId="0DCB1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5DB29A">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2CFE0CC8">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羽毛球网架</w:t>
            </w:r>
          </w:p>
        </w:tc>
        <w:tc>
          <w:tcPr>
            <w:tcW w:w="5472" w:type="dxa"/>
            <w:noWrap w:val="0"/>
            <w:vAlign w:val="center"/>
          </w:tcPr>
          <w:p w14:paraId="6A00BE94">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规格：≧6.1m×0.75m；材质：2#锦纶，网孔1.2～2cm；3cm白色包边。</w:t>
            </w:r>
          </w:p>
        </w:tc>
        <w:tc>
          <w:tcPr>
            <w:tcW w:w="603" w:type="dxa"/>
            <w:noWrap w:val="0"/>
            <w:vAlign w:val="center"/>
          </w:tcPr>
          <w:p w14:paraId="50CB51C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6F67749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115E914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536</w:t>
            </w:r>
          </w:p>
        </w:tc>
        <w:tc>
          <w:tcPr>
            <w:tcW w:w="635" w:type="dxa"/>
            <w:noWrap w:val="0"/>
            <w:vAlign w:val="center"/>
          </w:tcPr>
          <w:p w14:paraId="13E1F73B">
            <w:pPr>
              <w:jc w:val="center"/>
              <w:rPr>
                <w:rFonts w:hint="eastAsia" w:ascii="宋体" w:hAnsi="宋体" w:eastAsia="宋体" w:cs="宋体"/>
                <w:color w:val="auto"/>
                <w:sz w:val="21"/>
                <w:szCs w:val="21"/>
                <w:highlight w:val="none"/>
              </w:rPr>
            </w:pPr>
          </w:p>
        </w:tc>
      </w:tr>
      <w:tr w14:paraId="33C08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7851681">
            <w:pPr>
              <w:numPr>
                <w:ilvl w:val="0"/>
                <w:numId w:val="0"/>
              </w:numPr>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448</w:t>
            </w:r>
          </w:p>
        </w:tc>
        <w:tc>
          <w:tcPr>
            <w:tcW w:w="1245" w:type="dxa"/>
            <w:noWrap w:val="0"/>
            <w:vAlign w:val="center"/>
          </w:tcPr>
          <w:p w14:paraId="6011C04C">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充气泵</w:t>
            </w:r>
          </w:p>
        </w:tc>
        <w:tc>
          <w:tcPr>
            <w:tcW w:w="5472" w:type="dxa"/>
            <w:noWrap w:val="0"/>
            <w:vAlign w:val="center"/>
          </w:tcPr>
          <w:p w14:paraId="7F8FE4AE">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便携式车载充气泵12V汽车摩托车打气筒重型数显带灯 DT40228其它手动工具</w:t>
            </w:r>
          </w:p>
        </w:tc>
        <w:tc>
          <w:tcPr>
            <w:tcW w:w="603" w:type="dxa"/>
            <w:noWrap w:val="0"/>
            <w:vAlign w:val="center"/>
          </w:tcPr>
          <w:p w14:paraId="632B509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B0C3E8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15743B8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379</w:t>
            </w:r>
          </w:p>
        </w:tc>
        <w:tc>
          <w:tcPr>
            <w:tcW w:w="635" w:type="dxa"/>
            <w:noWrap w:val="0"/>
            <w:vAlign w:val="center"/>
          </w:tcPr>
          <w:p w14:paraId="121074EC">
            <w:pPr>
              <w:jc w:val="center"/>
              <w:rPr>
                <w:rFonts w:hint="eastAsia" w:ascii="宋体" w:hAnsi="宋体" w:eastAsia="宋体" w:cs="宋体"/>
                <w:color w:val="auto"/>
                <w:sz w:val="21"/>
                <w:szCs w:val="21"/>
                <w:highlight w:val="none"/>
              </w:rPr>
            </w:pPr>
          </w:p>
        </w:tc>
      </w:tr>
      <w:tr w14:paraId="15AD3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3390A6A7">
            <w:pPr>
              <w:jc w:val="center"/>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第十</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1F437856">
            <w:pPr>
              <w:jc w:val="center"/>
              <w:rPr>
                <w:rFonts w:hint="eastAsia" w:ascii="宋体" w:hAnsi="宋体" w:eastAsia="宋体" w:cs="宋体"/>
                <w:color w:val="auto"/>
                <w:sz w:val="21"/>
                <w:szCs w:val="21"/>
                <w:highlight w:val="none"/>
              </w:rPr>
            </w:pPr>
          </w:p>
        </w:tc>
        <w:tc>
          <w:tcPr>
            <w:tcW w:w="2313" w:type="dxa"/>
            <w:gridSpan w:val="3"/>
            <w:noWrap w:val="0"/>
            <w:vAlign w:val="center"/>
          </w:tcPr>
          <w:p w14:paraId="5D84A27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49112</w:t>
            </w:r>
          </w:p>
        </w:tc>
        <w:tc>
          <w:tcPr>
            <w:tcW w:w="635" w:type="dxa"/>
            <w:noWrap w:val="0"/>
            <w:vAlign w:val="center"/>
          </w:tcPr>
          <w:p w14:paraId="3265B601">
            <w:pPr>
              <w:jc w:val="center"/>
              <w:rPr>
                <w:rFonts w:hint="eastAsia" w:ascii="宋体" w:hAnsi="宋体" w:eastAsia="宋体" w:cs="宋体"/>
                <w:color w:val="auto"/>
                <w:sz w:val="21"/>
                <w:szCs w:val="21"/>
                <w:highlight w:val="none"/>
              </w:rPr>
            </w:pPr>
          </w:p>
        </w:tc>
      </w:tr>
      <w:tr w14:paraId="2A385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442009B6">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eastAsia="zh-CN" w:bidi="ar"/>
              </w:rPr>
              <w:t>十</w:t>
            </w:r>
            <w:r>
              <w:rPr>
                <w:rFonts w:hint="eastAsia" w:ascii="宋体" w:hAnsi="宋体" w:cs="宋体"/>
                <w:b/>
                <w:bCs/>
                <w:color w:val="auto"/>
                <w:kern w:val="0"/>
                <w:sz w:val="21"/>
                <w:szCs w:val="21"/>
                <w:highlight w:val="none"/>
                <w:lang w:eastAsia="zh-CN" w:bidi="ar"/>
              </w:rPr>
              <w:t>一</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音、美、舞蹈室设备</w:t>
            </w:r>
          </w:p>
        </w:tc>
      </w:tr>
      <w:tr w14:paraId="7A0F7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D83886D">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音乐教室设备分项清单</w:t>
            </w:r>
          </w:p>
        </w:tc>
      </w:tr>
      <w:tr w14:paraId="2FB73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C7971AB">
            <w:pPr>
              <w:numPr>
                <w:ilvl w:val="0"/>
                <w:numId w:val="0"/>
              </w:numPr>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449</w:t>
            </w:r>
          </w:p>
        </w:tc>
        <w:tc>
          <w:tcPr>
            <w:tcW w:w="1245" w:type="dxa"/>
            <w:noWrap w:val="0"/>
            <w:vAlign w:val="center"/>
          </w:tcPr>
          <w:p w14:paraId="4D8B0C8D">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合唱凳</w:t>
            </w:r>
          </w:p>
        </w:tc>
        <w:tc>
          <w:tcPr>
            <w:tcW w:w="5472" w:type="dxa"/>
            <w:noWrap w:val="0"/>
            <w:vAlign w:val="center"/>
          </w:tcPr>
          <w:p w14:paraId="1CF8DCE6">
            <w:pPr>
              <w:keepNext w:val="0"/>
              <w:keepLines w:val="0"/>
              <w:widowControl/>
              <w:suppressLineNumbers w:val="0"/>
              <w:spacing w:line="240" w:lineRule="auto"/>
              <w:ind w:firstLine="420" w:firstLineChars="200"/>
              <w:jc w:val="left"/>
              <w:textAlignment w:val="center"/>
              <w:rPr>
                <w:rFonts w:hint="default"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 xml:space="preserve">铝合金边框+钢架架构 </w:t>
            </w: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30*25*41</w:t>
            </w:r>
            <w:r>
              <w:rPr>
                <w:rFonts w:hint="eastAsia" w:ascii="宋体" w:hAnsi="宋体" w:cs="宋体"/>
                <w:i w:val="0"/>
                <w:iCs w:val="0"/>
                <w:color w:val="auto"/>
                <w:kern w:val="0"/>
                <w:sz w:val="21"/>
                <w:szCs w:val="21"/>
                <w:highlight w:val="none"/>
                <w:u w:val="none"/>
                <w:lang w:val="en-US" w:eastAsia="zh-CN" w:bidi="ar"/>
              </w:rPr>
              <w:t>cm</w:t>
            </w:r>
          </w:p>
        </w:tc>
        <w:tc>
          <w:tcPr>
            <w:tcW w:w="603" w:type="dxa"/>
            <w:noWrap w:val="0"/>
            <w:vAlign w:val="center"/>
          </w:tcPr>
          <w:p w14:paraId="0482A39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600" w:type="dxa"/>
            <w:noWrap w:val="0"/>
            <w:vAlign w:val="center"/>
          </w:tcPr>
          <w:p w14:paraId="6038F94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204C534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635" w:type="dxa"/>
            <w:noWrap w:val="0"/>
            <w:vAlign w:val="center"/>
          </w:tcPr>
          <w:p w14:paraId="1F9BA265">
            <w:pPr>
              <w:jc w:val="center"/>
              <w:rPr>
                <w:rFonts w:hint="eastAsia" w:ascii="宋体" w:hAnsi="宋体" w:eastAsia="宋体" w:cs="宋体"/>
                <w:color w:val="auto"/>
                <w:sz w:val="21"/>
                <w:szCs w:val="21"/>
                <w:highlight w:val="none"/>
              </w:rPr>
            </w:pPr>
          </w:p>
        </w:tc>
      </w:tr>
      <w:tr w14:paraId="318F3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58301D0">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45</w:t>
            </w:r>
            <w:r>
              <w:rPr>
                <w:rFonts w:hint="eastAsia" w:ascii="宋体" w:hAnsi="宋体" w:cs="宋体"/>
                <w:color w:val="auto"/>
                <w:kern w:val="2"/>
                <w:sz w:val="21"/>
                <w:szCs w:val="21"/>
                <w:highlight w:val="none"/>
                <w:lang w:val="en-US" w:eastAsia="zh-CN" w:bidi="ar-SA"/>
              </w:rPr>
              <w:t>0</w:t>
            </w:r>
          </w:p>
        </w:tc>
        <w:tc>
          <w:tcPr>
            <w:tcW w:w="1245" w:type="dxa"/>
            <w:noWrap w:val="0"/>
            <w:vAlign w:val="center"/>
          </w:tcPr>
          <w:p w14:paraId="193603D6">
            <w:pPr>
              <w:spacing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w:t>
            </w:r>
          </w:p>
        </w:tc>
        <w:tc>
          <w:tcPr>
            <w:tcW w:w="5472" w:type="dxa"/>
            <w:noWrap w:val="0"/>
            <w:vAlign w:val="center"/>
          </w:tcPr>
          <w:p w14:paraId="4A9F54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438C3D5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3DA029C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2CFF3C68">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6D2E40C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06F9196C">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4F21C3DB">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32E208F0">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0BFAD3F8">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59046143">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3C7796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5E1294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171186B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32693E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3855DCF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228ECD9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1420F4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2C4844F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3BE609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3A858B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296D712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11FC7BD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5E37F0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72766BB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2A2C16A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636230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498D37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1E8536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535EFFB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6AD11B0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4C8A08D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6E53EA2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18CA405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630A9A8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45DDF75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7D1908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40225F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2EFD3AF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33D2B45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2AA7EB3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111A558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142E40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3EA24A2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2340C1C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409E1C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2B8F55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4EF7D2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369B86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678BA88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75448C8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61DCB4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49199D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204B24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0AE1A0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57099B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00DEA8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2C0E79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56C416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4D11D6E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1A470DD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04EF6A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4BFBEB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374BBB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0B98AEE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7C6B40D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4984719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50067B2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245867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14A3E4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6F760BB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553E8F0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44C97BE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1E5B25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2A3470B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6F3957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3864FAC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76D2229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7D9179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20742D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0300412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418996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38BD1B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5B0DFF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15EA4A8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2E88666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089BE9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23ECEDE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07A7942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1AE65A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15CEA0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0E8F29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661B77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558A552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220BF01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5D08FF6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30EE8E3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630803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3664D6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6AF745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0203D47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68BB28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0760E93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0F16ED8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4E794A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1ECEC8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73CF630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700F7F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51657CC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109D51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0BAE342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2DEDF04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19E726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2A3AC53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793927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10EF23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7A451E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3DD02D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6669C2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403883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71CDC11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3AC42F6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521D1F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0F70FA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6522BF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7EA3D6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664C29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0A0316B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5D77682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75884DB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08EE91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7C93BD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2CD4369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4F158F8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2C568E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3BBE65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68092D8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2EF6803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369BD38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7002EB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43283F7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213B76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33B41C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1231F59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3063564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613AACE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60E7284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3117F8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1BEDD5F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3B7273F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274879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33C434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383746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1F9FB1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0E319C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6380CF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7853F0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030FD2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77826AB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2EBE04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59C088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2FA83A38">
            <w:pPr>
              <w:spacing w:line="240" w:lineRule="auto"/>
              <w:ind w:left="0" w:leftChars="0" w:firstLine="0" w:firstLineChars="0"/>
              <w:jc w:val="both"/>
              <w:rPr>
                <w:rFonts w:hint="eastAsia" w:eastAsia="宋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673B4AD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36979C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38DB8CD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24400</w:t>
            </w:r>
          </w:p>
        </w:tc>
        <w:tc>
          <w:tcPr>
            <w:tcW w:w="635" w:type="dxa"/>
            <w:noWrap w:val="0"/>
            <w:vAlign w:val="center"/>
          </w:tcPr>
          <w:p w14:paraId="4D9C6261">
            <w:pPr>
              <w:jc w:val="center"/>
              <w:rPr>
                <w:rFonts w:hint="eastAsia" w:ascii="宋体" w:hAnsi="宋体" w:eastAsia="宋体" w:cs="宋体"/>
                <w:color w:val="auto"/>
                <w:sz w:val="21"/>
                <w:szCs w:val="21"/>
                <w:highlight w:val="none"/>
              </w:rPr>
            </w:pPr>
          </w:p>
        </w:tc>
      </w:tr>
      <w:tr w14:paraId="46150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C1957A">
            <w:pPr>
              <w:numPr>
                <w:ilvl w:val="0"/>
                <w:numId w:val="0"/>
              </w:numPr>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451</w:t>
            </w:r>
          </w:p>
        </w:tc>
        <w:tc>
          <w:tcPr>
            <w:tcW w:w="1245" w:type="dxa"/>
            <w:noWrap w:val="0"/>
            <w:vAlign w:val="center"/>
          </w:tcPr>
          <w:p w14:paraId="14402151">
            <w:pPr>
              <w:spacing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高清壁挂展台</w:t>
            </w:r>
          </w:p>
        </w:tc>
        <w:tc>
          <w:tcPr>
            <w:tcW w:w="5472" w:type="dxa"/>
            <w:noWrap w:val="0"/>
            <w:vAlign w:val="center"/>
          </w:tcPr>
          <w:p w14:paraId="37C0958A">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智慧黑板同品牌高清壁挂展台</w:t>
            </w:r>
          </w:p>
          <w:p w14:paraId="2BA317B8">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一）硬件部分：</w:t>
            </w:r>
          </w:p>
          <w:p w14:paraId="44EBC109">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1、整机采用圆弧式设计，无锐角；同时托板采用磁吸吸附式机构，防止托板打落，方便打开及固定，避免机械式锁具故障率高的问题。</w:t>
            </w:r>
          </w:p>
          <w:p w14:paraId="0DDBDB5F">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2、采用≥800万像素摄像头；采用 USB五伏电源直接供电，无需额外配置电源适配器，环保无辐射；箱内USB连线采用隐藏式设计，箱内无可见连线且USB口下出，有效防止积尘，且方便布线和返修。</w:t>
            </w:r>
          </w:p>
          <w:p w14:paraId="070B67B1">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3、A4大小拍摄幅面，1080P动态视频预览达到30帧/秒；托板及挂墙部分采用金属加强，托板可承重3kg，整机壁挂式安装。</w:t>
            </w:r>
          </w:p>
          <w:p w14:paraId="512D1647">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4、支持展台成像画面实时批注，预设多种笔划粗细及颜色供选择，且支持对展台成像画面联同批注内容进行同步缩放、移动。</w:t>
            </w:r>
          </w:p>
          <w:p w14:paraId="17A0E6AC">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5、展示托板正上方具备LED补光灯，保证展示区域的亮度及展示效果，补光灯开关采用触摸按键设计，同时可通过交互智能平板中的软件直接控制开关。</w:t>
            </w:r>
          </w:p>
          <w:p w14:paraId="3E4EE6D9">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6、带自动对焦摄像头；外壳在摄像头部分带保护镜片密封，防止灰尘沾染摄像头，防护等级达到IP4X级别。</w:t>
            </w:r>
          </w:p>
          <w:p w14:paraId="1B705583">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7、具有故障自动检测功能：在调用展台却无法出现镜头采集画面信号时，可自动出现检测链接，并给出导致性原因（如硬件连接、摄像头占用、配套软件版本等问题）。</w:t>
            </w:r>
          </w:p>
          <w:p w14:paraId="3155A6D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（二）软件部分：</w:t>
            </w:r>
          </w:p>
          <w:p w14:paraId="446A828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1、支持对展台实时画面进行放大、缩小、旋转、自适应、冻结画面等操作。</w:t>
            </w:r>
          </w:p>
          <w:p w14:paraId="4F4314EF">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2、支持展台画面实时批注，预设多种笔划粗细及颜色供选择，且支持对展台画面联同批注内容进行同步缩放、移动。</w:t>
            </w:r>
          </w:p>
          <w:p w14:paraId="59704F56">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3、支持展台画面拍照截图并进行多图预览，可对任一图片进行全屏显示。</w:t>
            </w:r>
          </w:p>
          <w:p w14:paraId="7BD80050">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4、老师可在一体机或电脑上选择延时拍照功能，支持5秒或10秒延时模式，预留充足时间以便调整拍摄内容。</w:t>
            </w:r>
          </w:p>
          <w:p w14:paraId="0822E07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5、可选择图像、文本或动态三种情景模式，适应不同展示内容。</w:t>
            </w:r>
          </w:p>
          <w:p w14:paraId="6243C71F">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6、具备图像增强功能，可自动裁剪背景并增强文字显示，使文档画面更清晰。</w:t>
            </w:r>
          </w:p>
          <w:p w14:paraId="040F8783">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7、支持故障自动检测，在软件无法出现展台拍摄画面时，自动出现检测链接，帮助用户检测“无画面”的原因，并给出引导性解决方案。可判断硬件连接、显卡驱动、摄像头占用、软件版本等问题。</w:t>
            </w:r>
          </w:p>
          <w:p w14:paraId="2F747920">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6261AA58">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199E0489">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289923BF">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w:t>
            </w:r>
          </w:p>
        </w:tc>
        <w:tc>
          <w:tcPr>
            <w:tcW w:w="635" w:type="dxa"/>
            <w:noWrap w:val="0"/>
            <w:vAlign w:val="center"/>
          </w:tcPr>
          <w:p w14:paraId="4C91BE22">
            <w:pPr>
              <w:jc w:val="center"/>
              <w:rPr>
                <w:rFonts w:hint="eastAsia" w:ascii="宋体" w:hAnsi="宋体" w:eastAsia="宋体" w:cs="宋体"/>
                <w:color w:val="auto"/>
                <w:sz w:val="21"/>
                <w:szCs w:val="21"/>
                <w:highlight w:val="none"/>
              </w:rPr>
            </w:pPr>
          </w:p>
        </w:tc>
      </w:tr>
      <w:tr w14:paraId="449E0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3A97B78A">
            <w:pPr>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本项合计</w:t>
            </w:r>
          </w:p>
        </w:tc>
        <w:tc>
          <w:tcPr>
            <w:tcW w:w="5472" w:type="dxa"/>
            <w:noWrap w:val="0"/>
            <w:vAlign w:val="center"/>
          </w:tcPr>
          <w:p w14:paraId="2E38ABB6">
            <w:pPr>
              <w:jc w:val="center"/>
              <w:rPr>
                <w:rFonts w:hint="eastAsia" w:ascii="宋体" w:hAnsi="宋体" w:eastAsia="宋体" w:cs="宋体"/>
                <w:color w:val="auto"/>
                <w:sz w:val="21"/>
                <w:szCs w:val="21"/>
                <w:highlight w:val="none"/>
              </w:rPr>
            </w:pPr>
          </w:p>
        </w:tc>
        <w:tc>
          <w:tcPr>
            <w:tcW w:w="2313" w:type="dxa"/>
            <w:gridSpan w:val="3"/>
            <w:noWrap w:val="0"/>
            <w:vAlign w:val="center"/>
          </w:tcPr>
          <w:p w14:paraId="2B2A781E">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33640</w:t>
            </w:r>
            <w:r>
              <w:rPr>
                <w:rFonts w:hint="eastAsia" w:ascii="宋体" w:hAnsi="宋体" w:eastAsia="宋体" w:cs="宋体"/>
                <w:color w:val="auto"/>
                <w:sz w:val="21"/>
                <w:szCs w:val="21"/>
                <w:highlight w:val="none"/>
                <w:lang w:val="en-US" w:eastAsia="zh-CN"/>
              </w:rPr>
              <w:t>.00</w:t>
            </w:r>
          </w:p>
        </w:tc>
        <w:tc>
          <w:tcPr>
            <w:tcW w:w="635" w:type="dxa"/>
            <w:noWrap w:val="0"/>
            <w:vAlign w:val="center"/>
          </w:tcPr>
          <w:p w14:paraId="6B01EB64">
            <w:pPr>
              <w:jc w:val="center"/>
              <w:rPr>
                <w:rFonts w:hint="eastAsia" w:ascii="宋体" w:hAnsi="宋体" w:eastAsia="宋体" w:cs="宋体"/>
                <w:color w:val="auto"/>
                <w:sz w:val="21"/>
                <w:szCs w:val="21"/>
                <w:highlight w:val="none"/>
              </w:rPr>
            </w:pPr>
          </w:p>
        </w:tc>
      </w:tr>
      <w:tr w14:paraId="4D9F7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7163F494">
            <w:pPr>
              <w:tabs>
                <w:tab w:val="left" w:pos="1378"/>
              </w:tabs>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美术教室设备分项清单</w:t>
            </w:r>
          </w:p>
        </w:tc>
      </w:tr>
      <w:tr w14:paraId="5812B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D09C7CD">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3E506AE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写生板</w:t>
            </w:r>
          </w:p>
        </w:tc>
        <w:tc>
          <w:tcPr>
            <w:tcW w:w="5472" w:type="dxa"/>
            <w:noWrap w:val="0"/>
            <w:vAlign w:val="center"/>
          </w:tcPr>
          <w:p w14:paraId="2D2A9D43">
            <w:pPr>
              <w:keepNext w:val="0"/>
              <w:keepLines w:val="0"/>
              <w:widowControl/>
              <w:suppressLineNumbers w:val="0"/>
              <w:spacing w:line="240" w:lineRule="auto"/>
              <w:ind w:firstLine="440" w:firstLineChars="200"/>
              <w:jc w:val="both"/>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2"/>
                <w:szCs w:val="22"/>
                <w:highlight w:val="none"/>
                <w:u w:val="none"/>
                <w:lang w:val="en-US" w:eastAsia="zh-CN" w:bidi="ar"/>
              </w:rPr>
              <w:t>约</w:t>
            </w:r>
            <w:r>
              <w:rPr>
                <w:rFonts w:hint="eastAsia" w:ascii="宋体" w:hAnsi="宋体" w:eastAsia="宋体" w:cs="宋体"/>
                <w:i w:val="0"/>
                <w:iCs w:val="0"/>
                <w:color w:val="auto"/>
                <w:kern w:val="0"/>
                <w:sz w:val="22"/>
                <w:szCs w:val="22"/>
                <w:highlight w:val="none"/>
                <w:u w:val="none"/>
                <w:lang w:val="en-US" w:eastAsia="zh-CN" w:bidi="ar"/>
              </w:rPr>
              <w:t>60*45CM</w:t>
            </w:r>
            <w:r>
              <w:rPr>
                <w:rFonts w:hint="eastAsia" w:ascii="宋体" w:hAnsi="宋体" w:cs="宋体"/>
                <w:i w:val="0"/>
                <w:iCs w:val="0"/>
                <w:color w:val="auto"/>
                <w:kern w:val="0"/>
                <w:sz w:val="22"/>
                <w:szCs w:val="22"/>
                <w:highlight w:val="none"/>
                <w:u w:val="none"/>
                <w:lang w:val="en-US" w:eastAsia="zh-CN" w:bidi="ar"/>
              </w:rPr>
              <w:t>，带支架</w:t>
            </w:r>
          </w:p>
        </w:tc>
        <w:tc>
          <w:tcPr>
            <w:tcW w:w="603" w:type="dxa"/>
            <w:noWrap w:val="0"/>
            <w:vAlign w:val="center"/>
          </w:tcPr>
          <w:p w14:paraId="2341914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600" w:type="dxa"/>
            <w:noWrap w:val="0"/>
            <w:vAlign w:val="center"/>
          </w:tcPr>
          <w:p w14:paraId="7345383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48E03CC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635" w:type="dxa"/>
            <w:noWrap w:val="0"/>
            <w:vAlign w:val="center"/>
          </w:tcPr>
          <w:p w14:paraId="408317F8">
            <w:pPr>
              <w:jc w:val="center"/>
              <w:rPr>
                <w:rFonts w:hint="eastAsia" w:ascii="宋体" w:hAnsi="宋体" w:eastAsia="宋体" w:cs="宋体"/>
                <w:color w:val="auto"/>
                <w:sz w:val="21"/>
                <w:szCs w:val="21"/>
                <w:highlight w:val="none"/>
              </w:rPr>
            </w:pPr>
          </w:p>
        </w:tc>
      </w:tr>
      <w:tr w14:paraId="390A1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8D3A1CA">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136E30F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写生凳</w:t>
            </w:r>
          </w:p>
        </w:tc>
        <w:tc>
          <w:tcPr>
            <w:tcW w:w="5472" w:type="dxa"/>
            <w:noWrap w:val="0"/>
            <w:vAlign w:val="center"/>
          </w:tcPr>
          <w:p w14:paraId="308DA179">
            <w:pPr>
              <w:keepNext w:val="0"/>
              <w:keepLines w:val="0"/>
              <w:widowControl/>
              <w:suppressLineNumbers w:val="0"/>
              <w:spacing w:line="240" w:lineRule="auto"/>
              <w:ind w:firstLine="440" w:firstLineChars="20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四脚方凳，原木色，已上保护木质的木蜡油。</w:t>
            </w:r>
          </w:p>
        </w:tc>
        <w:tc>
          <w:tcPr>
            <w:tcW w:w="603" w:type="dxa"/>
            <w:noWrap w:val="0"/>
            <w:vAlign w:val="center"/>
          </w:tcPr>
          <w:p w14:paraId="711896F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600" w:type="dxa"/>
            <w:noWrap w:val="0"/>
            <w:vAlign w:val="center"/>
          </w:tcPr>
          <w:p w14:paraId="106BC19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671D353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635" w:type="dxa"/>
            <w:noWrap w:val="0"/>
            <w:vAlign w:val="center"/>
          </w:tcPr>
          <w:p w14:paraId="12AE0867">
            <w:pPr>
              <w:jc w:val="center"/>
              <w:rPr>
                <w:rFonts w:hint="eastAsia" w:ascii="宋体" w:hAnsi="宋体" w:eastAsia="宋体" w:cs="宋体"/>
                <w:color w:val="auto"/>
                <w:sz w:val="21"/>
                <w:szCs w:val="21"/>
                <w:highlight w:val="none"/>
              </w:rPr>
            </w:pPr>
          </w:p>
        </w:tc>
      </w:tr>
      <w:tr w14:paraId="6A902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4D5E6D8">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73D6FED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美术教具</w:t>
            </w:r>
          </w:p>
        </w:tc>
        <w:tc>
          <w:tcPr>
            <w:tcW w:w="5472" w:type="dxa"/>
            <w:noWrap w:val="0"/>
            <w:vAlign w:val="center"/>
          </w:tcPr>
          <w:p w14:paraId="529487F7">
            <w:pPr>
              <w:keepNext w:val="0"/>
              <w:keepLines w:val="0"/>
              <w:widowControl/>
              <w:suppressLineNumbers w:val="0"/>
              <w:spacing w:line="240" w:lineRule="auto"/>
              <w:ind w:firstLine="44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集合体尺寸（cm）：正方体14*14   十字柱20*20圆球17*17；方十字锥20*24六面锥20*14；</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四面锥13*20圆十字锥18*22；小三角17*15斜柱11.5*22；10六面柱13*21；圆锥14*21.5 ；；八面柱11.5*21；；圆柱12*21；圆球切面14*14二十面三角14*16</w:t>
            </w:r>
          </w:p>
        </w:tc>
        <w:tc>
          <w:tcPr>
            <w:tcW w:w="603" w:type="dxa"/>
            <w:noWrap w:val="0"/>
            <w:vAlign w:val="center"/>
          </w:tcPr>
          <w:p w14:paraId="01B7D19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265A9A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0D76744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635" w:type="dxa"/>
            <w:noWrap w:val="0"/>
            <w:vAlign w:val="center"/>
          </w:tcPr>
          <w:p w14:paraId="32A274E8">
            <w:pPr>
              <w:jc w:val="center"/>
              <w:rPr>
                <w:rFonts w:hint="eastAsia" w:ascii="宋体" w:hAnsi="宋体" w:eastAsia="宋体" w:cs="宋体"/>
                <w:color w:val="auto"/>
                <w:sz w:val="21"/>
                <w:szCs w:val="21"/>
                <w:highlight w:val="none"/>
              </w:rPr>
            </w:pPr>
          </w:p>
        </w:tc>
      </w:tr>
      <w:tr w14:paraId="4FED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15CB6DB">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3A9930FF">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w:t>
            </w:r>
          </w:p>
        </w:tc>
        <w:tc>
          <w:tcPr>
            <w:tcW w:w="5472" w:type="dxa"/>
            <w:noWrap w:val="0"/>
            <w:vAlign w:val="center"/>
          </w:tcPr>
          <w:p w14:paraId="7CAF8A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5F015C2B">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59F1A37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429CFEAD">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5499BF0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4853F83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67B1A425">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77C4639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5F4485D9">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0C08D67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2B572D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7B9D0F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5977DC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5A844A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3646945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40803F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4E0511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26F6FF6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793D01B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6C58271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7D2729D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443941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20415F0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7760E3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252DAE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36A858F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3415A53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5D1C778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190B820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22744F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568887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4F56883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1A85E6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2523DFD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78ABC7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40DA0D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1C4609C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16B2F1E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0FC938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41A1A9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7954731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762B6B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610CD5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155EEE2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0E3DE7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065A92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56DC68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4585A0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6B2733F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57DB71D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05A8D4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3A0BC4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63EE020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4D5EF7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0B27B7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11D504C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2A0780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58AD233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794697F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1A840ED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169A19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28C789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7147F6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3D8498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5CDFC93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65061EF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4C5CBD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78512C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02D94C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0386765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172913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3A58201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0D04CA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285DF6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5A8DD2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2D7F84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4825C9B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5A6F7BF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55C8A9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2A1487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0D5121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4DBAF31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565A716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1174626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4E760B3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784E268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212D9F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4DEA682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0B3CBF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6D0359A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01508E7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3C4BB5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065F37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4B3299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1DF8356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457162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5A65776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5E2E73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7A9DB1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6304218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455269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071424A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01A4E2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4CD3F8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327768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74B16E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04476B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06C10A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0A52C5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4689959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36599C6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139EC7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4BF1F9C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0EF5DDD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4A0EE7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78C0A8D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76F862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3CCC05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62D589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56657F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14F7E67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0395BD9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12FF500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345BB6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4D8150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0288AA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7AFF99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1752F4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4633B7D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4CA6EF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653024F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58C3FC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2B5C0A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7E7BAB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4032715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644CC11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09BB406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3296CC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2D3B7C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0C2F8D9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3778C6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0A1F53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5EEEC73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4C54C8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148FC1B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0717F6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361CE2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152FA1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7FD991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585923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3613DE7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29CD39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05F4B83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6800A0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08504F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0F4A00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3B1532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642998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580592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46AF374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40729753">
            <w:pPr>
              <w:spacing w:line="240" w:lineRule="auto"/>
              <w:ind w:left="0" w:leftChars="0" w:firstLine="0" w:firstLineChars="0"/>
              <w:jc w:val="both"/>
              <w:rPr>
                <w:rFonts w:hint="eastAsia" w:eastAsia="宋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7B731B1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1BE61F0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6E5E0FA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24400</w:t>
            </w:r>
          </w:p>
        </w:tc>
        <w:tc>
          <w:tcPr>
            <w:tcW w:w="635" w:type="dxa"/>
            <w:noWrap w:val="0"/>
            <w:vAlign w:val="center"/>
          </w:tcPr>
          <w:p w14:paraId="49B24ED6">
            <w:pPr>
              <w:jc w:val="center"/>
              <w:rPr>
                <w:rFonts w:hint="eastAsia" w:ascii="宋体" w:hAnsi="宋体" w:eastAsia="宋体" w:cs="宋体"/>
                <w:color w:val="auto"/>
                <w:sz w:val="21"/>
                <w:szCs w:val="21"/>
                <w:highlight w:val="none"/>
              </w:rPr>
            </w:pPr>
          </w:p>
        </w:tc>
      </w:tr>
      <w:tr w14:paraId="322A1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9" w:hRule="atLeast"/>
        </w:trPr>
        <w:tc>
          <w:tcPr>
            <w:tcW w:w="555" w:type="dxa"/>
            <w:noWrap w:val="0"/>
            <w:vAlign w:val="center"/>
          </w:tcPr>
          <w:p w14:paraId="23DDAC95">
            <w:pPr>
              <w:numPr>
                <w:ilvl w:val="0"/>
                <w:numId w:val="0"/>
              </w:numPr>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456</w:t>
            </w:r>
          </w:p>
        </w:tc>
        <w:tc>
          <w:tcPr>
            <w:tcW w:w="1245" w:type="dxa"/>
            <w:noWrap w:val="0"/>
            <w:vAlign w:val="center"/>
          </w:tcPr>
          <w:p w14:paraId="7776219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高清壁挂展台</w:t>
            </w:r>
          </w:p>
        </w:tc>
        <w:tc>
          <w:tcPr>
            <w:tcW w:w="5472" w:type="dxa"/>
            <w:noWrap w:val="0"/>
            <w:vAlign w:val="center"/>
          </w:tcPr>
          <w:p w14:paraId="048893E3">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智慧黑板同品牌高清壁挂展台</w:t>
            </w:r>
          </w:p>
          <w:p w14:paraId="1F316C6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一）硬件部分：</w:t>
            </w:r>
          </w:p>
          <w:p w14:paraId="5A0C9B9E">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1、整机采用圆弧式设计，无锐角；同时托板采用磁吸吸附式机构，防止托板打落，方便打开及固定，避免机械式锁具故障率高的问题。</w:t>
            </w:r>
          </w:p>
          <w:p w14:paraId="5370730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2、采用≥800万像素摄像头；采用 USB五伏电源直接供电，无需额外配置电源适配器，环保无辐射；箱内USB连线采用隐藏式设计，箱内无可见连线且USB口下出，有效防止积尘，且方便布线和返修。</w:t>
            </w:r>
          </w:p>
          <w:p w14:paraId="7803DBF3">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3、A4大小拍摄幅面，1080P动态视频预览达到30帧/秒；托板及挂墙部分采用金属加强，托板可承重3kg，整机壁挂式安装。</w:t>
            </w:r>
          </w:p>
          <w:p w14:paraId="7466D80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4、支持展台成像画面实时批注，预设多种笔划粗细及颜色供选择，且支持对展台成像画面联同批注内容进行同步缩放、移动。</w:t>
            </w:r>
          </w:p>
          <w:p w14:paraId="5E3EF64E">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5、展示托板正上方具备LED补光灯，保证展示区域的亮度及展示效果，补光灯开关采用触摸按键设计，同时可通过交互智能平板中的软件直接控制开关。</w:t>
            </w:r>
          </w:p>
          <w:p w14:paraId="0FD55091">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6、带自动对焦摄像头；外壳在摄像头部分带保护镜片密封，防止灰尘沾染摄像头，防护等级达到IP4X级别。</w:t>
            </w:r>
          </w:p>
          <w:p w14:paraId="72A697F1">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7、具有故障自动检测功能：在调用展台却无法出现镜头采集画面信号时，可自动出现检测链接，并给出导致性原因（如硬件连接、摄像头占用、配套软件版本等问题）。</w:t>
            </w:r>
          </w:p>
          <w:p w14:paraId="51883B24">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（二）软件部分：</w:t>
            </w:r>
          </w:p>
          <w:p w14:paraId="0BACAA0A">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1、支持对展台实时画面进行放大、缩小、旋转、自适应、冻结画面等操作。</w:t>
            </w:r>
          </w:p>
          <w:p w14:paraId="78413061">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2、支持展台画面实时批注，预设多种笔划粗细及颜色供选择，且支持对展台画面联同批注内容进行同步缩放、移动。</w:t>
            </w:r>
          </w:p>
          <w:p w14:paraId="3FB98CFD">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3、支持展台画面拍照截图并进行多图预览，可对任一图片进行全屏显示。</w:t>
            </w:r>
          </w:p>
          <w:p w14:paraId="324E0781">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4、老师可在一体机或电脑上选择延时拍照功能，支持5秒或10秒延时模式，预留充足时间以便调整拍摄内容。</w:t>
            </w:r>
          </w:p>
          <w:p w14:paraId="52DA5F1D">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5、可选择图像、文本或动态三种情景模式，适应不同展示内容。</w:t>
            </w:r>
          </w:p>
          <w:p w14:paraId="509AA907">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6、具备图像增强功能，可自动裁剪背景并增强文字显示，使文档画面更清晰。</w:t>
            </w:r>
          </w:p>
          <w:p w14:paraId="157C2F7D">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7、支持故障自动检测，在软件无法出现展台拍摄画面时，自动出现检测链接，帮助用户检测“无画面”的原因，并给出引导性解决方案。可判断硬件连接、显卡驱动、摄像头占用、软件版本等问题。</w:t>
            </w:r>
          </w:p>
          <w:p w14:paraId="34AE93D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4F7F0896">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7C7A87B2">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58417BBB">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600</w:t>
            </w:r>
          </w:p>
        </w:tc>
        <w:tc>
          <w:tcPr>
            <w:tcW w:w="635" w:type="dxa"/>
            <w:noWrap w:val="0"/>
            <w:vAlign w:val="center"/>
          </w:tcPr>
          <w:p w14:paraId="6EA53A60">
            <w:pPr>
              <w:jc w:val="center"/>
              <w:rPr>
                <w:rFonts w:hint="eastAsia" w:ascii="宋体" w:hAnsi="宋体" w:eastAsia="宋体" w:cs="宋体"/>
                <w:color w:val="auto"/>
                <w:sz w:val="21"/>
                <w:szCs w:val="21"/>
                <w:highlight w:val="none"/>
              </w:rPr>
            </w:pPr>
          </w:p>
        </w:tc>
      </w:tr>
      <w:tr w14:paraId="156A4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39215634">
            <w:pPr>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37460003">
            <w:pPr>
              <w:ind w:left="0" w:leftChars="0" w:firstLine="0" w:firstLineChars="0"/>
              <w:jc w:val="both"/>
              <w:rPr>
                <w:rFonts w:hint="eastAsia" w:ascii="宋体" w:hAnsi="宋体" w:eastAsia="宋体" w:cs="宋体"/>
                <w:color w:val="auto"/>
                <w:sz w:val="21"/>
                <w:szCs w:val="21"/>
                <w:highlight w:val="none"/>
              </w:rPr>
            </w:pPr>
          </w:p>
        </w:tc>
        <w:tc>
          <w:tcPr>
            <w:tcW w:w="2313" w:type="dxa"/>
            <w:gridSpan w:val="3"/>
            <w:noWrap w:val="0"/>
            <w:vAlign w:val="center"/>
          </w:tcPr>
          <w:p w14:paraId="4F9D9E82">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30870</w:t>
            </w:r>
            <w:r>
              <w:rPr>
                <w:rFonts w:hint="eastAsia" w:ascii="宋体" w:hAnsi="宋体" w:eastAsia="宋体" w:cs="宋体"/>
                <w:color w:val="auto"/>
                <w:sz w:val="21"/>
                <w:szCs w:val="21"/>
                <w:highlight w:val="none"/>
                <w:lang w:val="en-US" w:eastAsia="zh-CN"/>
              </w:rPr>
              <w:t>.00</w:t>
            </w:r>
          </w:p>
        </w:tc>
        <w:tc>
          <w:tcPr>
            <w:tcW w:w="635" w:type="dxa"/>
            <w:noWrap w:val="0"/>
            <w:vAlign w:val="center"/>
          </w:tcPr>
          <w:p w14:paraId="220D20DB">
            <w:pPr>
              <w:jc w:val="center"/>
              <w:rPr>
                <w:rFonts w:hint="eastAsia" w:ascii="宋体" w:hAnsi="宋体" w:eastAsia="宋体" w:cs="宋体"/>
                <w:color w:val="auto"/>
                <w:sz w:val="21"/>
                <w:szCs w:val="21"/>
                <w:highlight w:val="none"/>
              </w:rPr>
            </w:pPr>
          </w:p>
        </w:tc>
      </w:tr>
      <w:tr w14:paraId="33095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2035A941">
            <w:pPr>
              <w:tabs>
                <w:tab w:val="left" w:pos="808"/>
              </w:tabs>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舞蹈室设备分项清单</w:t>
            </w:r>
          </w:p>
        </w:tc>
      </w:tr>
      <w:tr w14:paraId="61FB2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C510855">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05886CBE">
            <w:pPr>
              <w:keepNext w:val="0"/>
              <w:keepLines w:val="0"/>
              <w:widowControl/>
              <w:suppressLineNumbers w:val="0"/>
              <w:spacing w:line="240" w:lineRule="auto"/>
              <w:ind w:firstLine="44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镜子</w:t>
            </w:r>
          </w:p>
        </w:tc>
        <w:tc>
          <w:tcPr>
            <w:tcW w:w="5472" w:type="dxa"/>
            <w:noWrap w:val="0"/>
            <w:vAlign w:val="center"/>
          </w:tcPr>
          <w:p w14:paraId="5560CA64">
            <w:pPr>
              <w:keepNext w:val="0"/>
              <w:keepLines w:val="0"/>
              <w:widowControl/>
              <w:suppressLineNumbers w:val="0"/>
              <w:spacing w:line="240" w:lineRule="auto"/>
              <w:ind w:firstLine="440" w:firstLineChars="20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根据舞蹈室定制</w:t>
            </w:r>
          </w:p>
        </w:tc>
        <w:tc>
          <w:tcPr>
            <w:tcW w:w="603" w:type="dxa"/>
            <w:noWrap w:val="0"/>
            <w:vAlign w:val="center"/>
          </w:tcPr>
          <w:p w14:paraId="521863D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2"/>
                <w:szCs w:val="22"/>
                <w:highlight w:val="none"/>
                <w:u w:val="none"/>
                <w:lang w:val="en-US" w:eastAsia="zh-CN" w:bidi="ar"/>
              </w:rPr>
              <w:t>1</w:t>
            </w:r>
          </w:p>
        </w:tc>
        <w:tc>
          <w:tcPr>
            <w:tcW w:w="600" w:type="dxa"/>
            <w:noWrap w:val="0"/>
            <w:vAlign w:val="center"/>
          </w:tcPr>
          <w:p w14:paraId="59C9798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2"/>
                <w:szCs w:val="22"/>
                <w:highlight w:val="none"/>
                <w:u w:val="none"/>
                <w:lang w:val="en-US" w:eastAsia="zh-CN" w:bidi="ar"/>
              </w:rPr>
              <w:t>套</w:t>
            </w:r>
          </w:p>
        </w:tc>
        <w:tc>
          <w:tcPr>
            <w:tcW w:w="1110" w:type="dxa"/>
            <w:noWrap w:val="0"/>
            <w:vAlign w:val="center"/>
          </w:tcPr>
          <w:p w14:paraId="17EFF515">
            <w:pPr>
              <w:keepNext w:val="0"/>
              <w:keepLines w:val="0"/>
              <w:widowControl/>
              <w:suppressLineNumbers w:val="0"/>
              <w:ind w:left="0" w:leftChars="0" w:firstLine="0" w:firstLineChars="0"/>
              <w:jc w:val="center"/>
              <w:textAlignment w:val="center"/>
              <w:rPr>
                <w:rFonts w:hint="default" w:ascii="宋体" w:hAnsi="宋体" w:eastAsia="宋体" w:cs="宋体"/>
                <w:color w:val="auto"/>
                <w:sz w:val="21"/>
                <w:szCs w:val="21"/>
                <w:highlight w:val="none"/>
                <w:lang w:val="en-US"/>
              </w:rPr>
            </w:pPr>
            <w:r>
              <w:rPr>
                <w:rFonts w:hint="eastAsia" w:ascii="宋体" w:hAnsi="宋体" w:cs="宋体"/>
                <w:i w:val="0"/>
                <w:iCs w:val="0"/>
                <w:color w:val="auto"/>
                <w:kern w:val="0"/>
                <w:sz w:val="22"/>
                <w:szCs w:val="22"/>
                <w:highlight w:val="none"/>
                <w:u w:val="none"/>
                <w:lang w:val="en-US" w:eastAsia="zh-CN" w:bidi="ar"/>
              </w:rPr>
              <w:t>5400</w:t>
            </w:r>
          </w:p>
        </w:tc>
        <w:tc>
          <w:tcPr>
            <w:tcW w:w="635" w:type="dxa"/>
            <w:noWrap w:val="0"/>
            <w:vAlign w:val="center"/>
          </w:tcPr>
          <w:p w14:paraId="4F98D34D">
            <w:pPr>
              <w:jc w:val="center"/>
              <w:rPr>
                <w:rFonts w:hint="eastAsia" w:ascii="宋体" w:hAnsi="宋体" w:eastAsia="宋体" w:cs="宋体"/>
                <w:color w:val="auto"/>
                <w:sz w:val="21"/>
                <w:szCs w:val="21"/>
                <w:highlight w:val="none"/>
              </w:rPr>
            </w:pPr>
          </w:p>
        </w:tc>
      </w:tr>
      <w:tr w14:paraId="3B754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5EA4EC7">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4F0FB7DF">
            <w:pPr>
              <w:keepNext w:val="0"/>
              <w:keepLines w:val="0"/>
              <w:widowControl/>
              <w:suppressLineNumbers w:val="0"/>
              <w:spacing w:line="240" w:lineRule="auto"/>
              <w:ind w:firstLine="44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音响</w:t>
            </w:r>
          </w:p>
        </w:tc>
        <w:tc>
          <w:tcPr>
            <w:tcW w:w="5472" w:type="dxa"/>
            <w:noWrap w:val="0"/>
            <w:vAlign w:val="center"/>
          </w:tcPr>
          <w:p w14:paraId="55FB4B0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壁挂式定压音箱，配安全支架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额定功率：≥30~65W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频响：20Hz~20kHz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配套专业音箱线</w:t>
            </w:r>
          </w:p>
        </w:tc>
        <w:tc>
          <w:tcPr>
            <w:tcW w:w="603" w:type="dxa"/>
            <w:noWrap w:val="0"/>
            <w:vAlign w:val="center"/>
          </w:tcPr>
          <w:p w14:paraId="60977BD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F355D7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78B90E3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4000</w:t>
            </w:r>
          </w:p>
        </w:tc>
        <w:tc>
          <w:tcPr>
            <w:tcW w:w="635" w:type="dxa"/>
            <w:noWrap w:val="0"/>
            <w:vAlign w:val="center"/>
          </w:tcPr>
          <w:p w14:paraId="13515235">
            <w:pPr>
              <w:jc w:val="center"/>
              <w:rPr>
                <w:rFonts w:hint="eastAsia" w:ascii="宋体" w:hAnsi="宋体" w:eastAsia="宋体" w:cs="宋体"/>
                <w:color w:val="auto"/>
                <w:sz w:val="21"/>
                <w:szCs w:val="21"/>
                <w:highlight w:val="none"/>
              </w:rPr>
            </w:pPr>
          </w:p>
        </w:tc>
      </w:tr>
      <w:tr w14:paraId="1FB0A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10E157B">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0E39156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复合木地板</w:t>
            </w:r>
          </w:p>
        </w:tc>
        <w:tc>
          <w:tcPr>
            <w:tcW w:w="5472" w:type="dxa"/>
            <w:noWrap w:val="0"/>
            <w:vAlign w:val="center"/>
          </w:tcPr>
          <w:p w14:paraId="16681AF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1000</w:t>
            </w:r>
            <w:r>
              <w:rPr>
                <w:rFonts w:hint="eastAsia" w:ascii="宋体" w:hAnsi="宋体" w:cs="宋体"/>
                <w:i w:val="0"/>
                <w:iCs w:val="0"/>
                <w:color w:val="auto"/>
                <w:kern w:val="0"/>
                <w:sz w:val="22"/>
                <w:szCs w:val="22"/>
                <w:highlight w:val="none"/>
                <w:u w:val="none"/>
                <w:lang w:val="en-US" w:eastAsia="zh-CN" w:bidi="ar"/>
              </w:rPr>
              <w:t>mm</w:t>
            </w:r>
            <w:r>
              <w:rPr>
                <w:rFonts w:hint="eastAsia" w:ascii="宋体" w:hAnsi="宋体" w:eastAsia="宋体" w:cs="宋体"/>
                <w:i w:val="0"/>
                <w:iCs w:val="0"/>
                <w:color w:val="auto"/>
                <w:kern w:val="0"/>
                <w:sz w:val="22"/>
                <w:szCs w:val="22"/>
                <w:highlight w:val="none"/>
                <w:u w:val="none"/>
                <w:lang w:val="en-US" w:eastAsia="zh-CN" w:bidi="ar"/>
              </w:rPr>
              <w:t>*1000</w:t>
            </w:r>
            <w:r>
              <w:rPr>
                <w:rFonts w:hint="eastAsia" w:ascii="宋体" w:hAnsi="宋体" w:cs="宋体"/>
                <w:i w:val="0"/>
                <w:iCs w:val="0"/>
                <w:color w:val="auto"/>
                <w:kern w:val="0"/>
                <w:sz w:val="22"/>
                <w:szCs w:val="22"/>
                <w:highlight w:val="none"/>
                <w:u w:val="none"/>
                <w:lang w:val="en-US" w:eastAsia="zh-CN" w:bidi="ar"/>
              </w:rPr>
              <w:t>mm</w:t>
            </w:r>
            <w:r>
              <w:rPr>
                <w:rFonts w:hint="eastAsia" w:ascii="宋体" w:hAnsi="宋体" w:eastAsia="宋体" w:cs="宋体"/>
                <w:i w:val="0"/>
                <w:iCs w:val="0"/>
                <w:color w:val="auto"/>
                <w:kern w:val="0"/>
                <w:sz w:val="22"/>
                <w:szCs w:val="22"/>
                <w:highlight w:val="none"/>
                <w:u w:val="none"/>
                <w:lang w:val="en-US" w:eastAsia="zh-CN" w:bidi="ar"/>
              </w:rPr>
              <w:t>*182</w:t>
            </w:r>
            <w:r>
              <w:rPr>
                <w:rFonts w:hint="eastAsia" w:ascii="宋体" w:hAnsi="宋体" w:cs="宋体"/>
                <w:i w:val="0"/>
                <w:iCs w:val="0"/>
                <w:color w:val="auto"/>
                <w:kern w:val="0"/>
                <w:sz w:val="22"/>
                <w:szCs w:val="22"/>
                <w:highlight w:val="none"/>
                <w:u w:val="none"/>
                <w:lang w:val="en-US" w:eastAsia="zh-CN" w:bidi="ar"/>
              </w:rPr>
              <w:t>mm</w:t>
            </w:r>
            <w:r>
              <w:rPr>
                <w:rFonts w:hint="eastAsia" w:ascii="宋体" w:hAnsi="宋体" w:eastAsia="宋体" w:cs="宋体"/>
                <w:i w:val="0"/>
                <w:iCs w:val="0"/>
                <w:color w:val="auto"/>
                <w:kern w:val="0"/>
                <w:sz w:val="22"/>
                <w:szCs w:val="22"/>
                <w:highlight w:val="none"/>
                <w:u w:val="none"/>
                <w:lang w:val="en-US" w:eastAsia="zh-CN" w:bidi="ar"/>
              </w:rPr>
              <w:t>复合木地板</w:t>
            </w:r>
          </w:p>
        </w:tc>
        <w:tc>
          <w:tcPr>
            <w:tcW w:w="603" w:type="dxa"/>
            <w:noWrap w:val="0"/>
            <w:vAlign w:val="center"/>
          </w:tcPr>
          <w:p w14:paraId="7D6FBE8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600" w:type="dxa"/>
            <w:noWrap w:val="0"/>
            <w:vAlign w:val="center"/>
          </w:tcPr>
          <w:p w14:paraId="6AFD528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1110" w:type="dxa"/>
            <w:noWrap w:val="0"/>
            <w:vAlign w:val="center"/>
          </w:tcPr>
          <w:p w14:paraId="7849EBB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635" w:type="dxa"/>
            <w:noWrap w:val="0"/>
            <w:vAlign w:val="center"/>
          </w:tcPr>
          <w:p w14:paraId="0FEB4B66">
            <w:pPr>
              <w:jc w:val="center"/>
              <w:rPr>
                <w:rFonts w:hint="eastAsia" w:ascii="宋体" w:hAnsi="宋体" w:eastAsia="宋体" w:cs="宋体"/>
                <w:color w:val="auto"/>
                <w:sz w:val="21"/>
                <w:szCs w:val="21"/>
                <w:highlight w:val="none"/>
              </w:rPr>
            </w:pPr>
          </w:p>
        </w:tc>
      </w:tr>
      <w:tr w14:paraId="20660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2478CA7">
            <w:pPr>
              <w:numPr>
                <w:ilvl w:val="0"/>
                <w:numId w:val="0"/>
              </w:numPr>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46350AD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舞蹈把杆</w:t>
            </w:r>
          </w:p>
        </w:tc>
        <w:tc>
          <w:tcPr>
            <w:tcW w:w="5472" w:type="dxa"/>
            <w:noWrap w:val="0"/>
            <w:vAlign w:val="center"/>
          </w:tcPr>
          <w:p w14:paraId="20B5814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3.5米固定杆</w:t>
            </w:r>
          </w:p>
        </w:tc>
        <w:tc>
          <w:tcPr>
            <w:tcW w:w="603" w:type="dxa"/>
            <w:noWrap w:val="0"/>
            <w:vAlign w:val="center"/>
          </w:tcPr>
          <w:p w14:paraId="079A027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600" w:type="dxa"/>
            <w:noWrap w:val="0"/>
            <w:vAlign w:val="center"/>
          </w:tcPr>
          <w:p w14:paraId="7CAFF70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根</w:t>
            </w:r>
          </w:p>
        </w:tc>
        <w:tc>
          <w:tcPr>
            <w:tcW w:w="1110" w:type="dxa"/>
            <w:noWrap w:val="0"/>
            <w:vAlign w:val="center"/>
          </w:tcPr>
          <w:p w14:paraId="2525D62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469</w:t>
            </w:r>
          </w:p>
        </w:tc>
        <w:tc>
          <w:tcPr>
            <w:tcW w:w="635" w:type="dxa"/>
            <w:noWrap w:val="0"/>
            <w:vAlign w:val="center"/>
          </w:tcPr>
          <w:p w14:paraId="625498A9">
            <w:pPr>
              <w:jc w:val="center"/>
              <w:rPr>
                <w:rFonts w:hint="eastAsia" w:ascii="宋体" w:hAnsi="宋体" w:eastAsia="宋体" w:cs="宋体"/>
                <w:color w:val="auto"/>
                <w:sz w:val="21"/>
                <w:szCs w:val="21"/>
                <w:highlight w:val="none"/>
              </w:rPr>
            </w:pPr>
          </w:p>
        </w:tc>
      </w:tr>
      <w:tr w14:paraId="16643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3" w:hRule="atLeast"/>
        </w:trPr>
        <w:tc>
          <w:tcPr>
            <w:tcW w:w="555" w:type="dxa"/>
            <w:noWrap w:val="0"/>
            <w:vAlign w:val="center"/>
          </w:tcPr>
          <w:p w14:paraId="19606831">
            <w:pPr>
              <w:numPr>
                <w:ilvl w:val="0"/>
                <w:numId w:val="0"/>
              </w:numPr>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0C255547">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w:t>
            </w:r>
          </w:p>
        </w:tc>
        <w:tc>
          <w:tcPr>
            <w:tcW w:w="5472" w:type="dxa"/>
            <w:noWrap w:val="0"/>
            <w:vAlign w:val="center"/>
          </w:tcPr>
          <w:p w14:paraId="0E1317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4C4AE478">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61B60CCC">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33FF34A9">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2EC5F369">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1D66CCC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3FB4456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37241DE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2E161BD0">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6DED8ED8">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3745219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36BC9B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5DCB86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124606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2F3C721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10B36D5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52DBC57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049F32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20C951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011F76F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4592FF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322FFD4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5F0048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512C02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7D11C7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58412A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2CE7BED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1A0A9A6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21F176E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05D5BB3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428EDF3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0EA4021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0774F62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742A29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0FFBD57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11BBFE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55F5B05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3A71F5D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77F44E1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131647F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60CFA6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1D0A3B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33686F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57F6541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100BBD3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1C15A5F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1AFCB33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1BA1B45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704725A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3A33514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66B62CC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1141E7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29DA47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01D29C7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4E8163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0E2E79A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23F629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4F3CA4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221FA5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2D77DA4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2FCCB7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6D5A41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0C7978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3651BE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52A1D2F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7864C7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377C2A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261601A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1E2B93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715562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71CEC4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086ADB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2905061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421851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37ECD7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093A01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00BC1B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65FF5E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5E92203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11269B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27354B5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6ECB651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363F163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7E14060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2F94732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0B5959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275B8E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0EB677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148927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0C6B797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55BAD0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7D014C1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3E4CDC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793436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64F1102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3AD72B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30FFDD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1DD149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1A659E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6AA9D9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0ACFD6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5941167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3AC4881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20B3AC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2CA8A1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1FB224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0871B4B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7BA92F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6D23E4D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53D00A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7173FCA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37EFA7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3E88B8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71110C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6D75C3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4413148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77CA7B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1297038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52BAC73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1F99D0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64573B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1E8E2A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2C9E81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34B80CA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3F5861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1745BD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7A2C48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26B217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2A258D7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2501F7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7009FB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72ED32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414B70F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5A9A93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2B98BD3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53F26F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186F02F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7F02917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76D9F6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6F53AA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2B8E0D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135542F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0F832E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0F70DA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2A0CEDA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28E497B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3FE4095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32DD7F0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5FE1B9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2EF2DF7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16A9853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725F8E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0979A3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4A2B18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179E281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0B2BA07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1C59CF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72BD43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164A11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32BFC8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60A6E4CE">
            <w:pPr>
              <w:spacing w:line="240" w:lineRule="auto"/>
              <w:ind w:left="0" w:leftChars="0" w:firstLine="0" w:firstLineChars="0"/>
              <w:jc w:val="both"/>
              <w:rPr>
                <w:rFonts w:hint="eastAsia" w:eastAsia="宋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3CA7BA3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DE9BF9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7028B25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24400</w:t>
            </w:r>
          </w:p>
        </w:tc>
        <w:tc>
          <w:tcPr>
            <w:tcW w:w="635" w:type="dxa"/>
            <w:noWrap w:val="0"/>
            <w:vAlign w:val="center"/>
          </w:tcPr>
          <w:p w14:paraId="43D8BFF0">
            <w:pPr>
              <w:jc w:val="center"/>
              <w:rPr>
                <w:rFonts w:hint="eastAsia" w:ascii="宋体" w:hAnsi="宋体" w:eastAsia="宋体" w:cs="宋体"/>
                <w:color w:val="auto"/>
                <w:sz w:val="21"/>
                <w:szCs w:val="21"/>
                <w:highlight w:val="none"/>
              </w:rPr>
            </w:pPr>
          </w:p>
        </w:tc>
      </w:tr>
      <w:tr w14:paraId="66743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9DB9C2">
            <w:pPr>
              <w:numPr>
                <w:ilvl w:val="0"/>
                <w:numId w:val="0"/>
              </w:numPr>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462</w:t>
            </w:r>
          </w:p>
        </w:tc>
        <w:tc>
          <w:tcPr>
            <w:tcW w:w="1245" w:type="dxa"/>
            <w:noWrap w:val="0"/>
            <w:vAlign w:val="center"/>
          </w:tcPr>
          <w:p w14:paraId="58999958">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高清壁挂展台</w:t>
            </w:r>
          </w:p>
        </w:tc>
        <w:tc>
          <w:tcPr>
            <w:tcW w:w="5472" w:type="dxa"/>
            <w:noWrap w:val="0"/>
            <w:vAlign w:val="center"/>
          </w:tcPr>
          <w:p w14:paraId="44C86EE6">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智慧黑板同品牌高清壁挂展台</w:t>
            </w:r>
          </w:p>
          <w:p w14:paraId="7321934A">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一）硬件部分：</w:t>
            </w:r>
          </w:p>
          <w:p w14:paraId="60DAE28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1、整机采用圆弧式设计，无锐角；同时托板采用磁吸吸附式机构，防止托板打落，方便打开及固定，避免机械式锁具故障率高的问题。</w:t>
            </w:r>
          </w:p>
          <w:p w14:paraId="4AFA6F3B">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2、采用≥800万像素摄像头；采用 USB五伏电源直接供电，无需额外配置电源适配器，环保无辐射；箱内USB连线采用隐藏式设计，箱内无可见连线且USB口下出，有效防止积尘，且方便布线和返修。</w:t>
            </w:r>
          </w:p>
          <w:p w14:paraId="5AA35DF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3、A4大小拍摄幅面，1080P动态视频预览达到30帧/秒；托板及挂墙部分采用金属加强，托板可承重3kg，整机壁挂式安装。</w:t>
            </w:r>
          </w:p>
          <w:p w14:paraId="22E85753">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4、支持展台成像画面实时批注，预设多种笔划粗细及颜色供选择，且支持对展台成像画面联同批注内容进行同步缩放、移动。</w:t>
            </w:r>
          </w:p>
          <w:p w14:paraId="5C73531E">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5、展示托板正上方具备LED补光灯，保证展示区域的亮度及展示效果，补光灯开关采用触摸按键设计，同时可通过交互智能平板中的软件直接控制开关。</w:t>
            </w:r>
          </w:p>
          <w:p w14:paraId="78258D9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6、带自动对焦摄像头；外壳在摄像头部分带保护镜片密封，防止灰尘沾染摄像头，防护等级达到IP4X级别。</w:t>
            </w:r>
          </w:p>
          <w:p w14:paraId="7367B43E">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7、具有故障自动检测功能：在调用展台却无法出现镜头采集画面信号时，可自动出现检测链接，并给出导致性原因（如硬件连接、摄像头占用、配套软件版本等问题）。</w:t>
            </w:r>
          </w:p>
          <w:p w14:paraId="408B13A4">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（二）软件部分：</w:t>
            </w:r>
          </w:p>
          <w:p w14:paraId="44140E1D">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1、支持对展台实时画面进行放大、缩小、旋转、自适应、冻结画面等操作。</w:t>
            </w:r>
          </w:p>
          <w:p w14:paraId="37EB15C0">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2、支持展台画面实时批注，预设多种笔划粗细及颜色供选择，且支持对展台画面联同批注内容进行同步缩放、移动。</w:t>
            </w:r>
          </w:p>
          <w:p w14:paraId="4CFB176C">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3、支持展台画面拍照截图并进行多图预览，可对任一图片进行全屏显示。</w:t>
            </w:r>
          </w:p>
          <w:p w14:paraId="1C1F39E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4、老师可在一体机或电脑上选择延时拍照功能，支持5秒或10秒延时模式，预留充足时间以便调整拍摄内容。</w:t>
            </w:r>
          </w:p>
          <w:p w14:paraId="65EBEA8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5、可选择图像、文本或动态三种情景模式，适应不同展示内容。</w:t>
            </w:r>
          </w:p>
          <w:p w14:paraId="3404CEB0">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6、具备图像增强功能，可自动裁剪背景并增强文字显示，使文档画面更清晰。</w:t>
            </w:r>
          </w:p>
          <w:p w14:paraId="5B09351C">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7、支持故障自动检测，在软件无法出现展台拍摄画面时，自动出现检测链接，帮助用户检测“无画面”的原因，并给出引导性解决方案。可判断硬件连接、显卡驱动、摄像头占用、软件版本等问题。</w:t>
            </w:r>
          </w:p>
          <w:p w14:paraId="03687520">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5E1A353A">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6199F6F3">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442D51ED">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600</w:t>
            </w:r>
          </w:p>
        </w:tc>
        <w:tc>
          <w:tcPr>
            <w:tcW w:w="635" w:type="dxa"/>
            <w:noWrap w:val="0"/>
            <w:vAlign w:val="center"/>
          </w:tcPr>
          <w:p w14:paraId="2C6668AD">
            <w:pPr>
              <w:jc w:val="center"/>
              <w:rPr>
                <w:rFonts w:hint="eastAsia" w:ascii="宋体" w:hAnsi="宋体" w:eastAsia="宋体" w:cs="宋体"/>
                <w:color w:val="auto"/>
                <w:sz w:val="21"/>
                <w:szCs w:val="21"/>
                <w:highlight w:val="none"/>
              </w:rPr>
            </w:pPr>
          </w:p>
        </w:tc>
      </w:tr>
      <w:tr w14:paraId="55DAF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3DBE409C">
            <w:pPr>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206ADE57">
            <w:pPr>
              <w:jc w:val="center"/>
              <w:rPr>
                <w:rFonts w:hint="eastAsia" w:ascii="宋体" w:hAnsi="宋体" w:eastAsia="宋体" w:cs="宋体"/>
                <w:color w:val="auto"/>
                <w:sz w:val="21"/>
                <w:szCs w:val="21"/>
                <w:highlight w:val="none"/>
              </w:rPr>
            </w:pPr>
          </w:p>
        </w:tc>
        <w:tc>
          <w:tcPr>
            <w:tcW w:w="2313" w:type="dxa"/>
            <w:gridSpan w:val="3"/>
            <w:noWrap w:val="0"/>
            <w:vAlign w:val="center"/>
          </w:tcPr>
          <w:p w14:paraId="38EB6EEB">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67421.00</w:t>
            </w:r>
          </w:p>
        </w:tc>
        <w:tc>
          <w:tcPr>
            <w:tcW w:w="635" w:type="dxa"/>
            <w:noWrap w:val="0"/>
            <w:vAlign w:val="center"/>
          </w:tcPr>
          <w:p w14:paraId="3C32C5F0">
            <w:pPr>
              <w:jc w:val="center"/>
              <w:rPr>
                <w:rFonts w:hint="eastAsia" w:ascii="宋体" w:hAnsi="宋体" w:eastAsia="宋体" w:cs="宋体"/>
                <w:color w:val="auto"/>
                <w:sz w:val="21"/>
                <w:szCs w:val="21"/>
                <w:highlight w:val="none"/>
              </w:rPr>
            </w:pPr>
          </w:p>
        </w:tc>
      </w:tr>
      <w:tr w14:paraId="00FD9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0B96B9DF">
            <w:pPr>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w:t>
            </w:r>
            <w:r>
              <w:rPr>
                <w:rFonts w:hint="eastAsia" w:ascii="宋体" w:hAnsi="宋体" w:eastAsia="宋体" w:cs="宋体"/>
                <w:b/>
                <w:bCs/>
                <w:color w:val="auto"/>
                <w:sz w:val="21"/>
                <w:szCs w:val="21"/>
                <w:highlight w:val="none"/>
                <w:lang w:eastAsia="zh-CN"/>
              </w:rPr>
              <w:t>十</w:t>
            </w:r>
            <w:r>
              <w:rPr>
                <w:rFonts w:hint="eastAsia" w:ascii="宋体" w:hAnsi="宋体" w:cs="宋体"/>
                <w:b/>
                <w:bCs/>
                <w:color w:val="auto"/>
                <w:sz w:val="21"/>
                <w:szCs w:val="21"/>
                <w:highlight w:val="none"/>
                <w:lang w:eastAsia="zh-CN"/>
              </w:rPr>
              <w:t>一</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74E7A555">
            <w:pPr>
              <w:jc w:val="center"/>
              <w:rPr>
                <w:rFonts w:hint="eastAsia" w:ascii="宋体" w:hAnsi="宋体" w:eastAsia="宋体" w:cs="宋体"/>
                <w:color w:val="auto"/>
                <w:sz w:val="21"/>
                <w:szCs w:val="21"/>
                <w:highlight w:val="none"/>
              </w:rPr>
            </w:pPr>
          </w:p>
        </w:tc>
        <w:tc>
          <w:tcPr>
            <w:tcW w:w="2313" w:type="dxa"/>
            <w:gridSpan w:val="3"/>
            <w:noWrap w:val="0"/>
            <w:vAlign w:val="center"/>
          </w:tcPr>
          <w:p w14:paraId="23A505CD">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131931.00</w:t>
            </w:r>
          </w:p>
        </w:tc>
        <w:tc>
          <w:tcPr>
            <w:tcW w:w="635" w:type="dxa"/>
            <w:noWrap w:val="0"/>
            <w:vAlign w:val="center"/>
          </w:tcPr>
          <w:p w14:paraId="238D4470">
            <w:pPr>
              <w:jc w:val="center"/>
              <w:rPr>
                <w:rFonts w:hint="eastAsia" w:ascii="宋体" w:hAnsi="宋体" w:eastAsia="宋体" w:cs="宋体"/>
                <w:color w:val="auto"/>
                <w:sz w:val="21"/>
                <w:szCs w:val="21"/>
                <w:highlight w:val="none"/>
              </w:rPr>
            </w:pPr>
          </w:p>
        </w:tc>
      </w:tr>
      <w:tr w14:paraId="1B5F8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31727CE2">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eastAsia="zh-CN" w:bidi="ar"/>
              </w:rPr>
              <w:t>十</w:t>
            </w:r>
            <w:r>
              <w:rPr>
                <w:rFonts w:hint="eastAsia" w:ascii="宋体" w:hAnsi="宋体" w:cs="宋体"/>
                <w:b/>
                <w:bCs/>
                <w:color w:val="auto"/>
                <w:kern w:val="0"/>
                <w:sz w:val="21"/>
                <w:szCs w:val="21"/>
                <w:highlight w:val="none"/>
                <w:lang w:eastAsia="zh-CN" w:bidi="ar"/>
              </w:rPr>
              <w:t>二</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摄像头</w:t>
            </w:r>
          </w:p>
        </w:tc>
      </w:tr>
      <w:tr w14:paraId="7DFB8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8952615">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4DF8FEE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400万枪机</w:t>
            </w:r>
          </w:p>
        </w:tc>
        <w:tc>
          <w:tcPr>
            <w:tcW w:w="5472" w:type="dxa"/>
            <w:noWrap w:val="0"/>
            <w:vAlign w:val="center"/>
          </w:tcPr>
          <w:p w14:paraId="0A76C0E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400W1/2.8”</w:t>
            </w:r>
            <w:r>
              <w:rPr>
                <w:rStyle w:val="240"/>
                <w:rFonts w:hint="eastAsia" w:ascii="宋体" w:hAnsi="宋体" w:eastAsia="宋体" w:cs="宋体"/>
                <w:color w:val="auto"/>
                <w:sz w:val="21"/>
                <w:szCs w:val="21"/>
                <w:highlight w:val="none"/>
                <w:lang w:val="en-US" w:eastAsia="zh-CN" w:bidi="ar"/>
              </w:rPr>
              <w:t xml:space="preserve"> Progressive Scan CMOS日夜型筒型支持smart IR,防止夜间红外过曝网络摄像机适用于室内光线较暗或无光照环境且要求高清画质的场所，适合逆光环境。</w:t>
            </w:r>
            <w:r>
              <w:rPr>
                <w:rFonts w:hint="eastAsia" w:ascii="宋体" w:hAnsi="宋体" w:eastAsia="宋体" w:cs="宋体"/>
                <w:i w:val="0"/>
                <w:iCs w:val="0"/>
                <w:color w:val="auto"/>
                <w:kern w:val="0"/>
                <w:sz w:val="21"/>
                <w:szCs w:val="21"/>
                <w:highlight w:val="none"/>
                <w:u w:val="none"/>
                <w:lang w:val="en-US" w:eastAsia="zh-CN" w:bidi="ar"/>
              </w:rPr>
              <w:t xml:space="preserve">红外30米 </w:t>
            </w:r>
            <w:r>
              <w:rPr>
                <w:rStyle w:val="240"/>
                <w:rFonts w:hint="eastAsia" w:ascii="宋体" w:hAnsi="宋体" w:eastAsia="宋体" w:cs="宋体"/>
                <w:color w:val="auto"/>
                <w:sz w:val="21"/>
                <w:szCs w:val="21"/>
                <w:highlight w:val="none"/>
                <w:lang w:val="en-US" w:eastAsia="zh-CN" w:bidi="ar"/>
              </w:rPr>
              <w:t>支持POE H265</w:t>
            </w:r>
          </w:p>
        </w:tc>
        <w:tc>
          <w:tcPr>
            <w:tcW w:w="603" w:type="dxa"/>
            <w:noWrap w:val="0"/>
            <w:vAlign w:val="center"/>
          </w:tcPr>
          <w:p w14:paraId="6650E2B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600" w:type="dxa"/>
            <w:noWrap w:val="0"/>
            <w:vAlign w:val="center"/>
          </w:tcPr>
          <w:p w14:paraId="08F5017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1C2554A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395</w:t>
            </w:r>
          </w:p>
        </w:tc>
        <w:tc>
          <w:tcPr>
            <w:tcW w:w="635" w:type="dxa"/>
            <w:noWrap w:val="0"/>
            <w:vAlign w:val="center"/>
          </w:tcPr>
          <w:p w14:paraId="4D4C7FBF">
            <w:pPr>
              <w:spacing w:before="65" w:line="189" w:lineRule="auto"/>
              <w:ind w:left="182"/>
              <w:jc w:val="center"/>
              <w:rPr>
                <w:rFonts w:hint="eastAsia" w:ascii="宋体" w:hAnsi="宋体" w:eastAsia="宋体" w:cs="宋体"/>
                <w:color w:val="auto"/>
                <w:sz w:val="21"/>
                <w:szCs w:val="21"/>
                <w:highlight w:val="none"/>
              </w:rPr>
            </w:pPr>
          </w:p>
        </w:tc>
      </w:tr>
      <w:tr w14:paraId="48D18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top"/>
          </w:tcPr>
          <w:p w14:paraId="6DD80848">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26DFFA5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监控支架</w:t>
            </w:r>
          </w:p>
        </w:tc>
        <w:tc>
          <w:tcPr>
            <w:tcW w:w="5472" w:type="dxa"/>
            <w:noWrap w:val="0"/>
            <w:vAlign w:val="center"/>
          </w:tcPr>
          <w:p w14:paraId="194C187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监控专用支架</w:t>
            </w:r>
          </w:p>
        </w:tc>
        <w:tc>
          <w:tcPr>
            <w:tcW w:w="603" w:type="dxa"/>
            <w:noWrap w:val="0"/>
            <w:vAlign w:val="center"/>
          </w:tcPr>
          <w:p w14:paraId="40CF3ED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600" w:type="dxa"/>
            <w:noWrap w:val="0"/>
            <w:vAlign w:val="center"/>
          </w:tcPr>
          <w:p w14:paraId="0F5EF9C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142AA94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635" w:type="dxa"/>
            <w:noWrap w:val="0"/>
            <w:vAlign w:val="center"/>
          </w:tcPr>
          <w:p w14:paraId="603CA900">
            <w:pPr>
              <w:spacing w:before="65" w:line="189" w:lineRule="auto"/>
              <w:ind w:left="182"/>
              <w:jc w:val="center"/>
              <w:rPr>
                <w:rFonts w:hint="eastAsia" w:ascii="宋体" w:hAnsi="宋体" w:eastAsia="宋体" w:cs="宋体"/>
                <w:color w:val="auto"/>
                <w:sz w:val="21"/>
                <w:szCs w:val="21"/>
                <w:highlight w:val="none"/>
              </w:rPr>
            </w:pPr>
          </w:p>
        </w:tc>
      </w:tr>
      <w:tr w14:paraId="6E76C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0031CDF">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3E7494B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录像机</w:t>
            </w:r>
          </w:p>
        </w:tc>
        <w:tc>
          <w:tcPr>
            <w:tcW w:w="5472" w:type="dxa"/>
            <w:noWrap w:val="0"/>
            <w:vAlign w:val="center"/>
          </w:tcPr>
          <w:p w14:paraId="24DD9BE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32路；可接驳符合 ONVIF、RTSP 标准及众多主流厂商的网络摄像机；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 800W 高清网络视频的预览、存储与回放；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 H.265、H.264 编码前端自适应接入；</w:t>
            </w:r>
          </w:p>
        </w:tc>
        <w:tc>
          <w:tcPr>
            <w:tcW w:w="603" w:type="dxa"/>
            <w:noWrap w:val="0"/>
            <w:vAlign w:val="center"/>
          </w:tcPr>
          <w:p w14:paraId="1EF0AA7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554DAAA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39DFC62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1400</w:t>
            </w:r>
          </w:p>
        </w:tc>
        <w:tc>
          <w:tcPr>
            <w:tcW w:w="635" w:type="dxa"/>
            <w:noWrap w:val="0"/>
            <w:vAlign w:val="center"/>
          </w:tcPr>
          <w:p w14:paraId="285040F6">
            <w:pPr>
              <w:spacing w:before="65" w:line="189" w:lineRule="auto"/>
              <w:ind w:left="182"/>
              <w:jc w:val="center"/>
              <w:rPr>
                <w:rFonts w:hint="eastAsia" w:ascii="宋体" w:hAnsi="宋体" w:eastAsia="宋体" w:cs="宋体"/>
                <w:color w:val="auto"/>
                <w:sz w:val="21"/>
                <w:szCs w:val="21"/>
                <w:highlight w:val="none"/>
              </w:rPr>
            </w:pPr>
          </w:p>
        </w:tc>
      </w:tr>
      <w:tr w14:paraId="305CC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top"/>
          </w:tcPr>
          <w:p w14:paraId="56E9B845">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09231E1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监控硬盘</w:t>
            </w:r>
          </w:p>
        </w:tc>
        <w:tc>
          <w:tcPr>
            <w:tcW w:w="5472" w:type="dxa"/>
            <w:noWrap w:val="0"/>
            <w:vAlign w:val="center"/>
          </w:tcPr>
          <w:p w14:paraId="62ED41A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8T</w:t>
            </w:r>
          </w:p>
        </w:tc>
        <w:tc>
          <w:tcPr>
            <w:tcW w:w="603" w:type="dxa"/>
            <w:noWrap w:val="0"/>
            <w:vAlign w:val="center"/>
          </w:tcPr>
          <w:p w14:paraId="0590C6D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00" w:type="dxa"/>
            <w:noWrap w:val="0"/>
            <w:vAlign w:val="center"/>
          </w:tcPr>
          <w:p w14:paraId="4039CDC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787B5FB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635" w:type="dxa"/>
            <w:noWrap w:val="0"/>
            <w:vAlign w:val="center"/>
          </w:tcPr>
          <w:p w14:paraId="737DC198">
            <w:pPr>
              <w:spacing w:before="65" w:line="189" w:lineRule="auto"/>
              <w:ind w:left="182"/>
              <w:jc w:val="center"/>
              <w:rPr>
                <w:rFonts w:hint="eastAsia" w:ascii="宋体" w:hAnsi="宋体" w:eastAsia="宋体" w:cs="宋体"/>
                <w:color w:val="auto"/>
                <w:sz w:val="21"/>
                <w:szCs w:val="21"/>
                <w:highlight w:val="none"/>
              </w:rPr>
            </w:pPr>
          </w:p>
        </w:tc>
      </w:tr>
      <w:tr w14:paraId="01B56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top"/>
          </w:tcPr>
          <w:p w14:paraId="0D7FA9EF">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5145FFF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网线</w:t>
            </w:r>
          </w:p>
        </w:tc>
        <w:tc>
          <w:tcPr>
            <w:tcW w:w="5472" w:type="dxa"/>
            <w:noWrap w:val="0"/>
            <w:vAlign w:val="center"/>
          </w:tcPr>
          <w:p w14:paraId="02EB766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超5类</w:t>
            </w:r>
          </w:p>
        </w:tc>
        <w:tc>
          <w:tcPr>
            <w:tcW w:w="603" w:type="dxa"/>
            <w:noWrap w:val="0"/>
            <w:vAlign w:val="center"/>
          </w:tcPr>
          <w:p w14:paraId="41DB616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1900</w:t>
            </w:r>
          </w:p>
        </w:tc>
        <w:tc>
          <w:tcPr>
            <w:tcW w:w="600" w:type="dxa"/>
            <w:noWrap w:val="0"/>
            <w:vAlign w:val="center"/>
          </w:tcPr>
          <w:p w14:paraId="3A9F495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10" w:type="dxa"/>
            <w:noWrap w:val="0"/>
            <w:vAlign w:val="center"/>
          </w:tcPr>
          <w:p w14:paraId="05705D0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35" w:type="dxa"/>
            <w:noWrap w:val="0"/>
            <w:vAlign w:val="center"/>
          </w:tcPr>
          <w:p w14:paraId="62D72FE0">
            <w:pPr>
              <w:spacing w:before="65" w:line="189" w:lineRule="auto"/>
              <w:ind w:left="182"/>
              <w:jc w:val="center"/>
              <w:rPr>
                <w:rFonts w:hint="eastAsia" w:ascii="宋体" w:hAnsi="宋体" w:eastAsia="宋体" w:cs="宋体"/>
                <w:color w:val="auto"/>
                <w:sz w:val="21"/>
                <w:szCs w:val="21"/>
                <w:highlight w:val="none"/>
              </w:rPr>
            </w:pPr>
          </w:p>
        </w:tc>
      </w:tr>
      <w:tr w14:paraId="5EB06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top"/>
          </w:tcPr>
          <w:p w14:paraId="5421F387">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3374F21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交换机</w:t>
            </w:r>
          </w:p>
        </w:tc>
        <w:tc>
          <w:tcPr>
            <w:tcW w:w="5472" w:type="dxa"/>
            <w:noWrap w:val="0"/>
            <w:vAlign w:val="center"/>
          </w:tcPr>
          <w:p w14:paraId="05EB6CD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10口百M/POE交换机/功率240W)</w:t>
            </w:r>
          </w:p>
        </w:tc>
        <w:tc>
          <w:tcPr>
            <w:tcW w:w="603" w:type="dxa"/>
            <w:noWrap w:val="0"/>
            <w:vAlign w:val="center"/>
          </w:tcPr>
          <w:p w14:paraId="134FE78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00" w:type="dxa"/>
            <w:noWrap w:val="0"/>
            <w:vAlign w:val="center"/>
          </w:tcPr>
          <w:p w14:paraId="2016362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474BC61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395</w:t>
            </w:r>
          </w:p>
        </w:tc>
        <w:tc>
          <w:tcPr>
            <w:tcW w:w="635" w:type="dxa"/>
            <w:noWrap w:val="0"/>
            <w:vAlign w:val="center"/>
          </w:tcPr>
          <w:p w14:paraId="6CAD6B2E">
            <w:pPr>
              <w:spacing w:before="65" w:line="189" w:lineRule="auto"/>
              <w:ind w:left="182"/>
              <w:jc w:val="center"/>
              <w:rPr>
                <w:rFonts w:hint="eastAsia" w:ascii="宋体" w:hAnsi="宋体" w:eastAsia="宋体" w:cs="宋体"/>
                <w:color w:val="auto"/>
                <w:sz w:val="21"/>
                <w:szCs w:val="21"/>
                <w:highlight w:val="none"/>
              </w:rPr>
            </w:pPr>
          </w:p>
        </w:tc>
      </w:tr>
      <w:tr w14:paraId="41E7F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F508255">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33B3C8F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监视器</w:t>
            </w:r>
          </w:p>
        </w:tc>
        <w:tc>
          <w:tcPr>
            <w:tcW w:w="5472" w:type="dxa"/>
            <w:noWrap w:val="0"/>
            <w:vAlign w:val="center"/>
          </w:tcPr>
          <w:p w14:paraId="6854F11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27寸</w:t>
            </w:r>
          </w:p>
          <w:p w14:paraId="2093C696">
            <w:pPr>
              <w:spacing w:line="240" w:lineRule="auto"/>
              <w:ind w:left="0" w:leftChars="0" w:firstLine="0" w:firstLineChars="0"/>
              <w:jc w:val="both"/>
              <w:rPr>
                <w:rFonts w:hint="eastAsia" w:ascii="宋体" w:hAnsi="宋体" w:eastAsia="宋体" w:cs="宋体"/>
                <w:i w:val="0"/>
                <w:iCs w:val="0"/>
                <w:color w:val="auto"/>
                <w:kern w:val="0"/>
                <w:sz w:val="21"/>
                <w:szCs w:val="21"/>
                <w:highlight w:val="none"/>
                <w:u w:val="none"/>
                <w:lang w:val="en-US" w:eastAsia="zh-CN" w:bidi="ar"/>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1702DF8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CF5CFC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759C174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990</w:t>
            </w:r>
          </w:p>
        </w:tc>
        <w:tc>
          <w:tcPr>
            <w:tcW w:w="635" w:type="dxa"/>
            <w:noWrap w:val="0"/>
            <w:vAlign w:val="center"/>
          </w:tcPr>
          <w:p w14:paraId="18203901">
            <w:pPr>
              <w:spacing w:before="65" w:line="189" w:lineRule="auto"/>
              <w:ind w:left="182"/>
              <w:jc w:val="center"/>
              <w:rPr>
                <w:rFonts w:hint="eastAsia" w:ascii="宋体" w:hAnsi="宋体" w:eastAsia="宋体" w:cs="宋体"/>
                <w:color w:val="auto"/>
                <w:sz w:val="21"/>
                <w:szCs w:val="21"/>
                <w:highlight w:val="none"/>
              </w:rPr>
            </w:pPr>
          </w:p>
        </w:tc>
      </w:tr>
      <w:tr w14:paraId="4A954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top"/>
          </w:tcPr>
          <w:p w14:paraId="4E52355D">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7</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7CFA449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辅材</w:t>
            </w:r>
          </w:p>
        </w:tc>
        <w:tc>
          <w:tcPr>
            <w:tcW w:w="5472" w:type="dxa"/>
            <w:noWrap w:val="0"/>
            <w:vAlign w:val="center"/>
          </w:tcPr>
          <w:p w14:paraId="03B223E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直通，弯头，波纹管，线卡，电工胶，小五金，扎带，水晶头等。</w:t>
            </w:r>
          </w:p>
        </w:tc>
        <w:tc>
          <w:tcPr>
            <w:tcW w:w="603" w:type="dxa"/>
            <w:noWrap w:val="0"/>
            <w:vAlign w:val="center"/>
          </w:tcPr>
          <w:p w14:paraId="22D641E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629F027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1273075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635" w:type="dxa"/>
            <w:noWrap w:val="0"/>
            <w:vAlign w:val="center"/>
          </w:tcPr>
          <w:p w14:paraId="706AF4DA">
            <w:pPr>
              <w:spacing w:before="65" w:line="189" w:lineRule="auto"/>
              <w:ind w:left="182"/>
              <w:jc w:val="center"/>
              <w:rPr>
                <w:rFonts w:hint="eastAsia" w:ascii="宋体" w:hAnsi="宋体" w:eastAsia="宋体" w:cs="宋体"/>
                <w:color w:val="auto"/>
                <w:sz w:val="21"/>
                <w:szCs w:val="21"/>
                <w:highlight w:val="none"/>
              </w:rPr>
            </w:pPr>
          </w:p>
        </w:tc>
      </w:tr>
      <w:tr w14:paraId="1421C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555" w:type="dxa"/>
            <w:noWrap w:val="0"/>
            <w:vAlign w:val="top"/>
          </w:tcPr>
          <w:p w14:paraId="59E41F98">
            <w:pPr>
              <w:numPr>
                <w:ilvl w:val="0"/>
                <w:numId w:val="0"/>
              </w:numPr>
              <w:spacing w:before="65" w:line="185" w:lineRule="auto"/>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471</w:t>
            </w:r>
          </w:p>
        </w:tc>
        <w:tc>
          <w:tcPr>
            <w:tcW w:w="1245" w:type="dxa"/>
            <w:noWrap w:val="0"/>
            <w:vAlign w:val="center"/>
          </w:tcPr>
          <w:p w14:paraId="236197F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人工安装调试</w:t>
            </w:r>
          </w:p>
        </w:tc>
        <w:tc>
          <w:tcPr>
            <w:tcW w:w="5472" w:type="dxa"/>
            <w:noWrap w:val="0"/>
            <w:vAlign w:val="center"/>
          </w:tcPr>
          <w:p w14:paraId="7E201FC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设备安装 调试。</w:t>
            </w:r>
          </w:p>
        </w:tc>
        <w:tc>
          <w:tcPr>
            <w:tcW w:w="603" w:type="dxa"/>
            <w:noWrap w:val="0"/>
            <w:vAlign w:val="center"/>
          </w:tcPr>
          <w:p w14:paraId="4F24FF3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4878C43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46AE682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3100</w:t>
            </w:r>
          </w:p>
        </w:tc>
        <w:tc>
          <w:tcPr>
            <w:tcW w:w="635" w:type="dxa"/>
            <w:noWrap w:val="0"/>
            <w:vAlign w:val="center"/>
          </w:tcPr>
          <w:p w14:paraId="11541222">
            <w:pPr>
              <w:spacing w:before="65" w:line="189" w:lineRule="auto"/>
              <w:ind w:left="182"/>
              <w:jc w:val="center"/>
              <w:rPr>
                <w:rFonts w:hint="eastAsia" w:ascii="宋体" w:hAnsi="宋体" w:eastAsia="宋体" w:cs="宋体"/>
                <w:color w:val="auto"/>
                <w:sz w:val="21"/>
                <w:szCs w:val="21"/>
                <w:highlight w:val="none"/>
              </w:rPr>
            </w:pPr>
          </w:p>
        </w:tc>
      </w:tr>
      <w:tr w14:paraId="614FC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595EA1C1">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第十二</w:t>
            </w: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30F1D45A">
            <w:pPr>
              <w:keepNext w:val="0"/>
              <w:keepLines w:val="0"/>
              <w:widowControl/>
              <w:suppressLineNumbers w:val="0"/>
              <w:ind w:firstLine="420" w:firstLineChars="200"/>
              <w:jc w:val="left"/>
              <w:textAlignment w:val="center"/>
              <w:rPr>
                <w:rFonts w:hint="eastAsia" w:ascii="宋体" w:hAnsi="宋体" w:eastAsia="宋体" w:cs="宋体"/>
                <w:color w:val="auto"/>
                <w:sz w:val="21"/>
                <w:szCs w:val="21"/>
                <w:highlight w:val="none"/>
              </w:rPr>
            </w:pPr>
          </w:p>
        </w:tc>
        <w:tc>
          <w:tcPr>
            <w:tcW w:w="2313" w:type="dxa"/>
            <w:gridSpan w:val="3"/>
            <w:noWrap w:val="0"/>
            <w:vAlign w:val="center"/>
          </w:tcPr>
          <w:p w14:paraId="2839932A">
            <w:pPr>
              <w:keepNext w:val="0"/>
              <w:keepLines w:val="0"/>
              <w:widowControl/>
              <w:suppressLineNumbers w:val="0"/>
              <w:ind w:firstLine="420" w:firstLineChars="20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29378.00</w:t>
            </w:r>
          </w:p>
        </w:tc>
        <w:tc>
          <w:tcPr>
            <w:tcW w:w="635" w:type="dxa"/>
            <w:noWrap w:val="0"/>
            <w:vAlign w:val="center"/>
          </w:tcPr>
          <w:p w14:paraId="5E45D332">
            <w:pPr>
              <w:spacing w:before="65" w:line="189" w:lineRule="auto"/>
              <w:ind w:left="182"/>
              <w:jc w:val="center"/>
              <w:rPr>
                <w:rFonts w:hint="eastAsia" w:ascii="宋体" w:hAnsi="宋体" w:eastAsia="宋体" w:cs="宋体"/>
                <w:color w:val="auto"/>
                <w:sz w:val="21"/>
                <w:szCs w:val="21"/>
                <w:highlight w:val="none"/>
              </w:rPr>
            </w:pPr>
          </w:p>
        </w:tc>
      </w:tr>
      <w:tr w14:paraId="7F2DC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51CACE9">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eastAsia="zh-CN" w:bidi="ar"/>
              </w:rPr>
              <w:t>十</w:t>
            </w:r>
            <w:r>
              <w:rPr>
                <w:rFonts w:hint="eastAsia" w:ascii="宋体" w:hAnsi="宋体" w:cs="宋体"/>
                <w:b/>
                <w:bCs/>
                <w:color w:val="auto"/>
                <w:kern w:val="0"/>
                <w:sz w:val="21"/>
                <w:szCs w:val="21"/>
                <w:highlight w:val="none"/>
                <w:lang w:eastAsia="zh-CN" w:bidi="ar"/>
              </w:rPr>
              <w:t>三</w:t>
            </w:r>
            <w:r>
              <w:rPr>
                <w:rFonts w:hint="eastAsia" w:ascii="宋体" w:hAnsi="宋体" w:eastAsia="宋体" w:cs="宋体"/>
                <w:b/>
                <w:bCs/>
                <w:color w:val="auto"/>
                <w:kern w:val="0"/>
                <w:sz w:val="21"/>
                <w:szCs w:val="21"/>
                <w:highlight w:val="none"/>
                <w:lang w:bidi="ar"/>
              </w:rPr>
              <w:t>、</w:t>
            </w:r>
            <w:r>
              <w:rPr>
                <w:rFonts w:hint="eastAsia" w:ascii="宋体" w:hAnsi="宋体" w:cs="宋体"/>
                <w:b/>
                <w:bCs/>
                <w:color w:val="auto"/>
                <w:kern w:val="0"/>
                <w:sz w:val="21"/>
                <w:szCs w:val="21"/>
                <w:highlight w:val="none"/>
                <w:lang w:val="en-US" w:eastAsia="zh-CN" w:bidi="ar"/>
              </w:rPr>
              <w:t>科技角</w:t>
            </w:r>
          </w:p>
        </w:tc>
      </w:tr>
      <w:tr w14:paraId="7F71E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0D86834">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7</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5AF397EA">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嵌入式</w:t>
            </w:r>
            <w:r>
              <w:rPr>
                <w:rFonts w:hint="eastAsia" w:ascii="宋体" w:hAnsi="宋体" w:eastAsia="宋体" w:cs="宋体"/>
                <w:color w:val="auto"/>
                <w:sz w:val="21"/>
                <w:szCs w:val="21"/>
                <w:highlight w:val="none"/>
                <w:lang w:eastAsia="zh-CN"/>
              </w:rPr>
              <w:t>科普自助交互终端机</w:t>
            </w:r>
          </w:p>
        </w:tc>
        <w:tc>
          <w:tcPr>
            <w:tcW w:w="5472" w:type="dxa"/>
            <w:noWrap w:val="0"/>
            <w:vAlign w:val="center"/>
          </w:tcPr>
          <w:p w14:paraId="3A521E9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 整机结构与显示规格</w:t>
            </w:r>
          </w:p>
          <w:p w14:paraId="342DF74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1.结构设计：</w:t>
            </w:r>
          </w:p>
          <w:p w14:paraId="14BE781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整机采用卧式触控查询机造型，全金属外壳结构，背板及框架为金属材质，具备电磁屏蔽功能。 屏幕倾斜角度符合人体工学，适于站立触控操作。屏幕边缘采用圆角包边防护设计，无推拉式结构，外部无可见内部功能模块连接线。</w:t>
            </w:r>
          </w:p>
          <w:p w14:paraId="48E485F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整机高度≥900mm。</w:t>
            </w:r>
          </w:p>
          <w:p w14:paraId="7B931BAA">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2.显示性能：</w:t>
            </w:r>
          </w:p>
          <w:p w14:paraId="7F0620A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屏幕尺寸 ≥ 50英寸，采用超高清LED液晶显示屏。</w:t>
            </w:r>
          </w:p>
          <w:p w14:paraId="5AC4207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显示比例：16:9，物理分辨率：3840 × 2160（4K UHD）。</w:t>
            </w:r>
          </w:p>
          <w:p w14:paraId="5BC8516A">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色域覆盖率（NTSC）≥ 72%，灰度等级 ≥ 256级。</w:t>
            </w:r>
          </w:p>
          <w:p w14:paraId="1329BD7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可视角度178°全视角</w:t>
            </w:r>
          </w:p>
          <w:p w14:paraId="4616A6D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二、 触控性能</w:t>
            </w:r>
          </w:p>
          <w:p w14:paraId="7F61CE4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1.触控技术：采用电容，触摸分辨率≥32767*32767。可承受超过 6 千万次以上的单点触摸。</w:t>
            </w:r>
          </w:p>
          <w:p w14:paraId="1970DCA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2.触控识别高度：触控有效识别高度 ≤ 2mm。</w:t>
            </w:r>
          </w:p>
          <w:p w14:paraId="1FFFF55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3.系统兼容性：支持在Windows、Android、Linux、Mac OS、UOS、麒麟等操作系统中免驱使用触控功能。</w:t>
            </w:r>
          </w:p>
          <w:p w14:paraId="73D3676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三、 计算模块配置</w:t>
            </w:r>
          </w:p>
          <w:p w14:paraId="4214705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内置PC模块（OPS可插拔式）：</w:t>
            </w:r>
          </w:p>
          <w:p w14:paraId="678494C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CPU：Intel Core i5 或更高性能处理器。</w:t>
            </w:r>
          </w:p>
          <w:p w14:paraId="4C6967F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内存：≥ 8GB DDR4。</w:t>
            </w:r>
          </w:p>
          <w:p w14:paraId="4D1CCC4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存储：≥ 256GB SSD固态硬盘。</w:t>
            </w:r>
          </w:p>
          <w:p w14:paraId="4F86243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接口：采用万兆级高速接口，传输速率 ≥ 10Gbps。</w:t>
            </w:r>
          </w:p>
          <w:p w14:paraId="778EB3F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维护性：支持无工具快速插拔，具备在位检测与供电保护功能。</w:t>
            </w:r>
          </w:p>
          <w:p w14:paraId="65EDCF6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四、接口、音频与连接</w:t>
            </w:r>
          </w:p>
          <w:p w14:paraId="341E875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1.数据接口：</w:t>
            </w:r>
          </w:p>
          <w:p w14:paraId="09B7EAB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USB 2.0端口 ≥ 2个，USB 3.0端口 ≥ 2个。</w:t>
            </w:r>
          </w:p>
          <w:p w14:paraId="0789401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视频输入：支持VGA、HDMI。</w:t>
            </w:r>
          </w:p>
          <w:p w14:paraId="1A3B544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音频输出：3.5mm Audio接口。</w:t>
            </w:r>
          </w:p>
          <w:p w14:paraId="335A990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2.无线连接：</w:t>
            </w:r>
          </w:p>
          <w:p w14:paraId="0E923A0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支持Wi-Fi（IEEE 802.11 a/b/g/n/ac，即WIFI 5及以上）。</w:t>
            </w:r>
          </w:p>
          <w:p w14:paraId="6B090C3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支持蓝牙功能。</w:t>
            </w:r>
          </w:p>
          <w:p w14:paraId="5DE6ACC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3.音频系统：</w:t>
            </w:r>
          </w:p>
          <w:p w14:paraId="6957308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整机内置立体声扬声器，输出功率 ≥ 2 x 10W。</w:t>
            </w:r>
          </w:p>
          <w:p w14:paraId="22CA1EE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4.功能特性：在连接外接电脑时，整机USB接口的存储设备可被外接电脑直接识别并读取。</w:t>
            </w:r>
          </w:p>
          <w:p w14:paraId="0AE26955">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五、 交互软件功能要求</w:t>
            </w:r>
          </w:p>
          <w:p w14:paraId="7EE5D45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每台终端设备需实现下列四个功能之一，且不能与其他三台设备重复。或实现全部四个功能。</w:t>
            </w:r>
          </w:p>
          <w:p w14:paraId="247831C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1.模块一：地球史书——地质年代演变演示系统</w:t>
            </w:r>
          </w:p>
          <w:p w14:paraId="43609DF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功能描述：提供一条可横向拖拽浏览的可视化地质时间轴，覆盖从地球形成至人类出现的完整历程。需以高精度三维动画，生动呈现冥古宙、显生宙等关键地质时期的标志性场景与全球古地理变迁。</w:t>
            </w:r>
          </w:p>
          <w:p w14:paraId="156C213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交互方式：支持多点触控滑动浏览；点击时代节点触发全屏场景动画与语音解说；支持点选特定生物或地貌查看详细介绍。</w:t>
            </w:r>
          </w:p>
          <w:p w14:paraId="4A32974E">
            <w:pPr>
              <w:spacing w:before="68" w:line="223" w:lineRule="auto"/>
              <w:ind w:left="0" w:leftChars="0" w:firstLine="0" w:firstLineChars="0"/>
              <w:jc w:val="both"/>
              <w:rPr>
                <w:rFonts w:hint="eastAsia" w:ascii="宋体" w:hAnsi="宋体" w:eastAsia="宋体" w:cs="宋体"/>
                <w:color w:val="auto"/>
                <w:sz w:val="21"/>
                <w:szCs w:val="21"/>
                <w:highlight w:val="none"/>
              </w:rPr>
            </w:pPr>
          </w:p>
          <w:p w14:paraId="354AEB7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模块二：宇宙舞者——太阳系天体运行与引力模拟系统</w:t>
            </w:r>
          </w:p>
          <w:p w14:paraId="4D0ABEE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功能描述：构建一个遵循真实物理规律的动态太阳系模型。精确模拟太阳、八大行星及主要卫星的公转与自转，并直观展示引力与天体运行的关系。</w:t>
            </w:r>
          </w:p>
          <w:p w14:paraId="29D8107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交互方式：可拖拽旋转从任意角度观察太阳系；点击任意天体查看其3D结构、内部圈层与趣味知识；通过滑块调整时间流速，观察行星位置变化；提供“重量秤”功能，计算并对比用户在不同天体上的体重。</w:t>
            </w:r>
          </w:p>
          <w:p w14:paraId="2AEB1529">
            <w:pPr>
              <w:spacing w:before="68" w:line="223" w:lineRule="auto"/>
              <w:ind w:left="0" w:leftChars="0" w:firstLine="0" w:firstLineChars="0"/>
              <w:jc w:val="both"/>
              <w:rPr>
                <w:rFonts w:hint="eastAsia" w:ascii="宋体" w:hAnsi="宋体" w:eastAsia="宋体" w:cs="宋体"/>
                <w:color w:val="auto"/>
                <w:sz w:val="21"/>
                <w:szCs w:val="21"/>
                <w:highlight w:val="none"/>
              </w:rPr>
            </w:pPr>
          </w:p>
          <w:p w14:paraId="785590F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模块三：生命长廊——古生物进化与化石挖掘系统</w:t>
            </w:r>
          </w:p>
          <w:p w14:paraId="7C0EA3D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功能描述：将生物进化历程与地质年代相结合。一方面以“生命树”形式展示从简单生命到人类的进化脉络，另一方面高度模拟化石挖掘与鉴定过程。</w:t>
            </w:r>
          </w:p>
          <w:p w14:paraId="5FAA642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交互方式：进化树：点击“生命树”上的节点，观看代表性生物的3D模型及其出现年代。</w:t>
            </w:r>
          </w:p>
          <w:p w14:paraId="3A5B870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化石挖掘：在虚拟考古层中，通过触控手势模拟刷扫、挖掘，发现并收集化石，随后进行360度旋转、缩放和语音百科学习。</w:t>
            </w:r>
          </w:p>
          <w:p w14:paraId="66DD0A42">
            <w:pPr>
              <w:spacing w:before="68" w:line="223" w:lineRule="auto"/>
              <w:ind w:left="0" w:leftChars="0" w:firstLine="0" w:firstLineChars="0"/>
              <w:jc w:val="both"/>
              <w:rPr>
                <w:rFonts w:hint="eastAsia" w:ascii="宋体" w:hAnsi="宋体" w:eastAsia="宋体" w:cs="宋体"/>
                <w:color w:val="auto"/>
                <w:sz w:val="21"/>
                <w:szCs w:val="21"/>
                <w:highlight w:val="none"/>
              </w:rPr>
            </w:pPr>
          </w:p>
          <w:p w14:paraId="019E64B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模块四：模块四：建筑奥秘——地质结构与工程力学互动系统</w:t>
            </w:r>
          </w:p>
          <w:p w14:paraId="1EAED07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功能描述：本模块连接地质学与物理学，包含两部分：</w:t>
            </w:r>
          </w:p>
          <w:p w14:paraId="6B0CE16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地球内部结构：展示可交互的“切开的地球”三维模型，讲解地壳、地幔、地核及其与地震、火山活动的关系。</w:t>
            </w:r>
          </w:p>
          <w:p w14:paraId="7ABE7DA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力学原理应用：提供虚拟材料，让学生基于地质学知识（如三角形结构、拱形结构的稳定性）搭建建筑，以抵御模拟的地震或强风。</w:t>
            </w:r>
          </w:p>
          <w:p w14:paraId="2B03228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交互方式：缩放和点击探索地球内部圈层；使用虚拟积木搭建桥梁或房屋，并进行“灾难测试”，观察结构是否稳固。</w:t>
            </w:r>
          </w:p>
          <w:p w14:paraId="3DEC3F6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2.免费更新服务期：中标方须提供自验收合格之日起，提供为期三年的免费软件更新与内容维护服务，更新周期为每6个月一次。</w:t>
            </w:r>
          </w:p>
        </w:tc>
        <w:tc>
          <w:tcPr>
            <w:tcW w:w="603" w:type="dxa"/>
            <w:noWrap w:val="0"/>
            <w:vAlign w:val="center"/>
          </w:tcPr>
          <w:p w14:paraId="44649AB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7100518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台</w:t>
            </w:r>
          </w:p>
        </w:tc>
        <w:tc>
          <w:tcPr>
            <w:tcW w:w="1110" w:type="dxa"/>
            <w:noWrap w:val="0"/>
            <w:vAlign w:val="center"/>
          </w:tcPr>
          <w:p w14:paraId="6B233954">
            <w:pPr>
              <w:keepNext w:val="0"/>
              <w:keepLines w:val="0"/>
              <w:widowControl/>
              <w:suppressLineNumbers w:val="0"/>
              <w:ind w:left="0" w:leftChars="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10750</w:t>
            </w:r>
          </w:p>
        </w:tc>
        <w:tc>
          <w:tcPr>
            <w:tcW w:w="635" w:type="dxa"/>
            <w:noWrap w:val="0"/>
            <w:vAlign w:val="center"/>
          </w:tcPr>
          <w:p w14:paraId="29C053C3">
            <w:pPr>
              <w:spacing w:before="65" w:line="189" w:lineRule="auto"/>
              <w:ind w:left="182"/>
              <w:jc w:val="center"/>
              <w:rPr>
                <w:rFonts w:hint="eastAsia" w:ascii="宋体" w:hAnsi="宋体" w:eastAsia="宋体" w:cs="宋体"/>
                <w:color w:val="auto"/>
                <w:sz w:val="21"/>
                <w:szCs w:val="21"/>
                <w:highlight w:val="none"/>
              </w:rPr>
            </w:pPr>
          </w:p>
        </w:tc>
      </w:tr>
      <w:tr w14:paraId="1E595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A1FC410">
            <w:pPr>
              <w:numPr>
                <w:ilvl w:val="0"/>
                <w:numId w:val="0"/>
              </w:numPr>
              <w:tabs>
                <w:tab w:val="center" w:pos="276"/>
              </w:tabs>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7</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30AE310E">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数字棋艺桌</w:t>
            </w:r>
          </w:p>
        </w:tc>
        <w:tc>
          <w:tcPr>
            <w:tcW w:w="5472" w:type="dxa"/>
            <w:noWrap w:val="0"/>
            <w:vAlign w:val="center"/>
          </w:tcPr>
          <w:p w14:paraId="5B0470B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一、款式：中式古典，材质：实木，1桌2凳子。</w:t>
            </w:r>
          </w:p>
          <w:p w14:paraId="200D9CE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二、智能交互模块规格</w:t>
            </w:r>
          </w:p>
          <w:p w14:paraId="355A764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显示屏尺寸≥43寸</w:t>
            </w:r>
          </w:p>
          <w:p w14:paraId="196B361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显示比例：16：9</w:t>
            </w:r>
          </w:p>
          <w:p w14:paraId="551E43D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屏幕分辨率≥1920*1080</w:t>
            </w:r>
          </w:p>
          <w:p w14:paraId="59D9692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亮度≥300cd/m2</w:t>
            </w:r>
          </w:p>
          <w:p w14:paraId="2E7B808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对比度：3000:1</w:t>
            </w:r>
          </w:p>
          <w:p w14:paraId="2CCD1A5A">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触摸：红外触摸</w:t>
            </w:r>
          </w:p>
          <w:p w14:paraId="5D9F658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主板：RK3288运行内存≥4G，板载储存128G；</w:t>
            </w:r>
          </w:p>
          <w:p w14:paraId="0E65269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喇叭：内置喇叭</w:t>
            </w:r>
          </w:p>
          <w:p w14:paraId="6953B96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操作系统：Android</w:t>
            </w:r>
          </w:p>
          <w:p w14:paraId="76AA95A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三、功能要求：</w:t>
            </w:r>
          </w:p>
          <w:p w14:paraId="13B10B4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1.包含3种棋：围棋、象棋、五子棋</w:t>
            </w:r>
          </w:p>
          <w:p w14:paraId="62949DC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对战模式：人机模式、人人模式</w:t>
            </w:r>
          </w:p>
          <w:p w14:paraId="5F4C9A0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难易程度调节：人机模式可调节难易程度</w:t>
            </w:r>
          </w:p>
          <w:p w14:paraId="0C98D1E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残棋模式：象棋提供残棋模式</w:t>
            </w:r>
          </w:p>
          <w:p w14:paraId="4F7EF46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进度保存与读取：可保存和读取进度。保存的进度可加密，防止别的使用者打开。</w:t>
            </w:r>
          </w:p>
          <w:p w14:paraId="68748DF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对弈界面会显示对弈双方的操作记录</w:t>
            </w:r>
          </w:p>
          <w:p w14:paraId="4BA1C13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有悔棋功能，人人对弈时，悔棋需经过对方同意</w:t>
            </w:r>
          </w:p>
          <w:p w14:paraId="54B301F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 背景音乐可在电子棋程序内调节音量大小</w:t>
            </w:r>
          </w:p>
          <w:p w14:paraId="3CAD1C9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9.软件开机自启，防止退出</w:t>
            </w:r>
          </w:p>
          <w:p w14:paraId="11D0EF1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10.可设置定时开关机</w:t>
            </w:r>
          </w:p>
        </w:tc>
        <w:tc>
          <w:tcPr>
            <w:tcW w:w="603" w:type="dxa"/>
            <w:noWrap w:val="0"/>
            <w:vAlign w:val="center"/>
          </w:tcPr>
          <w:p w14:paraId="1A1A6744">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w:t>
            </w:r>
          </w:p>
        </w:tc>
        <w:tc>
          <w:tcPr>
            <w:tcW w:w="600" w:type="dxa"/>
            <w:noWrap w:val="0"/>
            <w:vAlign w:val="center"/>
          </w:tcPr>
          <w:p w14:paraId="1217D77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套</w:t>
            </w:r>
          </w:p>
        </w:tc>
        <w:tc>
          <w:tcPr>
            <w:tcW w:w="1110" w:type="dxa"/>
            <w:noWrap w:val="0"/>
            <w:vAlign w:val="center"/>
          </w:tcPr>
          <w:p w14:paraId="71A5AD31">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13000</w:t>
            </w:r>
          </w:p>
        </w:tc>
        <w:tc>
          <w:tcPr>
            <w:tcW w:w="635" w:type="dxa"/>
            <w:noWrap w:val="0"/>
            <w:vAlign w:val="center"/>
          </w:tcPr>
          <w:p w14:paraId="4CEC0C01">
            <w:pPr>
              <w:spacing w:before="65" w:line="189" w:lineRule="auto"/>
              <w:ind w:left="182"/>
              <w:jc w:val="center"/>
              <w:rPr>
                <w:rFonts w:hint="eastAsia" w:ascii="宋体" w:hAnsi="宋体" w:eastAsia="宋体" w:cs="宋体"/>
                <w:color w:val="auto"/>
                <w:sz w:val="21"/>
                <w:szCs w:val="21"/>
                <w:highlight w:val="none"/>
              </w:rPr>
            </w:pPr>
          </w:p>
        </w:tc>
      </w:tr>
      <w:tr w14:paraId="420CC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E12D8B7">
            <w:pPr>
              <w:numPr>
                <w:ilvl w:val="0"/>
                <w:numId w:val="0"/>
              </w:numPr>
              <w:spacing w:before="65" w:line="185" w:lineRule="auto"/>
              <w:ind w:left="425" w:leftChars="0" w:hanging="425" w:firstLineChars="0"/>
              <w:jc w:val="both"/>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7</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30EDF168">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航空航天体感互动机</w:t>
            </w:r>
          </w:p>
        </w:tc>
        <w:tc>
          <w:tcPr>
            <w:tcW w:w="5472" w:type="dxa"/>
            <w:noWrap w:val="0"/>
            <w:vAlign w:val="center"/>
          </w:tcPr>
          <w:p w14:paraId="2F5B98C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一、VR硬件规格</w:t>
            </w:r>
          </w:p>
          <w:p w14:paraId="4E03E64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1.尺寸：≥181*113*94mm</w:t>
            </w:r>
          </w:p>
          <w:p w14:paraId="1193DB4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.连接类型：有线连接（根据“非透气镜片”推测，应明确为有线或无线）</w:t>
            </w:r>
          </w:p>
          <w:p w14:paraId="2EA2307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二、显示参数</w:t>
            </w:r>
          </w:p>
          <w:p w14:paraId="32057D5A">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.屏幕类型：Fast-LCD（需明确）</w:t>
            </w:r>
          </w:p>
          <w:p w14:paraId="77B40F5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.单眼分辨率：≥ 1440*1600</w:t>
            </w:r>
          </w:p>
          <w:p w14:paraId="276AE94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.刷新率：72Hz</w:t>
            </w:r>
          </w:p>
          <w:p w14:paraId="7E6EB31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.视场角(FOV)：100°</w:t>
            </w:r>
          </w:p>
          <w:p w14:paraId="5952968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.瞳距调节：支持物理调节，范围53-73mm</w:t>
            </w:r>
          </w:p>
          <w:p w14:paraId="52A68A0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三、性能与交互</w:t>
            </w:r>
          </w:p>
          <w:p w14:paraId="54906FA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处理器：采用高通骁龙XR2以上主流芯片。</w:t>
            </w:r>
          </w:p>
          <w:p w14:paraId="75E73DA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定位系统：Inside-Out 6DoF定位</w:t>
            </w:r>
          </w:p>
          <w:p w14:paraId="19EDB1A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控制器：6DoF手柄，支持手势追踪</w:t>
            </w:r>
          </w:p>
          <w:p w14:paraId="70AA4B1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二、显示与触摸</w:t>
            </w:r>
          </w:p>
          <w:p w14:paraId="07E796C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1.屏幕尺寸：55英寸 LED， 显示比例：16:9</w:t>
            </w:r>
          </w:p>
          <w:p w14:paraId="5E13A9B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2.分辨率：1920*1080以上</w:t>
            </w:r>
          </w:p>
          <w:p w14:paraId="04A09F5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触摸技术：红外十点触控以上</w:t>
            </w:r>
          </w:p>
          <w:p w14:paraId="0D7EDB8A">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触摸精度：±1mm</w:t>
            </w:r>
          </w:p>
          <w:p w14:paraId="3968A69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表面硬度：莫氏7级防刮钢化玻璃</w:t>
            </w:r>
          </w:p>
          <w:p w14:paraId="2AE8DA3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接口：≥ HDMI*2, USB*4, Type-C, 音频输入/输出</w:t>
            </w:r>
          </w:p>
          <w:p w14:paraId="5EBAE77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4.音响：内置双扬声器，≥ 2*10W</w:t>
            </w:r>
          </w:p>
          <w:p w14:paraId="7909361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5.带同屏器</w:t>
            </w:r>
          </w:p>
          <w:p w14:paraId="4963759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三、程序处理服务器</w:t>
            </w:r>
          </w:p>
          <w:p w14:paraId="2AF7D835">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1.处理器(CPU)：Intel Core i5-12400K 或 AMD Ryzen 7 5700X 及以上</w:t>
            </w:r>
          </w:p>
          <w:p w14:paraId="14C63EA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2.图形处理器(GPU)：NVIDIA GeForce RTX 4060 8GB 或同等性能以上显卡</w:t>
            </w:r>
          </w:p>
          <w:p w14:paraId="090249B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3.内存(RAM)：≥16GB DDR4</w:t>
            </w:r>
          </w:p>
          <w:p w14:paraId="54E208A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4.硬盘(SSD)：≥512GB NVMe M.2 SSD</w:t>
            </w:r>
          </w:p>
          <w:p w14:paraId="1B43834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四、软件参数</w:t>
            </w:r>
          </w:p>
          <w:p w14:paraId="1932CC8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1.软件内容：软件中</w:t>
            </w:r>
            <w:r>
              <w:rPr>
                <w:rFonts w:hint="eastAsia" w:ascii="宋体" w:hAnsi="宋体" w:cs="宋体"/>
                <w:color w:val="auto"/>
                <w:sz w:val="21"/>
                <w:szCs w:val="21"/>
                <w:highlight w:val="none"/>
                <w:lang w:eastAsia="zh-CN"/>
              </w:rPr>
              <w:t>至少</w:t>
            </w:r>
            <w:r>
              <w:rPr>
                <w:rFonts w:hint="eastAsia" w:ascii="宋体" w:hAnsi="宋体" w:eastAsia="宋体" w:cs="宋体"/>
                <w:color w:val="auto"/>
                <w:sz w:val="21"/>
                <w:szCs w:val="21"/>
                <w:highlight w:val="none"/>
              </w:rPr>
              <w:t>包含的12节课程均有与之相对应的12个简易小图标，分门别类。</w:t>
            </w:r>
          </w:p>
          <w:p w14:paraId="668F2E8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2.体验全程为纯净版内容，无广告植入及弹窗。</w:t>
            </w:r>
          </w:p>
          <w:p w14:paraId="7FA9A45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3.一款主要针对科普教育推出的科教类VR模拟体验产品，集成了虚拟现实技术、三维全景、三维建模、仿真引擎等高科技技术的产品。</w:t>
            </w:r>
          </w:p>
          <w:p w14:paraId="31F6C0A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体验者可以使用该内容学习【登陆月球】、【火箭发射】、【航空航天知识】、【太阳系的奥秘】、【了解空间站】、【组装空间站】、【空间站交会对接】、【太空行走】、【模拟飞行】、【航天虚拟展厅】、【星球漫游】、【穿越小行星】共12节课程。</w:t>
            </w:r>
          </w:p>
          <w:p w14:paraId="05B64FE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5.通过智能语音系统、虚拟仿真引擎、三维模拟等技术，引导体验者体验不少于12节课程，包括：</w:t>
            </w:r>
          </w:p>
          <w:p w14:paraId="43548A2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1）【登陆月球】：科普中国载人登月工程规划及模拟月球登陆过程。</w:t>
            </w:r>
          </w:p>
          <w:p w14:paraId="0D9F121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2）【火箭发射】：科普火箭相关知识点及模拟火箭发射过程。</w:t>
            </w:r>
          </w:p>
          <w:p w14:paraId="341D7D8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3）【航空航天知识】：介绍中国航空航天的发展历程和计划。</w:t>
            </w:r>
          </w:p>
          <w:p w14:paraId="4E8E314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4）【太阳系的奥秘】：介绍宇宙及八大行星相关知识点。</w:t>
            </w:r>
          </w:p>
          <w:p w14:paraId="24EC113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5）【了解空间站】：介绍空间站定义及相关知识点。</w:t>
            </w:r>
          </w:p>
          <w:p w14:paraId="64AF1DD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6）【组装空间站】：介绍空间站部件及对部件进行组装。</w:t>
            </w:r>
          </w:p>
          <w:p w14:paraId="50DBAE0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7）【空间站交会对接】：控制飞船完成空间站交会对接。</w:t>
            </w:r>
          </w:p>
          <w:p w14:paraId="5A398D2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8）【太空行走】：空间站各个区域介绍及出仓体验。</w:t>
            </w:r>
          </w:p>
          <w:p w14:paraId="0B6AF27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9）【模拟飞行】：控制飞船模拟飞行。</w:t>
            </w:r>
          </w:p>
          <w:p w14:paraId="2BD6F4E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10）【航天虚拟展厅】：展示航空航天相关的展品和知识。</w:t>
            </w:r>
          </w:p>
          <w:p w14:paraId="64127E4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11）【星球漫游】：控制飞船行驶并采集“物质1号”。</w:t>
            </w:r>
          </w:p>
          <w:p w14:paraId="5CE7EE2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12）【穿越小行星】：控制飞船穿越密集的小行星带。</w:t>
            </w:r>
          </w:p>
        </w:tc>
        <w:tc>
          <w:tcPr>
            <w:tcW w:w="603" w:type="dxa"/>
            <w:noWrap w:val="0"/>
            <w:vAlign w:val="center"/>
          </w:tcPr>
          <w:p w14:paraId="7A9CB38E">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w:t>
            </w:r>
          </w:p>
        </w:tc>
        <w:tc>
          <w:tcPr>
            <w:tcW w:w="600" w:type="dxa"/>
            <w:noWrap w:val="0"/>
            <w:vAlign w:val="center"/>
          </w:tcPr>
          <w:p w14:paraId="72050AE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台</w:t>
            </w:r>
          </w:p>
        </w:tc>
        <w:tc>
          <w:tcPr>
            <w:tcW w:w="1110" w:type="dxa"/>
            <w:noWrap w:val="0"/>
            <w:vAlign w:val="center"/>
          </w:tcPr>
          <w:p w14:paraId="31971E05">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21001</w:t>
            </w:r>
          </w:p>
        </w:tc>
        <w:tc>
          <w:tcPr>
            <w:tcW w:w="635" w:type="dxa"/>
            <w:noWrap w:val="0"/>
            <w:vAlign w:val="center"/>
          </w:tcPr>
          <w:p w14:paraId="49D114F4">
            <w:pPr>
              <w:spacing w:before="65" w:line="189" w:lineRule="auto"/>
              <w:ind w:left="182"/>
              <w:jc w:val="center"/>
              <w:rPr>
                <w:rFonts w:hint="eastAsia" w:ascii="宋体" w:hAnsi="宋体" w:eastAsia="宋体" w:cs="宋体"/>
                <w:color w:val="auto"/>
                <w:sz w:val="21"/>
                <w:szCs w:val="21"/>
                <w:highlight w:val="none"/>
              </w:rPr>
            </w:pPr>
          </w:p>
        </w:tc>
      </w:tr>
      <w:tr w14:paraId="16B3D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837A898">
            <w:pPr>
              <w:numPr>
                <w:ilvl w:val="0"/>
                <w:numId w:val="0"/>
              </w:numPr>
              <w:spacing w:before="65" w:line="185" w:lineRule="auto"/>
              <w:ind w:left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475</w:t>
            </w:r>
          </w:p>
        </w:tc>
        <w:tc>
          <w:tcPr>
            <w:tcW w:w="1245" w:type="dxa"/>
            <w:noWrap w:val="0"/>
            <w:vAlign w:val="center"/>
          </w:tcPr>
          <w:p w14:paraId="0A23A0F9">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智能笔</w:t>
            </w:r>
          </w:p>
        </w:tc>
        <w:tc>
          <w:tcPr>
            <w:tcW w:w="5472" w:type="dxa"/>
            <w:noWrap w:val="0"/>
            <w:vAlign w:val="center"/>
          </w:tcPr>
          <w:p w14:paraId="620583F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1、采用笔型设计，具有三个遥控按键（上下翻页和功能键），既可用于触摸书写，也可用于远程操控。</w:t>
            </w:r>
          </w:p>
          <w:p w14:paraId="31C0DC6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2、采用2.4G蓝牙无线连接技术，无线接收距离最大可达15米。</w:t>
            </w:r>
          </w:p>
          <w:p w14:paraId="669E24E5">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3、无线接收器采用微型nano设计，整洁美观。</w:t>
            </w:r>
          </w:p>
          <w:p w14:paraId="7BD8ED1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4、尖采用PE材质，经久耐磨，书写精度≤3mm。</w:t>
            </w:r>
          </w:p>
          <w:p w14:paraId="378AC34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5、使用单节7号电池驱动，并带自动休眠节电设计。</w:t>
            </w:r>
          </w:p>
          <w:p w14:paraId="2EBA83B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6、单接收器设计，支持android、windows双系统响应智能笔的操作指令。（需与交互智能平板为同一品牌）</w:t>
            </w:r>
          </w:p>
          <w:p w14:paraId="41814C1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7、支持白板课件、PPT、WPS、PDF等多种格式的课件进行远程无线翻页。</w:t>
            </w:r>
          </w:p>
          <w:p w14:paraId="3B76541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8、功能按键可通过长按/短按实现两种快捷功能，方便教师操作。</w:t>
            </w:r>
          </w:p>
          <w:p w14:paraId="6F7F1F1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9、支持自定义按键功能，可选功能包括：一键启动任意通道批注、一键启动/退出PPT播放、一键启动其他应用软件等。</w:t>
            </w:r>
          </w:p>
        </w:tc>
        <w:tc>
          <w:tcPr>
            <w:tcW w:w="603" w:type="dxa"/>
            <w:noWrap w:val="0"/>
            <w:vAlign w:val="center"/>
          </w:tcPr>
          <w:p w14:paraId="1B6FBDB7">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13</w:t>
            </w:r>
          </w:p>
        </w:tc>
        <w:tc>
          <w:tcPr>
            <w:tcW w:w="600" w:type="dxa"/>
            <w:noWrap w:val="0"/>
            <w:vAlign w:val="center"/>
          </w:tcPr>
          <w:p w14:paraId="0AAE512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支</w:t>
            </w:r>
          </w:p>
        </w:tc>
        <w:tc>
          <w:tcPr>
            <w:tcW w:w="1110" w:type="dxa"/>
            <w:noWrap w:val="0"/>
            <w:vAlign w:val="center"/>
          </w:tcPr>
          <w:p w14:paraId="5A99357F">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212</w:t>
            </w:r>
          </w:p>
        </w:tc>
        <w:tc>
          <w:tcPr>
            <w:tcW w:w="635" w:type="dxa"/>
            <w:noWrap w:val="0"/>
            <w:vAlign w:val="center"/>
          </w:tcPr>
          <w:p w14:paraId="31870697">
            <w:pPr>
              <w:spacing w:before="65" w:line="189" w:lineRule="auto"/>
              <w:ind w:left="182"/>
              <w:jc w:val="center"/>
              <w:rPr>
                <w:rFonts w:hint="eastAsia" w:ascii="宋体" w:hAnsi="宋体" w:eastAsia="宋体" w:cs="宋体"/>
                <w:color w:val="auto"/>
                <w:sz w:val="21"/>
                <w:szCs w:val="21"/>
                <w:highlight w:val="none"/>
              </w:rPr>
            </w:pPr>
          </w:p>
        </w:tc>
      </w:tr>
      <w:tr w14:paraId="6572E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A031FCA">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第十三</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77EAB5AF">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4BA2C208">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92757.00</w:t>
            </w:r>
          </w:p>
        </w:tc>
        <w:tc>
          <w:tcPr>
            <w:tcW w:w="635" w:type="dxa"/>
            <w:noWrap w:val="0"/>
            <w:vAlign w:val="center"/>
          </w:tcPr>
          <w:p w14:paraId="493D2AD0">
            <w:pPr>
              <w:spacing w:before="65" w:line="189" w:lineRule="auto"/>
              <w:ind w:left="182"/>
              <w:jc w:val="center"/>
              <w:rPr>
                <w:rFonts w:hint="eastAsia" w:ascii="宋体" w:hAnsi="宋体" w:eastAsia="宋体" w:cs="宋体"/>
                <w:color w:val="auto"/>
                <w:sz w:val="21"/>
                <w:szCs w:val="21"/>
                <w:highlight w:val="none"/>
              </w:rPr>
            </w:pPr>
          </w:p>
        </w:tc>
      </w:tr>
      <w:tr w14:paraId="4EFFE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8475" w:type="dxa"/>
            <w:gridSpan w:val="5"/>
            <w:noWrap w:val="0"/>
            <w:vAlign w:val="top"/>
          </w:tcPr>
          <w:p w14:paraId="05F97399">
            <w:pPr>
              <w:spacing w:before="129" w:line="189" w:lineRule="auto"/>
              <w:ind w:left="131"/>
              <w:jc w:val="center"/>
              <w:rPr>
                <w:rFonts w:hint="eastAsia" w:ascii="宋体" w:hAnsi="宋体" w:eastAsia="宋体" w:cs="宋体"/>
                <w:color w:val="auto"/>
                <w:spacing w:val="1"/>
                <w:sz w:val="21"/>
                <w:szCs w:val="21"/>
                <w:highlight w:val="none"/>
                <w:lang w:val="en-US" w:eastAsia="zh-CN"/>
              </w:rPr>
            </w:pPr>
            <w:r>
              <w:rPr>
                <w:rFonts w:hint="eastAsia" w:ascii="宋体" w:hAnsi="宋体" w:cs="宋体"/>
                <w:b/>
                <w:bCs/>
                <w:color w:val="auto"/>
                <w:spacing w:val="1"/>
                <w:sz w:val="21"/>
                <w:szCs w:val="21"/>
                <w:highlight w:val="none"/>
                <w:lang w:val="en-US" w:eastAsia="zh-CN"/>
              </w:rPr>
              <w:t>第一至第十三项</w:t>
            </w:r>
            <w:r>
              <w:rPr>
                <w:rFonts w:hint="eastAsia" w:ascii="宋体" w:hAnsi="宋体" w:eastAsia="宋体" w:cs="宋体"/>
                <w:b/>
                <w:bCs/>
                <w:color w:val="auto"/>
                <w:spacing w:val="1"/>
                <w:sz w:val="21"/>
                <w:szCs w:val="21"/>
                <w:highlight w:val="none"/>
                <w:lang w:val="en-US" w:eastAsia="zh-CN"/>
              </w:rPr>
              <w:t>合计</w:t>
            </w:r>
          </w:p>
        </w:tc>
        <w:tc>
          <w:tcPr>
            <w:tcW w:w="1745" w:type="dxa"/>
            <w:gridSpan w:val="2"/>
            <w:noWrap w:val="0"/>
            <w:vAlign w:val="top"/>
          </w:tcPr>
          <w:p w14:paraId="38777C05">
            <w:pPr>
              <w:spacing w:before="129" w:line="189" w:lineRule="auto"/>
              <w:jc w:val="both"/>
              <w:rPr>
                <w:rFonts w:hint="default" w:ascii="宋体" w:hAnsi="宋体" w:eastAsia="宋体" w:cs="宋体"/>
                <w:color w:val="auto"/>
                <w:spacing w:val="1"/>
                <w:sz w:val="21"/>
                <w:szCs w:val="21"/>
                <w:highlight w:val="none"/>
                <w:lang w:val="en-US" w:eastAsia="zh-CN"/>
              </w:rPr>
            </w:pPr>
            <w:r>
              <w:rPr>
                <w:rFonts w:hint="eastAsia" w:ascii="宋体" w:hAnsi="宋体" w:cs="宋体"/>
                <w:color w:val="auto"/>
                <w:sz w:val="21"/>
                <w:szCs w:val="21"/>
                <w:highlight w:val="none"/>
                <w:lang w:val="en-US" w:eastAsia="zh-CN"/>
              </w:rPr>
              <w:t>1753335.00元</w:t>
            </w:r>
          </w:p>
        </w:tc>
      </w:tr>
      <w:tr w14:paraId="66177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20" w:type="dxa"/>
            <w:gridSpan w:val="7"/>
            <w:noWrap w:val="0"/>
            <w:vAlign w:val="top"/>
          </w:tcPr>
          <w:p w14:paraId="728E707E">
            <w:pPr>
              <w:spacing w:before="129" w:line="189" w:lineRule="auto"/>
              <w:ind w:left="131"/>
              <w:jc w:val="center"/>
              <w:rPr>
                <w:rFonts w:hint="eastAsia" w:ascii="宋体" w:hAnsi="宋体" w:eastAsia="宋体" w:cs="宋体"/>
                <w:color w:val="auto"/>
                <w:spacing w:val="1"/>
                <w:sz w:val="21"/>
                <w:szCs w:val="21"/>
                <w:highlight w:val="none"/>
                <w:lang w:val="en-US" w:eastAsia="zh-CN"/>
              </w:rPr>
            </w:pPr>
            <w:r>
              <w:rPr>
                <w:rFonts w:hint="eastAsia" w:ascii="宋体" w:hAnsi="宋体" w:eastAsia="宋体" w:cs="宋体"/>
                <w:b/>
                <w:bCs w:val="0"/>
                <w:color w:val="auto"/>
                <w:sz w:val="28"/>
                <w:szCs w:val="28"/>
                <w:highlight w:val="none"/>
                <w:lang w:val="en-US" w:eastAsia="zh-CN"/>
              </w:rPr>
              <w:t>商务要求</w:t>
            </w:r>
          </w:p>
        </w:tc>
      </w:tr>
      <w:tr w14:paraId="3DD2B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3746770B">
            <w:pPr>
              <w:keepNext w:val="0"/>
              <w:keepLines w:val="0"/>
              <w:widowControl/>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rPr>
              <w:t>售后服务要求</w:t>
            </w:r>
          </w:p>
        </w:tc>
        <w:tc>
          <w:tcPr>
            <w:tcW w:w="8420" w:type="dxa"/>
            <w:gridSpan w:val="5"/>
            <w:noWrap w:val="0"/>
            <w:vAlign w:val="center"/>
          </w:tcPr>
          <w:p w14:paraId="2CA3032E">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1、质量保证期壹年（自交货并验收合格之日起计）（属于实行国家强制保修政策的除外，采购需求中另有要求的，按采购要求执行）。</w:t>
            </w:r>
          </w:p>
          <w:p w14:paraId="30C7569F">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2、厂家免费提供操作培训和维修培训，保证被培训人员能熟练操作、使用、维护。</w:t>
            </w:r>
          </w:p>
          <w:p w14:paraId="711B74AC">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3、免费质保期内，中标人应承诺：</w:t>
            </w:r>
          </w:p>
          <w:p w14:paraId="6A16DC00">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（1）设备如发生部件损坏，在7个工作日内提供更换；</w:t>
            </w:r>
          </w:p>
          <w:p w14:paraId="5AC066C7">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（2）设备出现故障的，须派出技术工程师到达现场处理故障，并承担一切费用，免费质保期外设备出现故障的，只收材料成本费；</w:t>
            </w:r>
          </w:p>
          <w:p w14:paraId="064F2384">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（3）免费保修期满前1个月内</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应负责对设备进行一次免费全面检查、维护，如发现潜在问题，应写出正式报告，并负责排除，保证设备正常运行。</w:t>
            </w:r>
          </w:p>
          <w:p w14:paraId="2A72E3B9">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4、故障响应时间：</w:t>
            </w:r>
          </w:p>
          <w:p w14:paraId="07714B26">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供应商</w:t>
            </w:r>
            <w:r>
              <w:rPr>
                <w:rFonts w:hint="eastAsia" w:ascii="宋体" w:hAnsi="宋体" w:eastAsia="宋体" w:cs="宋体"/>
                <w:color w:val="auto"/>
                <w:sz w:val="21"/>
                <w:szCs w:val="21"/>
                <w:highlight w:val="none"/>
              </w:rPr>
              <w:t>接到用户故障通知后，维修人员12小时内赶到故障现场处理，一般故障不超过24小时、重大故障不超过48小时修复；</w:t>
            </w:r>
            <w:r>
              <w:rPr>
                <w:rFonts w:hint="eastAsia" w:ascii="宋体" w:hAnsi="宋体" w:eastAsia="宋体" w:cs="宋体"/>
                <w:color w:val="auto"/>
                <w:kern w:val="0"/>
                <w:sz w:val="21"/>
                <w:szCs w:val="21"/>
                <w:highlight w:val="none"/>
              </w:rPr>
              <w:t>特殊情况无法修复的，免费质保期内中标人应无条件更换新设备或提供代用设备或采取使设备可正常运转的其它措施；</w:t>
            </w:r>
          </w:p>
          <w:p w14:paraId="4E5F53DD">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rPr>
              <w:t>产品在保修期内如有质量问题的，供货方负责包修、包换。质保期内免费维修及更换配件，终身维修（质保期外只收配件费，差旅费由厂家或成交人负责）。</w:t>
            </w:r>
          </w:p>
          <w:p w14:paraId="22967823">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kern w:val="0"/>
                <w:sz w:val="21"/>
                <w:szCs w:val="21"/>
                <w:highlight w:val="none"/>
              </w:rPr>
              <w:t>（3）提供7天×24小时通过远程、上门服务、电话、E-mail等方式为采购人提供终身完善的售后技术咨询服务。</w:t>
            </w:r>
          </w:p>
        </w:tc>
      </w:tr>
      <w:tr w14:paraId="00ABF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3AFC7FDB">
            <w:pPr>
              <w:keepNext w:val="0"/>
              <w:keepLines w:val="0"/>
              <w:widowControl/>
              <w:suppressLineNumbers w:val="0"/>
              <w:spacing w:before="0" w:beforeAutospacing="0" w:after="0" w:afterAutospacing="0" w:line="240" w:lineRule="auto"/>
              <w:ind w:left="0" w:leftChars="0" w:right="0" w:rightChars="0"/>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lang w:eastAsia="zh-CN"/>
              </w:rPr>
              <w:t>核心产品</w:t>
            </w:r>
          </w:p>
        </w:tc>
        <w:tc>
          <w:tcPr>
            <w:tcW w:w="8420" w:type="dxa"/>
            <w:gridSpan w:val="5"/>
            <w:noWrap w:val="0"/>
            <w:vAlign w:val="center"/>
          </w:tcPr>
          <w:p w14:paraId="16EBEAA1">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auto"/>
                <w:spacing w:val="1"/>
                <w:sz w:val="21"/>
                <w:szCs w:val="21"/>
                <w:highlight w:val="none"/>
                <w:lang w:val="en-US" w:eastAsia="zh-CN"/>
              </w:rPr>
            </w:pPr>
            <w:r>
              <w:rPr>
                <w:rFonts w:hint="eastAsia" w:ascii="宋体" w:hAnsi="宋体" w:cs="宋体"/>
                <w:color w:val="auto"/>
                <w:spacing w:val="1"/>
                <w:sz w:val="21"/>
                <w:szCs w:val="21"/>
                <w:highlight w:val="none"/>
                <w:lang w:val="en-US" w:eastAsia="zh-CN"/>
              </w:rPr>
              <w:t>第“一、电脑室”中“1.</w:t>
            </w:r>
            <w:r>
              <w:rPr>
                <w:rFonts w:hint="eastAsia" w:ascii="宋体" w:hAnsi="宋体" w:eastAsia="宋体" w:cs="宋体"/>
                <w:color w:val="auto"/>
                <w:spacing w:val="1"/>
                <w:sz w:val="21"/>
                <w:szCs w:val="21"/>
                <w:highlight w:val="none"/>
                <w:lang w:val="en-US" w:eastAsia="zh-CN"/>
              </w:rPr>
              <w:t>智慧黑板</w:t>
            </w:r>
            <w:r>
              <w:rPr>
                <w:rFonts w:hint="eastAsia" w:ascii="宋体" w:hAnsi="宋体" w:cs="宋体"/>
                <w:color w:val="auto"/>
                <w:spacing w:val="1"/>
                <w:sz w:val="21"/>
                <w:szCs w:val="21"/>
                <w:highlight w:val="none"/>
                <w:lang w:val="en-US" w:eastAsia="zh-CN"/>
              </w:rPr>
              <w:t>”</w:t>
            </w:r>
          </w:p>
        </w:tc>
      </w:tr>
      <w:tr w14:paraId="1A9F5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65BDF6C6">
            <w:pPr>
              <w:keepNext w:val="0"/>
              <w:keepLines w:val="0"/>
              <w:widowControl/>
              <w:suppressLineNumbers w:val="0"/>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软件安装调试、培训要求</w:t>
            </w:r>
          </w:p>
        </w:tc>
        <w:tc>
          <w:tcPr>
            <w:tcW w:w="8420" w:type="dxa"/>
            <w:gridSpan w:val="5"/>
            <w:noWrap w:val="0"/>
            <w:vAlign w:val="center"/>
          </w:tcPr>
          <w:p w14:paraId="1EE7E3DC">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1.设备安装调试</w:t>
            </w:r>
          </w:p>
          <w:p w14:paraId="6AA57721">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（1）成交供应商负责全部设备的安装调试工作，并负责保证整个安装工作的质量和技术指标符合技术要求。</w:t>
            </w:r>
          </w:p>
          <w:p w14:paraId="1C3F98A0">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（2）成交供应商在货物安装期间应遵守相关规定，设备内部和外接线路的供电要符合安全标准，加强保护和防漏电措施。</w:t>
            </w:r>
          </w:p>
          <w:p w14:paraId="79E190A5">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（3）在安装和配套服务的实施中，如果需要办理报批、报建手续的，成交供应商应协助办理，相关费用由采购人负担。</w:t>
            </w:r>
          </w:p>
          <w:p w14:paraId="7188D77E">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本项目使用的所有材料必须按照成交供应商的响应文件执行，成交供应商需更换材料或响应文件及采购文件没有规定的材料，成交供应商须经采购人书面确认才可予以更换及采用，并按照国家检测标准要求进行验收。</w:t>
            </w:r>
          </w:p>
          <w:p w14:paraId="6593999D">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（5）根据设计的修改和现场的实际情况，采购人可在不违反国家有关政府采购及其他法规的前提下对成交方案及货物（规格、数量、外型尺寸等）作出适当的调整，并以双方签署的有关文件为依据。</w:t>
            </w:r>
          </w:p>
          <w:p w14:paraId="532355B4">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（6）所有含电源线的设备必须符合国家安全规范，电源线应得到足够保护和位置固定，有相关防漏电的措施。</w:t>
            </w:r>
          </w:p>
          <w:p w14:paraId="43CEC8BF">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2.培训</w:t>
            </w:r>
          </w:p>
          <w:p w14:paraId="1E9E7062">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lang w:val="en-US" w:eastAsia="zh-CN"/>
              </w:rPr>
              <w:t>成交供应商应派技术人员对采购人单位设备使用人员进行培训，使其熟练掌握所有设备的操作使用和简易维护。培训工作的完成需经采购人的认可方可结束。</w:t>
            </w:r>
          </w:p>
        </w:tc>
      </w:tr>
      <w:tr w14:paraId="3B35B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21F7A2D3">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rPr>
              <w:t>交货方式及地点</w:t>
            </w:r>
          </w:p>
        </w:tc>
        <w:tc>
          <w:tcPr>
            <w:tcW w:w="8420" w:type="dxa"/>
            <w:gridSpan w:val="5"/>
            <w:noWrap w:val="0"/>
            <w:vAlign w:val="center"/>
          </w:tcPr>
          <w:p w14:paraId="03E55AFE">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1、交货时间</w:t>
            </w:r>
            <w:r>
              <w:rPr>
                <w:rFonts w:hint="eastAsia" w:ascii="宋体" w:hAnsi="宋体" w:eastAsia="宋体" w:cs="宋体"/>
                <w:color w:val="auto"/>
                <w:sz w:val="21"/>
                <w:szCs w:val="21"/>
                <w:highlight w:val="none"/>
              </w:rPr>
              <w:t>：因本项目货物交付时间紧迫，供应商须于签订合同之日起</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个日历</w:t>
            </w:r>
            <w:r>
              <w:rPr>
                <w:rFonts w:hint="eastAsia" w:ascii="宋体" w:hAnsi="宋体" w:cs="宋体"/>
                <w:color w:val="auto"/>
                <w:sz w:val="21"/>
                <w:szCs w:val="21"/>
                <w:highlight w:val="none"/>
                <w:lang w:eastAsia="zh-CN"/>
              </w:rPr>
              <w:t>天</w:t>
            </w:r>
            <w:r>
              <w:rPr>
                <w:rFonts w:hint="eastAsia" w:ascii="宋体" w:hAnsi="宋体" w:eastAsia="宋体" w:cs="宋体"/>
                <w:color w:val="auto"/>
                <w:sz w:val="21"/>
                <w:szCs w:val="21"/>
                <w:highlight w:val="none"/>
              </w:rPr>
              <w:t>内交货并完成安装调试</w:t>
            </w:r>
            <w:r>
              <w:rPr>
                <w:rFonts w:hint="eastAsia" w:ascii="宋体" w:hAnsi="宋体" w:eastAsia="宋体" w:cs="宋体"/>
                <w:color w:val="auto"/>
                <w:sz w:val="21"/>
                <w:szCs w:val="21"/>
                <w:highlight w:val="none"/>
                <w:lang w:val="en-US" w:eastAsia="zh-CN"/>
              </w:rPr>
              <w:t>合格完毕</w:t>
            </w:r>
            <w:r>
              <w:rPr>
                <w:rFonts w:hint="eastAsia" w:ascii="宋体" w:hAnsi="宋体" w:eastAsia="宋体" w:cs="宋体"/>
                <w:color w:val="auto"/>
                <w:sz w:val="21"/>
                <w:szCs w:val="21"/>
                <w:highlight w:val="none"/>
              </w:rPr>
              <w:t>，如延期交付的，按违约处理。</w:t>
            </w:r>
          </w:p>
          <w:p w14:paraId="26B5B6FF">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rPr>
              <w:t>2、交货地点：采购人指定地点。</w:t>
            </w:r>
          </w:p>
        </w:tc>
      </w:tr>
      <w:tr w14:paraId="1E61B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1B7C627A">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rPr>
              <w:t>付款方式</w:t>
            </w:r>
          </w:p>
        </w:tc>
        <w:tc>
          <w:tcPr>
            <w:tcW w:w="8420" w:type="dxa"/>
            <w:gridSpan w:val="5"/>
            <w:noWrap w:val="0"/>
            <w:vAlign w:val="center"/>
          </w:tcPr>
          <w:p w14:paraId="02A667E0">
            <w:pPr>
              <w:keepNext w:val="0"/>
              <w:keepLines w:val="0"/>
              <w:numPr>
                <w:ilvl w:val="0"/>
                <w:numId w:val="25"/>
              </w:numPr>
              <w:suppressLineNumbers w:val="0"/>
              <w:spacing w:before="0" w:beforeAutospacing="0" w:after="0" w:afterAutospacing="0" w:line="240" w:lineRule="auto"/>
              <w:ind w:left="0" w:leftChars="0" w:right="0" w:rightChars="0"/>
              <w:jc w:val="both"/>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本项目的资金拨付据项目资金的到账情况及财政部门的付款流程、付款期限执行。</w:t>
            </w:r>
          </w:p>
          <w:p w14:paraId="08690245">
            <w:pPr>
              <w:keepNext w:val="0"/>
              <w:keepLines w:val="0"/>
              <w:numPr>
                <w:ilvl w:val="0"/>
                <w:numId w:val="25"/>
              </w:numPr>
              <w:suppressLineNumbers w:val="0"/>
              <w:spacing w:before="0" w:beforeAutospacing="0" w:after="0" w:afterAutospacing="0" w:line="240" w:lineRule="auto"/>
              <w:ind w:left="0" w:leftChars="0" w:right="0" w:rightChars="0"/>
              <w:jc w:val="both"/>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安装调试完毕、验收合格后，成交供应商开具全额发票给采购人。财政部门拨付的</w:t>
            </w:r>
          </w:p>
          <w:p w14:paraId="2F12EF8A">
            <w:pPr>
              <w:keepNext w:val="0"/>
              <w:keepLines w:val="0"/>
              <w:numPr>
                <w:ilvl w:val="0"/>
                <w:numId w:val="0"/>
              </w:numPr>
              <w:suppressLineNumbers w:val="0"/>
              <w:spacing w:before="0" w:beforeAutospacing="0" w:after="0" w:afterAutospacing="0" w:line="240" w:lineRule="auto"/>
              <w:ind w:right="0" w:rightChars="0"/>
              <w:jc w:val="both"/>
              <w:rPr>
                <w:rFonts w:hint="eastAsia" w:ascii="宋体" w:hAnsi="宋体" w:eastAsia="宋体" w:cs="宋体"/>
                <w:color w:val="auto"/>
                <w:spacing w:val="1"/>
                <w:sz w:val="21"/>
                <w:szCs w:val="21"/>
                <w:highlight w:val="none"/>
                <w:lang w:val="en-US" w:eastAsia="zh-CN"/>
              </w:rPr>
            </w:pPr>
            <w:r>
              <w:rPr>
                <w:rFonts w:hint="eastAsia" w:ascii="宋体" w:hAnsi="宋体" w:cs="宋体"/>
                <w:b w:val="0"/>
                <w:bCs/>
                <w:color w:val="auto"/>
                <w:sz w:val="21"/>
                <w:szCs w:val="21"/>
                <w:highlight w:val="none"/>
                <w:lang w:val="en-US" w:eastAsia="zh-CN"/>
              </w:rPr>
              <w:t>该项目资金到账后，采购人在 30个工作日内按合同价款的 100(无息)支付给中标方。</w:t>
            </w:r>
          </w:p>
        </w:tc>
      </w:tr>
      <w:tr w14:paraId="0B86B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6" w:hRule="atLeast"/>
        </w:trPr>
        <w:tc>
          <w:tcPr>
            <w:tcW w:w="1800" w:type="dxa"/>
            <w:gridSpan w:val="2"/>
            <w:noWrap w:val="0"/>
            <w:vAlign w:val="center"/>
          </w:tcPr>
          <w:p w14:paraId="46C623E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验收标准</w:t>
            </w:r>
          </w:p>
        </w:tc>
        <w:tc>
          <w:tcPr>
            <w:tcW w:w="8420" w:type="dxa"/>
            <w:gridSpan w:val="5"/>
            <w:noWrap w:val="0"/>
            <w:vAlign w:val="center"/>
          </w:tcPr>
          <w:p w14:paraId="79482F19">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b w:val="0"/>
                <w:bCs/>
                <w:color w:val="auto"/>
                <w:sz w:val="21"/>
                <w:szCs w:val="21"/>
                <w:highlight w:val="none"/>
                <w:u w:val="none"/>
                <w:lang w:val="en-US" w:eastAsia="zh-CN"/>
              </w:rPr>
            </w:pPr>
            <w:r>
              <w:rPr>
                <w:rFonts w:hint="eastAsia" w:ascii="宋体" w:hAnsi="宋体" w:eastAsia="宋体" w:cs="宋体"/>
                <w:b w:val="0"/>
                <w:bCs/>
                <w:color w:val="auto"/>
                <w:sz w:val="21"/>
                <w:szCs w:val="21"/>
                <w:highlight w:val="none"/>
                <w:u w:val="none"/>
                <w:lang w:val="en-US" w:eastAsia="zh-CN"/>
              </w:rPr>
              <w:t>1.验收过程中所产生的一切费用均由</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承担。报价时应考虑相关费用。</w:t>
            </w:r>
          </w:p>
          <w:p w14:paraId="3A7DDD65">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b w:val="0"/>
                <w:bCs/>
                <w:color w:val="auto"/>
                <w:sz w:val="21"/>
                <w:szCs w:val="21"/>
                <w:highlight w:val="none"/>
                <w:u w:val="none"/>
                <w:lang w:val="en-US" w:eastAsia="zh-CN"/>
              </w:rPr>
            </w:pPr>
            <w:r>
              <w:rPr>
                <w:rFonts w:hint="eastAsia" w:ascii="宋体" w:hAnsi="宋体" w:eastAsia="宋体" w:cs="宋体"/>
                <w:b w:val="0"/>
                <w:bCs/>
                <w:color w:val="auto"/>
                <w:sz w:val="21"/>
                <w:szCs w:val="21"/>
                <w:highlight w:val="none"/>
                <w:u w:val="none"/>
                <w:lang w:val="en-US" w:eastAsia="zh-CN"/>
              </w:rPr>
              <w:t>2.</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在货物验收时由采购单位</w:t>
            </w:r>
            <w:r>
              <w:rPr>
                <w:rFonts w:hint="eastAsia" w:ascii="宋体" w:hAnsi="宋体" w:eastAsia="宋体" w:cs="宋体"/>
                <w:b w:val="0"/>
                <w:bCs/>
                <w:color w:val="auto"/>
                <w:sz w:val="21"/>
                <w:szCs w:val="21"/>
                <w:highlight w:val="none"/>
                <w:u w:val="none"/>
                <w:lang w:val="en-US" w:eastAsia="zh-CN"/>
              </w:rPr>
              <w:t>对照竞争性</w:t>
            </w:r>
            <w:r>
              <w:rPr>
                <w:rFonts w:hint="eastAsia" w:ascii="宋体" w:hAnsi="宋体" w:cs="宋体"/>
                <w:b w:val="0"/>
                <w:bCs/>
                <w:color w:val="auto"/>
                <w:sz w:val="21"/>
                <w:szCs w:val="21"/>
                <w:highlight w:val="none"/>
                <w:u w:val="none"/>
                <w:lang w:val="en-US" w:eastAsia="zh-CN"/>
              </w:rPr>
              <w:t>谈判</w:t>
            </w:r>
            <w:r>
              <w:rPr>
                <w:rFonts w:hint="eastAsia" w:ascii="宋体" w:hAnsi="宋体" w:eastAsia="宋体" w:cs="宋体"/>
                <w:b w:val="0"/>
                <w:bCs/>
                <w:color w:val="auto"/>
                <w:sz w:val="21"/>
                <w:szCs w:val="21"/>
                <w:highlight w:val="none"/>
                <w:u w:val="none"/>
                <w:lang w:val="en-US" w:eastAsia="zh-CN"/>
              </w:rPr>
              <w:t>文件的技术参数要求或功能描述全面核对检验，对所有要求出具的证明文件进行核查，如不符合竞争性</w:t>
            </w:r>
            <w:r>
              <w:rPr>
                <w:rFonts w:hint="eastAsia" w:ascii="宋体" w:hAnsi="宋体" w:cs="宋体"/>
                <w:b w:val="0"/>
                <w:bCs/>
                <w:color w:val="auto"/>
                <w:sz w:val="21"/>
                <w:szCs w:val="21"/>
                <w:highlight w:val="none"/>
                <w:u w:val="none"/>
                <w:lang w:val="en-US" w:eastAsia="zh-CN"/>
              </w:rPr>
              <w:t>谈判</w:t>
            </w:r>
            <w:r>
              <w:rPr>
                <w:rFonts w:hint="eastAsia" w:ascii="宋体" w:hAnsi="宋体" w:eastAsia="宋体" w:cs="宋体"/>
                <w:b w:val="0"/>
                <w:bCs/>
                <w:color w:val="auto"/>
                <w:sz w:val="21"/>
                <w:szCs w:val="21"/>
                <w:highlight w:val="none"/>
                <w:u w:val="none"/>
                <w:lang w:val="en-US" w:eastAsia="zh-CN"/>
              </w:rPr>
              <w:t>文件的要求以及提供虚假承诺的，按相关规定做退货处理及违约处理，</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承担所有责任和费</w:t>
            </w:r>
            <w:r>
              <w:rPr>
                <w:rFonts w:hint="eastAsia" w:ascii="宋体" w:hAnsi="宋体" w:eastAsia="宋体" w:cs="宋体"/>
                <w:b w:val="0"/>
                <w:bCs/>
                <w:color w:val="auto"/>
                <w:sz w:val="21"/>
                <w:szCs w:val="21"/>
                <w:highlight w:val="none"/>
                <w:u w:val="none"/>
                <w:lang w:val="en-US" w:eastAsia="zh-CN"/>
              </w:rPr>
              <w:t>用，采购人保留进一步追究责任的权利。</w:t>
            </w:r>
          </w:p>
          <w:p w14:paraId="161F9CA0">
            <w:pPr>
              <w:keepNext w:val="0"/>
              <w:keepLines w:val="0"/>
              <w:widowControl/>
              <w:suppressLineNumbers w:val="0"/>
              <w:spacing w:before="0" w:beforeAutospacing="0" w:after="0" w:afterAutospacing="0" w:line="240" w:lineRule="auto"/>
              <w:ind w:left="0" w:leftChars="0" w:right="0" w:rightChars="0"/>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b w:val="0"/>
                <w:bCs/>
                <w:color w:val="auto"/>
                <w:sz w:val="21"/>
                <w:szCs w:val="21"/>
                <w:highlight w:val="none"/>
                <w:u w:val="none"/>
                <w:lang w:val="en-US" w:eastAsia="zh-CN"/>
              </w:rPr>
              <w:t>3.验收时，采购人对</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所交货物依照</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的响应文件所承诺的技术规格要求和国家有关标准进行现场验收。性能达到技术要求的给予签收，若有一项指标不满足其投标承诺的不予签收，并按照政府采购相关法律法规和合同约定条款进行处罚，由此造成的项目延误等所有责任均由</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承担。</w:t>
            </w:r>
          </w:p>
        </w:tc>
      </w:tr>
      <w:tr w14:paraId="452BA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5388A416">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rPr>
              <w:t>其他要求</w:t>
            </w:r>
          </w:p>
        </w:tc>
        <w:tc>
          <w:tcPr>
            <w:tcW w:w="8420" w:type="dxa"/>
            <w:gridSpan w:val="5"/>
            <w:noWrap w:val="0"/>
            <w:vAlign w:val="center"/>
          </w:tcPr>
          <w:p w14:paraId="519F1C84">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1、质量标准：</w:t>
            </w:r>
            <w:r>
              <w:rPr>
                <w:rFonts w:hint="eastAsia" w:ascii="宋体" w:hAnsi="宋体" w:cs="宋体"/>
                <w:color w:val="auto"/>
                <w:sz w:val="21"/>
                <w:szCs w:val="21"/>
                <w:highlight w:val="none"/>
              </w:rPr>
              <w:t>按国家有关产品“三包”规定执行“三包”</w:t>
            </w:r>
          </w:p>
          <w:p w14:paraId="2934203D">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auto"/>
                <w:spacing w:val="1"/>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本项目不接受进口产品（即通过中国海关报关验放进入中国境内且产自关境外的产品）参与</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，如有此类产品参与</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的作无效</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处理。</w:t>
            </w:r>
          </w:p>
        </w:tc>
      </w:tr>
    </w:tbl>
    <w:p w14:paraId="4CFE06AB">
      <w:pPr>
        <w:pStyle w:val="42"/>
        <w:jc w:val="center"/>
        <w:rPr>
          <w:color w:val="auto"/>
          <w:kern w:val="0"/>
          <w:highlight w:val="none"/>
        </w:rPr>
        <w:sectPr>
          <w:footerReference r:id="rId18" w:type="first"/>
          <w:footerReference r:id="rId17" w:type="default"/>
          <w:pgSz w:w="11906" w:h="16838"/>
          <w:pgMar w:top="1440" w:right="1304" w:bottom="1440" w:left="1304" w:header="720" w:footer="720" w:gutter="0"/>
          <w:pgNumType w:fmt="decimal" w:start="1"/>
          <w:cols w:space="720" w:num="1"/>
          <w:docGrid w:linePitch="331" w:charSpace="0"/>
        </w:sectPr>
      </w:pPr>
    </w:p>
    <w:p w14:paraId="37372CCC">
      <w:pPr>
        <w:spacing w:line="428" w:lineRule="exact"/>
        <w:ind w:left="119"/>
        <w:rPr>
          <w:rFonts w:hint="eastAsia" w:ascii="Arial Unicode MS" w:hAnsi="Arial Unicode MS" w:eastAsia="Arial Unicode MS" w:cs="Arial Unicode MS"/>
          <w:color w:val="auto"/>
          <w:sz w:val="17"/>
          <w:szCs w:val="17"/>
          <w:highlight w:val="none"/>
        </w:rPr>
      </w:pPr>
      <w:r>
        <w:rPr>
          <w:rFonts w:hint="eastAsia" w:ascii="微软雅黑" w:hAnsi="微软雅黑" w:eastAsia="微软雅黑" w:cs="微软雅黑"/>
          <w:color w:val="auto"/>
          <w:sz w:val="32"/>
          <w:szCs w:val="32"/>
          <w:highlight w:val="none"/>
        </w:rPr>
        <w:t>附件：</w:t>
      </w:r>
    </w:p>
    <w:p w14:paraId="24167713">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46"/>
        <w:tblW w:w="9220" w:type="dxa"/>
        <w:tblInd w:w="0" w:type="dxa"/>
        <w:tblLayout w:type="fixed"/>
        <w:tblCellMar>
          <w:top w:w="0" w:type="dxa"/>
          <w:left w:w="108" w:type="dxa"/>
          <w:bottom w:w="0" w:type="dxa"/>
          <w:right w:w="108" w:type="dxa"/>
        </w:tblCellMar>
      </w:tblPr>
      <w:tblGrid>
        <w:gridCol w:w="714"/>
        <w:gridCol w:w="1778"/>
        <w:gridCol w:w="1996"/>
        <w:gridCol w:w="1996"/>
        <w:gridCol w:w="2736"/>
      </w:tblGrid>
      <w:tr w14:paraId="16468CDB">
        <w:tblPrEx>
          <w:tblCellMar>
            <w:top w:w="0" w:type="dxa"/>
            <w:left w:w="108" w:type="dxa"/>
            <w:bottom w:w="0" w:type="dxa"/>
            <w:right w:w="108" w:type="dxa"/>
          </w:tblCellMar>
        </w:tblPrEx>
        <w:trPr>
          <w:trHeight w:val="555" w:hRule="atLeast"/>
        </w:trPr>
        <w:tc>
          <w:tcPr>
            <w:tcW w:w="714" w:type="dxa"/>
            <w:tcBorders>
              <w:top w:val="single" w:color="000000" w:sz="8" w:space="0"/>
              <w:left w:val="single" w:color="000000" w:sz="8" w:space="0"/>
              <w:bottom w:val="single" w:color="000000" w:sz="8" w:space="0"/>
              <w:right w:val="single" w:color="000000" w:sz="8" w:space="0"/>
            </w:tcBorders>
            <w:noWrap w:val="0"/>
            <w:vAlign w:val="top"/>
          </w:tcPr>
          <w:p w14:paraId="38A856C3">
            <w:pPr>
              <w:widowControl/>
              <w:ind w:left="0" w:leftChars="0" w:firstLine="0" w:firstLineChars="0"/>
              <w:jc w:val="both"/>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5770" w:type="dxa"/>
            <w:gridSpan w:val="3"/>
            <w:tcBorders>
              <w:top w:val="single" w:color="000000" w:sz="8" w:space="0"/>
              <w:left w:val="nil"/>
              <w:bottom w:val="single" w:color="000000" w:sz="8" w:space="0"/>
              <w:right w:val="single" w:color="000000" w:sz="8" w:space="0"/>
            </w:tcBorders>
            <w:noWrap w:val="0"/>
            <w:vAlign w:val="center"/>
          </w:tcPr>
          <w:p w14:paraId="399B0B50">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2736" w:type="dxa"/>
            <w:tcBorders>
              <w:top w:val="single" w:color="000000" w:sz="8" w:space="0"/>
              <w:left w:val="nil"/>
              <w:bottom w:val="single" w:color="000000" w:sz="8" w:space="0"/>
              <w:right w:val="single" w:color="000000" w:sz="8" w:space="0"/>
            </w:tcBorders>
            <w:noWrap w:val="0"/>
            <w:vAlign w:val="center"/>
          </w:tcPr>
          <w:p w14:paraId="7857A9A9">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0F1C7209">
        <w:tblPrEx>
          <w:tblCellMar>
            <w:top w:w="0" w:type="dxa"/>
            <w:left w:w="108" w:type="dxa"/>
            <w:bottom w:w="0" w:type="dxa"/>
            <w:right w:w="108" w:type="dxa"/>
          </w:tblCellMar>
        </w:tblPrEx>
        <w:trPr>
          <w:trHeight w:val="49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507D7A6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4B8D520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996" w:type="dxa"/>
            <w:tcBorders>
              <w:top w:val="nil"/>
              <w:left w:val="nil"/>
              <w:bottom w:val="single" w:color="000000" w:sz="8" w:space="0"/>
              <w:right w:val="single" w:color="000000" w:sz="8" w:space="0"/>
            </w:tcBorders>
            <w:noWrap w:val="0"/>
            <w:vAlign w:val="center"/>
          </w:tcPr>
          <w:p w14:paraId="47BE809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996" w:type="dxa"/>
            <w:tcBorders>
              <w:top w:val="nil"/>
              <w:left w:val="nil"/>
              <w:bottom w:val="single" w:color="000000" w:sz="8" w:space="0"/>
              <w:right w:val="single" w:color="000000" w:sz="8" w:space="0"/>
            </w:tcBorders>
            <w:noWrap w:val="0"/>
            <w:vAlign w:val="center"/>
          </w:tcPr>
          <w:p w14:paraId="7CDD244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57DDA9B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7E32645E">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083A683A">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15825C81">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286F064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996" w:type="dxa"/>
            <w:tcBorders>
              <w:top w:val="nil"/>
              <w:left w:val="nil"/>
              <w:bottom w:val="single" w:color="000000" w:sz="8" w:space="0"/>
              <w:right w:val="single" w:color="000000" w:sz="8" w:space="0"/>
            </w:tcBorders>
            <w:noWrap w:val="0"/>
            <w:vAlign w:val="center"/>
          </w:tcPr>
          <w:p w14:paraId="1E118B7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004E2EA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3844A453">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46D1B35F">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31444961">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1A9FD41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996" w:type="dxa"/>
            <w:tcBorders>
              <w:top w:val="nil"/>
              <w:left w:val="nil"/>
              <w:bottom w:val="single" w:color="000000" w:sz="8" w:space="0"/>
              <w:right w:val="single" w:color="000000" w:sz="8" w:space="0"/>
            </w:tcBorders>
            <w:noWrap w:val="0"/>
            <w:vAlign w:val="center"/>
          </w:tcPr>
          <w:p w14:paraId="7089EE7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2D12FE3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074274D2">
        <w:tblPrEx>
          <w:tblCellMar>
            <w:top w:w="0" w:type="dxa"/>
            <w:left w:w="108" w:type="dxa"/>
            <w:bottom w:w="0" w:type="dxa"/>
            <w:right w:w="108" w:type="dxa"/>
          </w:tblCellMar>
        </w:tblPrEx>
        <w:trPr>
          <w:trHeight w:val="49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35812B9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3FB1923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996" w:type="dxa"/>
            <w:vMerge w:val="restart"/>
            <w:tcBorders>
              <w:top w:val="nil"/>
              <w:left w:val="single" w:color="000000" w:sz="8" w:space="0"/>
              <w:bottom w:val="single" w:color="000000" w:sz="8" w:space="0"/>
              <w:right w:val="single" w:color="000000" w:sz="8" w:space="0"/>
            </w:tcBorders>
            <w:noWrap w:val="0"/>
            <w:vAlign w:val="center"/>
          </w:tcPr>
          <w:p w14:paraId="5E43992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996" w:type="dxa"/>
            <w:tcBorders>
              <w:top w:val="nil"/>
              <w:left w:val="nil"/>
              <w:bottom w:val="single" w:color="000000" w:sz="8" w:space="0"/>
              <w:right w:val="single" w:color="000000" w:sz="8" w:space="0"/>
            </w:tcBorders>
            <w:noWrap w:val="0"/>
            <w:vAlign w:val="center"/>
          </w:tcPr>
          <w:p w14:paraId="174CB34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2736" w:type="dxa"/>
            <w:tcBorders>
              <w:top w:val="nil"/>
              <w:left w:val="nil"/>
              <w:bottom w:val="single" w:color="000000" w:sz="8" w:space="0"/>
              <w:right w:val="single" w:color="000000" w:sz="8" w:space="0"/>
            </w:tcBorders>
            <w:noWrap w:val="0"/>
            <w:vAlign w:val="center"/>
          </w:tcPr>
          <w:p w14:paraId="21D7C90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036B70C5">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2FC6D26F">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2265C2DF">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6EEEF3A4">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79FC343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2736" w:type="dxa"/>
            <w:tcBorders>
              <w:top w:val="nil"/>
              <w:left w:val="nil"/>
              <w:bottom w:val="single" w:color="000000" w:sz="8" w:space="0"/>
              <w:right w:val="single" w:color="000000" w:sz="8" w:space="0"/>
            </w:tcBorders>
            <w:noWrap w:val="0"/>
            <w:vAlign w:val="center"/>
          </w:tcPr>
          <w:p w14:paraId="5C493FC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4891A525">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F41C398">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292283D">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5EC24DFB">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787D63A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2736" w:type="dxa"/>
            <w:tcBorders>
              <w:top w:val="nil"/>
              <w:left w:val="nil"/>
              <w:bottom w:val="single" w:color="000000" w:sz="8" w:space="0"/>
              <w:right w:val="single" w:color="000000" w:sz="8" w:space="0"/>
            </w:tcBorders>
            <w:noWrap w:val="0"/>
            <w:vAlign w:val="center"/>
          </w:tcPr>
          <w:p w14:paraId="2426F47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686794E1">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7AB330AF">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74370446">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41D04BA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996" w:type="dxa"/>
            <w:tcBorders>
              <w:top w:val="nil"/>
              <w:left w:val="nil"/>
              <w:bottom w:val="single" w:color="000000" w:sz="8" w:space="0"/>
              <w:right w:val="single" w:color="000000" w:sz="8" w:space="0"/>
            </w:tcBorders>
            <w:noWrap w:val="0"/>
            <w:vAlign w:val="center"/>
          </w:tcPr>
          <w:p w14:paraId="7561661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2736" w:type="dxa"/>
            <w:tcBorders>
              <w:top w:val="nil"/>
              <w:left w:val="nil"/>
              <w:bottom w:val="single" w:color="000000" w:sz="8" w:space="0"/>
              <w:right w:val="single" w:color="000000" w:sz="8" w:space="0"/>
            </w:tcBorders>
            <w:noWrap w:val="0"/>
            <w:vAlign w:val="center"/>
          </w:tcPr>
          <w:p w14:paraId="3CC97BD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73EAD64B">
        <w:tblPrEx>
          <w:tblCellMar>
            <w:top w:w="0" w:type="dxa"/>
            <w:left w:w="108" w:type="dxa"/>
            <w:bottom w:w="0" w:type="dxa"/>
            <w:right w:w="108" w:type="dxa"/>
          </w:tblCellMar>
        </w:tblPrEx>
        <w:trPr>
          <w:trHeight w:val="97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547F8CA6">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42A99D7E">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5E593A5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996" w:type="dxa"/>
            <w:tcBorders>
              <w:top w:val="nil"/>
              <w:left w:val="nil"/>
              <w:bottom w:val="single" w:color="000000" w:sz="8" w:space="0"/>
              <w:right w:val="single" w:color="000000" w:sz="8" w:space="0"/>
            </w:tcBorders>
            <w:noWrap w:val="0"/>
            <w:vAlign w:val="center"/>
          </w:tcPr>
          <w:p w14:paraId="294621E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2736" w:type="dxa"/>
            <w:tcBorders>
              <w:top w:val="nil"/>
              <w:left w:val="nil"/>
              <w:bottom w:val="single" w:color="000000" w:sz="8" w:space="0"/>
              <w:right w:val="single" w:color="000000" w:sz="8" w:space="0"/>
            </w:tcBorders>
            <w:noWrap w:val="0"/>
            <w:vAlign w:val="center"/>
          </w:tcPr>
          <w:p w14:paraId="2CB999F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4E703D99">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2CCFAD6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78" w:type="dxa"/>
            <w:tcBorders>
              <w:top w:val="nil"/>
              <w:left w:val="nil"/>
              <w:bottom w:val="single" w:color="000000" w:sz="8" w:space="0"/>
              <w:right w:val="single" w:color="000000" w:sz="8" w:space="0"/>
            </w:tcBorders>
            <w:noWrap w:val="0"/>
            <w:vAlign w:val="center"/>
          </w:tcPr>
          <w:p w14:paraId="107EF60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996" w:type="dxa"/>
            <w:tcBorders>
              <w:top w:val="nil"/>
              <w:left w:val="nil"/>
              <w:bottom w:val="single" w:color="000000" w:sz="8" w:space="0"/>
              <w:right w:val="single" w:color="000000" w:sz="8" w:space="0"/>
            </w:tcBorders>
            <w:noWrap w:val="0"/>
            <w:vAlign w:val="center"/>
          </w:tcPr>
          <w:p w14:paraId="2F59752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62C4E70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2A7C931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4D427751">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6C4D57D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778" w:type="dxa"/>
            <w:tcBorders>
              <w:top w:val="nil"/>
              <w:left w:val="nil"/>
              <w:bottom w:val="single" w:color="000000" w:sz="8" w:space="0"/>
              <w:right w:val="single" w:color="000000" w:sz="8" w:space="0"/>
            </w:tcBorders>
            <w:noWrap w:val="0"/>
            <w:vAlign w:val="center"/>
          </w:tcPr>
          <w:p w14:paraId="230418F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996" w:type="dxa"/>
            <w:tcBorders>
              <w:top w:val="nil"/>
              <w:left w:val="nil"/>
              <w:bottom w:val="single" w:color="000000" w:sz="8" w:space="0"/>
              <w:right w:val="single" w:color="000000" w:sz="8" w:space="0"/>
            </w:tcBorders>
            <w:noWrap w:val="0"/>
            <w:vAlign w:val="center"/>
          </w:tcPr>
          <w:p w14:paraId="1DBD496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7CBE52E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1AFD34C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4E82AF5D">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568D83A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778" w:type="dxa"/>
            <w:tcBorders>
              <w:top w:val="nil"/>
              <w:left w:val="nil"/>
              <w:bottom w:val="single" w:color="000000" w:sz="8" w:space="0"/>
              <w:right w:val="single" w:color="000000" w:sz="8" w:space="0"/>
            </w:tcBorders>
            <w:noWrap w:val="0"/>
            <w:vAlign w:val="center"/>
          </w:tcPr>
          <w:p w14:paraId="4371653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996" w:type="dxa"/>
            <w:tcBorders>
              <w:top w:val="nil"/>
              <w:left w:val="nil"/>
              <w:bottom w:val="single" w:color="000000" w:sz="8" w:space="0"/>
              <w:right w:val="single" w:color="000000" w:sz="8" w:space="0"/>
            </w:tcBorders>
            <w:noWrap w:val="0"/>
            <w:vAlign w:val="center"/>
          </w:tcPr>
          <w:p w14:paraId="6654239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996" w:type="dxa"/>
            <w:tcBorders>
              <w:top w:val="nil"/>
              <w:left w:val="nil"/>
              <w:bottom w:val="single" w:color="000000" w:sz="8" w:space="0"/>
              <w:right w:val="single" w:color="000000" w:sz="8" w:space="0"/>
            </w:tcBorders>
            <w:noWrap w:val="0"/>
            <w:vAlign w:val="center"/>
          </w:tcPr>
          <w:p w14:paraId="3CE8E5B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4A09A8E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508EAA0D">
        <w:tblPrEx>
          <w:tblCellMar>
            <w:top w:w="0" w:type="dxa"/>
            <w:left w:w="108" w:type="dxa"/>
            <w:bottom w:w="0" w:type="dxa"/>
            <w:right w:w="108" w:type="dxa"/>
          </w:tblCellMar>
        </w:tblPrEx>
        <w:trPr>
          <w:trHeight w:val="73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38534D3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4BA768F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996" w:type="dxa"/>
            <w:vMerge w:val="restart"/>
            <w:tcBorders>
              <w:top w:val="nil"/>
              <w:left w:val="single" w:color="000000" w:sz="8" w:space="0"/>
              <w:bottom w:val="single" w:color="000000" w:sz="8" w:space="0"/>
              <w:right w:val="single" w:color="000000" w:sz="8" w:space="0"/>
            </w:tcBorders>
            <w:noWrap w:val="0"/>
            <w:vAlign w:val="center"/>
          </w:tcPr>
          <w:p w14:paraId="6E27E78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996" w:type="dxa"/>
            <w:tcBorders>
              <w:top w:val="nil"/>
              <w:left w:val="nil"/>
              <w:bottom w:val="single" w:color="000000" w:sz="8" w:space="0"/>
              <w:right w:val="single" w:color="000000" w:sz="8" w:space="0"/>
            </w:tcBorders>
            <w:noWrap w:val="0"/>
            <w:vAlign w:val="center"/>
          </w:tcPr>
          <w:p w14:paraId="5158562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2736" w:type="dxa"/>
            <w:tcBorders>
              <w:top w:val="nil"/>
              <w:left w:val="nil"/>
              <w:bottom w:val="single" w:color="000000" w:sz="8" w:space="0"/>
              <w:right w:val="single" w:color="000000" w:sz="8" w:space="0"/>
            </w:tcBorders>
            <w:noWrap w:val="0"/>
            <w:vAlign w:val="center"/>
          </w:tcPr>
          <w:p w14:paraId="5935888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635E1484">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1E2C53A5">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4FD71BD8">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7A081BD5">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059A7F1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2736" w:type="dxa"/>
            <w:tcBorders>
              <w:top w:val="nil"/>
              <w:left w:val="nil"/>
              <w:bottom w:val="single" w:color="000000" w:sz="8" w:space="0"/>
              <w:right w:val="single" w:color="000000" w:sz="8" w:space="0"/>
            </w:tcBorders>
            <w:noWrap w:val="0"/>
            <w:vAlign w:val="center"/>
          </w:tcPr>
          <w:p w14:paraId="3DB68F2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551C4907">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08A2A7BE">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471C4D0B">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3140978E">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234780A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2736" w:type="dxa"/>
            <w:tcBorders>
              <w:top w:val="nil"/>
              <w:left w:val="nil"/>
              <w:bottom w:val="single" w:color="000000" w:sz="8" w:space="0"/>
              <w:right w:val="single" w:color="000000" w:sz="8" w:space="0"/>
            </w:tcBorders>
            <w:noWrap w:val="0"/>
            <w:vAlign w:val="center"/>
          </w:tcPr>
          <w:p w14:paraId="6E8FB83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313C4D7B">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4F2BAA7B">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1DEC4D66">
            <w:pPr>
              <w:widowControl/>
              <w:jc w:val="left"/>
              <w:rPr>
                <w:rFonts w:ascii="宋体" w:hAnsi="宋体" w:cs="宋体"/>
                <w:color w:val="auto"/>
                <w:kern w:val="0"/>
                <w:sz w:val="20"/>
                <w:szCs w:val="20"/>
                <w:highlight w:val="none"/>
              </w:rPr>
            </w:pPr>
          </w:p>
        </w:tc>
        <w:tc>
          <w:tcPr>
            <w:tcW w:w="1996" w:type="dxa"/>
            <w:vMerge w:val="restart"/>
            <w:tcBorders>
              <w:top w:val="nil"/>
              <w:left w:val="single" w:color="000000" w:sz="8" w:space="0"/>
              <w:bottom w:val="single" w:color="000000" w:sz="8" w:space="0"/>
              <w:right w:val="single" w:color="000000" w:sz="8" w:space="0"/>
            </w:tcBorders>
            <w:noWrap w:val="0"/>
            <w:vAlign w:val="center"/>
          </w:tcPr>
          <w:p w14:paraId="20A8295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996" w:type="dxa"/>
            <w:tcBorders>
              <w:top w:val="nil"/>
              <w:left w:val="nil"/>
              <w:bottom w:val="single" w:color="000000" w:sz="8" w:space="0"/>
              <w:right w:val="single" w:color="000000" w:sz="8" w:space="0"/>
            </w:tcBorders>
            <w:noWrap w:val="0"/>
            <w:vAlign w:val="center"/>
          </w:tcPr>
          <w:p w14:paraId="5E32933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2736" w:type="dxa"/>
            <w:tcBorders>
              <w:top w:val="nil"/>
              <w:left w:val="nil"/>
              <w:bottom w:val="single" w:color="000000" w:sz="8" w:space="0"/>
              <w:right w:val="single" w:color="000000" w:sz="8" w:space="0"/>
            </w:tcBorders>
            <w:noWrap w:val="0"/>
            <w:vAlign w:val="center"/>
          </w:tcPr>
          <w:p w14:paraId="6B9A3F9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2FEF05BA">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BA848E9">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77C325A0">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6C91FAFA">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6401EA4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2736" w:type="dxa"/>
            <w:tcBorders>
              <w:top w:val="nil"/>
              <w:left w:val="nil"/>
              <w:bottom w:val="single" w:color="000000" w:sz="8" w:space="0"/>
              <w:right w:val="single" w:color="000000" w:sz="8" w:space="0"/>
            </w:tcBorders>
            <w:noWrap w:val="0"/>
            <w:vAlign w:val="center"/>
          </w:tcPr>
          <w:p w14:paraId="332C726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6D4A0914">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3BD1248A">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22A18789">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65A3530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996" w:type="dxa"/>
            <w:tcBorders>
              <w:top w:val="nil"/>
              <w:left w:val="nil"/>
              <w:bottom w:val="single" w:color="000000" w:sz="8" w:space="0"/>
              <w:right w:val="single" w:color="000000" w:sz="8" w:space="0"/>
            </w:tcBorders>
            <w:noWrap w:val="0"/>
            <w:vAlign w:val="center"/>
          </w:tcPr>
          <w:p w14:paraId="0FAACD7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2736" w:type="dxa"/>
            <w:tcBorders>
              <w:top w:val="nil"/>
              <w:left w:val="nil"/>
              <w:bottom w:val="single" w:color="000000" w:sz="8" w:space="0"/>
              <w:right w:val="single" w:color="000000" w:sz="8" w:space="0"/>
            </w:tcBorders>
            <w:noWrap w:val="0"/>
            <w:vAlign w:val="center"/>
          </w:tcPr>
          <w:p w14:paraId="5C425F7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1F598519">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02626B87">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2F9BB66">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455A53D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996" w:type="dxa"/>
            <w:tcBorders>
              <w:top w:val="nil"/>
              <w:left w:val="nil"/>
              <w:bottom w:val="single" w:color="000000" w:sz="8" w:space="0"/>
              <w:right w:val="single" w:color="000000" w:sz="8" w:space="0"/>
            </w:tcBorders>
            <w:noWrap w:val="0"/>
            <w:vAlign w:val="center"/>
          </w:tcPr>
          <w:p w14:paraId="5C48C7A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2736" w:type="dxa"/>
            <w:tcBorders>
              <w:top w:val="nil"/>
              <w:left w:val="nil"/>
              <w:bottom w:val="single" w:color="000000" w:sz="8" w:space="0"/>
              <w:right w:val="single" w:color="000000" w:sz="8" w:space="0"/>
            </w:tcBorders>
            <w:noWrap w:val="0"/>
            <w:vAlign w:val="center"/>
          </w:tcPr>
          <w:p w14:paraId="028D267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7AF489F6">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5A24152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778" w:type="dxa"/>
            <w:tcBorders>
              <w:top w:val="nil"/>
              <w:left w:val="nil"/>
              <w:bottom w:val="single" w:color="000000" w:sz="8" w:space="0"/>
              <w:right w:val="single" w:color="000000" w:sz="8" w:space="0"/>
            </w:tcBorders>
            <w:noWrap w:val="0"/>
            <w:vAlign w:val="center"/>
          </w:tcPr>
          <w:p w14:paraId="70B6AA7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996" w:type="dxa"/>
            <w:tcBorders>
              <w:top w:val="nil"/>
              <w:left w:val="nil"/>
              <w:bottom w:val="single" w:color="000000" w:sz="8" w:space="0"/>
              <w:right w:val="single" w:color="000000" w:sz="8" w:space="0"/>
            </w:tcBorders>
            <w:noWrap w:val="0"/>
            <w:vAlign w:val="center"/>
          </w:tcPr>
          <w:p w14:paraId="55264FF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3B723CC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5E58926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08ADAD60">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685EE0A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778" w:type="dxa"/>
            <w:tcBorders>
              <w:top w:val="nil"/>
              <w:left w:val="nil"/>
              <w:bottom w:val="single" w:color="000000" w:sz="8" w:space="0"/>
              <w:right w:val="single" w:color="000000" w:sz="8" w:space="0"/>
            </w:tcBorders>
            <w:noWrap w:val="0"/>
            <w:vAlign w:val="center"/>
          </w:tcPr>
          <w:p w14:paraId="5B6A7A5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996" w:type="dxa"/>
            <w:tcBorders>
              <w:top w:val="nil"/>
              <w:left w:val="nil"/>
              <w:bottom w:val="single" w:color="000000" w:sz="8" w:space="0"/>
              <w:right w:val="single" w:color="000000" w:sz="8" w:space="0"/>
            </w:tcBorders>
            <w:noWrap w:val="0"/>
            <w:vAlign w:val="center"/>
          </w:tcPr>
          <w:p w14:paraId="3966676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996" w:type="dxa"/>
            <w:tcBorders>
              <w:top w:val="nil"/>
              <w:left w:val="nil"/>
              <w:bottom w:val="single" w:color="000000" w:sz="8" w:space="0"/>
              <w:right w:val="single" w:color="000000" w:sz="8" w:space="0"/>
            </w:tcBorders>
            <w:noWrap w:val="0"/>
            <w:vAlign w:val="center"/>
          </w:tcPr>
          <w:p w14:paraId="0821AFC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34B33289">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4BC8E3CC">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0B38FD3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778" w:type="dxa"/>
            <w:tcBorders>
              <w:top w:val="nil"/>
              <w:left w:val="nil"/>
              <w:bottom w:val="single" w:color="000000" w:sz="8" w:space="0"/>
              <w:right w:val="single" w:color="000000" w:sz="8" w:space="0"/>
            </w:tcBorders>
            <w:noWrap w:val="0"/>
            <w:vAlign w:val="center"/>
          </w:tcPr>
          <w:p w14:paraId="6B81729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996" w:type="dxa"/>
            <w:tcBorders>
              <w:top w:val="nil"/>
              <w:left w:val="nil"/>
              <w:bottom w:val="single" w:color="000000" w:sz="8" w:space="0"/>
              <w:right w:val="single" w:color="000000" w:sz="8" w:space="0"/>
            </w:tcBorders>
            <w:noWrap w:val="0"/>
            <w:vAlign w:val="center"/>
          </w:tcPr>
          <w:p w14:paraId="777FD3C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996" w:type="dxa"/>
            <w:tcBorders>
              <w:top w:val="nil"/>
              <w:left w:val="nil"/>
              <w:bottom w:val="single" w:color="000000" w:sz="8" w:space="0"/>
              <w:right w:val="single" w:color="000000" w:sz="8" w:space="0"/>
            </w:tcBorders>
            <w:noWrap w:val="0"/>
            <w:vAlign w:val="center"/>
          </w:tcPr>
          <w:p w14:paraId="64FB118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267AF1D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258B9A1C">
        <w:tblPrEx>
          <w:tblCellMar>
            <w:top w:w="0" w:type="dxa"/>
            <w:left w:w="108" w:type="dxa"/>
            <w:bottom w:w="0" w:type="dxa"/>
            <w:right w:w="108" w:type="dxa"/>
          </w:tblCellMar>
        </w:tblPrEx>
        <w:trPr>
          <w:trHeight w:val="49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0DCA515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31539EB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996" w:type="dxa"/>
            <w:tcBorders>
              <w:top w:val="nil"/>
              <w:left w:val="nil"/>
              <w:bottom w:val="single" w:color="000000" w:sz="8" w:space="0"/>
              <w:right w:val="single" w:color="000000" w:sz="8" w:space="0"/>
            </w:tcBorders>
            <w:noWrap w:val="0"/>
            <w:vAlign w:val="center"/>
          </w:tcPr>
          <w:p w14:paraId="5CC9B90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996" w:type="dxa"/>
            <w:tcBorders>
              <w:top w:val="nil"/>
              <w:left w:val="nil"/>
              <w:bottom w:val="single" w:color="000000" w:sz="8" w:space="0"/>
              <w:right w:val="single" w:color="000000" w:sz="8" w:space="0"/>
            </w:tcBorders>
            <w:noWrap w:val="0"/>
            <w:vAlign w:val="center"/>
          </w:tcPr>
          <w:p w14:paraId="5EA6673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30E4484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358589F1">
        <w:tblPrEx>
          <w:tblCellMar>
            <w:top w:w="0" w:type="dxa"/>
            <w:left w:w="108" w:type="dxa"/>
            <w:bottom w:w="0" w:type="dxa"/>
            <w:right w:w="108" w:type="dxa"/>
          </w:tblCellMar>
        </w:tblPrEx>
        <w:trPr>
          <w:trHeight w:val="97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DE0A5AD">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2F9950A0">
            <w:pPr>
              <w:widowControl/>
              <w:jc w:val="left"/>
              <w:rPr>
                <w:rFonts w:ascii="宋体" w:hAnsi="宋体" w:cs="宋体"/>
                <w:color w:val="auto"/>
                <w:kern w:val="0"/>
                <w:sz w:val="20"/>
                <w:szCs w:val="20"/>
                <w:highlight w:val="none"/>
              </w:rPr>
            </w:pPr>
          </w:p>
        </w:tc>
        <w:tc>
          <w:tcPr>
            <w:tcW w:w="1996" w:type="dxa"/>
            <w:vMerge w:val="restart"/>
            <w:tcBorders>
              <w:top w:val="nil"/>
              <w:left w:val="single" w:color="000000" w:sz="8" w:space="0"/>
              <w:bottom w:val="single" w:color="000000" w:sz="8" w:space="0"/>
              <w:right w:val="single" w:color="000000" w:sz="8" w:space="0"/>
            </w:tcBorders>
            <w:noWrap w:val="0"/>
            <w:vAlign w:val="center"/>
          </w:tcPr>
          <w:p w14:paraId="3ECF8E9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996" w:type="dxa"/>
            <w:tcBorders>
              <w:top w:val="nil"/>
              <w:left w:val="nil"/>
              <w:bottom w:val="single" w:color="000000" w:sz="8" w:space="0"/>
              <w:right w:val="single" w:color="000000" w:sz="8" w:space="0"/>
            </w:tcBorders>
            <w:noWrap w:val="0"/>
            <w:vAlign w:val="center"/>
          </w:tcPr>
          <w:p w14:paraId="66B52E5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2736" w:type="dxa"/>
            <w:tcBorders>
              <w:top w:val="nil"/>
              <w:left w:val="nil"/>
              <w:bottom w:val="single" w:color="000000" w:sz="8" w:space="0"/>
              <w:right w:val="single" w:color="000000" w:sz="8" w:space="0"/>
            </w:tcBorders>
            <w:noWrap w:val="0"/>
            <w:vAlign w:val="center"/>
          </w:tcPr>
          <w:p w14:paraId="1FDE3909">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76B27305">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1AA37C55">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7C8F3D5D">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1834569F">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06612AE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2736" w:type="dxa"/>
            <w:tcBorders>
              <w:top w:val="nil"/>
              <w:left w:val="nil"/>
              <w:bottom w:val="single" w:color="000000" w:sz="8" w:space="0"/>
              <w:right w:val="single" w:color="000000" w:sz="8" w:space="0"/>
            </w:tcBorders>
            <w:noWrap w:val="0"/>
            <w:vAlign w:val="center"/>
          </w:tcPr>
          <w:p w14:paraId="6067AA5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4275B275">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758C45C">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030CBBF0">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0C49F994">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4D8BADD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2736" w:type="dxa"/>
            <w:tcBorders>
              <w:top w:val="nil"/>
              <w:left w:val="nil"/>
              <w:bottom w:val="single" w:color="000000" w:sz="8" w:space="0"/>
              <w:right w:val="single" w:color="000000" w:sz="8" w:space="0"/>
            </w:tcBorders>
            <w:noWrap w:val="0"/>
            <w:vAlign w:val="center"/>
          </w:tcPr>
          <w:p w14:paraId="1B092AB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71E2CD83">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01CC064">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AE84A53">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136FB6A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996" w:type="dxa"/>
            <w:tcBorders>
              <w:top w:val="nil"/>
              <w:left w:val="nil"/>
              <w:bottom w:val="single" w:color="000000" w:sz="8" w:space="0"/>
              <w:right w:val="single" w:color="000000" w:sz="8" w:space="0"/>
            </w:tcBorders>
            <w:noWrap w:val="0"/>
            <w:vAlign w:val="center"/>
          </w:tcPr>
          <w:p w14:paraId="5EDF9A1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4620FF2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2492633F">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5FBD5986">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7E19F4E3">
            <w:pPr>
              <w:widowControl/>
              <w:jc w:val="left"/>
              <w:rPr>
                <w:rFonts w:ascii="宋体" w:hAnsi="宋体" w:cs="宋体"/>
                <w:color w:val="auto"/>
                <w:kern w:val="0"/>
                <w:sz w:val="20"/>
                <w:szCs w:val="20"/>
                <w:highlight w:val="none"/>
              </w:rPr>
            </w:pPr>
          </w:p>
        </w:tc>
        <w:tc>
          <w:tcPr>
            <w:tcW w:w="1996" w:type="dxa"/>
            <w:vMerge w:val="restart"/>
            <w:tcBorders>
              <w:top w:val="nil"/>
              <w:left w:val="single" w:color="000000" w:sz="8" w:space="0"/>
              <w:bottom w:val="single" w:color="000000" w:sz="8" w:space="0"/>
              <w:right w:val="single" w:color="000000" w:sz="8" w:space="0"/>
            </w:tcBorders>
            <w:noWrap w:val="0"/>
            <w:vAlign w:val="center"/>
          </w:tcPr>
          <w:p w14:paraId="75A08AE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996" w:type="dxa"/>
            <w:tcBorders>
              <w:top w:val="nil"/>
              <w:left w:val="nil"/>
              <w:bottom w:val="single" w:color="000000" w:sz="8" w:space="0"/>
              <w:right w:val="single" w:color="000000" w:sz="8" w:space="0"/>
            </w:tcBorders>
            <w:noWrap w:val="0"/>
            <w:vAlign w:val="center"/>
          </w:tcPr>
          <w:p w14:paraId="76ADBE9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2736" w:type="dxa"/>
            <w:tcBorders>
              <w:top w:val="nil"/>
              <w:left w:val="nil"/>
              <w:bottom w:val="single" w:color="000000" w:sz="8" w:space="0"/>
              <w:right w:val="single" w:color="000000" w:sz="8" w:space="0"/>
            </w:tcBorders>
            <w:noWrap w:val="0"/>
            <w:vAlign w:val="center"/>
          </w:tcPr>
          <w:p w14:paraId="1166F497">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0BBFBB47">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0BDAEF9E">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61456BA8">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589FF374">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72E7797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2736" w:type="dxa"/>
            <w:tcBorders>
              <w:top w:val="nil"/>
              <w:left w:val="nil"/>
              <w:bottom w:val="single" w:color="000000" w:sz="8" w:space="0"/>
              <w:right w:val="single" w:color="000000" w:sz="8" w:space="0"/>
            </w:tcBorders>
            <w:noWrap w:val="0"/>
            <w:vAlign w:val="center"/>
          </w:tcPr>
          <w:p w14:paraId="0A70C487">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18A07D3A">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0E529767">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39ACA3A5">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50CBF579">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6E4E7A5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2736" w:type="dxa"/>
            <w:tcBorders>
              <w:top w:val="nil"/>
              <w:left w:val="nil"/>
              <w:bottom w:val="single" w:color="000000" w:sz="8" w:space="0"/>
              <w:right w:val="single" w:color="000000" w:sz="8" w:space="0"/>
            </w:tcBorders>
            <w:noWrap w:val="0"/>
            <w:vAlign w:val="center"/>
          </w:tcPr>
          <w:p w14:paraId="42D848D9">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6A090A33">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31E8AF5">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0834EE8">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2A4EBD62">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4539E75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2736" w:type="dxa"/>
            <w:tcBorders>
              <w:top w:val="nil"/>
              <w:left w:val="nil"/>
              <w:bottom w:val="single" w:color="000000" w:sz="8" w:space="0"/>
              <w:right w:val="single" w:color="000000" w:sz="8" w:space="0"/>
            </w:tcBorders>
            <w:noWrap w:val="0"/>
            <w:vAlign w:val="center"/>
          </w:tcPr>
          <w:p w14:paraId="2EF5E8D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21FF6188">
        <w:tblPrEx>
          <w:tblCellMar>
            <w:top w:w="0" w:type="dxa"/>
            <w:left w:w="108" w:type="dxa"/>
            <w:bottom w:w="0" w:type="dxa"/>
            <w:right w:w="108" w:type="dxa"/>
          </w:tblCellMar>
        </w:tblPrEx>
        <w:trPr>
          <w:trHeight w:val="49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61CD3EC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7B0D006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996" w:type="dxa"/>
            <w:tcBorders>
              <w:top w:val="nil"/>
              <w:left w:val="nil"/>
              <w:bottom w:val="single" w:color="000000" w:sz="8" w:space="0"/>
              <w:right w:val="single" w:color="000000" w:sz="8" w:space="0"/>
            </w:tcBorders>
            <w:noWrap w:val="0"/>
            <w:vAlign w:val="center"/>
          </w:tcPr>
          <w:p w14:paraId="745274F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996" w:type="dxa"/>
            <w:tcBorders>
              <w:top w:val="nil"/>
              <w:left w:val="nil"/>
              <w:bottom w:val="single" w:color="000000" w:sz="8" w:space="0"/>
              <w:right w:val="single" w:color="000000" w:sz="8" w:space="0"/>
            </w:tcBorders>
            <w:noWrap w:val="0"/>
            <w:vAlign w:val="center"/>
          </w:tcPr>
          <w:p w14:paraId="7E4AA85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6A774B8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2B8DF4E9">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1F770DC5">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250AB6C2">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5C1D824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996" w:type="dxa"/>
            <w:tcBorders>
              <w:top w:val="nil"/>
              <w:left w:val="nil"/>
              <w:bottom w:val="single" w:color="000000" w:sz="8" w:space="0"/>
              <w:right w:val="single" w:color="000000" w:sz="8" w:space="0"/>
            </w:tcBorders>
            <w:noWrap w:val="0"/>
            <w:vAlign w:val="center"/>
          </w:tcPr>
          <w:p w14:paraId="3018280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05F6C7B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605258C0">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34C3BC1D">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D5A1B4A">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6B4F99C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996" w:type="dxa"/>
            <w:tcBorders>
              <w:top w:val="nil"/>
              <w:left w:val="nil"/>
              <w:bottom w:val="single" w:color="000000" w:sz="8" w:space="0"/>
              <w:right w:val="single" w:color="000000" w:sz="8" w:space="0"/>
            </w:tcBorders>
            <w:noWrap w:val="0"/>
            <w:vAlign w:val="center"/>
          </w:tcPr>
          <w:p w14:paraId="04892ED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61DA9F8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0D607A11">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3CC3F117">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2C08D5D9">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5A2A563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996" w:type="dxa"/>
            <w:tcBorders>
              <w:top w:val="nil"/>
              <w:left w:val="nil"/>
              <w:bottom w:val="single" w:color="000000" w:sz="8" w:space="0"/>
              <w:right w:val="single" w:color="000000" w:sz="8" w:space="0"/>
            </w:tcBorders>
            <w:noWrap w:val="0"/>
            <w:vAlign w:val="center"/>
          </w:tcPr>
          <w:p w14:paraId="5B9A15F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1E8BC2C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7DFA8356">
        <w:tblPrEx>
          <w:tblCellMar>
            <w:top w:w="0" w:type="dxa"/>
            <w:left w:w="108" w:type="dxa"/>
            <w:bottom w:w="0" w:type="dxa"/>
            <w:right w:w="108" w:type="dxa"/>
          </w:tblCellMar>
        </w:tblPrEx>
        <w:trPr>
          <w:trHeight w:val="735" w:hRule="atLeast"/>
        </w:trPr>
        <w:tc>
          <w:tcPr>
            <w:tcW w:w="714" w:type="dxa"/>
            <w:tcBorders>
              <w:top w:val="nil"/>
              <w:left w:val="single" w:color="000000" w:sz="8" w:space="0"/>
              <w:bottom w:val="single" w:color="000000" w:sz="8" w:space="0"/>
              <w:right w:val="single" w:color="000000" w:sz="8" w:space="0"/>
            </w:tcBorders>
            <w:noWrap w:val="0"/>
            <w:vAlign w:val="center"/>
          </w:tcPr>
          <w:p w14:paraId="3FA47F3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778" w:type="dxa"/>
            <w:tcBorders>
              <w:top w:val="nil"/>
              <w:left w:val="nil"/>
              <w:bottom w:val="single" w:color="000000" w:sz="8" w:space="0"/>
              <w:right w:val="single" w:color="000000" w:sz="8" w:space="0"/>
            </w:tcBorders>
            <w:noWrap w:val="0"/>
            <w:vAlign w:val="center"/>
          </w:tcPr>
          <w:p w14:paraId="5CE14A2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996" w:type="dxa"/>
            <w:tcBorders>
              <w:top w:val="nil"/>
              <w:left w:val="nil"/>
              <w:bottom w:val="single" w:color="000000" w:sz="8" w:space="0"/>
              <w:right w:val="single" w:color="000000" w:sz="8" w:space="0"/>
            </w:tcBorders>
            <w:noWrap w:val="0"/>
            <w:vAlign w:val="center"/>
          </w:tcPr>
          <w:p w14:paraId="5C2E87C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996" w:type="dxa"/>
            <w:tcBorders>
              <w:top w:val="nil"/>
              <w:left w:val="nil"/>
              <w:bottom w:val="single" w:color="000000" w:sz="8" w:space="0"/>
              <w:right w:val="single" w:color="000000" w:sz="8" w:space="0"/>
            </w:tcBorders>
            <w:noWrap w:val="0"/>
            <w:vAlign w:val="center"/>
          </w:tcPr>
          <w:p w14:paraId="36B3589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5A20B8F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23378DA0">
        <w:tblPrEx>
          <w:tblCellMar>
            <w:top w:w="0" w:type="dxa"/>
            <w:left w:w="108" w:type="dxa"/>
            <w:bottom w:w="0" w:type="dxa"/>
            <w:right w:w="108" w:type="dxa"/>
          </w:tblCellMar>
        </w:tblPrEx>
        <w:trPr>
          <w:trHeight w:val="975" w:hRule="atLeast"/>
        </w:trPr>
        <w:tc>
          <w:tcPr>
            <w:tcW w:w="714" w:type="dxa"/>
            <w:tcBorders>
              <w:top w:val="nil"/>
              <w:left w:val="single" w:color="000000" w:sz="8" w:space="0"/>
              <w:bottom w:val="single" w:color="000000" w:sz="8" w:space="0"/>
              <w:right w:val="single" w:color="000000" w:sz="8" w:space="0"/>
            </w:tcBorders>
            <w:noWrap w:val="0"/>
            <w:vAlign w:val="center"/>
          </w:tcPr>
          <w:p w14:paraId="11FD08E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778" w:type="dxa"/>
            <w:tcBorders>
              <w:top w:val="nil"/>
              <w:left w:val="nil"/>
              <w:bottom w:val="single" w:color="000000" w:sz="8" w:space="0"/>
              <w:right w:val="single" w:color="000000" w:sz="8" w:space="0"/>
            </w:tcBorders>
            <w:noWrap w:val="0"/>
            <w:vAlign w:val="center"/>
          </w:tcPr>
          <w:p w14:paraId="13F1A25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996" w:type="dxa"/>
            <w:tcBorders>
              <w:top w:val="nil"/>
              <w:left w:val="nil"/>
              <w:bottom w:val="single" w:color="000000" w:sz="8" w:space="0"/>
              <w:right w:val="single" w:color="000000" w:sz="8" w:space="0"/>
            </w:tcBorders>
            <w:noWrap w:val="0"/>
            <w:vAlign w:val="center"/>
          </w:tcPr>
          <w:p w14:paraId="5E1825B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996" w:type="dxa"/>
            <w:tcBorders>
              <w:top w:val="nil"/>
              <w:left w:val="nil"/>
              <w:bottom w:val="single" w:color="000000" w:sz="8" w:space="0"/>
              <w:right w:val="single" w:color="000000" w:sz="8" w:space="0"/>
            </w:tcBorders>
            <w:noWrap w:val="0"/>
            <w:vAlign w:val="center"/>
          </w:tcPr>
          <w:p w14:paraId="4433164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2736" w:type="dxa"/>
            <w:tcBorders>
              <w:top w:val="nil"/>
              <w:left w:val="nil"/>
              <w:bottom w:val="single" w:color="000000" w:sz="8" w:space="0"/>
              <w:right w:val="single" w:color="000000" w:sz="8" w:space="0"/>
            </w:tcBorders>
            <w:noWrap w:val="0"/>
            <w:vAlign w:val="center"/>
          </w:tcPr>
          <w:p w14:paraId="17C5C5E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3EC22ADB">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65A2825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778" w:type="dxa"/>
            <w:tcBorders>
              <w:top w:val="nil"/>
              <w:left w:val="nil"/>
              <w:bottom w:val="single" w:color="000000" w:sz="8" w:space="0"/>
              <w:right w:val="single" w:color="000000" w:sz="8" w:space="0"/>
            </w:tcBorders>
            <w:noWrap w:val="0"/>
            <w:vAlign w:val="center"/>
          </w:tcPr>
          <w:p w14:paraId="07FEE11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996" w:type="dxa"/>
            <w:tcBorders>
              <w:top w:val="nil"/>
              <w:left w:val="nil"/>
              <w:bottom w:val="single" w:color="000000" w:sz="8" w:space="0"/>
              <w:right w:val="single" w:color="000000" w:sz="8" w:space="0"/>
            </w:tcBorders>
            <w:noWrap w:val="0"/>
            <w:vAlign w:val="center"/>
          </w:tcPr>
          <w:p w14:paraId="45AFC07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996" w:type="dxa"/>
            <w:tcBorders>
              <w:top w:val="nil"/>
              <w:left w:val="nil"/>
              <w:bottom w:val="single" w:color="000000" w:sz="8" w:space="0"/>
              <w:right w:val="single" w:color="000000" w:sz="8" w:space="0"/>
            </w:tcBorders>
            <w:noWrap w:val="0"/>
            <w:vAlign w:val="center"/>
          </w:tcPr>
          <w:p w14:paraId="4E5DB5B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7EF7F59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10B2C81D">
        <w:tblPrEx>
          <w:tblCellMar>
            <w:top w:w="0" w:type="dxa"/>
            <w:left w:w="108" w:type="dxa"/>
            <w:bottom w:w="0" w:type="dxa"/>
            <w:right w:w="108" w:type="dxa"/>
          </w:tblCellMar>
        </w:tblPrEx>
        <w:trPr>
          <w:trHeight w:val="28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10D3AE4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1E8E10B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996" w:type="dxa"/>
            <w:tcBorders>
              <w:top w:val="nil"/>
              <w:left w:val="nil"/>
              <w:bottom w:val="single" w:color="000000" w:sz="8" w:space="0"/>
              <w:right w:val="single" w:color="000000" w:sz="8" w:space="0"/>
            </w:tcBorders>
            <w:noWrap w:val="0"/>
            <w:vAlign w:val="center"/>
          </w:tcPr>
          <w:p w14:paraId="628DAEA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996" w:type="dxa"/>
            <w:tcBorders>
              <w:top w:val="nil"/>
              <w:left w:val="nil"/>
              <w:bottom w:val="single" w:color="000000" w:sz="8" w:space="0"/>
              <w:right w:val="single" w:color="000000" w:sz="8" w:space="0"/>
            </w:tcBorders>
            <w:noWrap w:val="0"/>
            <w:vAlign w:val="center"/>
          </w:tcPr>
          <w:p w14:paraId="1684155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2DDD5E4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7C94B3AD">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7C27119E">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3FE1DF2">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27E1B4F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996" w:type="dxa"/>
            <w:tcBorders>
              <w:top w:val="nil"/>
              <w:left w:val="nil"/>
              <w:bottom w:val="single" w:color="000000" w:sz="8" w:space="0"/>
              <w:right w:val="single" w:color="000000" w:sz="8" w:space="0"/>
            </w:tcBorders>
            <w:noWrap w:val="0"/>
            <w:vAlign w:val="center"/>
          </w:tcPr>
          <w:p w14:paraId="5320330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6901D89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7AB97E0C">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E44AE8A">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1CE46600">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6A02410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996" w:type="dxa"/>
            <w:tcBorders>
              <w:top w:val="nil"/>
              <w:left w:val="nil"/>
              <w:bottom w:val="single" w:color="000000" w:sz="8" w:space="0"/>
              <w:right w:val="single" w:color="000000" w:sz="8" w:space="0"/>
            </w:tcBorders>
            <w:noWrap w:val="0"/>
            <w:vAlign w:val="center"/>
          </w:tcPr>
          <w:p w14:paraId="40BE067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6B0FA31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525BFD24">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39300E6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778" w:type="dxa"/>
            <w:tcBorders>
              <w:top w:val="nil"/>
              <w:left w:val="nil"/>
              <w:bottom w:val="single" w:color="000000" w:sz="8" w:space="0"/>
              <w:right w:val="single" w:color="000000" w:sz="8" w:space="0"/>
            </w:tcBorders>
            <w:noWrap w:val="0"/>
            <w:vAlign w:val="center"/>
          </w:tcPr>
          <w:p w14:paraId="16F2318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996" w:type="dxa"/>
            <w:tcBorders>
              <w:top w:val="nil"/>
              <w:left w:val="nil"/>
              <w:bottom w:val="single" w:color="000000" w:sz="8" w:space="0"/>
              <w:right w:val="single" w:color="000000" w:sz="8" w:space="0"/>
            </w:tcBorders>
            <w:noWrap w:val="0"/>
            <w:vAlign w:val="center"/>
          </w:tcPr>
          <w:p w14:paraId="4D14A41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33ED75C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1BF1831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6ADB1465">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67A61A5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778" w:type="dxa"/>
            <w:tcBorders>
              <w:top w:val="nil"/>
              <w:left w:val="nil"/>
              <w:bottom w:val="single" w:color="000000" w:sz="8" w:space="0"/>
              <w:right w:val="single" w:color="000000" w:sz="8" w:space="0"/>
            </w:tcBorders>
            <w:noWrap w:val="0"/>
            <w:vAlign w:val="center"/>
          </w:tcPr>
          <w:p w14:paraId="6360BC1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996" w:type="dxa"/>
            <w:tcBorders>
              <w:top w:val="nil"/>
              <w:left w:val="nil"/>
              <w:bottom w:val="single" w:color="000000" w:sz="8" w:space="0"/>
              <w:right w:val="single" w:color="000000" w:sz="8" w:space="0"/>
            </w:tcBorders>
            <w:noWrap w:val="0"/>
            <w:vAlign w:val="center"/>
          </w:tcPr>
          <w:p w14:paraId="196C4DC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22ECC04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48D482E2">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090A0373">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1B86AD3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778" w:type="dxa"/>
            <w:tcBorders>
              <w:top w:val="nil"/>
              <w:left w:val="nil"/>
              <w:bottom w:val="single" w:color="000000" w:sz="8" w:space="0"/>
              <w:right w:val="single" w:color="000000" w:sz="8" w:space="0"/>
            </w:tcBorders>
            <w:noWrap w:val="0"/>
            <w:vAlign w:val="center"/>
          </w:tcPr>
          <w:p w14:paraId="048F54F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996" w:type="dxa"/>
            <w:tcBorders>
              <w:top w:val="nil"/>
              <w:left w:val="nil"/>
              <w:bottom w:val="single" w:color="000000" w:sz="8" w:space="0"/>
              <w:right w:val="single" w:color="000000" w:sz="8" w:space="0"/>
            </w:tcBorders>
            <w:noWrap w:val="0"/>
            <w:vAlign w:val="center"/>
          </w:tcPr>
          <w:p w14:paraId="51FB8B0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61D86D7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38E7E1F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41724E9B">
      <w:pPr>
        <w:pStyle w:val="18"/>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注：1.节能产品认证应依据相关国家标准的最新版本，依据国家标准中二级能效（水效）</w:t>
      </w:r>
      <w:r>
        <w:rPr>
          <w:rFonts w:hint="eastAsia" w:ascii="宋体" w:hAnsi="宋体" w:eastAsia="宋体" w:cs="宋体"/>
          <w:color w:val="auto"/>
          <w:sz w:val="24"/>
          <w:szCs w:val="24"/>
          <w:highlight w:val="none"/>
        </w:rPr>
        <w:t>指标。</w:t>
      </w:r>
    </w:p>
    <w:p w14:paraId="0981482B">
      <w:pPr>
        <w:bidi w:val="0"/>
        <w:jc w:val="left"/>
        <w:rPr>
          <w:rFonts w:hint="eastAsia"/>
          <w:color w:val="auto"/>
          <w:highlight w:val="none"/>
        </w:rPr>
        <w:sectPr>
          <w:footerReference r:id="rId20" w:type="first"/>
          <w:footerReference r:id="rId19" w:type="default"/>
          <w:pgSz w:w="11906" w:h="16838"/>
          <w:pgMar w:top="1440" w:right="991" w:bottom="1440" w:left="1134" w:header="720" w:footer="720" w:gutter="0"/>
          <w:pgNumType w:fmt="decimal"/>
          <w:cols w:space="720" w:num="1"/>
          <w:titlePg/>
          <w:docGrid w:type="linesAndChars" w:linePitch="331" w:charSpace="0"/>
        </w:sectPr>
      </w:pPr>
      <w:r>
        <w:rPr>
          <w:rFonts w:hint="eastAsia" w:hAnsi="宋体"/>
          <w:color w:val="auto"/>
          <w:highlight w:val="none"/>
        </w:rPr>
        <w:t xml:space="preserve">    </w:t>
      </w:r>
      <w:r>
        <w:rPr>
          <w:rFonts w:hint="eastAsia"/>
          <w:color w:val="auto"/>
          <w:highlight w:val="none"/>
        </w:rPr>
        <w:t>2.以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p>
    <w:p w14:paraId="595CA9D6">
      <w:pPr>
        <w:tabs>
          <w:tab w:val="left" w:pos="567"/>
        </w:tabs>
        <w:spacing w:line="360" w:lineRule="exact"/>
        <w:ind w:left="0" w:leftChars="0" w:firstLine="0" w:firstLineChars="0"/>
        <w:jc w:val="both"/>
        <w:outlineLvl w:val="1"/>
        <w:rPr>
          <w:rFonts w:hint="eastAsia" w:ascii="宋体" w:hAnsi="宋体" w:eastAsia="宋体" w:cs="宋体"/>
          <w:b/>
          <w:bCs/>
          <w:color w:val="auto"/>
          <w:sz w:val="28"/>
          <w:szCs w:val="28"/>
          <w:highlight w:val="none"/>
          <w:lang w:val="en-US" w:eastAsia="zh-CN"/>
        </w:rPr>
      </w:pPr>
      <w:bookmarkStart w:id="40" w:name="_Toc155531035"/>
      <w:r>
        <w:rPr>
          <w:rFonts w:hint="eastAsia" w:ascii="宋体" w:hAnsi="宋体" w:eastAsia="宋体" w:cs="宋体"/>
          <w:b/>
          <w:bCs/>
          <w:color w:val="auto"/>
          <w:sz w:val="28"/>
          <w:szCs w:val="28"/>
          <w:highlight w:val="none"/>
          <w:lang w:eastAsia="zh-CN"/>
        </w:rPr>
        <w:t>分标</w:t>
      </w:r>
      <w:r>
        <w:rPr>
          <w:rFonts w:hint="eastAsia" w:ascii="宋体" w:hAnsi="宋体" w:eastAsia="宋体" w:cs="宋体"/>
          <w:b/>
          <w:bCs/>
          <w:color w:val="auto"/>
          <w:sz w:val="28"/>
          <w:szCs w:val="28"/>
          <w:highlight w:val="none"/>
          <w:lang w:val="en-US" w:eastAsia="zh-CN"/>
        </w:rPr>
        <w:t>2：</w:t>
      </w:r>
    </w:p>
    <w:p w14:paraId="38780EF4">
      <w:pPr>
        <w:adjustRightInd w:val="0"/>
        <w:spacing w:line="420" w:lineRule="exact"/>
        <w:ind w:firstLine="422"/>
        <w:rPr>
          <w:rFonts w:hint="eastAsia" w:ascii="宋体" w:hAnsi="宋体" w:eastAsia="宋体" w:cs="宋体"/>
          <w:b/>
          <w:color w:val="auto"/>
          <w:kern w:val="0"/>
          <w:sz w:val="21"/>
          <w:szCs w:val="21"/>
          <w:highlight w:val="none"/>
          <w:lang w:val="en-US" w:eastAsia="zh-CN"/>
        </w:rPr>
      </w:pPr>
    </w:p>
    <w:p w14:paraId="46111A1B">
      <w:pPr>
        <w:adjustRightInd w:val="0"/>
        <w:spacing w:line="420" w:lineRule="exact"/>
        <w:ind w:firstLine="422"/>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val="en-US" w:eastAsia="zh-CN"/>
        </w:rPr>
        <w:t>1</w:t>
      </w:r>
      <w:r>
        <w:rPr>
          <w:rFonts w:hint="eastAsia" w:ascii="宋体" w:hAnsi="宋体" w:eastAsia="宋体" w:cs="宋体"/>
          <w:b/>
          <w:color w:val="auto"/>
          <w:kern w:val="0"/>
          <w:sz w:val="21"/>
          <w:szCs w:val="21"/>
          <w:highlight w:val="none"/>
          <w:lang w:eastAsia="zh-CN"/>
        </w:rPr>
        <w:t>、本分标采购标的对应的中小企业划分标准所属行业为：建筑业。</w:t>
      </w:r>
    </w:p>
    <w:p w14:paraId="642B7711">
      <w:pPr>
        <w:adjustRightInd w:val="0"/>
        <w:spacing w:line="420" w:lineRule="exact"/>
        <w:ind w:firstLine="422"/>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2、本分标采购预算为:405865.00元</w:t>
      </w:r>
    </w:p>
    <w:p w14:paraId="3EE49007">
      <w:pPr>
        <w:tabs>
          <w:tab w:val="left" w:pos="567"/>
        </w:tabs>
        <w:spacing w:line="360" w:lineRule="exact"/>
        <w:jc w:val="center"/>
        <w:outlineLvl w:val="9"/>
        <w:rPr>
          <w:rFonts w:hint="eastAsia" w:ascii="宋体" w:hAnsi="宋体" w:cs="宋体"/>
          <w:b/>
          <w:bCs/>
          <w:color w:val="auto"/>
          <w:sz w:val="32"/>
          <w:szCs w:val="32"/>
          <w:highlight w:val="none"/>
          <w:shd w:val="clear" w:color="auto" w:fill="auto"/>
        </w:rPr>
      </w:pPr>
    </w:p>
    <w:p w14:paraId="7DEA2C70">
      <w:pPr>
        <w:tabs>
          <w:tab w:val="left" w:pos="567"/>
        </w:tabs>
        <w:spacing w:line="360" w:lineRule="exact"/>
        <w:jc w:val="center"/>
        <w:outlineLvl w:val="9"/>
        <w:rPr>
          <w:rFonts w:hint="eastAsia" w:ascii="宋体" w:hAnsi="宋体" w:cs="宋体"/>
          <w:b/>
          <w:bCs/>
          <w:color w:val="auto"/>
          <w:sz w:val="32"/>
          <w:szCs w:val="32"/>
          <w:highlight w:val="none"/>
          <w:shd w:val="clear" w:color="auto" w:fill="auto"/>
        </w:rPr>
      </w:pPr>
    </w:p>
    <w:p w14:paraId="689F5BA3">
      <w:pPr>
        <w:tabs>
          <w:tab w:val="left" w:pos="567"/>
        </w:tabs>
        <w:spacing w:line="360" w:lineRule="exact"/>
        <w:jc w:val="center"/>
        <w:outlineLvl w:val="9"/>
        <w:rPr>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工程量清单</w:t>
      </w:r>
    </w:p>
    <w:p w14:paraId="2FEDB3C8">
      <w:pPr>
        <w:pStyle w:val="243"/>
        <w:jc w:val="center"/>
        <w:rPr>
          <w:rFonts w:hint="eastAsia"/>
          <w:b/>
          <w:bCs/>
          <w:color w:val="auto"/>
          <w:sz w:val="28"/>
          <w:szCs w:val="36"/>
          <w:highlight w:val="none"/>
        </w:rPr>
      </w:pPr>
    </w:p>
    <w:p w14:paraId="470D75D0">
      <w:pPr>
        <w:pStyle w:val="243"/>
        <w:jc w:val="center"/>
        <w:rPr>
          <w:rFonts w:hint="eastAsia"/>
          <w:b/>
          <w:bCs/>
          <w:color w:val="auto"/>
          <w:sz w:val="28"/>
          <w:szCs w:val="36"/>
          <w:highlight w:val="none"/>
        </w:rPr>
      </w:pPr>
    </w:p>
    <w:p w14:paraId="7267A480">
      <w:pPr>
        <w:pStyle w:val="243"/>
        <w:jc w:val="center"/>
        <w:rPr>
          <w:rFonts w:hint="eastAsia"/>
          <w:b/>
          <w:bCs/>
          <w:color w:val="auto"/>
          <w:sz w:val="28"/>
          <w:szCs w:val="36"/>
          <w:highlight w:val="none"/>
        </w:rPr>
      </w:pPr>
    </w:p>
    <w:p w14:paraId="17F7ECC0">
      <w:pPr>
        <w:spacing w:line="500" w:lineRule="exact"/>
        <w:jc w:val="center"/>
        <w:rPr>
          <w:rFonts w:hint="eastAsia" w:ascii="宋体" w:hAnsi="宋体" w:cs="宋体"/>
          <w:b/>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w:t>
      </w:r>
      <w:r>
        <w:rPr>
          <w:rFonts w:hint="eastAsia" w:ascii="宋体" w:hAnsi="宋体" w:cs="宋体"/>
          <w:b/>
          <w:color w:val="auto"/>
          <w:sz w:val="32"/>
          <w:szCs w:val="32"/>
          <w:highlight w:val="none"/>
          <w:shd w:val="clear" w:color="auto" w:fill="auto"/>
        </w:rPr>
        <w:t>另册发放）</w:t>
      </w:r>
    </w:p>
    <w:p w14:paraId="3BC09398">
      <w:pPr>
        <w:rPr>
          <w:rFonts w:hint="default"/>
          <w:color w:val="auto"/>
          <w:highlight w:val="none"/>
          <w:lang w:val="en-US" w:eastAsia="zh-CN"/>
        </w:rPr>
        <w:sectPr>
          <w:pgSz w:w="11906" w:h="16838"/>
          <w:pgMar w:top="1440" w:right="1304" w:bottom="1440" w:left="1304" w:header="720" w:footer="720" w:gutter="0"/>
          <w:pgNumType w:fmt="decimal"/>
          <w:cols w:space="720" w:num="1"/>
          <w:titlePg/>
          <w:docGrid w:linePitch="331" w:charSpace="0"/>
        </w:sectPr>
      </w:pPr>
    </w:p>
    <w:p w14:paraId="6D22AC02">
      <w:pPr>
        <w:pStyle w:val="42"/>
        <w:jc w:val="center"/>
        <w:rPr>
          <w:color w:val="auto"/>
          <w:kern w:val="0"/>
          <w:highlight w:val="none"/>
        </w:rPr>
      </w:pPr>
      <w:r>
        <w:rPr>
          <w:rFonts w:hint="eastAsia"/>
          <w:color w:val="auto"/>
          <w:kern w:val="0"/>
          <w:highlight w:val="none"/>
        </w:rPr>
        <w:t>第四章评审办法</w:t>
      </w:r>
      <w:bookmarkEnd w:id="40"/>
    </w:p>
    <w:p w14:paraId="5CB89416">
      <w:pPr>
        <w:spacing w:line="400" w:lineRule="exact"/>
        <w:ind w:firstLine="413" w:firstLineChars="196"/>
        <w:rPr>
          <w:rFonts w:hint="default"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eastAsia="zh-CN"/>
        </w:rPr>
        <w:t>分标</w:t>
      </w:r>
      <w:r>
        <w:rPr>
          <w:rFonts w:hint="eastAsia" w:ascii="宋体" w:hAnsi="宋体" w:cs="宋体"/>
          <w:b/>
          <w:bCs/>
          <w:color w:val="auto"/>
          <w:kern w:val="0"/>
          <w:sz w:val="21"/>
          <w:szCs w:val="21"/>
          <w:highlight w:val="none"/>
          <w:lang w:val="en-US" w:eastAsia="zh-CN"/>
        </w:rPr>
        <w:t>1和分标2：</w:t>
      </w:r>
    </w:p>
    <w:p w14:paraId="02CDB827">
      <w:pPr>
        <w:spacing w:line="400" w:lineRule="exact"/>
        <w:ind w:firstLine="413" w:firstLineChars="196"/>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一、评审依据及方式</w:t>
      </w:r>
    </w:p>
    <w:p w14:paraId="5F0C4DBE">
      <w:pPr>
        <w:adjustRightInd w:val="0"/>
        <w:snapToGrid w:val="0"/>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1.评审依据：谈判小组以竞争性谈判文件和响应文件为评审依据。</w:t>
      </w:r>
    </w:p>
    <w:p w14:paraId="5A8A276C">
      <w:pPr>
        <w:adjustRightInd w:val="0"/>
        <w:snapToGrid w:val="0"/>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2.评审方式：以封闭方式进行评审。</w:t>
      </w:r>
    </w:p>
    <w:p w14:paraId="77FA173D">
      <w:pPr>
        <w:adjustRightInd w:val="0"/>
        <w:snapToGrid w:val="0"/>
        <w:spacing w:line="400" w:lineRule="exact"/>
        <w:ind w:firstLine="420"/>
        <w:rPr>
          <w:rFonts w:hint="eastAsia" w:ascii="宋体" w:hAnsi="宋体" w:cs="宋体"/>
          <w:b/>
          <w:bCs/>
          <w:color w:val="auto"/>
          <w:kern w:val="0"/>
          <w:sz w:val="21"/>
          <w:szCs w:val="21"/>
          <w:highlight w:val="none"/>
        </w:rPr>
      </w:pPr>
      <w:r>
        <w:rPr>
          <w:rFonts w:hint="eastAsia" w:ascii="宋体" w:hAnsi="宋体" w:cs="宋体"/>
          <w:color w:val="auto"/>
          <w:kern w:val="0"/>
          <w:sz w:val="21"/>
          <w:szCs w:val="21"/>
          <w:highlight w:val="none"/>
        </w:rPr>
        <w:t>3.根据财库〔2012〕69号文规定，采购人和采购代理机构，谈判小组成员要严格遵守政府采购相关法律制度，依法履行各自职责，公正、客观、审慎地组织和参与评审工作。</w:t>
      </w:r>
    </w:p>
    <w:p w14:paraId="2401B2B8">
      <w:pPr>
        <w:adjustRightInd w:val="0"/>
        <w:snapToGrid w:val="0"/>
        <w:spacing w:line="400" w:lineRule="exact"/>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二、评审办法</w:t>
      </w:r>
    </w:p>
    <w:p w14:paraId="1959E7F4">
      <w:pPr>
        <w:pStyle w:val="26"/>
        <w:spacing w:line="380" w:lineRule="exact"/>
        <w:ind w:firstLine="480"/>
        <w:rPr>
          <w:rFonts w:hint="eastAsia" w:ascii="宋体" w:hAnsi="宋体" w:cs="Arial"/>
          <w:color w:val="auto"/>
          <w:sz w:val="21"/>
          <w:szCs w:val="21"/>
          <w:highlight w:val="none"/>
        </w:rPr>
      </w:pPr>
      <w:r>
        <w:rPr>
          <w:rFonts w:hint="eastAsia" w:ascii="宋体" w:hAnsi="宋体" w:cs="Arial"/>
          <w:color w:val="auto"/>
          <w:sz w:val="21"/>
          <w:szCs w:val="21"/>
          <w:highlight w:val="none"/>
        </w:rPr>
        <w:t>1.谈判小组应当从质量和服务均能满足竞争性谈判文件全部实质性响应要求的供应商中，按照评审报价由低到高顺序提出3名以上（含3名）成交候选人。</w:t>
      </w:r>
    </w:p>
    <w:p w14:paraId="28816D51">
      <w:pPr>
        <w:pStyle w:val="26"/>
        <w:spacing w:line="380" w:lineRule="exact"/>
        <w:ind w:firstLine="480"/>
        <w:rPr>
          <w:rFonts w:hint="eastAsia" w:ascii="宋体" w:hAnsi="宋体" w:eastAsia="宋体" w:cs="Arial"/>
          <w:color w:val="auto"/>
          <w:sz w:val="21"/>
          <w:szCs w:val="21"/>
          <w:highlight w:val="none"/>
          <w:lang w:eastAsia="zh-CN"/>
        </w:rPr>
      </w:pP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供应商为大中型企业与小型、微型企业组成联合体参与</w:t>
      </w:r>
      <w:r>
        <w:rPr>
          <w:rFonts w:hint="eastAsia" w:ascii="宋体" w:hAnsi="宋体"/>
          <w:color w:val="auto"/>
          <w:sz w:val="21"/>
          <w:szCs w:val="21"/>
          <w:highlight w:val="none"/>
          <w:lang w:eastAsia="zh-CN"/>
        </w:rPr>
        <w:t>谈判</w:t>
      </w:r>
      <w:r>
        <w:rPr>
          <w:rFonts w:hint="eastAsia" w:ascii="宋体" w:hAnsi="宋体"/>
          <w:color w:val="auto"/>
          <w:sz w:val="21"/>
          <w:szCs w:val="21"/>
          <w:highlight w:val="none"/>
        </w:rPr>
        <w:t>，其中小型、微型企业的协议合同金额占到联合体协议合同总金额 30%以上（供应商须于《联合体协议书》中明确约定小型、微型企业的协议合同金额及所占比例，该金额应与谈判报价表所报金额对应一致），联合体供应商最后</w:t>
      </w:r>
      <w:r>
        <w:rPr>
          <w:rFonts w:hint="eastAsia" w:ascii="宋体" w:hAnsi="宋体" w:eastAsia="宋体" w:cs="Arial"/>
          <w:color w:val="auto"/>
          <w:sz w:val="21"/>
          <w:szCs w:val="21"/>
          <w:highlight w:val="none"/>
        </w:rPr>
        <w:t>报价给予2%的价格扣除，扣除后的价格为评审报价，即评审报价=最后报价×（1-2%）</w:t>
      </w:r>
      <w:r>
        <w:rPr>
          <w:rFonts w:hint="eastAsia" w:ascii="宋体" w:hAnsi="宋体" w:eastAsia="宋体" w:cs="Arial"/>
          <w:color w:val="auto"/>
          <w:sz w:val="21"/>
          <w:szCs w:val="21"/>
          <w:highlight w:val="none"/>
          <w:lang w:eastAsia="zh-CN"/>
        </w:rPr>
        <w:t>。</w:t>
      </w:r>
    </w:p>
    <w:p w14:paraId="43E91F43">
      <w:pPr>
        <w:spacing w:line="360" w:lineRule="exact"/>
        <w:ind w:firstLine="405" w:firstLineChars="193"/>
        <w:rPr>
          <w:rFonts w:hint="eastAsia" w:ascii="宋体" w:hAnsi="宋体"/>
          <w:color w:val="auto"/>
          <w:sz w:val="21"/>
          <w:szCs w:val="21"/>
          <w:highlight w:val="none"/>
        </w:rPr>
      </w:pPr>
      <w:r>
        <w:rPr>
          <w:rFonts w:hint="eastAsia" w:ascii="宋体" w:hAnsi="宋体" w:eastAsia="宋体" w:cs="Arial"/>
          <w:color w:val="auto"/>
          <w:sz w:val="21"/>
          <w:szCs w:val="21"/>
          <w:highlight w:val="none"/>
          <w:lang w:val="en-US" w:eastAsia="zh-CN"/>
        </w:rPr>
        <w:t>3</w:t>
      </w:r>
      <w:r>
        <w:rPr>
          <w:rFonts w:hint="eastAsia" w:ascii="宋体" w:hAnsi="宋体" w:eastAsia="宋体" w:cs="Arial"/>
          <w:color w:val="auto"/>
          <w:sz w:val="21"/>
          <w:szCs w:val="21"/>
          <w:highlight w:val="none"/>
        </w:rPr>
        <w:t>.根据《政府采购促进中小企业发展管理办法》（财库[2020]46号）及《广西壮族自治区财政厅关于持续优化政府采购营商</w:t>
      </w:r>
      <w:r>
        <w:rPr>
          <w:rFonts w:hint="eastAsia" w:ascii="宋体" w:hAnsi="宋体"/>
          <w:color w:val="auto"/>
          <w:sz w:val="21"/>
          <w:szCs w:val="21"/>
          <w:highlight w:val="none"/>
        </w:rPr>
        <w:t>环境推动高质量发展的通知》（桂</w:t>
      </w:r>
      <w:r>
        <w:rPr>
          <w:rFonts w:hint="eastAsia" w:ascii="宋体" w:hAnsi="宋体"/>
          <w:color w:val="auto"/>
          <w:sz w:val="21"/>
          <w:szCs w:val="21"/>
          <w:highlight w:val="none"/>
        </w:rPr>
        <w:t>财采〔2024〕55号）规定：</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供应商提供的货物全部由符合政策要求的小型、微型企业制造，响应文件中提供《中小企业声明函》的，供应商最后报价给予</w:t>
      </w:r>
      <w:r>
        <w:rPr>
          <w:rFonts w:ascii="宋体" w:hAnsi="宋体"/>
          <w:color w:val="auto"/>
          <w:sz w:val="21"/>
          <w:szCs w:val="21"/>
          <w:highlight w:val="none"/>
        </w:rPr>
        <w:t>2</w:t>
      </w:r>
      <w:r>
        <w:rPr>
          <w:rFonts w:hint="eastAsia" w:ascii="宋体" w:hAnsi="宋体"/>
          <w:color w:val="auto"/>
          <w:sz w:val="21"/>
          <w:szCs w:val="21"/>
          <w:highlight w:val="none"/>
        </w:rPr>
        <w:t>0%的扣除，扣除后的价格为评审报价，即供应商的评审报价=最后报价×（1-</w:t>
      </w:r>
      <w:r>
        <w:rPr>
          <w:rFonts w:ascii="宋体" w:hAnsi="宋体"/>
          <w:color w:val="auto"/>
          <w:sz w:val="21"/>
          <w:szCs w:val="21"/>
          <w:highlight w:val="none"/>
        </w:rPr>
        <w:t>2</w:t>
      </w:r>
      <w:r>
        <w:rPr>
          <w:rFonts w:hint="eastAsia" w:ascii="宋体" w:hAnsi="宋体"/>
          <w:color w:val="auto"/>
          <w:sz w:val="21"/>
          <w:szCs w:val="21"/>
          <w:highlight w:val="none"/>
        </w:rPr>
        <w:t>0%），扣除后的价格为评审报价</w:t>
      </w:r>
      <w:r>
        <w:rPr>
          <w:rFonts w:hint="eastAsia" w:ascii="宋体" w:hAnsi="宋体"/>
          <w:color w:val="auto"/>
          <w:sz w:val="21"/>
          <w:szCs w:val="21"/>
          <w:highlight w:val="none"/>
          <w:lang w:eastAsia="zh-CN"/>
        </w:rPr>
        <w:t>；</w:t>
      </w:r>
      <w:r>
        <w:rPr>
          <w:rFonts w:hint="eastAsia" w:ascii="宋体" w:hAnsi="宋体" w:eastAsia="宋体" w:cs="Arial"/>
          <w:color w:val="auto"/>
          <w:sz w:val="21"/>
          <w:szCs w:val="21"/>
          <w:highlight w:val="none"/>
          <w:lang w:val="en-US" w:eastAsia="zh-CN"/>
        </w:rPr>
        <w:t>分标2谈判供应商认定为小型和微型企业的（以响应文件提供《中小企业声明函》为准），对响应报价给予5%的扣除，扣除后的价格为评标价，即评标价=响应报价×（1-5%）；</w:t>
      </w:r>
      <w:r>
        <w:rPr>
          <w:rFonts w:hint="eastAsia" w:ascii="宋体" w:hAnsi="宋体"/>
          <w:color w:val="auto"/>
          <w:sz w:val="21"/>
          <w:szCs w:val="21"/>
          <w:highlight w:val="none"/>
        </w:rPr>
        <w:t>除上述情况外，评审报价=最后报价。</w:t>
      </w:r>
    </w:p>
    <w:p w14:paraId="46B9D2C7">
      <w:pPr>
        <w:spacing w:line="360" w:lineRule="exact"/>
        <w:ind w:firstLine="420" w:firstLineChars="0"/>
        <w:rPr>
          <w:rFonts w:hint="eastAsia" w:ascii="宋体" w:hAnsi="宋体"/>
          <w:b/>
          <w:color w:val="auto"/>
          <w:sz w:val="21"/>
          <w:szCs w:val="21"/>
          <w:highlight w:val="none"/>
        </w:rPr>
      </w:pPr>
      <w:r>
        <w:rPr>
          <w:rFonts w:hint="eastAsia" w:ascii="宋体" w:hAnsi="宋体"/>
          <w:b/>
          <w:color w:val="auto"/>
          <w:sz w:val="21"/>
          <w:szCs w:val="21"/>
          <w:highlight w:val="none"/>
        </w:rPr>
        <w:t>注：评审报价为供应商的最后报价进行政策性扣除后的价格，评审报价仅作为评审时使用。最终成交供应商的成交金额＝最后报价。</w:t>
      </w:r>
    </w:p>
    <w:p w14:paraId="0CBFE279">
      <w:pPr>
        <w:spacing w:line="360" w:lineRule="exact"/>
        <w:ind w:firstLine="405" w:firstLineChars="193"/>
        <w:rPr>
          <w:rFonts w:hint="eastAsia" w:ascii="宋体" w:hAnsi="宋体"/>
          <w:color w:val="auto"/>
          <w:sz w:val="21"/>
          <w:szCs w:val="21"/>
          <w:highlight w:val="none"/>
        </w:rPr>
      </w:pPr>
      <w:r>
        <w:rPr>
          <w:rFonts w:hint="eastAsia" w:ascii="宋体" w:hAnsi="宋体"/>
          <w:color w:val="auto"/>
          <w:sz w:val="21"/>
          <w:szCs w:val="21"/>
          <w:highlight w:val="none"/>
        </w:rPr>
        <w:t>3.根据《关于政府采购支持监狱企业发展有关问题的通知》（财库[2014]68号）和《关于促进残疾人就业政府采购政策的通知》（财库</w:t>
      </w:r>
      <w:r>
        <w:rPr>
          <w:rFonts w:ascii="宋体" w:hAnsi="宋体"/>
          <w:color w:val="auto"/>
          <w:sz w:val="21"/>
          <w:szCs w:val="21"/>
          <w:highlight w:val="none"/>
        </w:rPr>
        <w:t>[201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141号），监狱企业和符合条件的残疾人福利性单位视同小型、微型企业，享受小型、微型企业评审中价格扣除的政府采购政策。监狱企业、残疾人福利性单位属于小型、微型企业的，不重复享受政策。</w:t>
      </w:r>
    </w:p>
    <w:p w14:paraId="3AB7AA62">
      <w:pPr>
        <w:spacing w:line="400" w:lineRule="exact"/>
        <w:ind w:firstLine="420"/>
        <w:rPr>
          <w:rFonts w:hint="eastAsia" w:ascii="宋体" w:hAnsi="宋体" w:eastAsia="宋体"/>
          <w:b/>
          <w:bCs/>
          <w:color w:val="auto"/>
          <w:sz w:val="21"/>
          <w:szCs w:val="21"/>
          <w:highlight w:val="none"/>
          <w:lang w:val="en-US" w:eastAsia="zh-CN"/>
        </w:rPr>
      </w:pPr>
      <w:r>
        <w:rPr>
          <w:rFonts w:hint="eastAsia" w:ascii="宋体" w:hAnsi="宋体"/>
          <w:color w:val="auto"/>
          <w:sz w:val="21"/>
          <w:szCs w:val="21"/>
          <w:highlight w:val="none"/>
        </w:rPr>
        <w:t>4.评审时，应当将通过资格性审查和符合性审查各供应商的评审报价，按照</w:t>
      </w:r>
      <w:r>
        <w:rPr>
          <w:rFonts w:hint="eastAsia" w:ascii="宋体" w:hAnsi="宋体" w:cs="Arial"/>
          <w:color w:val="auto"/>
          <w:kern w:val="0"/>
          <w:sz w:val="21"/>
          <w:szCs w:val="21"/>
          <w:highlight w:val="none"/>
        </w:rPr>
        <w:t>由低到高顺序排序，</w:t>
      </w:r>
      <w:r>
        <w:rPr>
          <w:rFonts w:hint="eastAsia" w:ascii="宋体" w:hAnsi="宋体"/>
          <w:color w:val="auto"/>
          <w:sz w:val="21"/>
          <w:szCs w:val="21"/>
          <w:highlight w:val="none"/>
        </w:rPr>
        <w:t>当评审报价相同时，以最后报价低的优先排序；当最后报价相同时，</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则依次按节能环保产品优先、技术指标高优先、</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长优先、交付时间短优先的原则排序</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2则依次按施工组织指标</w:t>
      </w:r>
      <w:r>
        <w:rPr>
          <w:rFonts w:hint="eastAsia" w:ascii="宋体" w:hAnsi="宋体" w:eastAsia="宋体" w:cs="宋体"/>
          <w:color w:val="auto"/>
          <w:sz w:val="21"/>
          <w:szCs w:val="21"/>
          <w:highlight w:val="none"/>
          <w:shd w:val="clear" w:color="auto" w:fill="auto"/>
        </w:rPr>
        <w:t>优劣顺序推荐</w:t>
      </w:r>
      <w:r>
        <w:rPr>
          <w:rFonts w:hint="eastAsia" w:ascii="宋体" w:hAnsi="宋体" w:cs="宋体"/>
          <w:color w:val="auto"/>
          <w:sz w:val="21"/>
          <w:szCs w:val="21"/>
          <w:highlight w:val="none"/>
          <w:shd w:val="clear" w:color="auto" w:fill="auto"/>
          <w:lang w:eastAsia="zh-CN"/>
        </w:rPr>
        <w:t>。</w:t>
      </w:r>
    </w:p>
    <w:p w14:paraId="37A49AC8">
      <w:pPr>
        <w:pStyle w:val="26"/>
        <w:spacing w:line="38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三、成交候选人确定原则</w:t>
      </w:r>
    </w:p>
    <w:p w14:paraId="358BE1B8">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（1）采购人应当在收到评审报告后5个工作日内，从评审报告提出的成交候选人中，根据质量和服务均能满足</w:t>
      </w:r>
      <w:r>
        <w:rPr>
          <w:rFonts w:hint="eastAsia" w:ascii="宋体" w:hAnsi="宋体"/>
          <w:color w:val="auto"/>
          <w:sz w:val="21"/>
          <w:szCs w:val="21"/>
          <w:highlight w:val="none"/>
          <w:lang w:eastAsia="zh-CN"/>
        </w:rPr>
        <w:t>谈判</w:t>
      </w:r>
      <w:r>
        <w:rPr>
          <w:rFonts w:hint="eastAsia" w:ascii="宋体" w:hAnsi="宋体"/>
          <w:color w:val="auto"/>
          <w:sz w:val="21"/>
          <w:szCs w:val="21"/>
          <w:highlight w:val="none"/>
        </w:rPr>
        <w:t>文件实质性响应要求且最后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报价最低的原则确定成交供应商。采购人逾期未确定成交供应商且不提出异议的，视为确定评审报告提出的最后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报价最低的供应商为成交供应商。</w:t>
      </w:r>
    </w:p>
    <w:p w14:paraId="39055581">
      <w:pPr>
        <w:spacing w:line="400" w:lineRule="exact"/>
        <w:ind w:firstLine="420"/>
        <w:rPr>
          <w:rFonts w:hint="eastAsia" w:ascii="宋体" w:hAnsi="宋体" w:cs="宋体"/>
          <w:b/>
          <w:color w:val="auto"/>
          <w:kern w:val="0"/>
          <w:sz w:val="32"/>
          <w:szCs w:val="32"/>
          <w:highlight w:val="none"/>
        </w:rPr>
        <w:sectPr>
          <w:pgSz w:w="11906" w:h="16838"/>
          <w:pgMar w:top="1440" w:right="1304" w:bottom="1440" w:left="1304" w:header="720" w:footer="720" w:gutter="0"/>
          <w:pgNumType w:fmt="decimal"/>
          <w:cols w:space="720" w:num="1"/>
          <w:titlePg/>
          <w:docGrid w:linePitch="331" w:charSpace="0"/>
        </w:sectPr>
      </w:pPr>
      <w:r>
        <w:rPr>
          <w:rFonts w:hint="eastAsia" w:ascii="宋体" w:hAnsi="宋体"/>
          <w:color w:val="auto"/>
          <w:sz w:val="21"/>
          <w:szCs w:val="21"/>
          <w:highlight w:val="none"/>
        </w:rPr>
        <w:t>（2）成交供应商拒绝与采购人签订合同的，采购人可以按照评审报告推荐的成交候选人名单排序，确定下一候选人为成交供应商，也可以重新开展政府采购活动。</w:t>
      </w:r>
    </w:p>
    <w:p w14:paraId="5A26865C">
      <w:pPr>
        <w:keepNext w:val="0"/>
        <w:keepLines w:val="0"/>
        <w:pageBreakBefore w:val="0"/>
        <w:kinsoku/>
        <w:wordWrap/>
        <w:overflowPunct/>
        <w:topLinePunct w:val="0"/>
        <w:autoSpaceDE/>
        <w:autoSpaceDN/>
        <w:bidi w:val="0"/>
        <w:adjustRightInd/>
        <w:snapToGrid/>
        <w:spacing w:line="240" w:lineRule="auto"/>
        <w:textAlignment w:val="auto"/>
        <w:rPr>
          <w:rFonts w:ascii="宋体" w:hAnsi="宋体" w:cs="宋体"/>
          <w:b/>
          <w:bCs/>
          <w:color w:val="auto"/>
          <w:sz w:val="24"/>
          <w:highlight w:val="none"/>
          <w:shd w:val="clear" w:color="auto" w:fill="auto"/>
        </w:rPr>
      </w:pPr>
      <w:bookmarkStart w:id="41" w:name="_Toc82016592"/>
      <w:bookmarkStart w:id="42" w:name="_Toc155531036"/>
      <w:r>
        <w:rPr>
          <w:rFonts w:hint="eastAsia" w:ascii="宋体" w:hAnsi="宋体" w:cs="宋体"/>
          <w:b/>
          <w:bCs/>
          <w:color w:val="auto"/>
          <w:sz w:val="24"/>
          <w:highlight w:val="none"/>
          <w:shd w:val="clear" w:color="auto" w:fill="auto"/>
        </w:rPr>
        <w:t>附表</w:t>
      </w:r>
    </w:p>
    <w:p w14:paraId="0E6D8567">
      <w:pPr>
        <w:pStyle w:val="26"/>
        <w:bidi w:val="0"/>
        <w:jc w:val="center"/>
        <w:rPr>
          <w:rFonts w:hint="eastAsia"/>
          <w:color w:val="auto"/>
          <w:highlight w:val="none"/>
        </w:rPr>
      </w:pPr>
      <w:bookmarkStart w:id="43" w:name="_Toc28361_WPSOffice_Level2"/>
      <w:r>
        <w:rPr>
          <w:rFonts w:hint="eastAsia" w:ascii="宋体" w:hAnsi="宋体" w:cs="宋体"/>
          <w:b/>
          <w:bCs/>
          <w:color w:val="auto"/>
          <w:kern w:val="0"/>
          <w:sz w:val="30"/>
          <w:szCs w:val="30"/>
          <w:highlight w:val="none"/>
          <w:shd w:val="clear" w:color="auto" w:fill="auto"/>
        </w:rPr>
        <w:t>统计上大中小微型企业划分标准</w:t>
      </w:r>
      <w:bookmarkEnd w:id="43"/>
      <w:r>
        <w:rPr>
          <w:rFonts w:hint="eastAsia" w:ascii="宋体" w:hAnsi="宋体" w:cs="宋体"/>
          <w:b/>
          <w:bCs/>
          <w:color w:val="auto"/>
          <w:kern w:val="0"/>
          <w:sz w:val="30"/>
          <w:szCs w:val="30"/>
          <w:highlight w:val="none"/>
          <w:shd w:val="clear" w:color="auto" w:fill="auto"/>
        </w:rPr>
        <w:br w:type="textWrapping"/>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1450"/>
        <w:gridCol w:w="980"/>
        <w:gridCol w:w="1027"/>
        <w:gridCol w:w="1701"/>
        <w:gridCol w:w="1426"/>
        <w:gridCol w:w="992"/>
      </w:tblGrid>
      <w:tr w14:paraId="1684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tblHeader/>
        </w:trPr>
        <w:tc>
          <w:tcPr>
            <w:tcW w:w="1859" w:type="dxa"/>
            <w:shd w:val="clear" w:color="auto" w:fill="8DB3E2"/>
            <w:noWrap w:val="0"/>
            <w:vAlign w:val="center"/>
          </w:tcPr>
          <w:p w14:paraId="403D643C">
            <w:pPr>
              <w:widowControl/>
              <w:spacing w:line="288" w:lineRule="auto"/>
              <w:ind w:firstLine="0" w:firstLineChars="0"/>
              <w:jc w:val="center"/>
              <w:rPr>
                <w:rFonts w:hint="eastAsia"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1450" w:type="dxa"/>
            <w:shd w:val="clear" w:color="auto" w:fill="8DB3E2"/>
            <w:noWrap w:val="0"/>
            <w:vAlign w:val="center"/>
          </w:tcPr>
          <w:p w14:paraId="0937EC77">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980" w:type="dxa"/>
            <w:shd w:val="clear" w:color="auto" w:fill="8DB3E2"/>
            <w:noWrap w:val="0"/>
            <w:vAlign w:val="center"/>
          </w:tcPr>
          <w:p w14:paraId="1718313D">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计量</w:t>
            </w:r>
          </w:p>
          <w:p w14:paraId="2B29CED5">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1027" w:type="dxa"/>
            <w:shd w:val="clear" w:color="auto" w:fill="8DB3E2"/>
            <w:noWrap w:val="0"/>
            <w:vAlign w:val="center"/>
          </w:tcPr>
          <w:p w14:paraId="2C24CF13">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1701" w:type="dxa"/>
            <w:shd w:val="clear" w:color="auto" w:fill="8DB3E2"/>
            <w:noWrap w:val="0"/>
            <w:vAlign w:val="center"/>
          </w:tcPr>
          <w:p w14:paraId="1EF9181B">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1426" w:type="dxa"/>
            <w:shd w:val="clear" w:color="auto" w:fill="8DB3E2"/>
            <w:noWrap w:val="0"/>
            <w:vAlign w:val="center"/>
          </w:tcPr>
          <w:p w14:paraId="1EFBDC77">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992" w:type="dxa"/>
            <w:shd w:val="clear" w:color="auto" w:fill="8DB3E2"/>
            <w:noWrap w:val="0"/>
            <w:vAlign w:val="center"/>
          </w:tcPr>
          <w:p w14:paraId="7A9B27E1">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14:paraId="23AA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noWrap w:val="0"/>
            <w:vAlign w:val="center"/>
          </w:tcPr>
          <w:p w14:paraId="74B45367">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450" w:type="dxa"/>
            <w:noWrap w:val="0"/>
            <w:vAlign w:val="center"/>
          </w:tcPr>
          <w:p w14:paraId="17D29DD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1BBFD32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667ECB3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noWrap w:val="0"/>
            <w:vAlign w:val="center"/>
          </w:tcPr>
          <w:p w14:paraId="78F24B6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noWrap w:val="0"/>
            <w:vAlign w:val="center"/>
          </w:tcPr>
          <w:p w14:paraId="10E90BE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992" w:type="dxa"/>
            <w:noWrap w:val="0"/>
            <w:vAlign w:val="center"/>
          </w:tcPr>
          <w:p w14:paraId="24123C8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4473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0366C770">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1450" w:type="dxa"/>
            <w:noWrap w:val="0"/>
            <w:vAlign w:val="center"/>
          </w:tcPr>
          <w:p w14:paraId="7CA22E3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294A387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50AEDC3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58659FB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46DB108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14:paraId="7745F8F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59C0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593708C5">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4E965EC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2E48623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397076A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noWrap w:val="0"/>
            <w:vAlign w:val="center"/>
          </w:tcPr>
          <w:p w14:paraId="453195D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426" w:type="dxa"/>
            <w:noWrap w:val="0"/>
            <w:vAlign w:val="center"/>
          </w:tcPr>
          <w:p w14:paraId="751AB56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992" w:type="dxa"/>
            <w:noWrap w:val="0"/>
            <w:vAlign w:val="center"/>
          </w:tcPr>
          <w:p w14:paraId="5F37F71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3B22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C6F6421">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450" w:type="dxa"/>
            <w:noWrap w:val="0"/>
            <w:vAlign w:val="center"/>
          </w:tcPr>
          <w:p w14:paraId="0E0D942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696B081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3018935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701" w:type="dxa"/>
            <w:noWrap w:val="0"/>
            <w:vAlign w:val="center"/>
          </w:tcPr>
          <w:p w14:paraId="764E209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426" w:type="dxa"/>
            <w:noWrap w:val="0"/>
            <w:vAlign w:val="center"/>
          </w:tcPr>
          <w:p w14:paraId="3BDCA1E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992" w:type="dxa"/>
            <w:noWrap w:val="0"/>
            <w:vAlign w:val="center"/>
          </w:tcPr>
          <w:p w14:paraId="1F8A2A2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7512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60AC1B3D">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6548D06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80" w:type="dxa"/>
            <w:noWrap w:val="0"/>
            <w:vAlign w:val="center"/>
          </w:tcPr>
          <w:p w14:paraId="3AAE61C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5834D58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701" w:type="dxa"/>
            <w:noWrap w:val="0"/>
            <w:vAlign w:val="center"/>
          </w:tcPr>
          <w:p w14:paraId="1662DBC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426" w:type="dxa"/>
            <w:noWrap w:val="0"/>
            <w:vAlign w:val="center"/>
          </w:tcPr>
          <w:p w14:paraId="14169E7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992" w:type="dxa"/>
            <w:noWrap w:val="0"/>
            <w:vAlign w:val="center"/>
          </w:tcPr>
          <w:p w14:paraId="40C1AC7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79B8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309538C6">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450" w:type="dxa"/>
            <w:noWrap w:val="0"/>
            <w:vAlign w:val="center"/>
          </w:tcPr>
          <w:p w14:paraId="0AEA60E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7CF68B0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27D90CB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noWrap w:val="0"/>
            <w:vAlign w:val="center"/>
          </w:tcPr>
          <w:p w14:paraId="32B75C3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426" w:type="dxa"/>
            <w:noWrap w:val="0"/>
            <w:vAlign w:val="center"/>
          </w:tcPr>
          <w:p w14:paraId="4F57DD7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992" w:type="dxa"/>
            <w:noWrap w:val="0"/>
            <w:vAlign w:val="center"/>
          </w:tcPr>
          <w:p w14:paraId="57DA59A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2241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549CF573">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454F3DE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03C3DAC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4F5C9C6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noWrap w:val="0"/>
            <w:vAlign w:val="center"/>
          </w:tcPr>
          <w:p w14:paraId="7E6ACE3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426" w:type="dxa"/>
            <w:noWrap w:val="0"/>
            <w:vAlign w:val="center"/>
          </w:tcPr>
          <w:p w14:paraId="743E22EC">
            <w:pPr>
              <w:widowControl/>
              <w:spacing w:line="288" w:lineRule="auto"/>
              <w:ind w:left="-1" w:leftChars="-1" w:hanging="1"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92" w:type="dxa"/>
            <w:noWrap w:val="0"/>
            <w:vAlign w:val="center"/>
          </w:tcPr>
          <w:p w14:paraId="7DC4E15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106A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D2EE242">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450" w:type="dxa"/>
            <w:noWrap w:val="0"/>
            <w:vAlign w:val="center"/>
          </w:tcPr>
          <w:p w14:paraId="199E06A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11E70F6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5940837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00B322F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426" w:type="dxa"/>
            <w:noWrap w:val="0"/>
            <w:vAlign w:val="center"/>
          </w:tcPr>
          <w:p w14:paraId="602EC139">
            <w:pPr>
              <w:widowControl/>
              <w:spacing w:line="288" w:lineRule="auto"/>
              <w:ind w:left="-1" w:leftChars="-1" w:hanging="1"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992" w:type="dxa"/>
            <w:noWrap w:val="0"/>
            <w:vAlign w:val="center"/>
          </w:tcPr>
          <w:p w14:paraId="5ADEB4C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4DD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557A3CA1">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7A199BD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4DBABB5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1DDFC2B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noWrap w:val="0"/>
            <w:vAlign w:val="center"/>
          </w:tcPr>
          <w:p w14:paraId="70676B1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noWrap w:val="0"/>
            <w:vAlign w:val="center"/>
          </w:tcPr>
          <w:p w14:paraId="10735827">
            <w:pPr>
              <w:widowControl/>
              <w:spacing w:line="288" w:lineRule="auto"/>
              <w:ind w:left="-1" w:leftChars="-1" w:hanging="1"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992" w:type="dxa"/>
            <w:noWrap w:val="0"/>
            <w:vAlign w:val="center"/>
          </w:tcPr>
          <w:p w14:paraId="3AE28C8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8E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48BE473">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1450" w:type="dxa"/>
            <w:noWrap w:val="0"/>
            <w:vAlign w:val="center"/>
          </w:tcPr>
          <w:p w14:paraId="2181824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2D341C6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1C31E6F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2F33B9F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1925C47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14:paraId="36C001C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0FA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7066F410">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429F2EF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66726B7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419680D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14:paraId="5E9A01E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426" w:type="dxa"/>
            <w:noWrap w:val="0"/>
            <w:vAlign w:val="center"/>
          </w:tcPr>
          <w:p w14:paraId="21F4F23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992" w:type="dxa"/>
            <w:noWrap w:val="0"/>
            <w:vAlign w:val="center"/>
          </w:tcPr>
          <w:p w14:paraId="15E50BD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5183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7443877">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1450" w:type="dxa"/>
            <w:noWrap w:val="0"/>
            <w:vAlign w:val="center"/>
          </w:tcPr>
          <w:p w14:paraId="1B44BB1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7382563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30B9556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noWrap w:val="0"/>
            <w:vAlign w:val="center"/>
          </w:tcPr>
          <w:p w14:paraId="6C1F70B8">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426" w:type="dxa"/>
            <w:noWrap w:val="0"/>
            <w:vAlign w:val="center"/>
          </w:tcPr>
          <w:p w14:paraId="24C13B2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992" w:type="dxa"/>
            <w:noWrap w:val="0"/>
            <w:vAlign w:val="center"/>
          </w:tcPr>
          <w:p w14:paraId="70DDF53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B7B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075EA703">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03D15B0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5812FB0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15EA292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14:paraId="1E03380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426" w:type="dxa"/>
            <w:noWrap w:val="0"/>
            <w:vAlign w:val="center"/>
          </w:tcPr>
          <w:p w14:paraId="5454BBF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14:paraId="5F179F3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4E60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3AB893BE">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450" w:type="dxa"/>
            <w:noWrap w:val="0"/>
            <w:vAlign w:val="center"/>
          </w:tcPr>
          <w:p w14:paraId="7FA4D8C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76359DB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373FDA8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14E5F19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47197E3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14:paraId="036E7E2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387C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4F3195B5">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5407D24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0301EBE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2F816A5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14:paraId="6D527F7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426" w:type="dxa"/>
            <w:noWrap w:val="0"/>
            <w:vAlign w:val="center"/>
          </w:tcPr>
          <w:p w14:paraId="56BD1F7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14:paraId="36B5C8F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346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11CC7E9F">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450" w:type="dxa"/>
            <w:noWrap w:val="0"/>
            <w:vAlign w:val="center"/>
          </w:tcPr>
          <w:p w14:paraId="56A8C1D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004C795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53B1B39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644DC09B">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14:paraId="49FBC01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62EADBD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52D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0656A208">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44F1844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336282C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6995FD6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14:paraId="528AADC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noWrap w:val="0"/>
            <w:vAlign w:val="center"/>
          </w:tcPr>
          <w:p w14:paraId="1040E7F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14:paraId="1576DFB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70D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D7F3541">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450" w:type="dxa"/>
            <w:noWrap w:val="0"/>
            <w:vAlign w:val="center"/>
          </w:tcPr>
          <w:p w14:paraId="383B9C3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07E099C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1872990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1CDB6D34">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noWrap w:val="0"/>
            <w:vAlign w:val="center"/>
          </w:tcPr>
          <w:p w14:paraId="2329AE0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7EE5710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4377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3E373F19">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072E2E5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39AFB12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0C3D4C3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14:paraId="7E23725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noWrap w:val="0"/>
            <w:vAlign w:val="center"/>
          </w:tcPr>
          <w:p w14:paraId="33A53A9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14:paraId="317DB00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946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20AAD13">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1450" w:type="dxa"/>
            <w:noWrap w:val="0"/>
            <w:vAlign w:val="center"/>
          </w:tcPr>
          <w:p w14:paraId="2430359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1F93C17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1F8E780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701" w:type="dxa"/>
            <w:noWrap w:val="0"/>
            <w:vAlign w:val="center"/>
          </w:tcPr>
          <w:p w14:paraId="50C4BC3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426" w:type="dxa"/>
            <w:noWrap w:val="0"/>
            <w:vAlign w:val="center"/>
          </w:tcPr>
          <w:p w14:paraId="33F60BC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6AA6BE1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094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3F9E5822">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378A64C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0515648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14471E6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701" w:type="dxa"/>
            <w:noWrap w:val="0"/>
            <w:vAlign w:val="center"/>
          </w:tcPr>
          <w:p w14:paraId="6804CAC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426" w:type="dxa"/>
            <w:noWrap w:val="0"/>
            <w:vAlign w:val="center"/>
          </w:tcPr>
          <w:p w14:paraId="42B022D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14:paraId="4177EF1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C1F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restart"/>
            <w:noWrap w:val="0"/>
            <w:vAlign w:val="center"/>
          </w:tcPr>
          <w:p w14:paraId="2F659337">
            <w:pPr>
              <w:widowControl/>
              <w:spacing w:line="288" w:lineRule="auto"/>
              <w:ind w:firstLine="0" w:firstLineChars="0"/>
              <w:jc w:val="left"/>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450" w:type="dxa"/>
            <w:noWrap w:val="0"/>
            <w:vAlign w:val="center"/>
          </w:tcPr>
          <w:p w14:paraId="02D75CD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370FD19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776A373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0B0902F5">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noWrap w:val="0"/>
            <w:vAlign w:val="center"/>
          </w:tcPr>
          <w:p w14:paraId="3CFF27A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3D1928C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762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continue"/>
            <w:noWrap w:val="0"/>
            <w:vAlign w:val="center"/>
          </w:tcPr>
          <w:p w14:paraId="606D7EE7">
            <w:pPr>
              <w:widowControl/>
              <w:spacing w:line="288" w:lineRule="auto"/>
              <w:ind w:firstLine="0" w:firstLineChars="0"/>
              <w:jc w:val="left"/>
              <w:rPr>
                <w:rFonts w:hint="eastAsia" w:ascii="宋体" w:hAnsi="宋体" w:eastAsia="宋体" w:cs="宋体"/>
                <w:color w:val="auto"/>
                <w:spacing w:val="-12"/>
                <w:kern w:val="0"/>
                <w:sz w:val="18"/>
                <w:szCs w:val="18"/>
                <w:highlight w:val="none"/>
              </w:rPr>
            </w:pPr>
          </w:p>
        </w:tc>
        <w:tc>
          <w:tcPr>
            <w:tcW w:w="1450" w:type="dxa"/>
            <w:noWrap w:val="0"/>
            <w:vAlign w:val="center"/>
          </w:tcPr>
          <w:p w14:paraId="6A94C98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40BF01E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00EA619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14:paraId="435397A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426" w:type="dxa"/>
            <w:noWrap w:val="0"/>
            <w:vAlign w:val="center"/>
          </w:tcPr>
          <w:p w14:paraId="4786681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992" w:type="dxa"/>
            <w:noWrap w:val="0"/>
            <w:vAlign w:val="center"/>
          </w:tcPr>
          <w:p w14:paraId="3237F91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119A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restart"/>
            <w:noWrap w:val="0"/>
            <w:vAlign w:val="center"/>
          </w:tcPr>
          <w:p w14:paraId="50C052B3">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450" w:type="dxa"/>
            <w:noWrap w:val="0"/>
            <w:vAlign w:val="center"/>
          </w:tcPr>
          <w:p w14:paraId="7142374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5AA5007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60ED63F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701" w:type="dxa"/>
            <w:noWrap w:val="0"/>
            <w:vAlign w:val="center"/>
          </w:tcPr>
          <w:p w14:paraId="0D7905D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426" w:type="dxa"/>
            <w:noWrap w:val="0"/>
            <w:vAlign w:val="center"/>
          </w:tcPr>
          <w:p w14:paraId="5E544F9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14:paraId="56A11DF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B3A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continue"/>
            <w:noWrap w:val="0"/>
            <w:vAlign w:val="center"/>
          </w:tcPr>
          <w:p w14:paraId="18068997">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4C0F585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80" w:type="dxa"/>
            <w:noWrap w:val="0"/>
            <w:vAlign w:val="center"/>
          </w:tcPr>
          <w:p w14:paraId="0A306E6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035C1F4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701" w:type="dxa"/>
            <w:noWrap w:val="0"/>
            <w:vAlign w:val="center"/>
          </w:tcPr>
          <w:p w14:paraId="6CD26EE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426" w:type="dxa"/>
            <w:noWrap w:val="0"/>
            <w:vAlign w:val="center"/>
          </w:tcPr>
          <w:p w14:paraId="710EEE2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992" w:type="dxa"/>
            <w:noWrap w:val="0"/>
            <w:vAlign w:val="center"/>
          </w:tcPr>
          <w:p w14:paraId="09426D9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14:paraId="6733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restart"/>
            <w:noWrap w:val="0"/>
            <w:vAlign w:val="center"/>
          </w:tcPr>
          <w:p w14:paraId="7CEA3DD5">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450" w:type="dxa"/>
            <w:noWrap w:val="0"/>
            <w:vAlign w:val="center"/>
          </w:tcPr>
          <w:p w14:paraId="6A041D8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16C880B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4C45C02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5525B16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24463FC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992" w:type="dxa"/>
            <w:noWrap w:val="0"/>
            <w:vAlign w:val="center"/>
          </w:tcPr>
          <w:p w14:paraId="683A3B4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0E6A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continue"/>
            <w:noWrap w:val="0"/>
            <w:vAlign w:val="center"/>
          </w:tcPr>
          <w:p w14:paraId="2DCF230A">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5D32D8F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3901CBA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0649A21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701" w:type="dxa"/>
            <w:noWrap w:val="0"/>
            <w:vAlign w:val="center"/>
          </w:tcPr>
          <w:p w14:paraId="24D7E2AE">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426" w:type="dxa"/>
            <w:noWrap w:val="0"/>
            <w:vAlign w:val="center"/>
          </w:tcPr>
          <w:p w14:paraId="6408E6B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992" w:type="dxa"/>
            <w:noWrap w:val="0"/>
            <w:vAlign w:val="center"/>
          </w:tcPr>
          <w:p w14:paraId="3D0FD9C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0625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restart"/>
            <w:noWrap w:val="0"/>
            <w:vAlign w:val="center"/>
          </w:tcPr>
          <w:p w14:paraId="32B4E90E">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450" w:type="dxa"/>
            <w:noWrap w:val="0"/>
            <w:vAlign w:val="center"/>
          </w:tcPr>
          <w:p w14:paraId="36A8025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1553022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273FBF7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15C4C176">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14:paraId="0B9B816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1DB83F5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896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continue"/>
            <w:noWrap w:val="0"/>
            <w:vAlign w:val="center"/>
          </w:tcPr>
          <w:p w14:paraId="63CE9C0A">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0CC802A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80" w:type="dxa"/>
            <w:noWrap w:val="0"/>
            <w:vAlign w:val="center"/>
          </w:tcPr>
          <w:p w14:paraId="489319D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3649807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701" w:type="dxa"/>
            <w:noWrap w:val="0"/>
            <w:vAlign w:val="center"/>
          </w:tcPr>
          <w:p w14:paraId="760FB5E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426" w:type="dxa"/>
            <w:noWrap w:val="0"/>
            <w:vAlign w:val="center"/>
          </w:tcPr>
          <w:p w14:paraId="1B6DDEA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992" w:type="dxa"/>
            <w:noWrap w:val="0"/>
            <w:vAlign w:val="center"/>
          </w:tcPr>
          <w:p w14:paraId="4248FA0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14:paraId="309A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noWrap w:val="0"/>
            <w:vAlign w:val="center"/>
          </w:tcPr>
          <w:p w14:paraId="65574ADE">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1450" w:type="dxa"/>
            <w:noWrap w:val="0"/>
            <w:vAlign w:val="center"/>
          </w:tcPr>
          <w:p w14:paraId="1D2ACA3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54EC64B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6C3FA03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1FA09C59">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14:paraId="0C3787F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080E65E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714C0945">
      <w:pPr>
        <w:pStyle w:val="26"/>
        <w:bidi w:val="0"/>
        <w:rPr>
          <w:rFonts w:hint="eastAsia"/>
          <w:color w:val="auto"/>
          <w:highlight w:val="none"/>
        </w:rPr>
      </w:pPr>
    </w:p>
    <w:p w14:paraId="371A3BD4">
      <w:pPr>
        <w:widowControl/>
        <w:spacing w:line="460" w:lineRule="exact"/>
        <w:rPr>
          <w:rFonts w:ascii="宋体" w:hAnsi="宋体" w:cs="宋体"/>
          <w:color w:val="auto"/>
          <w:spacing w:val="8"/>
          <w:kern w:val="0"/>
          <w:szCs w:val="21"/>
          <w:highlight w:val="none"/>
          <w:shd w:val="clear" w:color="auto" w:fill="auto"/>
        </w:rPr>
      </w:pPr>
      <w:r>
        <w:rPr>
          <w:rFonts w:hint="eastAsia" w:ascii="宋体" w:hAnsi="宋体" w:cs="宋体"/>
          <w:color w:val="auto"/>
          <w:spacing w:val="8"/>
          <w:kern w:val="0"/>
          <w:szCs w:val="21"/>
          <w:highlight w:val="none"/>
          <w:shd w:val="clear" w:color="auto" w:fill="auto"/>
        </w:rPr>
        <w:t>说明：</w:t>
      </w:r>
    </w:p>
    <w:p w14:paraId="1EED54A0">
      <w:pPr>
        <w:pStyle w:val="26"/>
        <w:adjustRightInd w:val="0"/>
        <w:spacing w:line="460" w:lineRule="exact"/>
        <w:ind w:firstLine="512" w:firstLineChars="200"/>
        <w:contextualSpacing/>
        <w:rPr>
          <w:rFonts w:hAnsi="宋体" w:cs="宋体"/>
          <w:color w:val="auto"/>
          <w:spacing w:val="8"/>
          <w:kern w:val="0"/>
          <w:szCs w:val="21"/>
          <w:highlight w:val="none"/>
          <w:shd w:val="clear" w:color="auto" w:fill="auto"/>
        </w:rPr>
      </w:pPr>
      <w:r>
        <w:rPr>
          <w:rFonts w:hint="eastAsia" w:hAnsi="宋体" w:cs="宋体"/>
          <w:color w:val="auto"/>
          <w:spacing w:val="8"/>
          <w:kern w:val="0"/>
          <w:szCs w:val="21"/>
          <w:highlight w:val="none"/>
          <w:shd w:val="clear" w:color="auto" w:fill="auto"/>
        </w:rPr>
        <w:t>1.大型、中型和小型企业须同时满足所列指标的下限，否则下划一档；微型企业只须满足所列指标中的一项即可。</w:t>
      </w:r>
    </w:p>
    <w:p w14:paraId="78774AB2">
      <w:pPr>
        <w:pStyle w:val="26"/>
        <w:adjustRightInd w:val="0"/>
        <w:spacing w:line="460" w:lineRule="exact"/>
        <w:ind w:firstLine="512" w:firstLineChars="200"/>
        <w:contextualSpacing/>
        <w:rPr>
          <w:rFonts w:hAnsi="宋体" w:cs="宋体"/>
          <w:color w:val="auto"/>
          <w:spacing w:val="8"/>
          <w:kern w:val="0"/>
          <w:szCs w:val="21"/>
          <w:highlight w:val="none"/>
          <w:shd w:val="clear" w:color="auto" w:fill="auto"/>
        </w:rPr>
      </w:pPr>
      <w:r>
        <w:rPr>
          <w:rFonts w:hint="eastAsia" w:hAnsi="宋体" w:cs="宋体"/>
          <w:color w:val="auto"/>
          <w:spacing w:val="8"/>
          <w:kern w:val="0"/>
          <w:szCs w:val="21"/>
          <w:highlight w:val="none"/>
          <w:shd w:val="clear" w:color="auto" w:fill="auto"/>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16BAC94">
      <w:pPr>
        <w:pStyle w:val="26"/>
        <w:spacing w:line="460" w:lineRule="exact"/>
        <w:ind w:firstLine="512" w:firstLineChars="200"/>
        <w:rPr>
          <w:rFonts w:hAnsi="宋体" w:cs="宋体"/>
          <w:color w:val="auto"/>
          <w:spacing w:val="8"/>
          <w:kern w:val="0"/>
          <w:sz w:val="24"/>
          <w:szCs w:val="24"/>
          <w:highlight w:val="none"/>
          <w:shd w:val="clear" w:color="auto" w:fill="auto"/>
        </w:rPr>
      </w:pPr>
      <w:r>
        <w:rPr>
          <w:rFonts w:hint="eastAsia" w:hAnsi="宋体" w:cs="宋体"/>
          <w:color w:val="auto"/>
          <w:spacing w:val="8"/>
          <w:kern w:val="0"/>
          <w:szCs w:val="21"/>
          <w:highlight w:val="none"/>
          <w:shd w:val="clear" w:color="auto" w:fill="auto"/>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207E7CC3">
      <w:pPr>
        <w:ind w:left="0" w:leftChars="0" w:firstLine="0" w:firstLineChars="0"/>
        <w:rPr>
          <w:rFonts w:hint="eastAsia"/>
          <w:color w:val="auto"/>
          <w:highlight w:val="none"/>
        </w:rPr>
        <w:sectPr>
          <w:headerReference r:id="rId23" w:type="first"/>
          <w:footerReference r:id="rId26" w:type="first"/>
          <w:headerReference r:id="rId21" w:type="default"/>
          <w:footerReference r:id="rId24" w:type="default"/>
          <w:headerReference r:id="rId22" w:type="even"/>
          <w:footerReference r:id="rId25" w:type="even"/>
          <w:pgSz w:w="11906" w:h="16838"/>
          <w:pgMar w:top="1440" w:right="1800" w:bottom="1440" w:left="1418" w:header="851" w:footer="992" w:gutter="0"/>
          <w:pgNumType w:fmt="decimal"/>
          <w:cols w:space="720" w:num="1"/>
          <w:docGrid w:type="lines" w:linePitch="326" w:charSpace="0"/>
        </w:sectPr>
      </w:pPr>
    </w:p>
    <w:p w14:paraId="5D513F1B">
      <w:pPr>
        <w:pStyle w:val="42"/>
        <w:rPr>
          <w:color w:val="auto"/>
          <w:highlight w:val="none"/>
        </w:rPr>
      </w:pPr>
      <w:r>
        <w:rPr>
          <w:rFonts w:hint="eastAsia"/>
          <w:color w:val="auto"/>
          <w:kern w:val="0"/>
          <w:highlight w:val="none"/>
        </w:rPr>
        <w:t>第五章</w:t>
      </w:r>
      <w:bookmarkEnd w:id="41"/>
      <w:r>
        <w:rPr>
          <w:rFonts w:hint="eastAsia"/>
          <w:color w:val="auto"/>
          <w:highlight w:val="none"/>
        </w:rPr>
        <w:t>政府采购合同（合同主要条款及格式）</w:t>
      </w:r>
      <w:bookmarkEnd w:id="42"/>
    </w:p>
    <w:p w14:paraId="3428D3AF">
      <w:pPr>
        <w:spacing w:line="360" w:lineRule="exact"/>
        <w:ind w:left="0" w:leftChars="0" w:firstLine="0" w:firstLineChars="0"/>
        <w:outlineLvl w:val="1"/>
        <w:rPr>
          <w:rFonts w:hint="default" w:ascii="宋体" w:hAnsi="宋体" w:eastAsia="宋体" w:cs="宋体"/>
          <w:b/>
          <w:bCs/>
          <w:color w:val="auto"/>
          <w:sz w:val="21"/>
          <w:szCs w:val="21"/>
          <w:highlight w:val="none"/>
          <w:lang w:val="en-US" w:eastAsia="zh-CN"/>
        </w:rPr>
      </w:pPr>
      <w:bookmarkStart w:id="44" w:name="_Toc82016593"/>
      <w:bookmarkStart w:id="45" w:name="_Toc155531037"/>
      <w:r>
        <w:rPr>
          <w:rFonts w:hint="eastAsia" w:ascii="宋体" w:hAnsi="宋体" w:cs="宋体"/>
          <w:b/>
          <w:bCs/>
          <w:color w:val="auto"/>
          <w:sz w:val="21"/>
          <w:szCs w:val="21"/>
          <w:highlight w:val="none"/>
          <w:lang w:eastAsia="zh-CN"/>
        </w:rPr>
        <w:t>分标</w:t>
      </w:r>
      <w:r>
        <w:rPr>
          <w:rFonts w:hint="eastAsia" w:ascii="宋体" w:hAnsi="宋体" w:cs="宋体"/>
          <w:b/>
          <w:bCs/>
          <w:color w:val="auto"/>
          <w:sz w:val="21"/>
          <w:szCs w:val="21"/>
          <w:highlight w:val="none"/>
          <w:lang w:val="en-US" w:eastAsia="zh-CN"/>
        </w:rPr>
        <w:t>1：</w:t>
      </w:r>
    </w:p>
    <w:p w14:paraId="0EE90D8B">
      <w:pPr>
        <w:spacing w:line="360" w:lineRule="exact"/>
        <w:ind w:left="0" w:leftChars="0"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项目名称：</w:t>
      </w:r>
      <w:r>
        <w:rPr>
          <w:rFonts w:hint="eastAsia" w:ascii="宋体" w:hAnsi="宋体" w:cs="宋体"/>
          <w:color w:val="auto"/>
          <w:sz w:val="21"/>
          <w:szCs w:val="21"/>
          <w:highlight w:val="none"/>
          <w:lang w:eastAsia="zh-CN"/>
        </w:rPr>
        <w:t>桂林市叠彩实验小学功能室设备采购</w:t>
      </w:r>
    </w:p>
    <w:p w14:paraId="6C9C5C7D">
      <w:pPr>
        <w:spacing w:line="360" w:lineRule="exac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项目编号：</w:t>
      </w:r>
    </w:p>
    <w:p w14:paraId="56E74B4D">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甲方：</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（采购人）</w:t>
      </w:r>
    </w:p>
    <w:p w14:paraId="20178D80">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乙方：</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（中标人）</w:t>
      </w:r>
    </w:p>
    <w:p w14:paraId="539CB3E3">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根据《中华人民共和国政府采购法》、《中华人民共和国政府采购法实施条例》、《中华人民共和国</w:t>
      </w:r>
      <w:r>
        <w:rPr>
          <w:rFonts w:hint="eastAsia" w:ascii="宋体" w:hAnsi="宋体" w:cs="宋体"/>
          <w:color w:val="auto"/>
          <w:sz w:val="21"/>
          <w:szCs w:val="21"/>
          <w:highlight w:val="none"/>
          <w:lang w:val="en-US" w:eastAsia="zh-CN"/>
        </w:rPr>
        <w:t>民法典</w:t>
      </w:r>
      <w:r>
        <w:rPr>
          <w:rFonts w:hint="eastAsia" w:ascii="宋体" w:hAnsi="宋体" w:cs="宋体"/>
          <w:color w:val="auto"/>
          <w:sz w:val="21"/>
          <w:szCs w:val="21"/>
          <w:highlight w:val="none"/>
        </w:rPr>
        <w:t>》等法律、法规规定，按照</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规定条款和中标供应商承诺、甲乙双方签订本采购合同。</w:t>
      </w:r>
    </w:p>
    <w:p w14:paraId="7F15CE6A">
      <w:pPr>
        <w:numPr>
          <w:ilvl w:val="0"/>
          <w:numId w:val="26"/>
        </w:numPr>
        <w:spacing w:line="40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 xml:space="preserve"> 合同标的及合同金额</w:t>
      </w:r>
    </w:p>
    <w:tbl>
      <w:tblPr>
        <w:tblStyle w:val="46"/>
        <w:tblW w:w="10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232"/>
        <w:gridCol w:w="1445"/>
        <w:gridCol w:w="1483"/>
        <w:gridCol w:w="1073"/>
        <w:gridCol w:w="714"/>
        <w:gridCol w:w="1545"/>
        <w:gridCol w:w="1699"/>
      </w:tblGrid>
      <w:tr w14:paraId="72F6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892" w:type="dxa"/>
            <w:shd w:val="clear" w:color="auto" w:fill="auto"/>
            <w:noWrap w:val="0"/>
            <w:vAlign w:val="center"/>
          </w:tcPr>
          <w:p w14:paraId="147645B7">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项号</w:t>
            </w:r>
          </w:p>
        </w:tc>
        <w:tc>
          <w:tcPr>
            <w:tcW w:w="1232" w:type="dxa"/>
            <w:shd w:val="clear" w:color="auto" w:fill="auto"/>
            <w:noWrap w:val="0"/>
            <w:vAlign w:val="center"/>
          </w:tcPr>
          <w:p w14:paraId="789E6587">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货物名称</w:t>
            </w:r>
          </w:p>
        </w:tc>
        <w:tc>
          <w:tcPr>
            <w:tcW w:w="1445" w:type="dxa"/>
            <w:shd w:val="clear" w:color="auto" w:fill="auto"/>
            <w:noWrap w:val="0"/>
            <w:vAlign w:val="center"/>
          </w:tcPr>
          <w:p w14:paraId="5E389D25">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生产厂家、品牌、规格型号</w:t>
            </w:r>
          </w:p>
        </w:tc>
        <w:tc>
          <w:tcPr>
            <w:tcW w:w="1483" w:type="dxa"/>
            <w:shd w:val="clear" w:color="auto" w:fill="auto"/>
            <w:noWrap w:val="0"/>
            <w:vAlign w:val="center"/>
          </w:tcPr>
          <w:p w14:paraId="25D68C27">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技术参数</w:t>
            </w:r>
          </w:p>
        </w:tc>
        <w:tc>
          <w:tcPr>
            <w:tcW w:w="1073" w:type="dxa"/>
            <w:shd w:val="clear" w:color="auto" w:fill="auto"/>
            <w:noWrap w:val="0"/>
            <w:vAlign w:val="center"/>
          </w:tcPr>
          <w:p w14:paraId="7B5CE5E0">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数量</w:t>
            </w:r>
          </w:p>
          <w:p w14:paraId="6968A6CC">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①</w:t>
            </w:r>
          </w:p>
        </w:tc>
        <w:tc>
          <w:tcPr>
            <w:tcW w:w="714" w:type="dxa"/>
            <w:shd w:val="clear" w:color="auto" w:fill="auto"/>
            <w:noWrap w:val="0"/>
            <w:vAlign w:val="center"/>
          </w:tcPr>
          <w:p w14:paraId="3D567285">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单位</w:t>
            </w:r>
          </w:p>
        </w:tc>
        <w:tc>
          <w:tcPr>
            <w:tcW w:w="1545" w:type="dxa"/>
            <w:shd w:val="clear" w:color="auto" w:fill="auto"/>
            <w:noWrap w:val="0"/>
            <w:vAlign w:val="center"/>
          </w:tcPr>
          <w:p w14:paraId="0800087C">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单价（万元）</w:t>
            </w:r>
          </w:p>
          <w:p w14:paraId="5E39473B">
            <w:pPr>
              <w:snapToGrid w:val="0"/>
              <w:spacing w:line="280" w:lineRule="exact"/>
              <w:jc w:val="both"/>
              <w:rPr>
                <w:rFonts w:ascii="宋体" w:hAnsi="宋体" w:cs="宋体"/>
                <w:b/>
                <w:color w:val="auto"/>
                <w:sz w:val="21"/>
                <w:szCs w:val="21"/>
                <w:highlight w:val="none"/>
              </w:rPr>
            </w:pPr>
            <w:r>
              <w:rPr>
                <w:rFonts w:hint="eastAsia" w:ascii="宋体" w:hAnsi="宋体" w:cs="宋体"/>
                <w:b/>
                <w:color w:val="auto"/>
                <w:sz w:val="21"/>
                <w:szCs w:val="21"/>
                <w:highlight w:val="none"/>
              </w:rPr>
              <w:t>②</w:t>
            </w:r>
          </w:p>
        </w:tc>
        <w:tc>
          <w:tcPr>
            <w:tcW w:w="1699" w:type="dxa"/>
            <w:shd w:val="clear" w:color="auto" w:fill="auto"/>
            <w:noWrap w:val="0"/>
            <w:vAlign w:val="center"/>
          </w:tcPr>
          <w:p w14:paraId="1FA0E6CD">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合计金额（万元）</w:t>
            </w:r>
          </w:p>
          <w:p w14:paraId="01F21F6B">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③＝①×②</w:t>
            </w:r>
          </w:p>
        </w:tc>
      </w:tr>
      <w:tr w14:paraId="0928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92" w:type="dxa"/>
            <w:noWrap w:val="0"/>
            <w:vAlign w:val="center"/>
          </w:tcPr>
          <w:p w14:paraId="1B5A5B4D">
            <w:pPr>
              <w:snapToGrid w:val="0"/>
              <w:spacing w:line="40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1232" w:type="dxa"/>
            <w:noWrap w:val="0"/>
            <w:vAlign w:val="center"/>
          </w:tcPr>
          <w:p w14:paraId="4DDD8413">
            <w:pPr>
              <w:snapToGrid w:val="0"/>
              <w:spacing w:line="400" w:lineRule="exact"/>
              <w:jc w:val="center"/>
              <w:rPr>
                <w:rFonts w:ascii="宋体" w:hAnsi="宋体" w:cs="宋体"/>
                <w:color w:val="auto"/>
                <w:sz w:val="21"/>
                <w:szCs w:val="21"/>
                <w:highlight w:val="none"/>
              </w:rPr>
            </w:pPr>
          </w:p>
        </w:tc>
        <w:tc>
          <w:tcPr>
            <w:tcW w:w="1445" w:type="dxa"/>
            <w:noWrap w:val="0"/>
            <w:vAlign w:val="center"/>
          </w:tcPr>
          <w:p w14:paraId="54BBFE90">
            <w:pPr>
              <w:snapToGrid w:val="0"/>
              <w:spacing w:line="400" w:lineRule="exact"/>
              <w:jc w:val="center"/>
              <w:rPr>
                <w:rFonts w:ascii="宋体" w:hAnsi="宋体" w:cs="宋体"/>
                <w:color w:val="auto"/>
                <w:sz w:val="21"/>
                <w:szCs w:val="21"/>
                <w:highlight w:val="none"/>
              </w:rPr>
            </w:pPr>
          </w:p>
        </w:tc>
        <w:tc>
          <w:tcPr>
            <w:tcW w:w="1483" w:type="dxa"/>
            <w:noWrap w:val="0"/>
            <w:vAlign w:val="center"/>
          </w:tcPr>
          <w:p w14:paraId="1E780CD8">
            <w:pPr>
              <w:snapToGrid w:val="0"/>
              <w:spacing w:line="400" w:lineRule="exact"/>
              <w:jc w:val="center"/>
              <w:rPr>
                <w:rFonts w:ascii="宋体" w:hAnsi="宋体" w:cs="宋体"/>
                <w:color w:val="auto"/>
                <w:sz w:val="21"/>
                <w:szCs w:val="21"/>
                <w:highlight w:val="none"/>
              </w:rPr>
            </w:pPr>
          </w:p>
        </w:tc>
        <w:tc>
          <w:tcPr>
            <w:tcW w:w="1073" w:type="dxa"/>
            <w:noWrap w:val="0"/>
            <w:vAlign w:val="center"/>
          </w:tcPr>
          <w:p w14:paraId="0AE3DCB8">
            <w:pPr>
              <w:snapToGrid w:val="0"/>
              <w:spacing w:line="400" w:lineRule="exact"/>
              <w:jc w:val="center"/>
              <w:rPr>
                <w:rFonts w:ascii="宋体" w:hAnsi="宋体" w:cs="宋体"/>
                <w:color w:val="auto"/>
                <w:sz w:val="21"/>
                <w:szCs w:val="21"/>
                <w:highlight w:val="none"/>
              </w:rPr>
            </w:pPr>
          </w:p>
        </w:tc>
        <w:tc>
          <w:tcPr>
            <w:tcW w:w="714" w:type="dxa"/>
            <w:noWrap w:val="0"/>
            <w:vAlign w:val="center"/>
          </w:tcPr>
          <w:p w14:paraId="675EF83B">
            <w:pPr>
              <w:snapToGrid w:val="0"/>
              <w:spacing w:line="400" w:lineRule="exact"/>
              <w:jc w:val="center"/>
              <w:rPr>
                <w:rFonts w:ascii="宋体" w:hAnsi="宋体" w:cs="宋体"/>
                <w:color w:val="auto"/>
                <w:sz w:val="21"/>
                <w:szCs w:val="21"/>
                <w:highlight w:val="none"/>
              </w:rPr>
            </w:pPr>
          </w:p>
        </w:tc>
        <w:tc>
          <w:tcPr>
            <w:tcW w:w="1545" w:type="dxa"/>
            <w:noWrap w:val="0"/>
            <w:vAlign w:val="center"/>
          </w:tcPr>
          <w:p w14:paraId="68B11B55">
            <w:pPr>
              <w:snapToGrid w:val="0"/>
              <w:spacing w:line="400" w:lineRule="exact"/>
              <w:jc w:val="center"/>
              <w:rPr>
                <w:rFonts w:ascii="宋体" w:hAnsi="宋体" w:cs="宋体"/>
                <w:color w:val="auto"/>
                <w:sz w:val="21"/>
                <w:szCs w:val="21"/>
                <w:highlight w:val="none"/>
              </w:rPr>
            </w:pPr>
          </w:p>
        </w:tc>
        <w:tc>
          <w:tcPr>
            <w:tcW w:w="1699" w:type="dxa"/>
            <w:noWrap w:val="0"/>
            <w:vAlign w:val="center"/>
          </w:tcPr>
          <w:p w14:paraId="16D6A9B7">
            <w:pPr>
              <w:snapToGrid w:val="0"/>
              <w:spacing w:line="400" w:lineRule="exact"/>
              <w:jc w:val="center"/>
              <w:rPr>
                <w:rFonts w:ascii="宋体" w:hAnsi="宋体" w:cs="宋体"/>
                <w:color w:val="auto"/>
                <w:sz w:val="21"/>
                <w:szCs w:val="21"/>
                <w:highlight w:val="none"/>
              </w:rPr>
            </w:pPr>
          </w:p>
        </w:tc>
      </w:tr>
      <w:tr w14:paraId="3809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92" w:type="dxa"/>
            <w:noWrap w:val="0"/>
            <w:vAlign w:val="center"/>
          </w:tcPr>
          <w:p w14:paraId="753F5D0E">
            <w:pPr>
              <w:snapToGrid w:val="0"/>
              <w:spacing w:line="40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1232" w:type="dxa"/>
            <w:noWrap w:val="0"/>
            <w:vAlign w:val="center"/>
          </w:tcPr>
          <w:p w14:paraId="71F6BF93">
            <w:pPr>
              <w:snapToGrid w:val="0"/>
              <w:spacing w:line="400" w:lineRule="exact"/>
              <w:jc w:val="center"/>
              <w:rPr>
                <w:rFonts w:ascii="宋体" w:hAnsi="宋体" w:cs="宋体"/>
                <w:color w:val="auto"/>
                <w:sz w:val="21"/>
                <w:szCs w:val="21"/>
                <w:highlight w:val="none"/>
              </w:rPr>
            </w:pPr>
          </w:p>
        </w:tc>
        <w:tc>
          <w:tcPr>
            <w:tcW w:w="1445" w:type="dxa"/>
            <w:noWrap w:val="0"/>
            <w:vAlign w:val="center"/>
          </w:tcPr>
          <w:p w14:paraId="1F5C589C">
            <w:pPr>
              <w:snapToGrid w:val="0"/>
              <w:spacing w:line="400" w:lineRule="exact"/>
              <w:jc w:val="center"/>
              <w:rPr>
                <w:rFonts w:ascii="宋体" w:hAnsi="宋体" w:cs="宋体"/>
                <w:color w:val="auto"/>
                <w:sz w:val="21"/>
                <w:szCs w:val="21"/>
                <w:highlight w:val="none"/>
              </w:rPr>
            </w:pPr>
          </w:p>
        </w:tc>
        <w:tc>
          <w:tcPr>
            <w:tcW w:w="1483" w:type="dxa"/>
            <w:noWrap w:val="0"/>
            <w:vAlign w:val="center"/>
          </w:tcPr>
          <w:p w14:paraId="2D0B9277">
            <w:pPr>
              <w:snapToGrid w:val="0"/>
              <w:spacing w:line="400" w:lineRule="exact"/>
              <w:jc w:val="center"/>
              <w:rPr>
                <w:rFonts w:ascii="宋体" w:hAnsi="宋体" w:cs="宋体"/>
                <w:color w:val="auto"/>
                <w:sz w:val="21"/>
                <w:szCs w:val="21"/>
                <w:highlight w:val="none"/>
              </w:rPr>
            </w:pPr>
          </w:p>
        </w:tc>
        <w:tc>
          <w:tcPr>
            <w:tcW w:w="1073" w:type="dxa"/>
            <w:noWrap w:val="0"/>
            <w:vAlign w:val="center"/>
          </w:tcPr>
          <w:p w14:paraId="194567FB">
            <w:pPr>
              <w:snapToGrid w:val="0"/>
              <w:spacing w:line="400" w:lineRule="exact"/>
              <w:jc w:val="center"/>
              <w:rPr>
                <w:rFonts w:ascii="宋体" w:hAnsi="宋体" w:cs="宋体"/>
                <w:color w:val="auto"/>
                <w:sz w:val="21"/>
                <w:szCs w:val="21"/>
                <w:highlight w:val="none"/>
              </w:rPr>
            </w:pPr>
          </w:p>
        </w:tc>
        <w:tc>
          <w:tcPr>
            <w:tcW w:w="714" w:type="dxa"/>
            <w:noWrap w:val="0"/>
            <w:vAlign w:val="center"/>
          </w:tcPr>
          <w:p w14:paraId="68B2629C">
            <w:pPr>
              <w:snapToGrid w:val="0"/>
              <w:spacing w:line="400" w:lineRule="exact"/>
              <w:jc w:val="center"/>
              <w:rPr>
                <w:rFonts w:ascii="宋体" w:hAnsi="宋体" w:cs="宋体"/>
                <w:color w:val="auto"/>
                <w:sz w:val="21"/>
                <w:szCs w:val="21"/>
                <w:highlight w:val="none"/>
              </w:rPr>
            </w:pPr>
          </w:p>
        </w:tc>
        <w:tc>
          <w:tcPr>
            <w:tcW w:w="1545" w:type="dxa"/>
            <w:noWrap w:val="0"/>
            <w:vAlign w:val="center"/>
          </w:tcPr>
          <w:p w14:paraId="0DB90878">
            <w:pPr>
              <w:snapToGrid w:val="0"/>
              <w:spacing w:line="400" w:lineRule="exact"/>
              <w:jc w:val="center"/>
              <w:rPr>
                <w:rFonts w:ascii="宋体" w:hAnsi="宋体" w:cs="宋体"/>
                <w:color w:val="auto"/>
                <w:sz w:val="21"/>
                <w:szCs w:val="21"/>
                <w:highlight w:val="none"/>
              </w:rPr>
            </w:pPr>
          </w:p>
        </w:tc>
        <w:tc>
          <w:tcPr>
            <w:tcW w:w="1699" w:type="dxa"/>
            <w:noWrap w:val="0"/>
            <w:vAlign w:val="center"/>
          </w:tcPr>
          <w:p w14:paraId="0CEC88D8">
            <w:pPr>
              <w:snapToGrid w:val="0"/>
              <w:spacing w:line="400" w:lineRule="exact"/>
              <w:jc w:val="center"/>
              <w:rPr>
                <w:rFonts w:ascii="宋体" w:hAnsi="宋体" w:cs="宋体"/>
                <w:color w:val="auto"/>
                <w:sz w:val="21"/>
                <w:szCs w:val="21"/>
                <w:highlight w:val="none"/>
              </w:rPr>
            </w:pPr>
          </w:p>
        </w:tc>
      </w:tr>
      <w:tr w14:paraId="47A3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92" w:type="dxa"/>
            <w:noWrap w:val="0"/>
            <w:vAlign w:val="center"/>
          </w:tcPr>
          <w:p w14:paraId="219E896E">
            <w:pPr>
              <w:snapToGrid w:val="0"/>
              <w:spacing w:line="40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232" w:type="dxa"/>
            <w:noWrap w:val="0"/>
            <w:vAlign w:val="center"/>
          </w:tcPr>
          <w:p w14:paraId="522B4A79">
            <w:pPr>
              <w:snapToGrid w:val="0"/>
              <w:spacing w:line="400" w:lineRule="exact"/>
              <w:jc w:val="center"/>
              <w:rPr>
                <w:rFonts w:ascii="宋体" w:hAnsi="宋体" w:cs="宋体"/>
                <w:color w:val="auto"/>
                <w:sz w:val="21"/>
                <w:szCs w:val="21"/>
                <w:highlight w:val="none"/>
              </w:rPr>
            </w:pPr>
          </w:p>
        </w:tc>
        <w:tc>
          <w:tcPr>
            <w:tcW w:w="1445" w:type="dxa"/>
            <w:noWrap w:val="0"/>
            <w:vAlign w:val="center"/>
          </w:tcPr>
          <w:p w14:paraId="08C3C7B2">
            <w:pPr>
              <w:snapToGrid w:val="0"/>
              <w:spacing w:line="400" w:lineRule="exact"/>
              <w:jc w:val="center"/>
              <w:rPr>
                <w:rFonts w:ascii="宋体" w:hAnsi="宋体" w:cs="宋体"/>
                <w:color w:val="auto"/>
                <w:sz w:val="21"/>
                <w:szCs w:val="21"/>
                <w:highlight w:val="none"/>
              </w:rPr>
            </w:pPr>
          </w:p>
        </w:tc>
        <w:tc>
          <w:tcPr>
            <w:tcW w:w="1483" w:type="dxa"/>
            <w:noWrap w:val="0"/>
            <w:vAlign w:val="center"/>
          </w:tcPr>
          <w:p w14:paraId="42564715">
            <w:pPr>
              <w:snapToGrid w:val="0"/>
              <w:spacing w:line="400" w:lineRule="exact"/>
              <w:jc w:val="center"/>
              <w:rPr>
                <w:rFonts w:ascii="宋体" w:hAnsi="宋体" w:cs="宋体"/>
                <w:color w:val="auto"/>
                <w:sz w:val="21"/>
                <w:szCs w:val="21"/>
                <w:highlight w:val="none"/>
              </w:rPr>
            </w:pPr>
          </w:p>
        </w:tc>
        <w:tc>
          <w:tcPr>
            <w:tcW w:w="1073" w:type="dxa"/>
            <w:noWrap w:val="0"/>
            <w:vAlign w:val="center"/>
          </w:tcPr>
          <w:p w14:paraId="4563948E">
            <w:pPr>
              <w:snapToGrid w:val="0"/>
              <w:spacing w:line="400" w:lineRule="exact"/>
              <w:jc w:val="center"/>
              <w:rPr>
                <w:rFonts w:ascii="宋体" w:hAnsi="宋体" w:cs="宋体"/>
                <w:color w:val="auto"/>
                <w:sz w:val="21"/>
                <w:szCs w:val="21"/>
                <w:highlight w:val="none"/>
              </w:rPr>
            </w:pPr>
          </w:p>
        </w:tc>
        <w:tc>
          <w:tcPr>
            <w:tcW w:w="714" w:type="dxa"/>
            <w:noWrap w:val="0"/>
            <w:vAlign w:val="center"/>
          </w:tcPr>
          <w:p w14:paraId="3BBC4D80">
            <w:pPr>
              <w:snapToGrid w:val="0"/>
              <w:spacing w:line="400" w:lineRule="exact"/>
              <w:jc w:val="center"/>
              <w:rPr>
                <w:rFonts w:ascii="宋体" w:hAnsi="宋体" w:cs="宋体"/>
                <w:color w:val="auto"/>
                <w:sz w:val="21"/>
                <w:szCs w:val="21"/>
                <w:highlight w:val="none"/>
              </w:rPr>
            </w:pPr>
          </w:p>
        </w:tc>
        <w:tc>
          <w:tcPr>
            <w:tcW w:w="1545" w:type="dxa"/>
            <w:noWrap w:val="0"/>
            <w:vAlign w:val="center"/>
          </w:tcPr>
          <w:p w14:paraId="38C54218">
            <w:pPr>
              <w:snapToGrid w:val="0"/>
              <w:spacing w:line="400" w:lineRule="exact"/>
              <w:jc w:val="center"/>
              <w:rPr>
                <w:rFonts w:ascii="宋体" w:hAnsi="宋体" w:cs="宋体"/>
                <w:color w:val="auto"/>
                <w:sz w:val="21"/>
                <w:szCs w:val="21"/>
                <w:highlight w:val="none"/>
              </w:rPr>
            </w:pPr>
          </w:p>
        </w:tc>
        <w:tc>
          <w:tcPr>
            <w:tcW w:w="1699" w:type="dxa"/>
            <w:noWrap w:val="0"/>
            <w:vAlign w:val="center"/>
          </w:tcPr>
          <w:p w14:paraId="25B0E616">
            <w:pPr>
              <w:snapToGrid w:val="0"/>
              <w:spacing w:line="400" w:lineRule="exact"/>
              <w:jc w:val="center"/>
              <w:rPr>
                <w:rFonts w:ascii="宋体" w:hAnsi="宋体" w:cs="宋体"/>
                <w:color w:val="auto"/>
                <w:sz w:val="21"/>
                <w:szCs w:val="21"/>
                <w:highlight w:val="none"/>
              </w:rPr>
            </w:pPr>
          </w:p>
        </w:tc>
      </w:tr>
      <w:tr w14:paraId="086F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384" w:type="dxa"/>
            <w:gridSpan w:val="7"/>
            <w:noWrap w:val="0"/>
            <w:vAlign w:val="center"/>
          </w:tcPr>
          <w:p w14:paraId="769FB0B0">
            <w:pPr>
              <w:snapToGrid w:val="0"/>
              <w:spacing w:line="40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                                                               合     计</w:t>
            </w:r>
          </w:p>
        </w:tc>
        <w:tc>
          <w:tcPr>
            <w:tcW w:w="1699" w:type="dxa"/>
            <w:noWrap w:val="0"/>
            <w:vAlign w:val="center"/>
          </w:tcPr>
          <w:p w14:paraId="05FE4D62">
            <w:pPr>
              <w:snapToGrid w:val="0"/>
              <w:spacing w:line="400" w:lineRule="exact"/>
              <w:rPr>
                <w:rFonts w:ascii="宋体" w:hAnsi="宋体" w:cs="宋体"/>
                <w:color w:val="auto"/>
                <w:sz w:val="21"/>
                <w:szCs w:val="21"/>
                <w:highlight w:val="none"/>
              </w:rPr>
            </w:pPr>
          </w:p>
        </w:tc>
      </w:tr>
    </w:tbl>
    <w:p w14:paraId="651681B6">
      <w:pPr>
        <w:pStyle w:val="24"/>
        <w:numPr>
          <w:ilvl w:val="0"/>
          <w:numId w:val="0"/>
        </w:numPr>
        <w:ind w:leftChars="200"/>
        <w:rPr>
          <w:rFonts w:hint="eastAsia"/>
          <w:color w:val="auto"/>
          <w:sz w:val="21"/>
          <w:szCs w:val="21"/>
          <w:highlight w:val="none"/>
        </w:rPr>
      </w:pPr>
    </w:p>
    <w:p w14:paraId="5ED954A2">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根据《</w:t>
      </w:r>
      <w:r>
        <w:rPr>
          <w:rFonts w:hint="eastAsia" w:ascii="宋体" w:hAnsi="宋体" w:cs="宋体"/>
          <w:color w:val="auto"/>
          <w:sz w:val="21"/>
          <w:szCs w:val="21"/>
          <w:highlight w:val="none"/>
        </w:rPr>
        <w:t>成交通知书》的中标内容，合同的总金额为：（大写）</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人民币（￥</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元）。</w:t>
      </w:r>
    </w:p>
    <w:p w14:paraId="62BD9026">
      <w:pPr>
        <w:pStyle w:val="18"/>
        <w:rPr>
          <w:rFonts w:hint="eastAsia" w:ascii="宋体" w:hAnsi="宋体" w:cs="宋体"/>
          <w:color w:val="auto"/>
          <w:sz w:val="21"/>
          <w:szCs w:val="21"/>
          <w:highlight w:val="none"/>
        </w:rPr>
      </w:pPr>
      <w:r>
        <w:rPr>
          <w:rFonts w:hint="eastAsia" w:ascii="宋体" w:hAnsi="宋体" w:cs="宋体"/>
          <w:color w:val="auto"/>
          <w:sz w:val="21"/>
          <w:szCs w:val="21"/>
          <w:highlight w:val="none"/>
        </w:rPr>
        <w:t>合同履行期限（交付时间）：因本项目货物交付时间紧迫，供应商须于签订合同之日起</w:t>
      </w:r>
      <w:r>
        <w:rPr>
          <w:rFonts w:hint="eastAsia"/>
          <w:color w:val="auto"/>
          <w:highlight w:val="none"/>
          <w:lang w:val="en-US" w:eastAsia="zh-CN"/>
        </w:rPr>
        <w:t>2</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个</w:t>
      </w:r>
    </w:p>
    <w:p w14:paraId="6DB816FF">
      <w:pPr>
        <w:pStyle w:val="18"/>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日历日内交货并完成安装调试</w:t>
      </w:r>
      <w:r>
        <w:rPr>
          <w:rFonts w:hint="eastAsia" w:ascii="宋体" w:hAnsi="宋体" w:cs="宋体"/>
          <w:color w:val="auto"/>
          <w:sz w:val="21"/>
          <w:szCs w:val="21"/>
          <w:highlight w:val="none"/>
          <w:lang w:val="en-US" w:eastAsia="zh-CN"/>
        </w:rPr>
        <w:t>合格完毕</w:t>
      </w:r>
      <w:r>
        <w:rPr>
          <w:rFonts w:hint="eastAsia" w:ascii="宋体" w:hAnsi="宋体" w:cs="宋体"/>
          <w:color w:val="auto"/>
          <w:sz w:val="21"/>
          <w:szCs w:val="21"/>
          <w:highlight w:val="none"/>
        </w:rPr>
        <w:t>，如延期交付的，按违约处理</w:t>
      </w:r>
      <w:r>
        <w:rPr>
          <w:rFonts w:hint="eastAsia" w:cs="宋体"/>
          <w:color w:val="auto"/>
          <w:sz w:val="21"/>
          <w:szCs w:val="21"/>
          <w:highlight w:val="none"/>
          <w:lang w:eastAsia="zh-CN"/>
        </w:rPr>
        <w:t>。</w:t>
      </w:r>
    </w:p>
    <w:p w14:paraId="23F0B86D">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此合同金额是乙方完成本合同项全部义务甲方支付的所有费用（包含完成本“采购需求”中所列所有内容产生的所有成本、税金、利润及其他等所有成本费用的总和）。</w:t>
      </w:r>
    </w:p>
    <w:p w14:paraId="71B7EB1A">
      <w:pPr>
        <w:spacing w:line="360" w:lineRule="atLeas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第二条  质量保证</w:t>
      </w:r>
    </w:p>
    <w:p w14:paraId="33761EE4">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1.乙方应按</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 xml:space="preserve">承诺的货物规格型号、技术参数、质量标准等向甲方提供未经使用的全新原装产品，且在正常安装使用和保养条件下，其使用寿命期内各项指标均达到质量标准。乙方提供的节能和环境标志产品必须是列入现行政府采购清单目录内的产品。 </w:t>
      </w:r>
    </w:p>
    <w:p w14:paraId="516F1C23">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乙方提供货物的质量保证期为自交货物验收合格之日起至十二个月内止（厂家规定质保期超过一年的，按厂家规定，“货物采购需求”有规定的，按规定执行）。在质保期内因货物本身的质量问题发生故障，乙方应负责免费修理和更换零部件。对达不到技术要求者，根据实际情况，经双方协商，可按以下办法处理： </w:t>
      </w:r>
    </w:p>
    <w:p w14:paraId="60A6FF8C">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（1）更换：由乙方承担所有发生的全部费用。 </w:t>
      </w:r>
    </w:p>
    <w:p w14:paraId="44B75DB2">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（2）贬值处理：由甲乙双方合议定价。 </w:t>
      </w:r>
    </w:p>
    <w:p w14:paraId="57422A22">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（3）退货处理：乙方应退还甲方支付的合同款，同时应承担该货物的直接费用（运输、保险、检验、贷款利息及银行手续费等）</w:t>
      </w:r>
    </w:p>
    <w:p w14:paraId="1B07F81A">
      <w:pPr>
        <w:spacing w:line="360" w:lineRule="atLeas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第三条  权力保证</w:t>
      </w:r>
    </w:p>
    <w:p w14:paraId="11E0D943">
      <w:pPr>
        <w:spacing w:line="360" w:lineRule="atLeast"/>
        <w:ind w:firstLine="411" w:firstLineChars="196"/>
        <w:rPr>
          <w:rFonts w:hint="eastAsia" w:ascii="宋体" w:hAnsi="宋体" w:cs="宋体"/>
          <w:color w:val="auto"/>
          <w:sz w:val="21"/>
          <w:szCs w:val="21"/>
          <w:highlight w:val="none"/>
        </w:rPr>
      </w:pPr>
      <w:r>
        <w:rPr>
          <w:rFonts w:hint="eastAsia" w:ascii="宋体" w:hAnsi="宋体" w:cs="宋体"/>
          <w:color w:val="auto"/>
          <w:sz w:val="21"/>
          <w:szCs w:val="21"/>
          <w:highlight w:val="none"/>
        </w:rPr>
        <w:t>1、乙方应保证所货物不会侵犯任何第三方的专利权、商标权、工业设计权或其他权利。</w:t>
      </w:r>
    </w:p>
    <w:p w14:paraId="41E20D67">
      <w:pPr>
        <w:spacing w:line="360" w:lineRule="atLeas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2、乙方应按</w:t>
      </w:r>
      <w:r>
        <w:rPr>
          <w:rFonts w:hint="eastAsia" w:ascii="宋体" w:hAnsi="宋体" w:cs="宋体"/>
          <w:color w:val="auto"/>
          <w:sz w:val="21"/>
          <w:szCs w:val="21"/>
          <w:highlight w:val="none"/>
          <w:lang w:eastAsia="zh-CN"/>
        </w:rPr>
        <w:t>竞争性谈判文件</w:t>
      </w:r>
      <w:r>
        <w:rPr>
          <w:rFonts w:hint="eastAsia" w:ascii="宋体" w:hAnsi="宋体" w:cs="宋体"/>
          <w:color w:val="auto"/>
          <w:sz w:val="21"/>
          <w:szCs w:val="21"/>
          <w:highlight w:val="none"/>
        </w:rPr>
        <w:t>规定的时间向甲方提供使用货物的有关技术资料。</w:t>
      </w:r>
    </w:p>
    <w:p w14:paraId="1DEC24D9">
      <w:pPr>
        <w:spacing w:line="360" w:lineRule="atLeast"/>
        <w:rPr>
          <w:rFonts w:hint="eastAsia" w:ascii="宋体" w:hAnsi="宋体" w:cs="宋体"/>
          <w:color w:val="auto"/>
          <w:sz w:val="21"/>
          <w:szCs w:val="21"/>
          <w:highlight w:val="none"/>
        </w:rPr>
      </w:pPr>
      <w:r>
        <w:rPr>
          <w:rFonts w:hint="eastAsia" w:ascii="宋体" w:hAnsi="宋体" w:cs="宋体"/>
          <w:color w:val="auto"/>
          <w:sz w:val="21"/>
          <w:szCs w:val="21"/>
          <w:highlight w:val="none"/>
        </w:rPr>
        <w:t>3、乙方保证所交付的货物的所有权完全属于乙方且无任何抵押、质押、查封等产权瑕疵。</w:t>
      </w:r>
    </w:p>
    <w:p w14:paraId="5CA4EE93">
      <w:pPr>
        <w:spacing w:line="360" w:lineRule="atLeas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第四条  货物包装、运输</w:t>
      </w:r>
    </w:p>
    <w:p w14:paraId="0DEF20BA">
      <w:pPr>
        <w:spacing w:line="360" w:lineRule="atLeas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1.乙方应在货物发运前对其进行满足运输距离、防潮、防震、防锈和防破损装卸等要求包装，以保证货物安全运达甲方指定地点。</w:t>
      </w:r>
    </w:p>
    <w:p w14:paraId="49144F94">
      <w:pPr>
        <w:spacing w:line="360" w:lineRule="atLeast"/>
        <w:rPr>
          <w:rFonts w:hint="eastAsia" w:ascii="宋体" w:hAnsi="宋体" w:cs="宋体"/>
          <w:color w:val="auto"/>
          <w:sz w:val="21"/>
          <w:szCs w:val="21"/>
          <w:highlight w:val="none"/>
        </w:rPr>
      </w:pPr>
      <w:r>
        <w:rPr>
          <w:rFonts w:hint="eastAsia" w:ascii="宋体" w:hAnsi="宋体" w:cs="宋体"/>
          <w:color w:val="auto"/>
          <w:sz w:val="21"/>
          <w:szCs w:val="21"/>
          <w:highlight w:val="none"/>
        </w:rPr>
        <w:t>2.使用中文说明书（货物属于进口产品的，供货时应同时附上中文使用说明书）、质量检验证明书、随配附件和工具以及清单一并附于货物内。</w:t>
      </w:r>
    </w:p>
    <w:p w14:paraId="6DB2D176">
      <w:pPr>
        <w:widowControl/>
        <w:spacing w:line="360" w:lineRule="atLeast"/>
        <w:ind w:firstLine="411" w:firstLineChars="196"/>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3.乙方在货物发运手续办理完毕后二十四小时内或货到甲方四十八小时前通知甲方，以准备接货。 </w:t>
      </w:r>
    </w:p>
    <w:p w14:paraId="2779FD6A">
      <w:pPr>
        <w:widowControl/>
        <w:spacing w:line="360" w:lineRule="atLeast"/>
        <w:ind w:firstLine="411" w:firstLineChars="196"/>
        <w:rPr>
          <w:rFonts w:hint="eastAsia" w:ascii="宋体" w:hAnsi="宋体" w:cs="宋体"/>
          <w:color w:val="auto"/>
          <w:sz w:val="21"/>
          <w:szCs w:val="21"/>
          <w:highlight w:val="none"/>
        </w:rPr>
      </w:pPr>
      <w:r>
        <w:rPr>
          <w:rFonts w:hint="eastAsia" w:ascii="宋体" w:hAnsi="宋体" w:cs="宋体"/>
          <w:color w:val="auto"/>
          <w:sz w:val="21"/>
          <w:szCs w:val="21"/>
          <w:highlight w:val="none"/>
        </w:rPr>
        <w:t>4.货物在交付甲方前发生的风险均由乙方负责。</w:t>
      </w:r>
    </w:p>
    <w:p w14:paraId="4555CF1A">
      <w:pPr>
        <w:spacing w:line="360" w:lineRule="atLeas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第五条 交付时间</w:t>
      </w:r>
    </w:p>
    <w:p w14:paraId="60A800DF">
      <w:pPr>
        <w:spacing w:line="360" w:lineRule="atLeas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1、交货使用期：</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w:t>
      </w:r>
    </w:p>
    <w:p w14:paraId="662C034A">
      <w:pPr>
        <w:spacing w:line="360" w:lineRule="atLeast"/>
        <w:ind w:firstLine="735" w:firstLineChars="350"/>
        <w:rPr>
          <w:rFonts w:hint="eastAsia" w:ascii="宋体" w:hAnsi="宋体" w:cs="宋体"/>
          <w:color w:val="auto"/>
          <w:sz w:val="21"/>
          <w:szCs w:val="21"/>
          <w:highlight w:val="none"/>
        </w:rPr>
      </w:pPr>
      <w:r>
        <w:rPr>
          <w:rStyle w:val="238"/>
          <w:rFonts w:hint="eastAsia" w:ascii="宋体" w:hAnsi="宋体" w:cs="宋体"/>
          <w:color w:val="auto"/>
          <w:sz w:val="21"/>
          <w:szCs w:val="21"/>
          <w:highlight w:val="none"/>
        </w:rPr>
        <w:t xml:space="preserve">交货地点： </w:t>
      </w:r>
      <w:r>
        <w:rPr>
          <w:rStyle w:val="238"/>
          <w:rFonts w:hint="eastAsia" w:ascii="宋体" w:hAnsi="宋体" w:cs="宋体"/>
          <w:color w:val="auto"/>
          <w:sz w:val="21"/>
          <w:szCs w:val="21"/>
          <w:highlight w:val="none"/>
          <w:u w:val="single"/>
        </w:rPr>
        <w:t>采购人指定地点</w:t>
      </w:r>
      <w:r>
        <w:rPr>
          <w:rFonts w:hint="eastAsia" w:ascii="宋体" w:hAnsi="宋体" w:cs="宋体"/>
          <w:color w:val="auto"/>
          <w:sz w:val="21"/>
          <w:szCs w:val="21"/>
          <w:highlight w:val="none"/>
        </w:rPr>
        <w:t>。</w:t>
      </w:r>
    </w:p>
    <w:p w14:paraId="76C3A8CE">
      <w:pPr>
        <w:spacing w:line="360" w:lineRule="atLeas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2、乙方提供不符合</w:t>
      </w:r>
      <w:r>
        <w:rPr>
          <w:rFonts w:hint="eastAsia" w:ascii="宋体" w:hAnsi="宋体" w:cs="宋体"/>
          <w:color w:val="auto"/>
          <w:sz w:val="21"/>
          <w:szCs w:val="21"/>
          <w:highlight w:val="none"/>
          <w:lang w:eastAsia="zh-CN"/>
        </w:rPr>
        <w:t>竞争性谈判文件</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和本合同规定的货物，甲方有权拒绝接受。</w:t>
      </w:r>
    </w:p>
    <w:p w14:paraId="730DDE4E">
      <w:pPr>
        <w:widowControl/>
        <w:spacing w:line="360" w:lineRule="atLeast"/>
        <w:ind w:firstLine="411" w:firstLineChars="196"/>
        <w:rPr>
          <w:rFonts w:hint="eastAsia" w:ascii="宋体" w:hAnsi="宋体" w:cs="宋体"/>
          <w:color w:val="auto"/>
          <w:sz w:val="21"/>
          <w:szCs w:val="21"/>
          <w:highlight w:val="none"/>
        </w:rPr>
      </w:pPr>
      <w:r>
        <w:rPr>
          <w:rFonts w:hint="eastAsia" w:ascii="宋体" w:hAnsi="宋体" w:cs="宋体"/>
          <w:color w:val="auto"/>
          <w:sz w:val="21"/>
          <w:szCs w:val="21"/>
          <w:highlight w:val="none"/>
        </w:rPr>
        <w:t>3、乙方应将所有提供货物的装箱清单、用户手册、原厂保修卡、随机资料、工具和备用、备件等交付给甲方，货物属于进口产品的，供货时应同时附上中文使用说明书，如有缺失应及时补齐，否则视为逾期交货。</w:t>
      </w:r>
    </w:p>
    <w:p w14:paraId="4461780C">
      <w:pPr>
        <w:spacing w:line="400" w:lineRule="exact"/>
        <w:rPr>
          <w:rFonts w:hint="eastAsia" w:ascii="宋体" w:hAnsi="宋体" w:cs="宋体"/>
          <w:b/>
          <w:color w:val="auto"/>
          <w:sz w:val="21"/>
          <w:szCs w:val="21"/>
          <w:highlight w:val="none"/>
        </w:rPr>
      </w:pPr>
      <w:r>
        <w:rPr>
          <w:rFonts w:hint="eastAsia" w:ascii="宋体" w:hAnsi="宋体" w:cs="宋体"/>
          <w:b/>
          <w:color w:val="auto"/>
          <w:sz w:val="21"/>
          <w:szCs w:val="21"/>
          <w:highlight w:val="none"/>
        </w:rPr>
        <w:t>第六条  调试和验收</w:t>
      </w:r>
    </w:p>
    <w:p w14:paraId="0FF82877">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乙方交货前应对产品做出全面的检查和对验收文件进行整理，并列出清单，作为甲方验收和使用的技术条件依据，验收的结果应随货物交甲方。</w:t>
      </w:r>
    </w:p>
    <w:p w14:paraId="0CEB1C02">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 货物安装调试完成后，甲方应在七个工作日内依据</w:t>
      </w:r>
      <w:r>
        <w:rPr>
          <w:rFonts w:hint="eastAsia" w:ascii="宋体" w:hAnsi="宋体" w:cs="宋体"/>
          <w:color w:val="auto"/>
          <w:sz w:val="21"/>
          <w:szCs w:val="21"/>
          <w:highlight w:val="none"/>
          <w:lang w:eastAsia="zh-CN"/>
        </w:rPr>
        <w:t>竞争性谈判文件</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的技术规格要求及承诺和国家有关质量标准对货物进行现场验收，验收合格后由甲乙双方签署货物验收单并加盖公章，甲乙双方各执一份。</w:t>
      </w:r>
    </w:p>
    <w:p w14:paraId="40DC779A">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 甲方对乙方提供的货物在使用前进行调试时，乙方需负责安装并培训甲方的使用操作人员，并协助甲方一起调试，直到符合技术要求，甲方才做最终验收。</w:t>
      </w:r>
    </w:p>
    <w:p w14:paraId="564825F6">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4.对技术复杂的货物，甲方应请国家认可的专业检测机构参与初步验收及最终验收，并由其出具质量检测报告。</w:t>
      </w:r>
    </w:p>
    <w:p w14:paraId="412E2EB0">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 验收时乙方必须在现场，验收完毕后作出验收结果报告，验收费用由乙方负责。</w:t>
      </w:r>
    </w:p>
    <w:p w14:paraId="15459960">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 甲方对验收有异议的，在验收后五个工作日内以书面形式向乙方提出，乙方应自收到甲方书面异议后</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日内及时予以解决。</w:t>
      </w:r>
    </w:p>
    <w:p w14:paraId="16D00A0A">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7.验收后方可使用，未经验收业主先行使用视为验收合格。</w:t>
      </w:r>
    </w:p>
    <w:p w14:paraId="731CB512">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第七条   售后服务</w:t>
      </w:r>
    </w:p>
    <w:p w14:paraId="5A6B60CE">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乙方应按照国家有关法律规定和“三包”规定以及响应文件和本合同所附的</w:t>
      </w:r>
      <w:r>
        <w:rPr>
          <w:rFonts w:hint="eastAsia" w:ascii="宋体" w:hAnsi="宋体" w:cs="宋体"/>
          <w:color w:val="auto"/>
          <w:sz w:val="21"/>
          <w:szCs w:val="21"/>
          <w:highlight w:val="none"/>
        </w:rPr>
        <w:t>服务承诺，</w:t>
      </w:r>
      <w:r>
        <w:rPr>
          <w:rFonts w:hint="eastAsia" w:ascii="宋体" w:hAnsi="宋体" w:cs="宋体"/>
          <w:color w:val="auto"/>
          <w:sz w:val="21"/>
          <w:szCs w:val="21"/>
          <w:highlight w:val="none"/>
        </w:rPr>
        <w:t>为甲方提供售后服务。</w:t>
      </w:r>
    </w:p>
    <w:p w14:paraId="3ECE7BBD">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 如在使用过程中发生质量问题，乙方在接到甲方通知后在</w:t>
      </w:r>
      <w:r>
        <w:rPr>
          <w:rFonts w:hint="eastAsia" w:ascii="宋体" w:hAnsi="宋体" w:cs="宋体"/>
          <w:color w:val="auto"/>
          <w:sz w:val="21"/>
          <w:szCs w:val="21"/>
          <w:highlight w:val="none"/>
          <w:u w:val="single"/>
        </w:rPr>
        <w:t>响应文件承诺的时间</w:t>
      </w:r>
      <w:r>
        <w:rPr>
          <w:rFonts w:hint="eastAsia" w:ascii="宋体" w:hAnsi="宋体" w:cs="宋体"/>
          <w:color w:val="auto"/>
          <w:sz w:val="21"/>
          <w:szCs w:val="21"/>
          <w:highlight w:val="none"/>
        </w:rPr>
        <w:t>内到达甲方现场处理。</w:t>
      </w:r>
    </w:p>
    <w:p w14:paraId="7D4A8615">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 在质保期内，乙方应对货物出现的质量及安全问题负责处理解决并承担一切费用。</w:t>
      </w:r>
    </w:p>
    <w:p w14:paraId="08BDDF3D">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第八条  税费</w:t>
      </w:r>
    </w:p>
    <w:p w14:paraId="21337D52">
      <w:pPr>
        <w:spacing w:line="400" w:lineRule="exact"/>
        <w:ind w:firstLine="411" w:firstLineChars="196"/>
        <w:rPr>
          <w:rFonts w:hint="eastAsia" w:ascii="宋体" w:hAnsi="宋体" w:cs="宋体"/>
          <w:color w:val="auto"/>
          <w:sz w:val="21"/>
          <w:szCs w:val="21"/>
          <w:highlight w:val="none"/>
        </w:rPr>
      </w:pPr>
      <w:r>
        <w:rPr>
          <w:rFonts w:hint="eastAsia" w:ascii="宋体" w:hAnsi="宋体" w:cs="宋体"/>
          <w:color w:val="auto"/>
          <w:sz w:val="21"/>
          <w:szCs w:val="21"/>
          <w:highlight w:val="none"/>
        </w:rPr>
        <w:t>本合同执行中相关的一切税费均由乙方负担。</w:t>
      </w:r>
    </w:p>
    <w:p w14:paraId="28DA5F66">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第九条  付款方式</w:t>
      </w:r>
    </w:p>
    <w:p w14:paraId="38A34F97">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lang w:val="en-US" w:eastAsia="zh-CN"/>
        </w:rPr>
        <w:t>1、</w:t>
      </w:r>
      <w:r>
        <w:rPr>
          <w:rFonts w:hint="eastAsia" w:ascii="宋体" w:hAnsi="宋体" w:cs="宋体"/>
          <w:b/>
          <w:color w:val="auto"/>
          <w:sz w:val="21"/>
          <w:szCs w:val="21"/>
          <w:highlight w:val="none"/>
        </w:rPr>
        <w:t>本项目的资金拨付根据项目资金的到账情况及财政部门的付款流程、付款期限执行。</w:t>
      </w:r>
    </w:p>
    <w:p w14:paraId="374C6381">
      <w:pPr>
        <w:spacing w:line="400" w:lineRule="exact"/>
        <w:ind w:firstLine="413" w:firstLineChars="196"/>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w:t>
      </w:r>
      <w:r>
        <w:rPr>
          <w:rFonts w:hint="eastAsia" w:ascii="宋体" w:hAnsi="宋体" w:cs="宋体"/>
          <w:b/>
          <w:color w:val="auto"/>
          <w:sz w:val="21"/>
          <w:szCs w:val="21"/>
          <w:highlight w:val="none"/>
        </w:rPr>
        <w:t>安装调试完毕、验收合格后，成交供应商开具全额发票给采购人。</w:t>
      </w:r>
      <w:r>
        <w:rPr>
          <w:rFonts w:hint="eastAsia" w:ascii="宋体" w:hAnsi="宋体" w:cs="宋体"/>
          <w:b/>
          <w:color w:val="auto"/>
          <w:sz w:val="21"/>
          <w:szCs w:val="21"/>
          <w:highlight w:val="none"/>
          <w:lang w:eastAsia="zh-CN"/>
        </w:rPr>
        <w:t>财政部门拨付的该</w:t>
      </w:r>
      <w:r>
        <w:rPr>
          <w:rFonts w:hint="eastAsia" w:ascii="宋体" w:hAnsi="宋体" w:cs="宋体"/>
          <w:b/>
          <w:color w:val="auto"/>
          <w:sz w:val="21"/>
          <w:szCs w:val="21"/>
          <w:highlight w:val="none"/>
        </w:rPr>
        <w:t>项</w:t>
      </w:r>
      <w:r>
        <w:rPr>
          <w:rFonts w:hint="eastAsia" w:ascii="宋体" w:hAnsi="宋体" w:cs="宋体"/>
          <w:b/>
          <w:color w:val="auto"/>
          <w:sz w:val="21"/>
          <w:szCs w:val="21"/>
          <w:highlight w:val="none"/>
          <w:lang w:eastAsia="zh-CN"/>
        </w:rPr>
        <w:t>目</w:t>
      </w:r>
      <w:r>
        <w:rPr>
          <w:rFonts w:hint="eastAsia" w:ascii="宋体" w:hAnsi="宋体" w:cs="宋体"/>
          <w:b/>
          <w:color w:val="auto"/>
          <w:sz w:val="21"/>
          <w:szCs w:val="21"/>
          <w:highlight w:val="none"/>
        </w:rPr>
        <w:t>资金到账后，采购人</w:t>
      </w:r>
      <w:r>
        <w:rPr>
          <w:rFonts w:hint="eastAsia" w:ascii="宋体" w:hAnsi="宋体" w:cs="宋体"/>
          <w:b/>
          <w:color w:val="auto"/>
          <w:sz w:val="21"/>
          <w:szCs w:val="21"/>
          <w:highlight w:val="none"/>
          <w:lang w:eastAsia="zh-CN"/>
        </w:rPr>
        <w:t>在</w:t>
      </w:r>
      <w:r>
        <w:rPr>
          <w:rFonts w:hint="eastAsia" w:ascii="宋体" w:hAnsi="宋体" w:cs="宋体"/>
          <w:b/>
          <w:color w:val="auto"/>
          <w:sz w:val="21"/>
          <w:szCs w:val="21"/>
          <w:highlight w:val="none"/>
          <w:lang w:val="en-US" w:eastAsia="zh-CN"/>
        </w:rPr>
        <w:t>30个工作日内</w:t>
      </w:r>
      <w:r>
        <w:rPr>
          <w:rFonts w:hint="eastAsia" w:ascii="宋体" w:hAnsi="宋体" w:cs="宋体"/>
          <w:b/>
          <w:color w:val="auto"/>
          <w:sz w:val="21"/>
          <w:szCs w:val="21"/>
          <w:highlight w:val="none"/>
        </w:rPr>
        <w:t>按合同价款的 100%（无息）支付</w:t>
      </w:r>
      <w:r>
        <w:rPr>
          <w:rFonts w:hint="eastAsia" w:ascii="宋体" w:hAnsi="宋体" w:cs="宋体"/>
          <w:b/>
          <w:color w:val="auto"/>
          <w:sz w:val="21"/>
          <w:szCs w:val="21"/>
          <w:highlight w:val="none"/>
          <w:lang w:eastAsia="zh-CN"/>
        </w:rPr>
        <w:t>给中标方</w:t>
      </w:r>
      <w:r>
        <w:rPr>
          <w:rFonts w:hint="eastAsia" w:ascii="宋体" w:hAnsi="宋体" w:cs="宋体"/>
          <w:b/>
          <w:color w:val="auto"/>
          <w:sz w:val="21"/>
          <w:szCs w:val="21"/>
          <w:highlight w:val="none"/>
        </w:rPr>
        <w:t>。</w:t>
      </w:r>
      <w:r>
        <w:rPr>
          <w:rFonts w:hint="eastAsia" w:ascii="宋体" w:hAnsi="宋体" w:cs="宋体"/>
          <w:b/>
          <w:color w:val="auto"/>
          <w:sz w:val="21"/>
          <w:szCs w:val="21"/>
          <w:highlight w:val="none"/>
          <w:lang w:val="en-US" w:eastAsia="zh-CN"/>
        </w:rPr>
        <w:t xml:space="preserve"> </w:t>
      </w:r>
    </w:p>
    <w:p w14:paraId="3D3ABD7F">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第十条 违约责任</w:t>
      </w:r>
    </w:p>
    <w:p w14:paraId="4D45835A">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乙方所提供的货物规格、技术标准、材料等质量不合格的，应及时更换，更换不及时的按逾期交货处罚，乙方应向甲方支付合同金额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%违约金并赔偿甲方经济损失。</w:t>
      </w:r>
    </w:p>
    <w:p w14:paraId="19024885">
      <w:pPr>
        <w:spacing w:line="40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2. 乙方提供的货物如果侵犯了第三方合法权益而引发的任何纠纷或诉讼，均由乙方负责交涉并承担全部责任。</w:t>
      </w:r>
    </w:p>
    <w:p w14:paraId="6555E0A6">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 因包装、运输引起的货物损坏，按质量不合格处理。</w:t>
      </w:r>
    </w:p>
    <w:p w14:paraId="65F223A7">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 甲方无故延期接收货物、乙方逾期交货的，每天向对方偿付违约货款额</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违约金，但违约金累计不得超过违约货款额</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，超过</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天</w:t>
      </w:r>
      <w:r>
        <w:rPr>
          <w:rFonts w:hint="eastAsia" w:ascii="宋体" w:hAnsi="宋体" w:cs="宋体"/>
          <w:color w:val="auto"/>
          <w:sz w:val="21"/>
          <w:szCs w:val="21"/>
          <w:highlight w:val="none"/>
        </w:rPr>
        <w:t>对方有权解除合同，违约方承担因此给对方造成经济损失；甲方延期付货款的，每天向乙方偿付延期货款额</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‰滞纳金，但滞纳金累计不得超过延期货款额</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w:t>
      </w:r>
    </w:p>
    <w:p w14:paraId="15B53A89">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 乙方未按本合同和响应文件中规定的服务承诺提供售后服务的，乙方应按本合同金额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%向甲方支付违约金。</w:t>
      </w:r>
    </w:p>
    <w:p w14:paraId="58BDAED9">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 其他违约行为按违约货款额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%收取违约金并赔偿经济损失。</w:t>
      </w:r>
    </w:p>
    <w:p w14:paraId="7DA0EFFF">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第十一条  不可抗力事件处理</w:t>
      </w:r>
    </w:p>
    <w:p w14:paraId="6388DA23">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在合同有效期内，乙方因不可抗力事件导致不能履行合同，则合同履行期可延长，其延长期与不可抗力影响期相同。</w:t>
      </w:r>
    </w:p>
    <w:p w14:paraId="15F77EFF">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 不可抗力事件发生后，应立即通知对方，并寄送有关权威机构出具的证明。</w:t>
      </w:r>
    </w:p>
    <w:p w14:paraId="6563E19A">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 不可抗力事件延续一百二十天以上，双方应通过友好协商，确定是否继续履行合同。</w:t>
      </w:r>
    </w:p>
    <w:p w14:paraId="28157EEF">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第十二条  合同争议解决</w:t>
      </w:r>
    </w:p>
    <w:p w14:paraId="3B3E48BE">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因货物质量问题发生争议的，应邀请国家认可的质量检测机构对货物质量进行鉴定。货物符合标准的，鉴定费由甲方承担；货物不符合标准的，鉴定费由乙方承担。</w:t>
      </w:r>
    </w:p>
    <w:p w14:paraId="3168D56B">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 因履行本合同引起的或与本合同有关的争议，甲乙双方应首先通过友好协商解决，如果协商不能解决，可向</w:t>
      </w:r>
      <w:r>
        <w:rPr>
          <w:rFonts w:hint="eastAsia" w:ascii="宋体" w:hAnsi="宋体" w:cs="宋体"/>
          <w:color w:val="auto"/>
          <w:sz w:val="21"/>
          <w:szCs w:val="21"/>
          <w:highlight w:val="none"/>
          <w:lang w:val="en-US" w:eastAsia="zh-CN"/>
        </w:rPr>
        <w:t>甲方所在地</w:t>
      </w:r>
      <w:r>
        <w:rPr>
          <w:rFonts w:hint="eastAsia" w:ascii="宋体" w:hAnsi="宋体" w:cs="宋体"/>
          <w:color w:val="auto"/>
          <w:sz w:val="21"/>
          <w:szCs w:val="21"/>
          <w:highlight w:val="none"/>
        </w:rPr>
        <w:t>人民法院提起诉讼。</w:t>
      </w:r>
    </w:p>
    <w:p w14:paraId="4C473359">
      <w:pPr>
        <w:spacing w:line="400" w:lineRule="exact"/>
        <w:ind w:left="0" w:leftChars="0"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rPr>
        <w:t>3. 诉讼期间，本合同继续履行。</w:t>
      </w:r>
    </w:p>
    <w:p w14:paraId="28B522B2">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第十三条  合同生效及其它</w:t>
      </w:r>
    </w:p>
    <w:p w14:paraId="326428C7">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合同经甲乙双方法定代表人、负责人、自然人或相应的授权代表签字并加盖单位公章后生效。</w:t>
      </w:r>
    </w:p>
    <w:p w14:paraId="2AE206DD">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 合同执行中涉及采购资金和采购内容修改或补充的，需经</w:t>
      </w:r>
      <w:r>
        <w:rPr>
          <w:rFonts w:hint="eastAsia" w:ascii="宋体" w:hAnsi="宋体" w:cs="宋体"/>
          <w:color w:val="auto"/>
          <w:sz w:val="21"/>
          <w:szCs w:val="21"/>
          <w:highlight w:val="none"/>
          <w:lang w:eastAsia="zh-CN"/>
        </w:rPr>
        <w:t>桂林市叠彩区</w:t>
      </w:r>
      <w:r>
        <w:rPr>
          <w:rFonts w:hint="eastAsia" w:ascii="宋体" w:hAnsi="宋体" w:cs="宋体"/>
          <w:color w:val="auto"/>
          <w:sz w:val="21"/>
          <w:szCs w:val="21"/>
          <w:highlight w:val="none"/>
        </w:rPr>
        <w:t>财政部门审批，并签订书面补充协议</w:t>
      </w:r>
      <w:r>
        <w:rPr>
          <w:rFonts w:hint="eastAsia" w:ascii="宋体" w:hAnsi="宋体" w:cs="宋体"/>
          <w:color w:val="auto"/>
          <w:sz w:val="21"/>
          <w:szCs w:val="21"/>
          <w:highlight w:val="none"/>
        </w:rPr>
        <w:t>报</w:t>
      </w:r>
      <w:r>
        <w:rPr>
          <w:rFonts w:hint="eastAsia" w:ascii="宋体" w:hAnsi="宋体" w:cs="宋体"/>
          <w:color w:val="auto"/>
          <w:kern w:val="0"/>
          <w:sz w:val="21"/>
          <w:szCs w:val="21"/>
          <w:highlight w:val="none"/>
          <w:lang w:eastAsia="zh-CN"/>
        </w:rPr>
        <w:t>桂林市叠彩区财政局</w:t>
      </w:r>
      <w:r>
        <w:rPr>
          <w:rFonts w:hint="eastAsia" w:ascii="宋体" w:hAnsi="宋体" w:cs="宋体"/>
          <w:color w:val="auto"/>
          <w:sz w:val="21"/>
          <w:szCs w:val="21"/>
          <w:highlight w:val="none"/>
        </w:rPr>
        <w:t>备案，方</w:t>
      </w:r>
      <w:r>
        <w:rPr>
          <w:rFonts w:hint="eastAsia" w:ascii="宋体" w:hAnsi="宋体" w:cs="宋体"/>
          <w:color w:val="auto"/>
          <w:sz w:val="21"/>
          <w:szCs w:val="21"/>
          <w:highlight w:val="none"/>
        </w:rPr>
        <w:t>可作为主合同不可分割的一部分。</w:t>
      </w:r>
    </w:p>
    <w:p w14:paraId="4709671E">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 本合同未尽事宜，遵照《</w:t>
      </w:r>
      <w:r>
        <w:rPr>
          <w:rFonts w:hint="eastAsia" w:ascii="宋体" w:hAnsi="宋体" w:cs="宋体"/>
          <w:color w:val="auto"/>
          <w:sz w:val="21"/>
          <w:szCs w:val="21"/>
          <w:highlight w:val="none"/>
          <w:lang w:val="en-US" w:eastAsia="zh-CN"/>
        </w:rPr>
        <w:t>民法典</w:t>
      </w:r>
      <w:r>
        <w:rPr>
          <w:rFonts w:hint="eastAsia" w:ascii="宋体" w:hAnsi="宋体" w:cs="宋体"/>
          <w:color w:val="auto"/>
          <w:sz w:val="21"/>
          <w:szCs w:val="21"/>
          <w:highlight w:val="none"/>
        </w:rPr>
        <w:t>》有关条文执行。</w:t>
      </w:r>
    </w:p>
    <w:p w14:paraId="420A0248">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第十四条 合同的变更、终止与转让</w:t>
      </w:r>
    </w:p>
    <w:p w14:paraId="07C520E4">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除《中华人民共和国政府采购法》第五十条规定的情形外，本合同一经签订，甲乙双方不得擅自变更，中止或终止。</w:t>
      </w:r>
    </w:p>
    <w:p w14:paraId="1A7698D3">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 乙方不得擅自转让其应履行的合同义务。</w:t>
      </w:r>
    </w:p>
    <w:p w14:paraId="1EB04914">
      <w:pPr>
        <w:spacing w:line="40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第十五条  签订本合同依据：</w:t>
      </w:r>
    </w:p>
    <w:p w14:paraId="218B4180">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 竞争性</w:t>
      </w:r>
      <w:r>
        <w:rPr>
          <w:rFonts w:hint="eastAsia" w:ascii="宋体" w:hAnsi="宋体" w:cs="宋体"/>
          <w:color w:val="auto"/>
          <w:sz w:val="21"/>
          <w:szCs w:val="21"/>
          <w:highlight w:val="none"/>
          <w:lang w:eastAsia="zh-CN"/>
        </w:rPr>
        <w:t>谈判</w:t>
      </w:r>
      <w:r>
        <w:rPr>
          <w:rFonts w:hint="eastAsia" w:ascii="宋体" w:hAnsi="宋体" w:cs="宋体"/>
          <w:color w:val="auto"/>
          <w:sz w:val="21"/>
          <w:szCs w:val="21"/>
          <w:highlight w:val="none"/>
        </w:rPr>
        <w:t>文件；</w:t>
      </w:r>
    </w:p>
    <w:p w14:paraId="3AECF42A">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 乙方提供的投标（或应答）文件；</w:t>
      </w:r>
    </w:p>
    <w:p w14:paraId="37A8A12B">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 售后服务承诺书；</w:t>
      </w:r>
    </w:p>
    <w:p w14:paraId="5FFECAE8">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 成交通知书</w:t>
      </w:r>
    </w:p>
    <w:p w14:paraId="43385B60">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本合同甲乙双方签字盖章后生效，一式四份，具有同等法律效力，甲、乙双方各一份。政府采购合同双方自签订之日起1个工作日内将合同原件两份交采购代理机构。采购代理机构将政府采购合同在省级以上人民政府财政部门指定媒体上公告并于合同签订之日起7个工作日内将一份合同原件送</w:t>
      </w:r>
      <w:r>
        <w:rPr>
          <w:rFonts w:hint="eastAsia" w:ascii="宋体" w:hAnsi="宋体" w:cs="宋体"/>
          <w:color w:val="auto"/>
          <w:sz w:val="21"/>
          <w:szCs w:val="21"/>
          <w:highlight w:val="none"/>
          <w:lang w:eastAsia="zh-CN"/>
        </w:rPr>
        <w:t>桂林市叠彩区</w:t>
      </w:r>
      <w:r>
        <w:rPr>
          <w:rFonts w:hint="eastAsia" w:ascii="宋体" w:hAnsi="宋体" w:cs="宋体"/>
          <w:color w:val="auto"/>
          <w:sz w:val="21"/>
          <w:szCs w:val="21"/>
          <w:highlight w:val="none"/>
        </w:rPr>
        <w:t>政府采购管理办公室备案，一份由采购代理机构存档。</w:t>
      </w:r>
    </w:p>
    <w:p w14:paraId="2D8C7C3E">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w:t>
      </w:r>
    </w:p>
    <w:p w14:paraId="0B24958E">
      <w:pPr>
        <w:tabs>
          <w:tab w:val="left" w:pos="4320"/>
          <w:tab w:val="left" w:pos="4500"/>
        </w:tabs>
        <w:spacing w:line="400" w:lineRule="exact"/>
        <w:ind w:left="0" w:leftChars="0"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甲方名称（公章）：</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乙方（公章，自然人除外）：</w:t>
      </w:r>
      <w:r>
        <w:rPr>
          <w:rFonts w:hint="eastAsia" w:ascii="宋体" w:hAnsi="宋体" w:cs="宋体"/>
          <w:color w:val="auto"/>
          <w:sz w:val="21"/>
          <w:szCs w:val="21"/>
          <w:highlight w:val="none"/>
          <w:u w:val="single"/>
        </w:rPr>
        <w:t xml:space="preserve">                         </w:t>
      </w:r>
    </w:p>
    <w:p w14:paraId="0635EC02">
      <w:pPr>
        <w:spacing w:line="400" w:lineRule="exact"/>
        <w:ind w:left="4620" w:hanging="4620" w:hangingChars="220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法定代表人：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法定代表人（负责人、自然人）签字（属自然人的应在签名处加盖食指指印）：</w:t>
      </w:r>
      <w:r>
        <w:rPr>
          <w:rFonts w:hint="eastAsia" w:ascii="宋体" w:hAnsi="宋体" w:cs="宋体"/>
          <w:color w:val="auto"/>
          <w:sz w:val="21"/>
          <w:szCs w:val="21"/>
          <w:highlight w:val="none"/>
          <w:u w:val="single"/>
        </w:rPr>
        <w:t xml:space="preserve">                          </w:t>
      </w:r>
    </w:p>
    <w:p w14:paraId="4FAA251E">
      <w:pPr>
        <w:tabs>
          <w:tab w:val="left" w:pos="468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委托代理人：                                委托代理人：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1769C9BA">
      <w:pPr>
        <w:tabs>
          <w:tab w:val="left" w:pos="504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电  话：                                    电   话：                                    </w:t>
      </w:r>
    </w:p>
    <w:p w14:paraId="12F895F9">
      <w:pPr>
        <w:tabs>
          <w:tab w:val="left" w:pos="504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开户名称：                                  开户名称：                                        </w:t>
      </w:r>
    </w:p>
    <w:p w14:paraId="7412A9AF">
      <w:pPr>
        <w:tabs>
          <w:tab w:val="left" w:pos="504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开户银行：                                  开户银行：                                        </w:t>
      </w:r>
    </w:p>
    <w:p w14:paraId="31E3D2AB">
      <w:pPr>
        <w:tabs>
          <w:tab w:val="left" w:pos="504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银行账号：                                  银行账号：                                        </w:t>
      </w:r>
    </w:p>
    <w:p w14:paraId="27A12759">
      <w:pPr>
        <w:tabs>
          <w:tab w:val="left" w:pos="504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日    期：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 xml:space="preserve">日    期：       </w:t>
      </w:r>
      <w:r>
        <w:rPr>
          <w:rFonts w:hint="eastAsia" w:ascii="宋体" w:hAnsi="宋体" w:cs="宋体"/>
          <w:color w:val="auto"/>
          <w:szCs w:val="21"/>
          <w:highlight w:val="none"/>
        </w:rPr>
        <w:t xml:space="preserve">                    </w:t>
      </w:r>
      <w:r>
        <w:rPr>
          <w:rFonts w:hint="eastAsia" w:ascii="宋体" w:hAnsi="宋体" w:cs="宋体"/>
          <w:color w:val="auto"/>
          <w:sz w:val="21"/>
          <w:szCs w:val="21"/>
          <w:highlight w:val="none"/>
        </w:rPr>
        <w:t xml:space="preserve">         </w:t>
      </w:r>
    </w:p>
    <w:p w14:paraId="72E5E8BC">
      <w:pPr>
        <w:spacing w:line="400" w:lineRule="exact"/>
        <w:ind w:firstLine="420"/>
        <w:rPr>
          <w:rFonts w:hint="eastAsia"/>
          <w:color w:val="auto"/>
          <w:kern w:val="0"/>
          <w:highlight w:val="none"/>
        </w:rPr>
      </w:pPr>
    </w:p>
    <w:p w14:paraId="1B952AFE">
      <w:pPr>
        <w:rPr>
          <w:rFonts w:hint="eastAsia"/>
          <w:color w:val="auto"/>
          <w:kern w:val="0"/>
          <w:highlight w:val="none"/>
        </w:rPr>
        <w:sectPr>
          <w:pgSz w:w="11906" w:h="16838"/>
          <w:pgMar w:top="1440" w:right="1800" w:bottom="1440" w:left="1418" w:header="851" w:footer="992" w:gutter="0"/>
          <w:pgNumType w:fmt="decimal"/>
          <w:cols w:space="720" w:num="1"/>
          <w:docGrid w:type="lines" w:linePitch="326" w:charSpace="0"/>
        </w:sectPr>
      </w:pPr>
    </w:p>
    <w:p w14:paraId="01F990FB">
      <w:pPr>
        <w:outlineLvl w:val="1"/>
        <w:rPr>
          <w:rFonts w:hint="eastAsia" w:ascii="宋体" w:hAnsi="宋体" w:eastAsia="宋体" w:cs="宋体"/>
          <w:b/>
          <w:bCs/>
          <w:color w:val="auto"/>
          <w:kern w:val="0"/>
          <w:highlight w:val="none"/>
          <w:lang w:val="en-US" w:eastAsia="zh-CN"/>
        </w:rPr>
      </w:pPr>
      <w:r>
        <w:rPr>
          <w:rFonts w:hint="eastAsia" w:ascii="宋体" w:hAnsi="宋体" w:eastAsia="宋体" w:cs="宋体"/>
          <w:b/>
          <w:bCs/>
          <w:color w:val="auto"/>
          <w:kern w:val="0"/>
          <w:highlight w:val="none"/>
          <w:lang w:eastAsia="zh-CN"/>
        </w:rPr>
        <w:t>分标</w:t>
      </w:r>
      <w:r>
        <w:rPr>
          <w:rFonts w:hint="eastAsia" w:ascii="宋体" w:hAnsi="宋体" w:eastAsia="宋体" w:cs="宋体"/>
          <w:b/>
          <w:bCs/>
          <w:color w:val="auto"/>
          <w:kern w:val="0"/>
          <w:highlight w:val="none"/>
          <w:lang w:val="en-US" w:eastAsia="zh-CN"/>
        </w:rPr>
        <w:t>2：</w:t>
      </w:r>
    </w:p>
    <w:p w14:paraId="1932021E">
      <w:pPr>
        <w:pStyle w:val="44"/>
        <w:rPr>
          <w:rFonts w:hint="eastAsia" w:ascii="宋体" w:hAnsi="宋体" w:eastAsia="宋体" w:cs="宋体"/>
          <w:b/>
          <w:bCs/>
          <w:color w:val="auto"/>
          <w:kern w:val="0"/>
          <w:highlight w:val="none"/>
          <w:lang w:val="en-US" w:eastAsia="zh-CN"/>
        </w:rPr>
      </w:pPr>
    </w:p>
    <w:p w14:paraId="26D75658">
      <w:pPr>
        <w:pStyle w:val="244"/>
        <w:numPr>
          <w:ilvl w:val="0"/>
          <w:numId w:val="27"/>
        </w:numPr>
        <w:spacing w:line="340" w:lineRule="exact"/>
        <w:jc w:val="center"/>
        <w:rPr>
          <w:rFonts w:ascii="宋体"/>
          <w:color w:val="auto"/>
          <w:sz w:val="32"/>
          <w:highlight w:val="none"/>
        </w:rPr>
      </w:pPr>
      <w:bookmarkStart w:id="46" w:name="_Toc24791"/>
      <w:bookmarkStart w:id="47" w:name="_Toc522201558"/>
      <w:bookmarkStart w:id="48" w:name="_Toc256000031"/>
      <w:r>
        <w:rPr>
          <w:rFonts w:ascii="宋体"/>
          <w:color w:val="auto"/>
          <w:sz w:val="32"/>
          <w:highlight w:val="none"/>
        </w:rPr>
        <w:t>合同协议书</w:t>
      </w:r>
      <w:bookmarkEnd w:id="46"/>
      <w:bookmarkEnd w:id="47"/>
      <w:bookmarkEnd w:id="48"/>
    </w:p>
    <w:p w14:paraId="5B8CAF31">
      <w:pPr>
        <w:pStyle w:val="248"/>
        <w:adjustRightInd w:val="0"/>
        <w:snapToGrid w:val="0"/>
        <w:spacing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lang w:val="en-US" w:eastAsia="zh-CN"/>
        </w:rPr>
        <w:t xml:space="preserve">                    </w:t>
      </w:r>
    </w:p>
    <w:p w14:paraId="7CE08B04">
      <w:pPr>
        <w:pStyle w:val="248"/>
        <w:adjustRightInd w:val="0"/>
        <w:snapToGrid w:val="0"/>
        <w:spacing w:line="400" w:lineRule="exact"/>
        <w:ind w:firstLine="420" w:firstLineChars="2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14:paraId="159EC9CC">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根据《中华人民共和国民法典》、《中华人民共和国建筑法》及有关法律规定，遵循平等、自愿、公平和诚实信用的原则，双方就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桂林市叠彩实验小学地下室及配电房维修</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施工及有关事项协商一致，共同达成如下协议：</w:t>
      </w:r>
      <w:bookmarkStart w:id="49" w:name="_Toc351203481"/>
    </w:p>
    <w:p w14:paraId="2E3E864B">
      <w:pPr>
        <w:pStyle w:val="249"/>
        <w:adjustRightInd w:val="0"/>
        <w:snapToGrid w:val="0"/>
        <w:spacing w:line="400" w:lineRule="exact"/>
        <w:ind w:firstLine="422"/>
        <w:outlineLvl w:val="0"/>
        <w:rPr>
          <w:rFonts w:ascii="宋体" w:hAnsi="宋体" w:cs="宋体"/>
          <w:b/>
          <w:color w:val="auto"/>
          <w:highlight w:val="none"/>
        </w:rPr>
      </w:pPr>
      <w:bookmarkStart w:id="50" w:name="_Toc372"/>
      <w:bookmarkStart w:id="51" w:name="_Toc406522028"/>
      <w:bookmarkStart w:id="52" w:name="_Toc522201559"/>
      <w:bookmarkStart w:id="53" w:name="_Toc406419153"/>
      <w:bookmarkStart w:id="54" w:name="_Toc20764"/>
      <w:r>
        <w:rPr>
          <w:rFonts w:hint="eastAsia" w:ascii="宋体" w:hAnsi="宋体" w:cs="宋体"/>
          <w:b/>
          <w:color w:val="auto"/>
          <w:highlight w:val="none"/>
        </w:rPr>
        <w:t>一、工程概况</w:t>
      </w:r>
      <w:bookmarkEnd w:id="49"/>
      <w:bookmarkEnd w:id="50"/>
      <w:bookmarkEnd w:id="51"/>
      <w:bookmarkEnd w:id="52"/>
      <w:bookmarkEnd w:id="53"/>
      <w:bookmarkEnd w:id="54"/>
    </w:p>
    <w:p w14:paraId="30CECF39">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1.工程名称：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桂林市叠彩实验小学地下室及配电房维修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BABB8B5">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2.工程地点：</w:t>
      </w:r>
      <w:r>
        <w:rPr>
          <w:rFonts w:hint="eastAsia" w:ascii="宋体" w:hAnsi="宋体" w:cs="宋体"/>
          <w:color w:val="auto"/>
          <w:szCs w:val="21"/>
          <w:highlight w:val="none"/>
          <w:u w:val="single"/>
        </w:rPr>
        <w:t xml:space="preserve"> 桂林市叠彩区 </w:t>
      </w:r>
      <w:r>
        <w:rPr>
          <w:rFonts w:hint="eastAsia" w:ascii="宋体" w:hAnsi="宋体" w:cs="宋体"/>
          <w:color w:val="auto"/>
          <w:szCs w:val="21"/>
          <w:highlight w:val="none"/>
        </w:rPr>
        <w:t>。</w:t>
      </w:r>
    </w:p>
    <w:p w14:paraId="5001C471">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3.资金来源：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B75A6A">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4.工程内容：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桂林市叠彩实验小学地下室及配电房维修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0D8CA9C">
      <w:pPr>
        <w:pStyle w:val="248"/>
        <w:adjustRightInd w:val="0"/>
        <w:snapToGrid w:val="0"/>
        <w:spacing w:line="400" w:lineRule="exact"/>
        <w:ind w:firstLine="459"/>
        <w:rPr>
          <w:rFonts w:ascii="宋体" w:hAnsi="宋体" w:cs="宋体"/>
          <w:bCs/>
          <w:color w:val="auto"/>
          <w:szCs w:val="21"/>
          <w:highlight w:val="none"/>
        </w:rPr>
      </w:pPr>
      <w:r>
        <w:rPr>
          <w:rFonts w:hint="eastAsia" w:ascii="宋体" w:hAnsi="宋体" w:cs="宋体"/>
          <w:color w:val="auto"/>
          <w:szCs w:val="21"/>
          <w:highlight w:val="none"/>
        </w:rPr>
        <w:t>5.工程承包范围：</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施工图范围内容的工程内容，详见工程量清单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9A9DFE">
      <w:pPr>
        <w:pStyle w:val="249"/>
        <w:adjustRightInd w:val="0"/>
        <w:snapToGrid w:val="0"/>
        <w:spacing w:line="400" w:lineRule="exact"/>
        <w:ind w:firstLine="422"/>
        <w:outlineLvl w:val="0"/>
        <w:rPr>
          <w:rFonts w:ascii="宋体" w:hAnsi="宋体" w:cs="宋体"/>
          <w:b/>
          <w:color w:val="auto"/>
          <w:highlight w:val="none"/>
        </w:rPr>
      </w:pPr>
      <w:bookmarkStart w:id="55" w:name="_Toc349"/>
      <w:bookmarkStart w:id="56" w:name="_Toc24419"/>
      <w:bookmarkStart w:id="57" w:name="_Toc351203482"/>
      <w:bookmarkStart w:id="58" w:name="_Toc406522029"/>
      <w:bookmarkStart w:id="59" w:name="_Toc522201560"/>
      <w:bookmarkStart w:id="60" w:name="_Toc406419154"/>
      <w:r>
        <w:rPr>
          <w:rFonts w:hint="eastAsia" w:ascii="宋体" w:hAnsi="宋体" w:cs="宋体"/>
          <w:b/>
          <w:color w:val="auto"/>
          <w:highlight w:val="none"/>
        </w:rPr>
        <w:t>二、合同工期</w:t>
      </w:r>
      <w:bookmarkEnd w:id="55"/>
      <w:bookmarkEnd w:id="56"/>
      <w:bookmarkEnd w:id="57"/>
      <w:bookmarkEnd w:id="58"/>
      <w:bookmarkEnd w:id="59"/>
      <w:bookmarkEnd w:id="60"/>
    </w:p>
    <w:p w14:paraId="7923A5C5">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日。（实际开工日期以开工令为准）</w:t>
      </w:r>
    </w:p>
    <w:p w14:paraId="750E4E4D">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3682E34">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天。工期总日历天数与根据前述计划开竣工日期计算的工期天数不一致的，以工期总日历天数为准。</w:t>
      </w:r>
    </w:p>
    <w:p w14:paraId="1ADD3591">
      <w:pPr>
        <w:pStyle w:val="249"/>
        <w:adjustRightInd w:val="0"/>
        <w:snapToGrid w:val="0"/>
        <w:spacing w:line="400" w:lineRule="exact"/>
        <w:ind w:firstLine="422"/>
        <w:outlineLvl w:val="0"/>
        <w:rPr>
          <w:rFonts w:ascii="宋体" w:hAnsi="宋体" w:cs="宋体"/>
          <w:b/>
          <w:color w:val="auto"/>
          <w:highlight w:val="none"/>
        </w:rPr>
      </w:pPr>
      <w:bookmarkStart w:id="61" w:name="_Toc15140"/>
      <w:bookmarkStart w:id="62" w:name="_Toc351203483"/>
      <w:bookmarkStart w:id="63" w:name="_Toc406419155"/>
      <w:bookmarkStart w:id="64" w:name="_Toc406522030"/>
      <w:bookmarkStart w:id="65" w:name="_Toc522201561"/>
      <w:bookmarkStart w:id="66" w:name="_Toc11763"/>
      <w:r>
        <w:rPr>
          <w:rFonts w:hint="eastAsia" w:ascii="宋体" w:hAnsi="宋体" w:cs="宋体"/>
          <w:b/>
          <w:color w:val="auto"/>
          <w:highlight w:val="none"/>
        </w:rPr>
        <w:t>三、质量标准</w:t>
      </w:r>
      <w:bookmarkEnd w:id="61"/>
      <w:bookmarkEnd w:id="62"/>
      <w:bookmarkEnd w:id="63"/>
      <w:bookmarkEnd w:id="64"/>
      <w:bookmarkEnd w:id="65"/>
      <w:bookmarkEnd w:id="66"/>
    </w:p>
    <w:p w14:paraId="7AA9FF86">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工程质量</w:t>
      </w:r>
      <w:r>
        <w:rPr>
          <w:rFonts w:hint="eastAsia" w:ascii="宋体" w:hAnsi="宋体" w:cs="宋体"/>
          <w:color w:val="auto"/>
          <w:szCs w:val="21"/>
          <w:highlight w:val="none"/>
          <w:lang w:eastAsia="zh-CN"/>
        </w:rPr>
        <w:t>：</w:t>
      </w:r>
      <w:r>
        <w:rPr>
          <w:rFonts w:hint="eastAsia" w:ascii="宋体" w:hAnsi="宋体" w:cs="宋体"/>
          <w:color w:val="auto"/>
          <w:sz w:val="21"/>
          <w:szCs w:val="21"/>
          <w:highlight w:val="none"/>
          <w:lang w:val="en-US" w:eastAsia="zh-CN"/>
        </w:rPr>
        <w:t>按</w:t>
      </w:r>
      <w:r>
        <w:rPr>
          <w:rFonts w:hint="eastAsia" w:ascii="宋体" w:hAnsi="宋体" w:eastAsia="宋体" w:cs="宋体"/>
          <w:color w:val="auto"/>
          <w:kern w:val="0"/>
          <w:sz w:val="21"/>
          <w:szCs w:val="21"/>
          <w:highlight w:val="none"/>
          <w:lang w:eastAsia="zh-CN"/>
        </w:rPr>
        <w:t>国家现行有关工程施工质量验收规范合格标准</w:t>
      </w:r>
      <w:r>
        <w:rPr>
          <w:rFonts w:hint="eastAsia" w:ascii="宋体" w:hAnsi="宋体" w:cs="宋体"/>
          <w:color w:val="auto"/>
          <w:szCs w:val="21"/>
          <w:highlight w:val="none"/>
        </w:rPr>
        <w:t>。</w:t>
      </w:r>
    </w:p>
    <w:p w14:paraId="46386303">
      <w:pPr>
        <w:pStyle w:val="249"/>
        <w:adjustRightInd w:val="0"/>
        <w:snapToGrid w:val="0"/>
        <w:spacing w:line="400" w:lineRule="exact"/>
        <w:ind w:firstLine="422"/>
        <w:outlineLvl w:val="0"/>
        <w:rPr>
          <w:rFonts w:ascii="宋体" w:hAnsi="宋体" w:cs="宋体"/>
          <w:b/>
          <w:color w:val="auto"/>
          <w:highlight w:val="none"/>
        </w:rPr>
      </w:pPr>
      <w:bookmarkStart w:id="67" w:name="_Toc351203484"/>
      <w:bookmarkStart w:id="68" w:name="_Toc21018"/>
      <w:bookmarkStart w:id="69" w:name="_Toc406522031"/>
      <w:bookmarkStart w:id="70" w:name="_Toc8031"/>
      <w:bookmarkStart w:id="71" w:name="_Toc406419156"/>
      <w:bookmarkStart w:id="72" w:name="_Toc522201562"/>
      <w:r>
        <w:rPr>
          <w:rFonts w:hint="eastAsia" w:ascii="宋体" w:hAnsi="宋体" w:cs="宋体"/>
          <w:b/>
          <w:color w:val="auto"/>
          <w:highlight w:val="none"/>
        </w:rPr>
        <w:t>四、签约合同价与合同价格形式</w:t>
      </w:r>
      <w:bookmarkEnd w:id="67"/>
      <w:bookmarkEnd w:id="68"/>
      <w:bookmarkEnd w:id="69"/>
      <w:bookmarkEnd w:id="70"/>
      <w:bookmarkEnd w:id="71"/>
      <w:bookmarkEnd w:id="72"/>
    </w:p>
    <w:p w14:paraId="43161A81">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 签约合同价为：</w:t>
      </w:r>
    </w:p>
    <w:p w14:paraId="11A9E89D">
      <w:pPr>
        <w:pStyle w:val="248"/>
        <w:adjustRightInd w:val="0"/>
        <w:snapToGrid w:val="0"/>
        <w:spacing w:line="40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总价：人民币（大写）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20F115CF">
      <w:pPr>
        <w:pStyle w:val="248"/>
        <w:adjustRightInd w:val="0"/>
        <w:snapToGrid w:val="0"/>
        <w:spacing w:line="40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其中：</w:t>
      </w:r>
    </w:p>
    <w:p w14:paraId="12517F38">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（1）投标报价：</w:t>
      </w:r>
    </w:p>
    <w:p w14:paraId="4665DE9F">
      <w:pPr>
        <w:pStyle w:val="248"/>
        <w:adjustRightInd w:val="0"/>
        <w:snapToGrid w:val="0"/>
        <w:spacing w:line="400" w:lineRule="exact"/>
        <w:ind w:firstLine="978" w:firstLineChars="466"/>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364ED1FC">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（2）安全文明施工费：</w:t>
      </w:r>
    </w:p>
    <w:p w14:paraId="5A9D1EA8">
      <w:pPr>
        <w:pStyle w:val="248"/>
        <w:adjustRightInd w:val="0"/>
        <w:snapToGrid w:val="0"/>
        <w:spacing w:line="400" w:lineRule="exact"/>
        <w:ind w:firstLine="978" w:firstLineChars="466"/>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112AE5D5">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（3）规费：人民币（大写）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772FC682">
      <w:pPr>
        <w:pStyle w:val="248"/>
        <w:adjustRightInd w:val="0"/>
        <w:snapToGrid w:val="0"/>
        <w:spacing w:line="400" w:lineRule="exact"/>
        <w:ind w:firstLine="1050" w:firstLineChars="500"/>
        <w:rPr>
          <w:rFonts w:ascii="宋体" w:hAnsi="宋体" w:cs="宋体"/>
          <w:color w:val="auto"/>
          <w:szCs w:val="21"/>
          <w:highlight w:val="none"/>
        </w:rPr>
      </w:pPr>
      <w:r>
        <w:rPr>
          <w:rFonts w:hint="eastAsia" w:ascii="宋体" w:hAnsi="宋体" w:cs="宋体"/>
          <w:color w:val="auto"/>
          <w:szCs w:val="21"/>
          <w:highlight w:val="none"/>
        </w:rPr>
        <w:t>其中社会保险费：</w:t>
      </w:r>
    </w:p>
    <w:p w14:paraId="73E95882">
      <w:pPr>
        <w:pStyle w:val="248"/>
        <w:adjustRightInd w:val="0"/>
        <w:snapToGrid w:val="0"/>
        <w:spacing w:line="400" w:lineRule="exact"/>
        <w:ind w:left="480" w:leftChars="200" w:firstLine="638" w:firstLineChars="304"/>
        <w:rPr>
          <w:rFonts w:hint="eastAsia"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F183BC8">
      <w:pPr>
        <w:pStyle w:val="248"/>
        <w:adjustRightInd w:val="0"/>
        <w:snapToGrid w:val="0"/>
        <w:spacing w:line="400" w:lineRule="exact"/>
        <w:ind w:firstLine="945" w:firstLineChars="450"/>
        <w:rPr>
          <w:rFonts w:hint="eastAsia" w:ascii="宋体" w:hAnsi="宋体" w:cs="宋体"/>
          <w:color w:val="auto"/>
          <w:szCs w:val="21"/>
          <w:highlight w:val="none"/>
        </w:rPr>
      </w:pPr>
      <w:r>
        <w:rPr>
          <w:rFonts w:hint="eastAsia" w:ascii="宋体" w:hAnsi="宋体" w:cs="宋体"/>
          <w:color w:val="auto"/>
          <w:szCs w:val="21"/>
          <w:highlight w:val="none"/>
        </w:rPr>
        <w:t>其他：人民币（大写）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13C43804">
      <w:pPr>
        <w:pStyle w:val="248"/>
        <w:numPr>
          <w:ilvl w:val="0"/>
          <w:numId w:val="28"/>
        </w:num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增值税：</w:t>
      </w:r>
    </w:p>
    <w:p w14:paraId="24880BFD">
      <w:pPr>
        <w:pStyle w:val="248"/>
        <w:adjustRightInd w:val="0"/>
        <w:snapToGrid w:val="0"/>
        <w:spacing w:line="400" w:lineRule="exact"/>
        <w:ind w:left="480" w:leftChars="200" w:firstLine="420" w:firstLineChars="20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6CD3B107">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（5）材料和工程设备暂估价金额：</w:t>
      </w:r>
    </w:p>
    <w:p w14:paraId="195A4F44">
      <w:pPr>
        <w:pStyle w:val="248"/>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38DE90E6">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（6）专业工程暂估价金额：</w:t>
      </w:r>
    </w:p>
    <w:p w14:paraId="00C94B9B">
      <w:pPr>
        <w:pStyle w:val="248"/>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9C6FBBC">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（7）暂列金额：</w:t>
      </w:r>
    </w:p>
    <w:p w14:paraId="23D88570">
      <w:pPr>
        <w:pStyle w:val="248"/>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C105F86">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 合同价格形式：</w:t>
      </w:r>
      <w:r>
        <w:rPr>
          <w:rFonts w:hint="eastAsia" w:ascii="宋体" w:hAnsi="宋体" w:cs="宋体"/>
          <w:color w:val="auto"/>
          <w:szCs w:val="21"/>
          <w:highlight w:val="none"/>
          <w:u w:val="single"/>
        </w:rPr>
        <w:t>采用固定综合单价合同形式</w:t>
      </w:r>
      <w:r>
        <w:rPr>
          <w:rFonts w:hint="eastAsia" w:ascii="宋体" w:hAnsi="宋体" w:cs="宋体"/>
          <w:color w:val="auto"/>
          <w:szCs w:val="21"/>
          <w:highlight w:val="none"/>
        </w:rPr>
        <w:t>。</w:t>
      </w:r>
    </w:p>
    <w:p w14:paraId="04216E2A">
      <w:pPr>
        <w:pStyle w:val="249"/>
        <w:adjustRightInd w:val="0"/>
        <w:snapToGrid w:val="0"/>
        <w:spacing w:line="400" w:lineRule="exact"/>
        <w:ind w:firstLine="422"/>
        <w:outlineLvl w:val="0"/>
        <w:rPr>
          <w:rFonts w:ascii="宋体" w:hAnsi="宋体" w:cs="宋体"/>
          <w:b/>
          <w:color w:val="auto"/>
          <w:highlight w:val="none"/>
        </w:rPr>
      </w:pPr>
      <w:bookmarkStart w:id="73" w:name="_Toc351203485"/>
      <w:bookmarkStart w:id="74" w:name="_Toc10860"/>
      <w:bookmarkStart w:id="75" w:name="_Toc522201563"/>
      <w:bookmarkStart w:id="76" w:name="_Toc6990"/>
      <w:bookmarkStart w:id="77" w:name="_Toc406419157"/>
      <w:bookmarkStart w:id="78" w:name="_Toc406522032"/>
      <w:r>
        <w:rPr>
          <w:rFonts w:hint="eastAsia" w:ascii="宋体" w:hAnsi="宋体" w:cs="宋体"/>
          <w:b/>
          <w:color w:val="auto"/>
          <w:highlight w:val="none"/>
        </w:rPr>
        <w:t>五、</w:t>
      </w:r>
      <w:bookmarkEnd w:id="73"/>
      <w:r>
        <w:rPr>
          <w:rFonts w:hint="eastAsia" w:ascii="宋体" w:hAnsi="宋体" w:cs="宋体"/>
          <w:b/>
          <w:color w:val="auto"/>
          <w:highlight w:val="none"/>
        </w:rPr>
        <w:t>项目经理</w:t>
      </w:r>
      <w:bookmarkEnd w:id="74"/>
      <w:bookmarkEnd w:id="75"/>
      <w:bookmarkEnd w:id="76"/>
      <w:bookmarkEnd w:id="77"/>
      <w:bookmarkEnd w:id="78"/>
    </w:p>
    <w:p w14:paraId="6AC68E0A">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F91562">
      <w:pPr>
        <w:pStyle w:val="249"/>
        <w:adjustRightInd w:val="0"/>
        <w:snapToGrid w:val="0"/>
        <w:spacing w:line="400" w:lineRule="exact"/>
        <w:ind w:firstLine="422"/>
        <w:outlineLvl w:val="0"/>
        <w:rPr>
          <w:rFonts w:ascii="宋体" w:hAnsi="宋体" w:cs="宋体"/>
          <w:b/>
          <w:color w:val="auto"/>
          <w:highlight w:val="none"/>
        </w:rPr>
      </w:pPr>
      <w:bookmarkStart w:id="79" w:name="_Toc23735"/>
      <w:bookmarkStart w:id="80" w:name="_Toc406522033"/>
      <w:bookmarkStart w:id="81" w:name="_Toc406419158"/>
      <w:bookmarkStart w:id="82" w:name="_Toc12071"/>
      <w:bookmarkStart w:id="83" w:name="_Toc351203486"/>
      <w:bookmarkStart w:id="84" w:name="_Toc522201564"/>
      <w:r>
        <w:rPr>
          <w:rFonts w:hint="eastAsia" w:ascii="宋体" w:hAnsi="宋体" w:cs="宋体"/>
          <w:b/>
          <w:color w:val="auto"/>
          <w:highlight w:val="none"/>
        </w:rPr>
        <w:t>六、合同文件构成</w:t>
      </w:r>
      <w:bookmarkEnd w:id="79"/>
      <w:bookmarkEnd w:id="80"/>
      <w:bookmarkEnd w:id="81"/>
      <w:bookmarkEnd w:id="82"/>
      <w:bookmarkEnd w:id="83"/>
      <w:bookmarkEnd w:id="84"/>
    </w:p>
    <w:p w14:paraId="0EDD5F6A">
      <w:pPr>
        <w:pStyle w:val="248"/>
        <w:adjustRightInd w:val="0"/>
        <w:snapToGrid w:val="0"/>
        <w:spacing w:line="400" w:lineRule="exact"/>
        <w:ind w:firstLine="420" w:firstLineChars="200"/>
        <w:rPr>
          <w:rFonts w:ascii="宋体" w:hAnsi="宋体" w:cs="宋体"/>
          <w:color w:val="auto"/>
          <w:szCs w:val="21"/>
          <w:highlight w:val="none"/>
        </w:rPr>
      </w:pPr>
      <w:bookmarkStart w:id="85" w:name="_Toc7021"/>
      <w:bookmarkStart w:id="86" w:name="_Toc406419159"/>
      <w:bookmarkStart w:id="87" w:name="_Toc351203487"/>
      <w:bookmarkStart w:id="88" w:name="_Toc406522034"/>
      <w:r>
        <w:rPr>
          <w:rFonts w:hint="eastAsia" w:ascii="宋体" w:hAnsi="宋体" w:cs="宋体"/>
          <w:color w:val="auto"/>
          <w:szCs w:val="21"/>
          <w:highlight w:val="none"/>
        </w:rPr>
        <w:t>本协议书与下列文件一起构成合同文件：</w:t>
      </w:r>
    </w:p>
    <w:p w14:paraId="2827B0BB">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（1）中标通知书（如果有）；</w:t>
      </w:r>
    </w:p>
    <w:p w14:paraId="6B8EC5BD">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16FEF4B3">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（3）专用合同条款及其附件；</w:t>
      </w:r>
    </w:p>
    <w:p w14:paraId="6CC300AF">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（4）通用合同条款；</w:t>
      </w:r>
    </w:p>
    <w:p w14:paraId="3C4ABF0C">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（5）技术标准和要求；</w:t>
      </w:r>
    </w:p>
    <w:p w14:paraId="13A3A7ED">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（6）图纸；</w:t>
      </w:r>
    </w:p>
    <w:p w14:paraId="34DC4185">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（7）已标价工程量清单或预算书；</w:t>
      </w:r>
    </w:p>
    <w:p w14:paraId="5B3E6ACB">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w:t>
      </w:r>
    </w:p>
    <w:p w14:paraId="3D25EA2E">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67CF545B">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28D65314">
      <w:pPr>
        <w:pStyle w:val="249"/>
        <w:adjustRightInd w:val="0"/>
        <w:snapToGrid w:val="0"/>
        <w:spacing w:line="400" w:lineRule="exact"/>
        <w:ind w:firstLine="422"/>
        <w:outlineLvl w:val="0"/>
        <w:rPr>
          <w:rFonts w:ascii="宋体" w:hAnsi="宋体" w:cs="宋体"/>
          <w:b/>
          <w:color w:val="auto"/>
          <w:highlight w:val="none"/>
        </w:rPr>
      </w:pPr>
      <w:bookmarkStart w:id="89" w:name="_Toc522201565"/>
      <w:bookmarkStart w:id="90" w:name="_Toc13296"/>
      <w:r>
        <w:rPr>
          <w:rFonts w:hint="eastAsia" w:ascii="宋体" w:hAnsi="宋体" w:cs="宋体"/>
          <w:b/>
          <w:color w:val="auto"/>
          <w:highlight w:val="none"/>
        </w:rPr>
        <w:t>七、承诺</w:t>
      </w:r>
      <w:bookmarkEnd w:id="85"/>
      <w:bookmarkEnd w:id="86"/>
      <w:bookmarkEnd w:id="87"/>
      <w:bookmarkEnd w:id="88"/>
      <w:bookmarkEnd w:id="89"/>
      <w:bookmarkEnd w:id="90"/>
    </w:p>
    <w:p w14:paraId="66AAE886">
      <w:pPr>
        <w:pStyle w:val="248"/>
        <w:adjustRightInd w:val="0"/>
        <w:snapToGrid w:val="0"/>
        <w:spacing w:line="400" w:lineRule="exact"/>
        <w:ind w:firstLine="420" w:firstLineChars="200"/>
        <w:rPr>
          <w:rFonts w:ascii="宋体" w:hAnsi="宋体" w:cs="宋体"/>
          <w:color w:val="auto"/>
          <w:szCs w:val="21"/>
          <w:highlight w:val="none"/>
        </w:rPr>
      </w:pPr>
      <w:bookmarkStart w:id="91" w:name="_Toc406522035"/>
      <w:bookmarkStart w:id="92" w:name="_Toc351203488"/>
      <w:bookmarkStart w:id="93" w:name="_Toc406419160"/>
      <w:bookmarkStart w:id="94" w:name="_Toc11962"/>
      <w:r>
        <w:rPr>
          <w:rFonts w:hint="eastAsia" w:ascii="宋体" w:hAnsi="宋体" w:cs="宋体"/>
          <w:color w:val="auto"/>
          <w:szCs w:val="21"/>
          <w:highlight w:val="none"/>
        </w:rPr>
        <w:t>1.发包人承诺按照法律规定履行项目审批手续、筹集工程建设资金并按照合同约定的期限和方式支付合同价款。</w:t>
      </w:r>
    </w:p>
    <w:p w14:paraId="4D6AA135">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198EE6DA">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35E308EC">
      <w:pPr>
        <w:pStyle w:val="249"/>
        <w:adjustRightInd w:val="0"/>
        <w:snapToGrid w:val="0"/>
        <w:spacing w:line="400" w:lineRule="exact"/>
        <w:ind w:firstLine="422"/>
        <w:outlineLvl w:val="0"/>
        <w:rPr>
          <w:rFonts w:ascii="宋体" w:hAnsi="宋体" w:cs="宋体"/>
          <w:b/>
          <w:color w:val="auto"/>
          <w:highlight w:val="none"/>
        </w:rPr>
      </w:pPr>
      <w:bookmarkStart w:id="95" w:name="_Toc30857"/>
      <w:bookmarkStart w:id="96" w:name="_Toc522201566"/>
      <w:r>
        <w:rPr>
          <w:rFonts w:hint="eastAsia" w:ascii="宋体" w:hAnsi="宋体" w:cs="宋体"/>
          <w:b/>
          <w:color w:val="auto"/>
          <w:highlight w:val="none"/>
        </w:rPr>
        <w:t>八、词语含义</w:t>
      </w:r>
      <w:bookmarkEnd w:id="91"/>
      <w:bookmarkEnd w:id="92"/>
      <w:bookmarkEnd w:id="93"/>
      <w:bookmarkEnd w:id="94"/>
      <w:bookmarkEnd w:id="95"/>
      <w:bookmarkEnd w:id="96"/>
    </w:p>
    <w:p w14:paraId="7B7E55F9">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本协议书中词语含义与第二部分通用合同条款中赋予的含义相同。</w:t>
      </w:r>
    </w:p>
    <w:p w14:paraId="698B71C1">
      <w:pPr>
        <w:pStyle w:val="249"/>
        <w:adjustRightInd w:val="0"/>
        <w:snapToGrid w:val="0"/>
        <w:spacing w:line="400" w:lineRule="exact"/>
        <w:ind w:firstLine="422"/>
        <w:outlineLvl w:val="0"/>
        <w:rPr>
          <w:rFonts w:ascii="宋体" w:hAnsi="宋体" w:cs="宋体"/>
          <w:b/>
          <w:color w:val="auto"/>
          <w:highlight w:val="none"/>
        </w:rPr>
      </w:pPr>
      <w:bookmarkStart w:id="97" w:name="_Toc13843"/>
      <w:bookmarkStart w:id="98" w:name="_Toc351203489"/>
      <w:bookmarkStart w:id="99" w:name="_Toc522201567"/>
      <w:bookmarkStart w:id="100" w:name="_Toc406522036"/>
      <w:bookmarkStart w:id="101" w:name="_Toc406419161"/>
      <w:bookmarkStart w:id="102" w:name="_Toc22011"/>
      <w:r>
        <w:rPr>
          <w:rFonts w:hint="eastAsia" w:ascii="宋体" w:hAnsi="宋体" w:cs="宋体"/>
          <w:b/>
          <w:color w:val="auto"/>
          <w:highlight w:val="none"/>
        </w:rPr>
        <w:t>九、签订时间</w:t>
      </w:r>
      <w:bookmarkEnd w:id="97"/>
      <w:bookmarkEnd w:id="98"/>
      <w:bookmarkEnd w:id="99"/>
      <w:bookmarkEnd w:id="100"/>
      <w:bookmarkEnd w:id="101"/>
      <w:bookmarkEnd w:id="102"/>
    </w:p>
    <w:p w14:paraId="4694373B">
      <w:pPr>
        <w:pStyle w:val="24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12486CA2">
      <w:pPr>
        <w:pStyle w:val="249"/>
        <w:adjustRightInd w:val="0"/>
        <w:snapToGrid w:val="0"/>
        <w:spacing w:line="400" w:lineRule="exact"/>
        <w:ind w:firstLine="422"/>
        <w:outlineLvl w:val="0"/>
        <w:rPr>
          <w:rFonts w:ascii="宋体" w:hAnsi="宋体" w:cs="宋体"/>
          <w:b/>
          <w:color w:val="auto"/>
          <w:highlight w:val="none"/>
        </w:rPr>
      </w:pPr>
      <w:bookmarkStart w:id="103" w:name="_Toc406522037"/>
      <w:bookmarkStart w:id="104" w:name="_Toc3692"/>
      <w:bookmarkStart w:id="105" w:name="_Toc3810"/>
      <w:bookmarkStart w:id="106" w:name="_Toc351203490"/>
      <w:bookmarkStart w:id="107" w:name="_Toc406419162"/>
      <w:bookmarkStart w:id="108" w:name="_Toc522201568"/>
      <w:r>
        <w:rPr>
          <w:rFonts w:hint="eastAsia" w:ascii="宋体" w:hAnsi="宋体" w:cs="宋体"/>
          <w:b/>
          <w:color w:val="auto"/>
          <w:highlight w:val="none"/>
        </w:rPr>
        <w:t>十、签订地点</w:t>
      </w:r>
      <w:bookmarkEnd w:id="103"/>
      <w:bookmarkEnd w:id="104"/>
      <w:bookmarkEnd w:id="105"/>
      <w:bookmarkEnd w:id="106"/>
      <w:bookmarkEnd w:id="107"/>
      <w:bookmarkEnd w:id="108"/>
    </w:p>
    <w:p w14:paraId="6822A536">
      <w:pPr>
        <w:pStyle w:val="24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2D06B3BE">
      <w:pPr>
        <w:pStyle w:val="249"/>
        <w:adjustRightInd w:val="0"/>
        <w:snapToGrid w:val="0"/>
        <w:spacing w:line="400" w:lineRule="exact"/>
        <w:ind w:firstLine="422"/>
        <w:outlineLvl w:val="0"/>
        <w:rPr>
          <w:rFonts w:ascii="宋体" w:hAnsi="宋体" w:cs="宋体"/>
          <w:b/>
          <w:color w:val="auto"/>
          <w:highlight w:val="none"/>
        </w:rPr>
      </w:pPr>
      <w:bookmarkStart w:id="109" w:name="_Toc30173"/>
      <w:bookmarkStart w:id="110" w:name="_Toc351203491"/>
      <w:bookmarkStart w:id="111" w:name="_Toc406419163"/>
      <w:bookmarkStart w:id="112" w:name="_Toc9576"/>
      <w:bookmarkStart w:id="113" w:name="_Toc522201569"/>
      <w:bookmarkStart w:id="114" w:name="_Toc406522038"/>
      <w:r>
        <w:rPr>
          <w:rFonts w:hint="eastAsia" w:ascii="宋体" w:hAnsi="宋体" w:cs="宋体"/>
          <w:b/>
          <w:color w:val="auto"/>
          <w:highlight w:val="none"/>
        </w:rPr>
        <w:t>十一、补充协议</w:t>
      </w:r>
      <w:bookmarkEnd w:id="109"/>
      <w:bookmarkEnd w:id="110"/>
      <w:bookmarkEnd w:id="111"/>
      <w:bookmarkEnd w:id="112"/>
      <w:bookmarkEnd w:id="113"/>
      <w:bookmarkEnd w:id="114"/>
    </w:p>
    <w:p w14:paraId="6414A335">
      <w:pPr>
        <w:pStyle w:val="24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3E7DBF6F">
      <w:pPr>
        <w:pStyle w:val="249"/>
        <w:adjustRightInd w:val="0"/>
        <w:snapToGrid w:val="0"/>
        <w:spacing w:line="400" w:lineRule="exact"/>
        <w:ind w:firstLine="422"/>
        <w:outlineLvl w:val="0"/>
        <w:rPr>
          <w:rFonts w:ascii="宋体" w:hAnsi="宋体" w:cs="宋体"/>
          <w:b/>
          <w:color w:val="auto"/>
          <w:highlight w:val="none"/>
        </w:rPr>
      </w:pPr>
      <w:bookmarkStart w:id="115" w:name="_Toc32443"/>
      <w:bookmarkStart w:id="116" w:name="_Toc406522039"/>
      <w:bookmarkStart w:id="117" w:name="_Toc351203492"/>
      <w:bookmarkStart w:id="118" w:name="_Toc15272"/>
      <w:bookmarkStart w:id="119" w:name="_Toc522201570"/>
      <w:bookmarkStart w:id="120" w:name="_Toc406419164"/>
      <w:r>
        <w:rPr>
          <w:rFonts w:hint="eastAsia" w:ascii="宋体" w:hAnsi="宋体" w:cs="宋体"/>
          <w:b/>
          <w:color w:val="auto"/>
          <w:highlight w:val="none"/>
        </w:rPr>
        <w:t>十二、合同生效</w:t>
      </w:r>
      <w:bookmarkEnd w:id="115"/>
      <w:bookmarkEnd w:id="116"/>
      <w:bookmarkEnd w:id="117"/>
      <w:bookmarkEnd w:id="118"/>
      <w:bookmarkEnd w:id="119"/>
      <w:bookmarkEnd w:id="120"/>
    </w:p>
    <w:p w14:paraId="18C17463">
      <w:pPr>
        <w:pStyle w:val="24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双方法定代表人或其委托代理人签字或盖章并加盖单位公章后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007DE058">
      <w:pPr>
        <w:pStyle w:val="249"/>
        <w:adjustRightInd w:val="0"/>
        <w:snapToGrid w:val="0"/>
        <w:spacing w:line="400" w:lineRule="exact"/>
        <w:ind w:firstLine="422"/>
        <w:outlineLvl w:val="0"/>
        <w:rPr>
          <w:rFonts w:ascii="宋体" w:hAnsi="宋体" w:cs="宋体"/>
          <w:b/>
          <w:color w:val="auto"/>
          <w:highlight w:val="none"/>
        </w:rPr>
      </w:pPr>
      <w:bookmarkStart w:id="121" w:name="_Toc406419165"/>
      <w:bookmarkStart w:id="122" w:name="_Toc406522040"/>
      <w:bookmarkStart w:id="123" w:name="_Toc19780"/>
      <w:bookmarkStart w:id="124" w:name="_Toc522201571"/>
      <w:bookmarkStart w:id="125" w:name="_Toc351203493"/>
      <w:bookmarkStart w:id="126" w:name="_Toc14945"/>
      <w:r>
        <w:rPr>
          <w:rFonts w:hint="eastAsia" w:ascii="宋体" w:hAnsi="宋体" w:cs="宋体"/>
          <w:b/>
          <w:color w:val="auto"/>
          <w:highlight w:val="none"/>
        </w:rPr>
        <w:t>十三、合同份数</w:t>
      </w:r>
      <w:bookmarkEnd w:id="121"/>
      <w:bookmarkEnd w:id="122"/>
      <w:bookmarkEnd w:id="123"/>
      <w:bookmarkEnd w:id="124"/>
      <w:bookmarkEnd w:id="125"/>
      <w:bookmarkEnd w:id="126"/>
    </w:p>
    <w:p w14:paraId="0584BE9A">
      <w:pPr>
        <w:pStyle w:val="24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陆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份，招标代理机构执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w:t>
      </w:r>
    </w:p>
    <w:p w14:paraId="629A24C0">
      <w:pPr>
        <w:pStyle w:val="248"/>
        <w:adjustRightInd w:val="0"/>
        <w:snapToGrid w:val="0"/>
        <w:spacing w:line="400" w:lineRule="exact"/>
        <w:ind w:firstLine="420" w:firstLineChars="200"/>
        <w:rPr>
          <w:rFonts w:ascii="宋体" w:hAnsi="宋体" w:cs="宋体"/>
          <w:bCs/>
          <w:color w:val="auto"/>
          <w:szCs w:val="21"/>
          <w:highlight w:val="none"/>
        </w:rPr>
      </w:pPr>
    </w:p>
    <w:tbl>
      <w:tblPr>
        <w:tblStyle w:val="46"/>
        <w:tblW w:w="8900" w:type="dxa"/>
        <w:tblInd w:w="466" w:type="dxa"/>
        <w:tblLayout w:type="fixed"/>
        <w:tblCellMar>
          <w:top w:w="0" w:type="dxa"/>
          <w:left w:w="108" w:type="dxa"/>
          <w:bottom w:w="0" w:type="dxa"/>
          <w:right w:w="108" w:type="dxa"/>
        </w:tblCellMar>
      </w:tblPr>
      <w:tblGrid>
        <w:gridCol w:w="4303"/>
        <w:gridCol w:w="4597"/>
      </w:tblGrid>
      <w:tr w14:paraId="7555AF7C">
        <w:tblPrEx>
          <w:tblCellMar>
            <w:top w:w="0" w:type="dxa"/>
            <w:left w:w="108" w:type="dxa"/>
            <w:bottom w:w="0" w:type="dxa"/>
            <w:right w:w="108" w:type="dxa"/>
          </w:tblCellMar>
        </w:tblPrEx>
        <w:trPr>
          <w:trHeight w:val="90" w:hRule="atLeast"/>
        </w:trPr>
        <w:tc>
          <w:tcPr>
            <w:tcW w:w="4303" w:type="dxa"/>
            <w:noWrap w:val="0"/>
            <w:vAlign w:val="top"/>
          </w:tcPr>
          <w:p w14:paraId="7090644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发包人：（公章）</w:t>
            </w:r>
          </w:p>
          <w:p w14:paraId="5AF40FF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4597" w:type="dxa"/>
            <w:noWrap w:val="0"/>
            <w:vAlign w:val="top"/>
          </w:tcPr>
          <w:p w14:paraId="3BB53A4D">
            <w:pPr>
              <w:spacing w:line="360" w:lineRule="auto"/>
              <w:rPr>
                <w:rFonts w:hint="eastAsia"/>
                <w:color w:val="auto"/>
                <w:highlight w:val="none"/>
              </w:rPr>
            </w:pPr>
            <w:r>
              <w:rPr>
                <w:rFonts w:hint="eastAsia"/>
                <w:color w:val="auto"/>
                <w:highlight w:val="none"/>
              </w:rPr>
              <w:t>承包人：（公章）</w:t>
            </w:r>
          </w:p>
          <w:p w14:paraId="6CEA1AE1">
            <w:pPr>
              <w:pStyle w:val="18"/>
              <w:rPr>
                <w:rFonts w:hint="eastAsia"/>
                <w:color w:val="auto"/>
                <w:highlight w:val="none"/>
              </w:rPr>
            </w:pPr>
          </w:p>
        </w:tc>
      </w:tr>
      <w:tr w14:paraId="77FA7476">
        <w:tblPrEx>
          <w:tblCellMar>
            <w:top w:w="0" w:type="dxa"/>
            <w:left w:w="108" w:type="dxa"/>
            <w:bottom w:w="0" w:type="dxa"/>
            <w:right w:w="108" w:type="dxa"/>
          </w:tblCellMar>
        </w:tblPrEx>
        <w:trPr>
          <w:trHeight w:val="90" w:hRule="atLeast"/>
        </w:trPr>
        <w:tc>
          <w:tcPr>
            <w:tcW w:w="4303" w:type="dxa"/>
            <w:noWrap w:val="0"/>
            <w:vAlign w:val="top"/>
          </w:tcPr>
          <w:p w14:paraId="606BEFA1">
            <w:pPr>
              <w:spacing w:line="360" w:lineRule="auto"/>
              <w:rPr>
                <w:rFonts w:hint="eastAsia" w:ascii="宋体" w:hAnsi="宋体" w:cs="宋体"/>
                <w:color w:val="auto"/>
                <w:kern w:val="0"/>
                <w:szCs w:val="21"/>
                <w:highlight w:val="none"/>
              </w:rPr>
            </w:pPr>
          </w:p>
        </w:tc>
        <w:tc>
          <w:tcPr>
            <w:tcW w:w="4597" w:type="dxa"/>
            <w:noWrap w:val="0"/>
            <w:vAlign w:val="top"/>
          </w:tcPr>
          <w:p w14:paraId="3C7C2083">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14:paraId="39971907">
        <w:tblPrEx>
          <w:tblCellMar>
            <w:top w:w="0" w:type="dxa"/>
            <w:left w:w="108" w:type="dxa"/>
            <w:bottom w:w="0" w:type="dxa"/>
            <w:right w:w="108" w:type="dxa"/>
          </w:tblCellMar>
        </w:tblPrEx>
        <w:trPr>
          <w:trHeight w:val="90" w:hRule="atLeast"/>
        </w:trPr>
        <w:tc>
          <w:tcPr>
            <w:tcW w:w="4303" w:type="dxa"/>
            <w:noWrap w:val="0"/>
            <w:vAlign w:val="top"/>
          </w:tcPr>
          <w:p w14:paraId="489EC13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r>
              <w:rPr>
                <w:rFonts w:hint="eastAsia" w:hAnsi="宋体" w:cs="宋体"/>
                <w:color w:val="auto"/>
                <w:szCs w:val="21"/>
                <w:highlight w:val="none"/>
              </w:rPr>
              <w:t>或其委托代理人</w:t>
            </w:r>
            <w:r>
              <w:rPr>
                <w:rFonts w:hint="eastAsia" w:ascii="宋体" w:hAnsi="宋体" w:cs="宋体"/>
                <w:color w:val="auto"/>
                <w:kern w:val="0"/>
                <w:szCs w:val="21"/>
                <w:highlight w:val="none"/>
              </w:rPr>
              <w:t>：</w:t>
            </w:r>
          </w:p>
          <w:p w14:paraId="66C7E19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（签字或盖章）</w:t>
            </w:r>
          </w:p>
        </w:tc>
        <w:tc>
          <w:tcPr>
            <w:tcW w:w="4597" w:type="dxa"/>
            <w:noWrap w:val="0"/>
            <w:vAlign w:val="top"/>
          </w:tcPr>
          <w:p w14:paraId="601053B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r>
              <w:rPr>
                <w:rFonts w:hint="eastAsia" w:hAnsi="宋体" w:cs="宋体"/>
                <w:color w:val="auto"/>
                <w:szCs w:val="21"/>
                <w:highlight w:val="none"/>
              </w:rPr>
              <w:t>或其委托代理人</w:t>
            </w:r>
            <w:r>
              <w:rPr>
                <w:rFonts w:hint="eastAsia" w:ascii="宋体" w:hAnsi="宋体" w:cs="宋体"/>
                <w:color w:val="auto"/>
                <w:kern w:val="0"/>
                <w:szCs w:val="21"/>
                <w:highlight w:val="none"/>
              </w:rPr>
              <w:t>：</w:t>
            </w:r>
          </w:p>
          <w:p w14:paraId="509537D7">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（签字或盖章）</w:t>
            </w:r>
          </w:p>
        </w:tc>
      </w:tr>
      <w:tr w14:paraId="3390F4BD">
        <w:tblPrEx>
          <w:tblCellMar>
            <w:top w:w="0" w:type="dxa"/>
            <w:left w:w="108" w:type="dxa"/>
            <w:bottom w:w="0" w:type="dxa"/>
            <w:right w:w="108" w:type="dxa"/>
          </w:tblCellMar>
        </w:tblPrEx>
        <w:trPr>
          <w:trHeight w:val="405" w:hRule="atLeast"/>
        </w:trPr>
        <w:tc>
          <w:tcPr>
            <w:tcW w:w="4303" w:type="dxa"/>
            <w:noWrap w:val="0"/>
            <w:vAlign w:val="top"/>
          </w:tcPr>
          <w:p w14:paraId="0F7F01F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统一社会信用代码：</w:t>
            </w:r>
          </w:p>
        </w:tc>
        <w:tc>
          <w:tcPr>
            <w:tcW w:w="4597" w:type="dxa"/>
            <w:noWrap w:val="0"/>
            <w:vAlign w:val="top"/>
          </w:tcPr>
          <w:p w14:paraId="2A6A334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统一社会信用代码： </w:t>
            </w:r>
          </w:p>
        </w:tc>
      </w:tr>
      <w:tr w14:paraId="71BF7F58">
        <w:tblPrEx>
          <w:tblCellMar>
            <w:top w:w="0" w:type="dxa"/>
            <w:left w:w="108" w:type="dxa"/>
            <w:bottom w:w="0" w:type="dxa"/>
            <w:right w:w="108" w:type="dxa"/>
          </w:tblCellMar>
        </w:tblPrEx>
        <w:trPr>
          <w:trHeight w:val="90" w:hRule="atLeast"/>
        </w:trPr>
        <w:tc>
          <w:tcPr>
            <w:tcW w:w="4303" w:type="dxa"/>
            <w:noWrap w:val="0"/>
            <w:vAlign w:val="top"/>
          </w:tcPr>
          <w:p w14:paraId="766F7BB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p>
        </w:tc>
        <w:tc>
          <w:tcPr>
            <w:tcW w:w="4597" w:type="dxa"/>
            <w:noWrap w:val="0"/>
            <w:vAlign w:val="top"/>
          </w:tcPr>
          <w:p w14:paraId="2EE2A30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r>
              <w:rPr>
                <w:rFonts w:hint="eastAsia" w:ascii="宋体" w:hAnsi="宋体" w:cs="宋体"/>
                <w:color w:val="auto"/>
                <w:szCs w:val="21"/>
                <w:highlight w:val="none"/>
              </w:rPr>
              <w:t xml:space="preserve"> </w:t>
            </w:r>
          </w:p>
        </w:tc>
      </w:tr>
      <w:tr w14:paraId="5FE5A40C">
        <w:tblPrEx>
          <w:tblCellMar>
            <w:top w:w="0" w:type="dxa"/>
            <w:left w:w="108" w:type="dxa"/>
            <w:bottom w:w="0" w:type="dxa"/>
            <w:right w:w="108" w:type="dxa"/>
          </w:tblCellMar>
        </w:tblPrEx>
        <w:trPr>
          <w:trHeight w:val="90" w:hRule="atLeast"/>
        </w:trPr>
        <w:tc>
          <w:tcPr>
            <w:tcW w:w="4303" w:type="dxa"/>
            <w:noWrap w:val="0"/>
            <w:vAlign w:val="top"/>
          </w:tcPr>
          <w:p w14:paraId="2EBFCB0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邮政编码：</w:t>
            </w:r>
          </w:p>
        </w:tc>
        <w:tc>
          <w:tcPr>
            <w:tcW w:w="4597" w:type="dxa"/>
            <w:noWrap w:val="0"/>
            <w:vAlign w:val="top"/>
          </w:tcPr>
          <w:p w14:paraId="502FA38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邮政编码： </w:t>
            </w:r>
          </w:p>
        </w:tc>
      </w:tr>
      <w:tr w14:paraId="78A804FB">
        <w:tblPrEx>
          <w:tblCellMar>
            <w:top w:w="0" w:type="dxa"/>
            <w:left w:w="108" w:type="dxa"/>
            <w:bottom w:w="0" w:type="dxa"/>
            <w:right w:w="108" w:type="dxa"/>
          </w:tblCellMar>
        </w:tblPrEx>
        <w:trPr>
          <w:trHeight w:val="90" w:hRule="atLeast"/>
        </w:trPr>
        <w:tc>
          <w:tcPr>
            <w:tcW w:w="4303" w:type="dxa"/>
            <w:noWrap w:val="0"/>
            <w:vAlign w:val="top"/>
          </w:tcPr>
          <w:p w14:paraId="5FB709D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4597" w:type="dxa"/>
            <w:noWrap w:val="0"/>
            <w:vAlign w:val="top"/>
          </w:tcPr>
          <w:p w14:paraId="42949B6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r>
      <w:tr w14:paraId="6BD9D427">
        <w:tblPrEx>
          <w:tblCellMar>
            <w:top w:w="0" w:type="dxa"/>
            <w:left w:w="108" w:type="dxa"/>
            <w:bottom w:w="0" w:type="dxa"/>
            <w:right w:w="108" w:type="dxa"/>
          </w:tblCellMar>
        </w:tblPrEx>
        <w:trPr>
          <w:trHeight w:val="90" w:hRule="atLeast"/>
        </w:trPr>
        <w:tc>
          <w:tcPr>
            <w:tcW w:w="4303" w:type="dxa"/>
            <w:noWrap w:val="0"/>
            <w:vAlign w:val="top"/>
          </w:tcPr>
          <w:p w14:paraId="520D31A3">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p>
        </w:tc>
        <w:tc>
          <w:tcPr>
            <w:tcW w:w="4597" w:type="dxa"/>
            <w:noWrap w:val="0"/>
            <w:vAlign w:val="top"/>
          </w:tcPr>
          <w:p w14:paraId="5786F02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电话： </w:t>
            </w:r>
          </w:p>
        </w:tc>
      </w:tr>
      <w:tr w14:paraId="25EBC671">
        <w:tblPrEx>
          <w:tblCellMar>
            <w:top w:w="0" w:type="dxa"/>
            <w:left w:w="108" w:type="dxa"/>
            <w:bottom w:w="0" w:type="dxa"/>
            <w:right w:w="108" w:type="dxa"/>
          </w:tblCellMar>
        </w:tblPrEx>
        <w:trPr>
          <w:trHeight w:val="90" w:hRule="atLeast"/>
        </w:trPr>
        <w:tc>
          <w:tcPr>
            <w:tcW w:w="4303" w:type="dxa"/>
            <w:noWrap w:val="0"/>
            <w:vAlign w:val="top"/>
          </w:tcPr>
          <w:p w14:paraId="269413F7">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传真：</w:t>
            </w:r>
          </w:p>
        </w:tc>
        <w:tc>
          <w:tcPr>
            <w:tcW w:w="4597" w:type="dxa"/>
            <w:noWrap w:val="0"/>
            <w:vAlign w:val="top"/>
          </w:tcPr>
          <w:p w14:paraId="648E673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传真： </w:t>
            </w:r>
          </w:p>
        </w:tc>
      </w:tr>
      <w:tr w14:paraId="4AB6A824">
        <w:tblPrEx>
          <w:tblCellMar>
            <w:top w:w="0" w:type="dxa"/>
            <w:left w:w="108" w:type="dxa"/>
            <w:bottom w:w="0" w:type="dxa"/>
            <w:right w:w="108" w:type="dxa"/>
          </w:tblCellMar>
        </w:tblPrEx>
        <w:trPr>
          <w:trHeight w:val="90" w:hRule="atLeast"/>
        </w:trPr>
        <w:tc>
          <w:tcPr>
            <w:tcW w:w="4303" w:type="dxa"/>
            <w:noWrap w:val="0"/>
            <w:vAlign w:val="top"/>
          </w:tcPr>
          <w:p w14:paraId="185FC9A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电子信箱：</w:t>
            </w:r>
          </w:p>
        </w:tc>
        <w:tc>
          <w:tcPr>
            <w:tcW w:w="4597" w:type="dxa"/>
            <w:noWrap w:val="0"/>
            <w:vAlign w:val="top"/>
          </w:tcPr>
          <w:p w14:paraId="6CC3DEA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电子信箱： </w:t>
            </w:r>
          </w:p>
        </w:tc>
      </w:tr>
      <w:tr w14:paraId="72B02A9B">
        <w:tblPrEx>
          <w:tblCellMar>
            <w:top w:w="0" w:type="dxa"/>
            <w:left w:w="108" w:type="dxa"/>
            <w:bottom w:w="0" w:type="dxa"/>
            <w:right w:w="108" w:type="dxa"/>
          </w:tblCellMar>
        </w:tblPrEx>
        <w:trPr>
          <w:trHeight w:val="90" w:hRule="atLeast"/>
        </w:trPr>
        <w:tc>
          <w:tcPr>
            <w:tcW w:w="4303" w:type="dxa"/>
            <w:noWrap w:val="0"/>
            <w:vAlign w:val="top"/>
          </w:tcPr>
          <w:p w14:paraId="5778A0CB">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p>
        </w:tc>
        <w:tc>
          <w:tcPr>
            <w:tcW w:w="4597" w:type="dxa"/>
            <w:noWrap w:val="0"/>
            <w:vAlign w:val="top"/>
          </w:tcPr>
          <w:p w14:paraId="35141A6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开户银行： </w:t>
            </w:r>
          </w:p>
        </w:tc>
      </w:tr>
      <w:tr w14:paraId="2D23C4EF">
        <w:tblPrEx>
          <w:tblCellMar>
            <w:top w:w="0" w:type="dxa"/>
            <w:left w:w="108" w:type="dxa"/>
            <w:bottom w:w="0" w:type="dxa"/>
            <w:right w:w="108" w:type="dxa"/>
          </w:tblCellMar>
        </w:tblPrEx>
        <w:trPr>
          <w:trHeight w:val="90" w:hRule="atLeast"/>
        </w:trPr>
        <w:tc>
          <w:tcPr>
            <w:tcW w:w="4303" w:type="dxa"/>
            <w:noWrap w:val="0"/>
            <w:vAlign w:val="top"/>
          </w:tcPr>
          <w:p w14:paraId="08875F3F">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开户名称：</w:t>
            </w:r>
          </w:p>
        </w:tc>
        <w:tc>
          <w:tcPr>
            <w:tcW w:w="4597" w:type="dxa"/>
            <w:noWrap w:val="0"/>
            <w:vAlign w:val="top"/>
          </w:tcPr>
          <w:p w14:paraId="306C21AB">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开户名称：</w:t>
            </w:r>
          </w:p>
        </w:tc>
      </w:tr>
      <w:tr w14:paraId="4D82FE4C">
        <w:tblPrEx>
          <w:tblCellMar>
            <w:top w:w="0" w:type="dxa"/>
            <w:left w:w="108" w:type="dxa"/>
            <w:bottom w:w="0" w:type="dxa"/>
            <w:right w:w="108" w:type="dxa"/>
          </w:tblCellMar>
        </w:tblPrEx>
        <w:trPr>
          <w:trHeight w:val="90" w:hRule="atLeast"/>
        </w:trPr>
        <w:tc>
          <w:tcPr>
            <w:tcW w:w="4303" w:type="dxa"/>
            <w:noWrap w:val="0"/>
            <w:vAlign w:val="top"/>
          </w:tcPr>
          <w:p w14:paraId="0E1BE6B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账号：</w:t>
            </w:r>
          </w:p>
        </w:tc>
        <w:tc>
          <w:tcPr>
            <w:tcW w:w="4597" w:type="dxa"/>
            <w:noWrap w:val="0"/>
            <w:vAlign w:val="top"/>
          </w:tcPr>
          <w:p w14:paraId="4103FE3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账号： </w:t>
            </w:r>
          </w:p>
        </w:tc>
      </w:tr>
    </w:tbl>
    <w:p w14:paraId="2BFC71FB">
      <w:pPr>
        <w:pStyle w:val="248"/>
        <w:adjustRightInd w:val="0"/>
        <w:snapToGrid w:val="0"/>
        <w:spacing w:line="400" w:lineRule="exact"/>
        <w:jc w:val="center"/>
        <w:rPr>
          <w:rFonts w:ascii="宋体" w:hAnsi="宋体" w:cs="宋体"/>
          <w:b/>
          <w:bCs/>
          <w:color w:val="auto"/>
          <w:szCs w:val="21"/>
          <w:highlight w:val="none"/>
        </w:rPr>
      </w:pPr>
    </w:p>
    <w:p w14:paraId="702D1203">
      <w:pPr>
        <w:pStyle w:val="244"/>
        <w:jc w:val="center"/>
        <w:rPr>
          <w:rFonts w:eastAsia="黑体"/>
          <w:b w:val="0"/>
          <w:bCs w:val="0"/>
          <w:color w:val="auto"/>
          <w:sz w:val="32"/>
          <w:szCs w:val="32"/>
          <w:highlight w:val="none"/>
        </w:rPr>
      </w:pPr>
      <w:r>
        <w:rPr>
          <w:b w:val="0"/>
          <w:bCs w:val="0"/>
          <w:color w:val="auto"/>
          <w:highlight w:val="none"/>
        </w:rPr>
        <w:br w:type="page"/>
      </w:r>
      <w:bookmarkStart w:id="127" w:name="_Toc2370"/>
      <w:bookmarkStart w:id="128" w:name="_Toc522201572"/>
      <w:bookmarkStart w:id="129" w:name="_Toc256000032"/>
      <w:bookmarkStart w:id="130" w:name="_Toc351203494"/>
      <w:bookmarkStart w:id="131" w:name="_Toc13796"/>
      <w:r>
        <w:rPr>
          <w:rFonts w:ascii="宋体"/>
          <w:color w:val="auto"/>
          <w:sz w:val="32"/>
          <w:highlight w:val="none"/>
        </w:rPr>
        <w:t>第二部分 通用合同条款</w:t>
      </w:r>
      <w:bookmarkEnd w:id="127"/>
      <w:bookmarkEnd w:id="128"/>
      <w:bookmarkEnd w:id="129"/>
      <w:bookmarkEnd w:id="130"/>
      <w:bookmarkEnd w:id="131"/>
      <w:bookmarkStart w:id="132" w:name="_Toc337558727"/>
    </w:p>
    <w:bookmarkEnd w:id="132"/>
    <w:p w14:paraId="469CF83A">
      <w:pPr>
        <w:pStyle w:val="4"/>
        <w:widowControl w:val="0"/>
        <w:spacing w:line="360" w:lineRule="exact"/>
        <w:jc w:val="center"/>
        <w:rPr>
          <w:rFonts w:hint="eastAsia" w:ascii="宋体" w:hAnsi="宋体" w:cs="宋体"/>
          <w:b w:val="0"/>
          <w:bCs w:val="0"/>
          <w:color w:val="auto"/>
          <w:sz w:val="28"/>
          <w:szCs w:val="28"/>
          <w:highlight w:val="none"/>
        </w:rPr>
      </w:pPr>
      <w:bookmarkStart w:id="133" w:name="_Toc16978"/>
    </w:p>
    <w:p w14:paraId="4485CAAD">
      <w:pPr>
        <w:pStyle w:val="4"/>
        <w:widowControl w:val="0"/>
        <w:spacing w:line="360" w:lineRule="exact"/>
        <w:jc w:val="center"/>
        <w:rPr>
          <w:rFonts w:hint="eastAsia" w:ascii="宋体" w:hAnsi="宋体" w:cs="宋体"/>
          <w:b w:val="0"/>
          <w:bCs w:val="0"/>
          <w:color w:val="auto"/>
          <w:szCs w:val="24"/>
          <w:highlight w:val="none"/>
        </w:rPr>
      </w:pPr>
      <w:r>
        <w:rPr>
          <w:rFonts w:hint="eastAsia" w:ascii="宋体" w:hAnsi="宋体" w:cs="宋体"/>
          <w:b w:val="0"/>
          <w:bCs w:val="0"/>
          <w:color w:val="auto"/>
          <w:szCs w:val="24"/>
          <w:highlight w:val="none"/>
        </w:rPr>
        <w:t>本工程的施工合同通用条款按国家工商行政管理局和建设部颁布的：《建设工程施工合同（示范文本）》（GF-2017-0201）通用条款执行。</w:t>
      </w:r>
      <w:bookmarkEnd w:id="133"/>
    </w:p>
    <w:p w14:paraId="2F7514BB">
      <w:pPr>
        <w:pStyle w:val="247"/>
        <w:ind w:left="63" w:right="63"/>
        <w:rPr>
          <w:color w:val="auto"/>
          <w:highlight w:val="none"/>
        </w:rPr>
        <w:sectPr>
          <w:footerReference r:id="rId27" w:type="default"/>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B79E8D0">
      <w:pPr>
        <w:pStyle w:val="244"/>
        <w:spacing w:line="400" w:lineRule="atLeast"/>
        <w:jc w:val="center"/>
        <w:rPr>
          <w:color w:val="auto"/>
          <w:highlight w:val="none"/>
        </w:rPr>
      </w:pPr>
      <w:bookmarkStart w:id="134" w:name="_Toc256000171"/>
      <w:bookmarkStart w:id="135" w:name="_Toc4187"/>
      <w:r>
        <w:rPr>
          <w:rFonts w:ascii="宋体"/>
          <w:color w:val="auto"/>
          <w:sz w:val="32"/>
          <w:highlight w:val="none"/>
        </w:rPr>
        <w:t>第</w:t>
      </w:r>
      <w:r>
        <w:rPr>
          <w:rFonts w:hint="eastAsia" w:ascii="宋体"/>
          <w:color w:val="auto"/>
          <w:sz w:val="32"/>
          <w:highlight w:val="none"/>
        </w:rPr>
        <w:t>三</w:t>
      </w:r>
      <w:r>
        <w:rPr>
          <w:rFonts w:ascii="宋体"/>
          <w:color w:val="auto"/>
          <w:sz w:val="32"/>
          <w:highlight w:val="none"/>
        </w:rPr>
        <w:t>部分 专用合同条款</w:t>
      </w:r>
      <w:bookmarkEnd w:id="134"/>
      <w:bookmarkEnd w:id="135"/>
    </w:p>
    <w:p w14:paraId="6F074363">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36" w:name="_Toc418751789"/>
      <w:bookmarkStart w:id="137" w:name="_Toc497747171"/>
      <w:bookmarkStart w:id="138" w:name="_Toc256000172"/>
      <w:bookmarkStart w:id="139" w:name="_Toc418752235"/>
      <w:bookmarkStart w:id="140" w:name="_Toc497746774"/>
      <w:bookmarkStart w:id="141" w:name="_Toc351203633"/>
      <w:bookmarkStart w:id="142" w:name="_Toc522201723"/>
      <w:bookmarkStart w:id="143" w:name="_Toc406522213"/>
      <w:bookmarkStart w:id="144" w:name="_Toc15842"/>
      <w:bookmarkStart w:id="145" w:name="_Toc484024116"/>
      <w:r>
        <w:rPr>
          <w:rFonts w:hint="eastAsia" w:ascii="宋体" w:cs="宋体"/>
          <w:color w:val="auto"/>
          <w:highlight w:val="none"/>
        </w:rPr>
        <w:t>1</w:t>
      </w:r>
      <w:bookmarkStart w:id="146" w:name="_Toc296944495"/>
      <w:bookmarkStart w:id="147" w:name="_Toc296891196"/>
      <w:bookmarkStart w:id="148" w:name="_Toc297048342"/>
      <w:bookmarkStart w:id="149" w:name="_Toc296346657"/>
      <w:bookmarkStart w:id="150" w:name="_Toc292559866"/>
      <w:bookmarkStart w:id="151" w:name="_Toc296890984"/>
      <w:bookmarkStart w:id="152" w:name="_Toc297120456"/>
      <w:bookmarkStart w:id="153" w:name="_Toc296503156"/>
      <w:bookmarkStart w:id="154" w:name="_Toc296347155"/>
      <w:bookmarkStart w:id="155" w:name="_Toc292559361"/>
      <w:r>
        <w:rPr>
          <w:rFonts w:hint="eastAsia" w:ascii="宋体" w:cs="宋体"/>
          <w:color w:val="auto"/>
          <w:highlight w:val="none"/>
        </w:rPr>
        <w:t>. 一般约定</w:t>
      </w:r>
      <w:bookmarkEnd w:id="136"/>
      <w:bookmarkEnd w:id="137"/>
      <w:bookmarkEnd w:id="138"/>
      <w:bookmarkEnd w:id="139"/>
      <w:bookmarkEnd w:id="140"/>
      <w:bookmarkEnd w:id="141"/>
      <w:bookmarkEnd w:id="142"/>
      <w:bookmarkEnd w:id="143"/>
      <w:bookmarkEnd w:id="144"/>
    </w:p>
    <w:bookmarkEnd w:id="146"/>
    <w:bookmarkEnd w:id="147"/>
    <w:bookmarkEnd w:id="148"/>
    <w:bookmarkEnd w:id="149"/>
    <w:bookmarkEnd w:id="150"/>
    <w:bookmarkEnd w:id="151"/>
    <w:bookmarkEnd w:id="152"/>
    <w:bookmarkEnd w:id="153"/>
    <w:bookmarkEnd w:id="154"/>
    <w:bookmarkEnd w:id="155"/>
    <w:p w14:paraId="6014977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6" w:name="_Toc256000173"/>
      <w:bookmarkStart w:id="157" w:name="_Toc418752236"/>
      <w:bookmarkStart w:id="158" w:name="_Toc20657"/>
      <w:bookmarkStart w:id="159" w:name="_Toc406522214"/>
      <w:bookmarkStart w:id="160" w:name="_Toc418751790"/>
      <w:bookmarkStart w:id="161" w:name="_Toc497746775"/>
      <w:bookmarkStart w:id="162" w:name="_Toc522201724"/>
      <w:bookmarkStart w:id="163" w:name="_Toc497747172"/>
      <w:r>
        <w:rPr>
          <w:rFonts w:hint="eastAsia" w:ascii="宋体" w:cs="宋体"/>
          <w:color w:val="auto"/>
          <w:highlight w:val="none"/>
        </w:rPr>
        <w:t>1.1 词语定义</w:t>
      </w:r>
      <w:bookmarkEnd w:id="156"/>
      <w:bookmarkEnd w:id="157"/>
      <w:bookmarkEnd w:id="158"/>
      <w:bookmarkEnd w:id="159"/>
      <w:bookmarkEnd w:id="160"/>
      <w:bookmarkEnd w:id="161"/>
      <w:bookmarkEnd w:id="162"/>
      <w:bookmarkEnd w:id="163"/>
    </w:p>
    <w:p w14:paraId="3627FEC9">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1.1.1合同</w:t>
      </w:r>
    </w:p>
    <w:p w14:paraId="5A923A2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1.1.1.10其他合同文件包括：</w:t>
      </w:r>
      <w:r>
        <w:rPr>
          <w:rFonts w:hint="eastAsia" w:ascii="宋体" w:hAnsi="宋体" w:cs="宋体"/>
          <w:color w:val="auto"/>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及其他合同文件</w:t>
      </w:r>
      <w:r>
        <w:rPr>
          <w:rFonts w:hint="eastAsia" w:ascii="宋体" w:hAnsi="宋体" w:cs="宋体"/>
          <w:color w:val="auto"/>
          <w:highlight w:val="none"/>
        </w:rPr>
        <w:t>。</w:t>
      </w:r>
    </w:p>
    <w:p w14:paraId="4799C7E3">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 合同当事人及其他相关方</w:t>
      </w:r>
    </w:p>
    <w:p w14:paraId="4BED89BE">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1.1.2.4监理人：</w:t>
      </w:r>
    </w:p>
    <w:p w14:paraId="63FF8B6C">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3E0C706">
      <w:pPr>
        <w:pStyle w:val="251"/>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C9B0CEA">
      <w:pPr>
        <w:pStyle w:val="251"/>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E5439DE">
      <w:pPr>
        <w:pStyle w:val="251"/>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B5E3A66">
      <w:pPr>
        <w:pStyle w:val="251"/>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6A8E6B">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1.1.2.5 设计人：</w:t>
      </w:r>
    </w:p>
    <w:p w14:paraId="2D995B6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566B6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C1250C">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382C6D4">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3D801B">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C81AFF">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 工程和设备</w:t>
      </w:r>
    </w:p>
    <w:p w14:paraId="03897BE2">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w:t>
      </w:r>
      <w:r>
        <w:rPr>
          <w:color w:val="auto"/>
          <w:spacing w:val="8"/>
          <w:sz w:val="20"/>
          <w:szCs w:val="20"/>
          <w:highlight w:val="none"/>
          <w:u w:val="single" w:color="auto"/>
        </w:rPr>
        <w:t xml:space="preserve"> 临</w:t>
      </w:r>
      <w:r>
        <w:rPr>
          <w:color w:val="auto"/>
          <w:spacing w:val="7"/>
          <w:sz w:val="20"/>
          <w:szCs w:val="20"/>
          <w:highlight w:val="none"/>
          <w:u w:val="single" w:color="auto"/>
        </w:rPr>
        <w:t>时设施和临时用地</w:t>
      </w:r>
      <w:r>
        <w:rPr>
          <w:rFonts w:hint="eastAsia"/>
          <w:color w:val="auto"/>
          <w:spacing w:val="7"/>
          <w:sz w:val="20"/>
          <w:szCs w:val="20"/>
          <w:highlight w:val="none"/>
          <w:u w:val="single" w:color="auto"/>
          <w:lang w:val="en-US" w:eastAsia="zh-CN"/>
        </w:rPr>
        <w:t xml:space="preserve"> </w:t>
      </w:r>
      <w:r>
        <w:rPr>
          <w:rFonts w:hint="eastAsia" w:ascii="宋体" w:hAnsi="宋体" w:cs="宋体"/>
          <w:color w:val="auto"/>
          <w:highlight w:val="none"/>
        </w:rPr>
        <w:t>。</w:t>
      </w:r>
    </w:p>
    <w:p w14:paraId="22E8B3E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1.1.3.9 永久占地包括：</w:t>
      </w:r>
      <w:r>
        <w:rPr>
          <w:rFonts w:hint="eastAsia" w:ascii="宋体" w:hAnsi="宋体" w:cs="宋体"/>
          <w:color w:val="auto"/>
          <w:highlight w:val="none"/>
          <w:u w:val="single"/>
        </w:rPr>
        <w:t xml:space="preserve">  </w:t>
      </w:r>
      <w:r>
        <w:rPr>
          <w:color w:val="auto"/>
          <w:spacing w:val="8"/>
          <w:sz w:val="20"/>
          <w:szCs w:val="20"/>
          <w:highlight w:val="none"/>
          <w:u w:val="single" w:color="auto"/>
        </w:rPr>
        <w:t>为实施工程</w:t>
      </w:r>
      <w:r>
        <w:rPr>
          <w:color w:val="auto"/>
          <w:spacing w:val="7"/>
          <w:sz w:val="20"/>
          <w:szCs w:val="20"/>
          <w:highlight w:val="none"/>
          <w:u w:val="single" w:color="auto"/>
        </w:rPr>
        <w:t>需永久占用的土地（建、构筑物用地）</w:t>
      </w:r>
      <w:r>
        <w:rPr>
          <w:rFonts w:ascii="宋体" w:hAnsi="宋体" w:cs="宋体"/>
          <w:color w:val="auto"/>
          <w:highlight w:val="none"/>
          <w:u w:val="single"/>
        </w:rPr>
        <w:t></w:t>
      </w:r>
      <w:r>
        <w:rPr>
          <w:rFonts w:hint="eastAsia" w:ascii="宋体" w:hAnsi="宋体" w:cs="宋体"/>
          <w:color w:val="auto"/>
          <w:highlight w:val="none"/>
        </w:rPr>
        <w:t>。</w:t>
      </w:r>
    </w:p>
    <w:p w14:paraId="4F32A7F1">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1.1.3.10 临时占地包括：</w:t>
      </w:r>
      <w:r>
        <w:rPr>
          <w:rFonts w:hint="eastAsia" w:ascii="宋体" w:hAnsi="宋体" w:cs="宋体"/>
          <w:color w:val="auto"/>
          <w:highlight w:val="none"/>
          <w:u w:val="single"/>
        </w:rPr>
        <w:t xml:space="preserve"> </w:t>
      </w:r>
      <w:r>
        <w:rPr>
          <w:color w:val="auto"/>
          <w:spacing w:val="8"/>
          <w:sz w:val="20"/>
          <w:szCs w:val="20"/>
          <w:highlight w:val="none"/>
          <w:u w:val="single" w:color="auto"/>
        </w:rPr>
        <w:t>为实施工程需临时占用的土地（临时设施和临时用地所占位置）</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5E2D93D">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4" w:name="_Toc497747173"/>
      <w:bookmarkStart w:id="165" w:name="_Toc522201725"/>
      <w:bookmarkStart w:id="166" w:name="_Toc3978"/>
      <w:bookmarkStart w:id="167" w:name="_Toc406522215"/>
      <w:bookmarkStart w:id="168" w:name="_Toc418751791"/>
      <w:bookmarkStart w:id="169" w:name="_Toc497746776"/>
      <w:bookmarkStart w:id="170" w:name="_Toc418752237"/>
      <w:bookmarkStart w:id="171" w:name="_Toc256000174"/>
      <w:r>
        <w:rPr>
          <w:rFonts w:hint="eastAsia" w:ascii="宋体" w:cs="宋体"/>
          <w:color w:val="auto"/>
          <w:highlight w:val="none"/>
        </w:rPr>
        <w:t>1.3法律</w:t>
      </w:r>
      <w:bookmarkEnd w:id="164"/>
      <w:bookmarkEnd w:id="165"/>
      <w:bookmarkEnd w:id="166"/>
      <w:bookmarkEnd w:id="167"/>
      <w:bookmarkEnd w:id="168"/>
      <w:bookmarkEnd w:id="169"/>
      <w:bookmarkEnd w:id="170"/>
      <w:bookmarkEnd w:id="171"/>
      <w:r>
        <w:rPr>
          <w:rFonts w:hint="eastAsia" w:ascii="宋体" w:cs="宋体"/>
          <w:color w:val="auto"/>
          <w:highlight w:val="none"/>
        </w:rPr>
        <w:t xml:space="preserve"> </w:t>
      </w:r>
    </w:p>
    <w:p w14:paraId="40F9C77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适用于合同的其他规范性文件：</w:t>
      </w:r>
      <w:r>
        <w:rPr>
          <w:color w:val="auto"/>
          <w:spacing w:val="9"/>
          <w:sz w:val="20"/>
          <w:szCs w:val="20"/>
          <w:highlight w:val="none"/>
          <w:u w:val="single" w:color="auto"/>
        </w:rPr>
        <w:t>国家、广西壮族自治区、桂林市有关工程建设的法规及规范性文件</w:t>
      </w:r>
      <w:r>
        <w:rPr>
          <w:rFonts w:hint="eastAsia" w:ascii="宋体" w:hAnsi="宋体" w:cs="宋体"/>
          <w:color w:val="auto"/>
          <w:highlight w:val="none"/>
        </w:rPr>
        <w:t>。</w:t>
      </w:r>
    </w:p>
    <w:p w14:paraId="1823CC4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2" w:name="_Toc418752238"/>
      <w:bookmarkStart w:id="173" w:name="_Toc418751792"/>
      <w:bookmarkStart w:id="174" w:name="_Toc20704"/>
      <w:bookmarkStart w:id="175" w:name="_Toc522201726"/>
      <w:bookmarkStart w:id="176" w:name="_Toc497746777"/>
      <w:bookmarkStart w:id="177" w:name="_Toc497747174"/>
      <w:bookmarkStart w:id="178" w:name="_Toc406522216"/>
      <w:bookmarkStart w:id="179" w:name="_Toc256000175"/>
      <w:r>
        <w:rPr>
          <w:rFonts w:hint="eastAsia" w:ascii="宋体" w:cs="宋体"/>
          <w:color w:val="auto"/>
          <w:highlight w:val="none"/>
        </w:rPr>
        <w:t>1.4 标准和规范</w:t>
      </w:r>
      <w:bookmarkEnd w:id="172"/>
      <w:bookmarkEnd w:id="173"/>
      <w:bookmarkEnd w:id="174"/>
      <w:bookmarkEnd w:id="175"/>
      <w:bookmarkEnd w:id="176"/>
      <w:bookmarkEnd w:id="177"/>
      <w:bookmarkEnd w:id="178"/>
      <w:bookmarkEnd w:id="179"/>
    </w:p>
    <w:p w14:paraId="37D3D9BC">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1.4.1适用于工程的标准规范包括：</w:t>
      </w:r>
      <w:r>
        <w:rPr>
          <w:color w:val="auto"/>
          <w:spacing w:val="7"/>
          <w:sz w:val="20"/>
          <w:szCs w:val="20"/>
          <w:highlight w:val="none"/>
          <w:u w:val="single" w:color="auto"/>
        </w:rPr>
        <w:t>同通用</w:t>
      </w:r>
      <w:r>
        <w:rPr>
          <w:color w:val="auto"/>
          <w:spacing w:val="6"/>
          <w:sz w:val="20"/>
          <w:szCs w:val="20"/>
          <w:highlight w:val="none"/>
          <w:u w:val="single" w:color="auto"/>
        </w:rPr>
        <w:t>条款</w:t>
      </w:r>
      <w:r>
        <w:rPr>
          <w:rFonts w:hint="eastAsia" w:ascii="宋体" w:hAnsi="宋体" w:cs="宋体"/>
          <w:color w:val="auto"/>
          <w:highlight w:val="none"/>
        </w:rPr>
        <w:t>。</w:t>
      </w:r>
    </w:p>
    <w:p w14:paraId="0A0CEE2F">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1.4.2 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4782CCB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发包人提供国外标准、规范的份数：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FD30968">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A641DE4">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1.4.3发包人对工程的技术标准和功能要求的特殊要求：</w:t>
      </w:r>
      <w:r>
        <w:rPr>
          <w:rFonts w:hint="eastAsia" w:ascii="宋体" w:hAnsi="宋体" w:cs="宋体"/>
          <w:color w:val="auto"/>
          <w:highlight w:val="none"/>
          <w:u w:val="single"/>
        </w:rPr>
        <w:t xml:space="preserve">无 </w:t>
      </w:r>
      <w:r>
        <w:rPr>
          <w:rFonts w:hint="eastAsia" w:ascii="宋体" w:hAnsi="宋体" w:cs="宋体"/>
          <w:color w:val="auto"/>
          <w:highlight w:val="none"/>
        </w:rPr>
        <w:t>。</w:t>
      </w:r>
    </w:p>
    <w:p w14:paraId="113D922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0" w:name="_Toc406522217"/>
      <w:bookmarkStart w:id="181" w:name="_Toc418752239"/>
      <w:bookmarkStart w:id="182" w:name="_Toc497747175"/>
      <w:bookmarkStart w:id="183" w:name="_Toc497746778"/>
      <w:bookmarkStart w:id="184" w:name="_Toc10283"/>
      <w:bookmarkStart w:id="185" w:name="_Toc522201727"/>
      <w:bookmarkStart w:id="186" w:name="_Toc418751793"/>
      <w:bookmarkStart w:id="187" w:name="_Toc256000176"/>
      <w:r>
        <w:rPr>
          <w:rFonts w:hint="eastAsia" w:ascii="宋体" w:cs="宋体"/>
          <w:color w:val="auto"/>
          <w:highlight w:val="none"/>
        </w:rPr>
        <w:t>1.5 合同文件的优先顺序</w:t>
      </w:r>
      <w:bookmarkEnd w:id="180"/>
      <w:bookmarkEnd w:id="181"/>
      <w:bookmarkEnd w:id="182"/>
      <w:bookmarkEnd w:id="183"/>
      <w:bookmarkEnd w:id="184"/>
      <w:bookmarkEnd w:id="185"/>
      <w:bookmarkEnd w:id="186"/>
      <w:bookmarkEnd w:id="187"/>
    </w:p>
    <w:p w14:paraId="0279D81D">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合同文件组成及优先顺序为：</w:t>
      </w:r>
    </w:p>
    <w:p w14:paraId="785ADD45">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（1）合同协议书；</w:t>
      </w:r>
    </w:p>
    <w:p w14:paraId="5610E65B">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（2）中标通知书（如果有）；</w:t>
      </w:r>
    </w:p>
    <w:p w14:paraId="442FE4DF">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（3）投标函及其附录（如果有）；</w:t>
      </w:r>
    </w:p>
    <w:p w14:paraId="3F7110C0">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（4）专用合同条款及其附件；</w:t>
      </w:r>
    </w:p>
    <w:p w14:paraId="3EED6D91">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（5）通用合同条款；</w:t>
      </w:r>
    </w:p>
    <w:p w14:paraId="2A46D3F4">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（6）技术标准和要求 ；</w:t>
      </w:r>
    </w:p>
    <w:p w14:paraId="27EA1304">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（7）图纸（含图纸修改通知单及图纸设计变更文件） ；</w:t>
      </w:r>
    </w:p>
    <w:p w14:paraId="02BD200A">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（8）已标价工程量清单 ；</w:t>
      </w:r>
    </w:p>
    <w:p w14:paraId="093659A0">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（9）其他合同文件（包括本工程预算控制价造价成果文件、招标文件等文件）；</w:t>
      </w:r>
    </w:p>
    <w:p w14:paraId="45CB4B38">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10）《建设工程工程量清单计价规范（GB5050-2013）》及其广西实施细则及《关于建筑业实施营业税改征增值税后广西壮族自治区建设工程计价依据调整的通知》（桂建标〔2016〕17号）、《建设工程工程量清单计算规范（GB50854～50862-2013）》及其广西实施细则（修订本）。</w:t>
      </w:r>
    </w:p>
    <w:p w14:paraId="1BF3D2F9">
      <w:pPr>
        <w:pStyle w:val="244"/>
        <w:pageBreakBefore w:val="0"/>
        <w:widowControl w:val="0"/>
        <w:kinsoku/>
        <w:wordWrap/>
        <w:overflowPunct/>
        <w:topLinePunct w:val="0"/>
        <w:bidi w:val="0"/>
        <w:snapToGrid/>
        <w:spacing w:line="440" w:lineRule="exact"/>
        <w:ind w:firstLine="422" w:firstLineChars="200"/>
        <w:textAlignment w:val="auto"/>
        <w:outlineLvl w:val="9"/>
        <w:rPr>
          <w:rFonts w:ascii="宋体" w:cs="宋体"/>
          <w:color w:val="auto"/>
          <w:kern w:val="0"/>
          <w:highlight w:val="none"/>
        </w:rPr>
      </w:pPr>
      <w:bookmarkStart w:id="188" w:name="_Toc256000177"/>
      <w:bookmarkStart w:id="189" w:name="_Toc20879"/>
      <w:bookmarkStart w:id="190" w:name="_Toc497746779"/>
      <w:bookmarkStart w:id="191" w:name="_Toc418752240"/>
      <w:bookmarkStart w:id="192" w:name="_Toc497747176"/>
      <w:bookmarkStart w:id="193" w:name="_Toc406522218"/>
      <w:bookmarkStart w:id="194" w:name="_Toc522201728"/>
      <w:bookmarkStart w:id="195" w:name="_Toc418751794"/>
      <w:r>
        <w:rPr>
          <w:rFonts w:hint="eastAsia" w:ascii="宋体" w:cs="宋体"/>
          <w:color w:val="auto"/>
          <w:kern w:val="0"/>
          <w:highlight w:val="none"/>
        </w:rPr>
        <w:t>说明：（6）、（7）、（8）、（9）填空内容分别限于技术标准和要求、图纸、已标价工程量清单或预算书、其他合同文件四者之一，其优先顺序可根据采取的不同合同方式由双方约定。</w:t>
      </w:r>
      <w:bookmarkEnd w:id="188"/>
      <w:bookmarkEnd w:id="189"/>
    </w:p>
    <w:p w14:paraId="04BFF407">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6" w:name="_Toc256000178"/>
      <w:bookmarkStart w:id="197" w:name="_Toc1031"/>
      <w:r>
        <w:rPr>
          <w:rFonts w:hint="eastAsia" w:ascii="宋体" w:cs="宋体"/>
          <w:color w:val="auto"/>
          <w:highlight w:val="none"/>
        </w:rPr>
        <w:t>1.6 图纸和承包人文件</w:t>
      </w:r>
      <w:bookmarkEnd w:id="190"/>
      <w:bookmarkEnd w:id="191"/>
      <w:bookmarkEnd w:id="192"/>
      <w:bookmarkEnd w:id="193"/>
      <w:bookmarkEnd w:id="194"/>
      <w:bookmarkEnd w:id="195"/>
      <w:bookmarkEnd w:id="196"/>
      <w:bookmarkEnd w:id="197"/>
      <w:r>
        <w:rPr>
          <w:rFonts w:hint="eastAsia" w:ascii="宋体" w:cs="宋体"/>
          <w:color w:val="auto"/>
          <w:highlight w:val="none"/>
        </w:rPr>
        <w:tab/>
      </w:r>
    </w:p>
    <w:p w14:paraId="3EEC3546">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1.6.1 图纸的提供</w:t>
      </w:r>
    </w:p>
    <w:p w14:paraId="030B6BBD">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合同签订生效后7天内</w:t>
      </w:r>
      <w:r>
        <w:rPr>
          <w:rFonts w:hint="eastAsia" w:ascii="宋体" w:hAnsi="宋体" w:cs="宋体"/>
          <w:color w:val="auto"/>
          <w:szCs w:val="21"/>
          <w:highlight w:val="none"/>
        </w:rPr>
        <w:t>；</w:t>
      </w:r>
    </w:p>
    <w:p w14:paraId="7E015909">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color w:val="auto"/>
          <w:spacing w:val="8"/>
          <w:sz w:val="20"/>
          <w:szCs w:val="20"/>
          <w:highlight w:val="none"/>
          <w:u w:val="single" w:color="auto"/>
        </w:rPr>
        <w:t>图纸和其他技术资料壹份（标准图集由承包人自备</w:t>
      </w:r>
      <w:r>
        <w:rPr>
          <w:color w:val="auto"/>
          <w:spacing w:val="9"/>
          <w:sz w:val="20"/>
          <w:szCs w:val="20"/>
          <w:highlight w:val="none"/>
          <w:u w:val="single" w:color="auto"/>
        </w:rPr>
        <w:t>）</w:t>
      </w:r>
      <w:r>
        <w:rPr>
          <w:rFonts w:hint="eastAsia" w:ascii="宋体" w:hAnsi="宋体" w:cs="宋体"/>
          <w:color w:val="auto"/>
          <w:szCs w:val="21"/>
          <w:highlight w:val="none"/>
          <w:u w:val="single"/>
        </w:rPr>
        <w:t>。</w:t>
      </w:r>
    </w:p>
    <w:p w14:paraId="5C1CDC0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color w:val="auto"/>
          <w:spacing w:val="9"/>
          <w:sz w:val="20"/>
          <w:szCs w:val="20"/>
          <w:highlight w:val="none"/>
          <w:u w:val="single" w:color="auto"/>
        </w:rPr>
        <w:t>与本项目相关的全套施工图纸、设计变更图和其他涉及工程施工所</w:t>
      </w:r>
      <w:r>
        <w:rPr>
          <w:color w:val="auto"/>
          <w:spacing w:val="5"/>
          <w:sz w:val="20"/>
          <w:szCs w:val="20"/>
          <w:highlight w:val="none"/>
          <w:u w:val="single" w:color="auto"/>
        </w:rPr>
        <w:t>需的技术资</w:t>
      </w:r>
      <w:r>
        <w:rPr>
          <w:rFonts w:hint="eastAsia" w:ascii="宋体" w:hAnsi="宋体" w:cs="宋体"/>
          <w:color w:val="auto"/>
          <w:szCs w:val="21"/>
          <w:highlight w:val="none"/>
        </w:rPr>
        <w:t>。</w:t>
      </w:r>
    </w:p>
    <w:p w14:paraId="4BD257DD">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1.6.4 承包人文件</w:t>
      </w:r>
    </w:p>
    <w:p w14:paraId="447CDD4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需要由承包人提供的文件，包括：</w:t>
      </w:r>
      <w:r>
        <w:rPr>
          <w:color w:val="auto"/>
          <w:spacing w:val="9"/>
          <w:sz w:val="20"/>
          <w:szCs w:val="20"/>
          <w:highlight w:val="none"/>
          <w:u w:val="single" w:color="auto"/>
        </w:rPr>
        <w:t>除专用合同条款约定的由承包人提供的设计文件外，本项约定的其他应由承包人提供的文件，包括必要的加工图和大样图，均不是合同计量与支付的依据文件。由承包人提供的文件范围：施工图以外的大样图、加工图、标准图等</w:t>
      </w:r>
      <w:r>
        <w:rPr>
          <w:rFonts w:hint="eastAsia" w:ascii="宋体" w:hAnsi="宋体" w:cs="宋体"/>
          <w:color w:val="auto"/>
          <w:szCs w:val="21"/>
          <w:highlight w:val="none"/>
          <w:u w:val="single"/>
        </w:rPr>
        <w:t>。</w:t>
      </w:r>
    </w:p>
    <w:p w14:paraId="345FA058">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 xml:space="preserve">  构件开始施工前 7 天内</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p w14:paraId="727C654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 xml:space="preserve">   5 份  </w:t>
      </w:r>
      <w:r>
        <w:rPr>
          <w:rFonts w:hint="eastAsia" w:ascii="宋体" w:hAnsi="宋体" w:cs="宋体"/>
          <w:color w:val="auto"/>
          <w:szCs w:val="21"/>
          <w:highlight w:val="none"/>
        </w:rPr>
        <w:t>；</w:t>
      </w:r>
    </w:p>
    <w:p w14:paraId="1681FB54">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eastAsia="zh-CN"/>
        </w:rPr>
        <w:t xml:space="preserve">书面及电子文档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26E6D30">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 xml:space="preserve"> </w:t>
      </w:r>
      <w:r>
        <w:rPr>
          <w:rFonts w:ascii="宋体" w:hAnsi="宋体" w:eastAsia="宋体" w:cs="宋体"/>
          <w:color w:val="auto"/>
          <w:spacing w:val="7"/>
          <w:sz w:val="20"/>
          <w:szCs w:val="20"/>
          <w:highlight w:val="none"/>
          <w:u w:val="single" w:color="auto"/>
        </w:rPr>
        <w:t>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ascii="宋体" w:hAnsi="宋体" w:eastAsia="宋体" w:cs="宋体"/>
          <w:color w:val="auto"/>
          <w:spacing w:val="5"/>
          <w:sz w:val="20"/>
          <w:szCs w:val="20"/>
          <w:highlight w:val="none"/>
          <w:u w:val="single" w:color="auto"/>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139271A">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1.6.5 现场图纸准备</w:t>
      </w:r>
    </w:p>
    <w:p w14:paraId="52C24049">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关于现场图纸准备的约定：</w:t>
      </w:r>
      <w:r>
        <w:rPr>
          <w:rFonts w:hint="eastAsia" w:ascii="宋体" w:hAnsi="宋体" w:cs="宋体"/>
          <w:color w:val="auto"/>
          <w:highlight w:val="none"/>
          <w:u w:val="single"/>
        </w:rPr>
        <w:t xml:space="preserve"> </w:t>
      </w:r>
      <w:r>
        <w:rPr>
          <w:rFonts w:ascii="宋体" w:hAnsi="宋体" w:eastAsia="宋体" w:cs="宋体"/>
          <w:color w:val="auto"/>
          <w:spacing w:val="9"/>
          <w:sz w:val="20"/>
          <w:szCs w:val="20"/>
          <w:highlight w:val="none"/>
          <w:u w:val="single" w:color="auto"/>
        </w:rPr>
        <w:t>承包人在施工现场保存至少四</w:t>
      </w:r>
      <w:r>
        <w:rPr>
          <w:rFonts w:ascii="宋体" w:hAnsi="宋体" w:eastAsia="宋体" w:cs="宋体"/>
          <w:color w:val="auto"/>
          <w:spacing w:val="8"/>
          <w:sz w:val="20"/>
          <w:szCs w:val="20"/>
          <w:highlight w:val="none"/>
          <w:u w:val="single" w:color="auto"/>
        </w:rPr>
        <w:t>套完整施工图</w:t>
      </w:r>
      <w:r>
        <w:rPr>
          <w:rFonts w:hint="eastAsia" w:ascii="宋体" w:hAnsi="宋体" w:cs="宋体"/>
          <w:color w:val="auto"/>
          <w:highlight w:val="none"/>
        </w:rPr>
        <w:t>。</w:t>
      </w:r>
    </w:p>
    <w:p w14:paraId="01B4A190">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8" w:name="_Toc418751795"/>
      <w:bookmarkStart w:id="199" w:name="_Toc27494"/>
      <w:bookmarkStart w:id="200" w:name="_Toc406522219"/>
      <w:bookmarkStart w:id="201" w:name="_Toc522201729"/>
      <w:bookmarkStart w:id="202" w:name="_Toc497747177"/>
      <w:bookmarkStart w:id="203" w:name="_Toc418752241"/>
      <w:bookmarkStart w:id="204" w:name="_Toc256000179"/>
      <w:bookmarkStart w:id="205" w:name="_Toc497746780"/>
      <w:r>
        <w:rPr>
          <w:rFonts w:hint="eastAsia" w:ascii="宋体" w:cs="宋体"/>
          <w:color w:val="auto"/>
          <w:highlight w:val="none"/>
        </w:rPr>
        <w:t>1.7 联络</w:t>
      </w:r>
      <w:bookmarkEnd w:id="198"/>
      <w:bookmarkEnd w:id="199"/>
      <w:bookmarkEnd w:id="200"/>
      <w:bookmarkEnd w:id="201"/>
      <w:bookmarkEnd w:id="202"/>
      <w:bookmarkEnd w:id="203"/>
      <w:bookmarkEnd w:id="204"/>
      <w:bookmarkEnd w:id="205"/>
    </w:p>
    <w:p w14:paraId="78C279BF">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1.7.1发包人和承包人应当在</w:t>
      </w:r>
      <w:r>
        <w:rPr>
          <w:rFonts w:hint="eastAsia" w:ascii="宋体" w:hAnsi="宋体" w:cs="宋体"/>
          <w:color w:val="auto"/>
          <w:highlight w:val="none"/>
          <w:u w:val="single"/>
        </w:rPr>
        <w:t xml:space="preserve"> </w:t>
      </w:r>
      <w:r>
        <w:rPr>
          <w:rFonts w:ascii="宋体" w:hAnsi="宋体" w:eastAsia="宋体" w:cs="宋体"/>
          <w:color w:val="auto"/>
          <w:spacing w:val="6"/>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天内将与合同有关的通知、批准、证明、证书、指示、指令、要求、请求、同意、意见、确定和决定等书面函件送达对方当事人。</w:t>
      </w:r>
    </w:p>
    <w:p w14:paraId="78D1801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1.7.2发包人接收文件的地点：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桂林市区内</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A3DFB4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双方按实际情况现场约定</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7CCE59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发包人资料室</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0B3F745F">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中标后填写</w:t>
      </w:r>
      <w:r>
        <w:rPr>
          <w:rFonts w:ascii="宋体" w:hAnsi="宋体" w:eastAsia="宋体" w:cs="宋体"/>
          <w:color w:val="auto"/>
          <w:spacing w:val="7"/>
          <w:sz w:val="20"/>
          <w:szCs w:val="20"/>
          <w:highlight w:val="none"/>
          <w:u w:val="single" w:color="auto"/>
        </w:rPr>
        <w:t xml:space="preserve">  </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8496B59">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发包人资料室</w:t>
      </w:r>
      <w:r>
        <w:rPr>
          <w:rFonts w:hint="eastAsia" w:ascii="宋体" w:hAnsi="宋体" w:cs="宋体"/>
          <w:color w:val="auto"/>
          <w:kern w:val="0"/>
          <w:szCs w:val="21"/>
          <w:highlight w:val="none"/>
        </w:rPr>
        <w:t>；</w:t>
      </w:r>
    </w:p>
    <w:p w14:paraId="13E0D5B2">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监理人指定的接收人为：</w:t>
      </w:r>
      <w:r>
        <w:rPr>
          <w:rFonts w:hint="eastAsia" w:ascii="宋体" w:hAnsi="宋体" w:cs="宋体"/>
          <w:color w:val="auto"/>
          <w:highlight w:val="none"/>
          <w:u w:val="single"/>
        </w:rPr>
        <w:t xml:space="preserve"> </w:t>
      </w:r>
      <w:r>
        <w:rPr>
          <w:rFonts w:ascii="宋体" w:hAnsi="宋体" w:eastAsia="宋体" w:cs="宋体"/>
          <w:color w:val="auto"/>
          <w:spacing w:val="7"/>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65791CD">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06" w:name="_Toc406522220"/>
      <w:bookmarkStart w:id="207" w:name="_Toc497747178"/>
      <w:bookmarkStart w:id="208" w:name="_Toc497746781"/>
      <w:bookmarkStart w:id="209" w:name="_Toc22756"/>
      <w:bookmarkStart w:id="210" w:name="_Toc522201730"/>
      <w:bookmarkStart w:id="211" w:name="_Toc418752242"/>
      <w:bookmarkStart w:id="212" w:name="_Toc256000180"/>
      <w:bookmarkStart w:id="213" w:name="_Toc418751796"/>
      <w:r>
        <w:rPr>
          <w:rFonts w:hint="eastAsia" w:ascii="宋体" w:cs="宋体"/>
          <w:color w:val="auto"/>
          <w:highlight w:val="none"/>
        </w:rPr>
        <w:t>1.10 交通运输</w:t>
      </w:r>
      <w:bookmarkEnd w:id="206"/>
      <w:bookmarkEnd w:id="207"/>
      <w:bookmarkEnd w:id="208"/>
      <w:bookmarkEnd w:id="209"/>
      <w:bookmarkEnd w:id="210"/>
      <w:bookmarkEnd w:id="211"/>
      <w:bookmarkEnd w:id="212"/>
      <w:bookmarkEnd w:id="213"/>
    </w:p>
    <w:p w14:paraId="6BCDDBCB">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w:t>
      </w:r>
      <w:bookmarkStart w:id="214" w:name="_Toc312677986"/>
      <w:bookmarkStart w:id="215" w:name="_Toc303539100"/>
      <w:bookmarkStart w:id="216" w:name="_Toc318581155"/>
      <w:bookmarkStart w:id="217" w:name="_Toc300934943"/>
      <w:bookmarkStart w:id="218" w:name="_Toc304295521"/>
      <w:r>
        <w:rPr>
          <w:rFonts w:hint="eastAsia" w:ascii="宋体" w:hAnsi="宋体" w:cs="宋体"/>
          <w:color w:val="auto"/>
          <w:highlight w:val="none"/>
        </w:rPr>
        <w:t>.10.1 出入现场的权利</w:t>
      </w:r>
    </w:p>
    <w:p w14:paraId="5D2D7E1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关于出入现场的权利的约定：</w:t>
      </w:r>
      <w:r>
        <w:rPr>
          <w:rFonts w:hint="eastAsia" w:ascii="宋体" w:hAnsi="宋体" w:cs="宋体"/>
          <w:color w:val="auto"/>
          <w:highlight w:val="none"/>
          <w:u w:val="single"/>
        </w:rPr>
        <w:t xml:space="preserve"> </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214"/>
    <w:bookmarkEnd w:id="215"/>
    <w:bookmarkEnd w:id="216"/>
    <w:bookmarkEnd w:id="217"/>
    <w:bookmarkEnd w:id="218"/>
    <w:p w14:paraId="39A3DA89">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w:t>
      </w:r>
      <w:bookmarkStart w:id="219" w:name="_Toc312677987"/>
      <w:bookmarkStart w:id="220" w:name="_Toc303539101"/>
      <w:bookmarkStart w:id="221" w:name="_Toc304295522"/>
      <w:bookmarkStart w:id="222" w:name="_Toc300934944"/>
      <w:bookmarkStart w:id="223" w:name="_Toc318581156"/>
      <w:r>
        <w:rPr>
          <w:rFonts w:hint="eastAsia" w:ascii="宋体" w:hAnsi="宋体" w:cs="宋体"/>
          <w:color w:val="auto"/>
          <w:highlight w:val="none"/>
        </w:rPr>
        <w:t>.10.3 场内交通</w:t>
      </w:r>
    </w:p>
    <w:p w14:paraId="7AC15DBC">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关于场外交通和场内交通的边界的约定：</w:t>
      </w:r>
      <w:r>
        <w:rPr>
          <w:rFonts w:hint="eastAsia" w:ascii="宋体" w:hAnsi="宋体" w:cs="宋体"/>
          <w:color w:val="auto"/>
          <w:highlight w:val="none"/>
          <w:u w:val="single"/>
        </w:rPr>
        <w:t xml:space="preserve">  </w:t>
      </w:r>
      <w:r>
        <w:rPr>
          <w:rFonts w:ascii="宋体" w:hAnsi="宋体" w:eastAsia="宋体" w:cs="宋体"/>
          <w:color w:val="auto"/>
          <w:spacing w:val="8"/>
          <w:sz w:val="20"/>
          <w:szCs w:val="20"/>
          <w:highlight w:val="none"/>
          <w:u w:val="single" w:color="auto"/>
        </w:rPr>
        <w:t>以本工程规划红线范围及桩号界定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F867D0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关于发包人向承包人免费提供满足工程施工需要的场内道路和交通设施的约定：</w:t>
      </w:r>
      <w:r>
        <w:rPr>
          <w:rFonts w:ascii="宋体" w:hAnsi="宋体" w:eastAsia="宋体" w:cs="宋体"/>
          <w:color w:val="auto"/>
          <w:spacing w:val="9"/>
          <w:sz w:val="20"/>
          <w:szCs w:val="20"/>
          <w:highlight w:val="none"/>
          <w:u w:val="single" w:color="auto"/>
        </w:rPr>
        <w:t>承包人负责场内道路</w:t>
      </w:r>
      <w:r>
        <w:rPr>
          <w:rFonts w:ascii="宋体" w:hAnsi="宋体" w:eastAsia="宋体" w:cs="宋体"/>
          <w:color w:val="auto"/>
          <w:spacing w:val="8"/>
          <w:sz w:val="20"/>
          <w:szCs w:val="20"/>
          <w:highlight w:val="none"/>
          <w:u w:val="single" w:color="auto"/>
        </w:rPr>
        <w:t>和交通设施的修建并承担相应费用</w:t>
      </w:r>
      <w:r>
        <w:rPr>
          <w:rFonts w:hint="eastAsia" w:ascii="宋体" w:hAnsi="宋体" w:cs="宋体"/>
          <w:color w:val="auto"/>
          <w:highlight w:val="none"/>
        </w:rPr>
        <w:t>。</w:t>
      </w:r>
      <w:bookmarkEnd w:id="219"/>
      <w:bookmarkEnd w:id="220"/>
      <w:bookmarkEnd w:id="221"/>
      <w:bookmarkEnd w:id="222"/>
      <w:bookmarkEnd w:id="223"/>
      <w:r>
        <w:rPr>
          <w:rFonts w:hint="eastAsia" w:ascii="宋体" w:hAnsi="宋体" w:cs="宋体"/>
          <w:color w:val="auto"/>
          <w:highlight w:val="none"/>
        </w:rPr>
        <w:t xml:space="preserve">  </w:t>
      </w:r>
      <w:bookmarkStart w:id="224" w:name="_Toc318581157"/>
    </w:p>
    <w:p w14:paraId="290996DE">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1.10.4超大件和超重件的运输</w:t>
      </w:r>
    </w:p>
    <w:p w14:paraId="4B3AD9C1">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运输超大件或超重件所需的道路和桥梁临时加固改造费用和其他有关费用由</w:t>
      </w:r>
      <w:r>
        <w:rPr>
          <w:rFonts w:hint="eastAsia" w:ascii="宋体" w:hAnsi="宋体" w:cs="宋体"/>
          <w:color w:val="auto"/>
          <w:highlight w:val="none"/>
          <w:u w:val="single"/>
        </w:rPr>
        <w:t>承包人</w:t>
      </w:r>
      <w:r>
        <w:rPr>
          <w:rFonts w:hint="eastAsia" w:ascii="宋体" w:hAnsi="宋体" w:cs="宋体"/>
          <w:color w:val="auto"/>
          <w:highlight w:val="none"/>
        </w:rPr>
        <w:t>承担。</w:t>
      </w:r>
    </w:p>
    <w:bookmarkEnd w:id="224"/>
    <w:p w14:paraId="1F1CE043">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25" w:name="_Toc418751797"/>
      <w:bookmarkStart w:id="226" w:name="_Toc522201731"/>
      <w:bookmarkStart w:id="227" w:name="_Toc497747179"/>
      <w:bookmarkStart w:id="228" w:name="_Toc256000181"/>
      <w:bookmarkStart w:id="229" w:name="_Toc418752243"/>
      <w:bookmarkStart w:id="230" w:name="_Toc1482"/>
      <w:bookmarkStart w:id="231" w:name="_Toc406522221"/>
      <w:bookmarkStart w:id="232" w:name="_Toc497746782"/>
      <w:r>
        <w:rPr>
          <w:rFonts w:hint="eastAsia" w:ascii="宋体" w:cs="宋体"/>
          <w:color w:val="auto"/>
          <w:highlight w:val="none"/>
        </w:rPr>
        <w:t>1.11 知识产权</w:t>
      </w:r>
      <w:bookmarkEnd w:id="225"/>
      <w:bookmarkEnd w:id="226"/>
      <w:bookmarkEnd w:id="227"/>
      <w:bookmarkEnd w:id="228"/>
      <w:bookmarkEnd w:id="229"/>
      <w:bookmarkEnd w:id="230"/>
      <w:bookmarkEnd w:id="231"/>
      <w:bookmarkEnd w:id="232"/>
    </w:p>
    <w:p w14:paraId="246690C6">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highlight w:val="none"/>
          <w:u w:val="single"/>
        </w:rPr>
        <w:t>发包人</w:t>
      </w:r>
      <w:r>
        <w:rPr>
          <w:rFonts w:hint="eastAsia" w:ascii="宋体" w:hAnsi="宋体" w:cs="宋体"/>
          <w:color w:val="auto"/>
          <w:highlight w:val="none"/>
        </w:rPr>
        <w:t>。</w:t>
      </w:r>
    </w:p>
    <w:p w14:paraId="2152E280">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关于发包人提供的上述文件的使用限制的要求：</w:t>
      </w:r>
      <w:r>
        <w:rPr>
          <w:rFonts w:ascii="宋体" w:hAnsi="宋体" w:eastAsia="宋体" w:cs="宋体"/>
          <w:color w:val="auto"/>
          <w:spacing w:val="8"/>
          <w:sz w:val="20"/>
          <w:szCs w:val="20"/>
          <w:highlight w:val="none"/>
          <w:u w:val="single" w:color="auto"/>
        </w:rPr>
        <w:t>本项目</w:t>
      </w:r>
      <w:r>
        <w:rPr>
          <w:rFonts w:hint="eastAsia" w:ascii="宋体" w:hAnsi="宋体" w:cs="宋体"/>
          <w:color w:val="auto"/>
          <w:highlight w:val="none"/>
        </w:rPr>
        <w:t>。</w:t>
      </w:r>
    </w:p>
    <w:p w14:paraId="277AF261">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1.11.2 关于承包人为实施工程所编制文件的著作权的归属：</w:t>
      </w:r>
      <w:r>
        <w:rPr>
          <w:rFonts w:hint="eastAsia" w:ascii="宋体" w:hAnsi="宋体" w:cs="宋体"/>
          <w:color w:val="auto"/>
          <w:highlight w:val="none"/>
          <w:u w:val="single"/>
        </w:rPr>
        <w:t>发包人</w:t>
      </w:r>
      <w:r>
        <w:rPr>
          <w:rFonts w:hint="eastAsia" w:ascii="宋体" w:hAnsi="宋体" w:cs="宋体"/>
          <w:color w:val="auto"/>
          <w:highlight w:val="none"/>
        </w:rPr>
        <w:t>。</w:t>
      </w:r>
    </w:p>
    <w:p w14:paraId="5B870C68">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关于承包人提供的上述文件的使用限制的要求：</w:t>
      </w:r>
      <w:r>
        <w:rPr>
          <w:rFonts w:ascii="宋体" w:hAnsi="宋体" w:eastAsia="宋体" w:cs="宋体"/>
          <w:color w:val="auto"/>
          <w:spacing w:val="7"/>
          <w:sz w:val="20"/>
          <w:szCs w:val="20"/>
          <w:highlight w:val="none"/>
          <w:u w:val="single" w:color="auto"/>
        </w:rPr>
        <w:t>本项目</w:t>
      </w:r>
      <w:r>
        <w:rPr>
          <w:rFonts w:hint="eastAsia" w:ascii="宋体" w:hAnsi="宋体" w:cs="宋体"/>
          <w:color w:val="auto"/>
          <w:highlight w:val="none"/>
        </w:rPr>
        <w:t>。</w:t>
      </w:r>
    </w:p>
    <w:p w14:paraId="61FB8C29">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1.11.4 承包人在施工过程中所采用的专利、专有技术、技术秘密的使用费的承担方式：</w:t>
      </w:r>
      <w:r>
        <w:rPr>
          <w:rFonts w:hint="eastAsia" w:ascii="宋体" w:hAnsi="宋体" w:cs="宋体"/>
          <w:color w:val="auto"/>
          <w:highlight w:val="none"/>
          <w:u w:val="single"/>
        </w:rPr>
        <w:t>由承包人承担</w:t>
      </w:r>
      <w:r>
        <w:rPr>
          <w:rFonts w:hint="eastAsia" w:ascii="宋体" w:hAnsi="宋体" w:cs="宋体"/>
          <w:color w:val="auto"/>
          <w:highlight w:val="none"/>
        </w:rPr>
        <w:t>。</w:t>
      </w:r>
    </w:p>
    <w:p w14:paraId="1C673179">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1.13工程量清单错误的修正</w:t>
      </w:r>
    </w:p>
    <w:p w14:paraId="74CDFC4F">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出现工程量清单错误时，是否调整合同价格：</w:t>
      </w:r>
      <w:r>
        <w:rPr>
          <w:rFonts w:ascii="宋体" w:hAnsi="宋体" w:eastAsia="宋体" w:cs="宋体"/>
          <w:color w:val="auto"/>
          <w:spacing w:val="8"/>
          <w:sz w:val="20"/>
          <w:szCs w:val="20"/>
          <w:highlight w:val="none"/>
          <w:u w:val="single" w:color="auto"/>
        </w:rPr>
        <w:t xml:space="preserve"> 调整</w:t>
      </w:r>
      <w:r>
        <w:rPr>
          <w:rFonts w:hint="eastAsia" w:ascii="宋体" w:hAnsi="宋体" w:cs="宋体"/>
          <w:color w:val="auto"/>
          <w:highlight w:val="none"/>
          <w:u w:val="single"/>
        </w:rPr>
        <w:t>。</w:t>
      </w:r>
    </w:p>
    <w:p w14:paraId="7DAABE62">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 xml:space="preserve">允许调整合同价格的工程量偏差范围： </w:t>
      </w:r>
      <w:r>
        <w:rPr>
          <w:rFonts w:ascii="宋体" w:hAnsi="宋体" w:eastAsia="宋体" w:cs="宋体"/>
          <w:color w:val="auto"/>
          <w:spacing w:val="11"/>
          <w:sz w:val="20"/>
          <w:szCs w:val="20"/>
          <w:highlight w:val="none"/>
          <w:u w:val="single" w:color="auto"/>
        </w:rPr>
        <w:t>工程量清单存在缺项、漏项的,按实计算。调整办法按《建设工程工程量清单计价规范》（</w:t>
      </w:r>
      <w:r>
        <w:rPr>
          <w:rFonts w:ascii="宋体" w:hAnsi="宋体" w:eastAsia="宋体" w:cs="宋体"/>
          <w:color w:val="auto"/>
          <w:sz w:val="20"/>
          <w:szCs w:val="20"/>
          <w:highlight w:val="none"/>
          <w:u w:val="single" w:color="auto"/>
        </w:rPr>
        <w:t>GB</w:t>
      </w:r>
      <w:r>
        <w:rPr>
          <w:rFonts w:ascii="宋体" w:hAnsi="宋体" w:eastAsia="宋体" w:cs="宋体"/>
          <w:color w:val="auto"/>
          <w:spacing w:val="11"/>
          <w:sz w:val="20"/>
          <w:szCs w:val="20"/>
          <w:highlight w:val="none"/>
          <w:u w:val="single" w:color="auto"/>
        </w:rPr>
        <w:t>50500－2013）和及其广西壮族自治区实施细则、</w:t>
      </w:r>
      <w:r>
        <w:rPr>
          <w:rFonts w:ascii="宋体" w:hAnsi="宋体" w:eastAsia="宋体" w:cs="宋体"/>
          <w:color w:val="auto"/>
          <w:spacing w:val="10"/>
          <w:sz w:val="20"/>
          <w:szCs w:val="20"/>
          <w:highlight w:val="none"/>
          <w:u w:val="single" w:color="auto"/>
        </w:rPr>
        <w:t>《建设工程工程量清单</w:t>
      </w:r>
      <w:r>
        <w:rPr>
          <w:rFonts w:ascii="宋体" w:hAnsi="宋体" w:eastAsia="宋体" w:cs="宋体"/>
          <w:color w:val="auto"/>
          <w:spacing w:val="8"/>
          <w:sz w:val="20"/>
          <w:szCs w:val="20"/>
          <w:highlight w:val="none"/>
          <w:u w:val="single" w:color="auto"/>
        </w:rPr>
        <w:t>计算规范》（</w:t>
      </w:r>
      <w:r>
        <w:rPr>
          <w:rFonts w:ascii="宋体" w:hAnsi="宋体" w:eastAsia="宋体" w:cs="宋体"/>
          <w:color w:val="auto"/>
          <w:sz w:val="20"/>
          <w:szCs w:val="20"/>
          <w:highlight w:val="none"/>
          <w:u w:val="single" w:color="auto"/>
        </w:rPr>
        <w:t>GB</w:t>
      </w:r>
      <w:r>
        <w:rPr>
          <w:rFonts w:ascii="宋体" w:hAnsi="宋体" w:eastAsia="宋体" w:cs="宋体"/>
          <w:color w:val="auto"/>
          <w:spacing w:val="8"/>
          <w:sz w:val="20"/>
          <w:szCs w:val="20"/>
          <w:highlight w:val="none"/>
          <w:u w:val="single" w:color="auto"/>
        </w:rPr>
        <w:t>50854~50862－2013）及</w:t>
      </w:r>
      <w:r>
        <w:rPr>
          <w:rFonts w:ascii="宋体" w:hAnsi="宋体" w:eastAsia="宋体" w:cs="宋体"/>
          <w:color w:val="auto"/>
          <w:spacing w:val="7"/>
          <w:sz w:val="20"/>
          <w:szCs w:val="20"/>
          <w:highlight w:val="none"/>
          <w:u w:val="single" w:color="auto"/>
        </w:rPr>
        <w:t>其广西实施细则（修订本）</w:t>
      </w:r>
      <w:r>
        <w:rPr>
          <w:rFonts w:hint="eastAsia" w:ascii="宋体" w:hAnsi="宋体" w:cs="宋体"/>
          <w:color w:val="auto"/>
          <w:highlight w:val="none"/>
        </w:rPr>
        <w:t>。</w:t>
      </w:r>
    </w:p>
    <w:p w14:paraId="2F71AE44">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233" w:name="_Toc418752244"/>
      <w:bookmarkStart w:id="234" w:name="_Toc256000182"/>
      <w:bookmarkStart w:id="235" w:name="_Toc406522222"/>
      <w:bookmarkStart w:id="236" w:name="_Toc351203634"/>
      <w:bookmarkStart w:id="237" w:name="_Toc418751798"/>
      <w:bookmarkStart w:id="238" w:name="_Toc522201732"/>
      <w:bookmarkStart w:id="239" w:name="_Toc497746783"/>
      <w:bookmarkStart w:id="240" w:name="_Toc15972"/>
      <w:bookmarkStart w:id="241" w:name="_Toc497747180"/>
      <w:r>
        <w:rPr>
          <w:rFonts w:hint="eastAsia" w:ascii="宋体" w:cs="宋体"/>
          <w:color w:val="auto"/>
          <w:highlight w:val="none"/>
        </w:rPr>
        <w:t>2</w:t>
      </w:r>
      <w:bookmarkStart w:id="242" w:name="_Toc292559867"/>
      <w:bookmarkStart w:id="243" w:name="_Toc296890985"/>
      <w:bookmarkStart w:id="244" w:name="_Toc297120457"/>
      <w:bookmarkStart w:id="245" w:name="_Toc296944496"/>
      <w:bookmarkStart w:id="246" w:name="_Toc297048343"/>
      <w:bookmarkStart w:id="247" w:name="_Toc296346658"/>
      <w:bookmarkStart w:id="248" w:name="_Toc296503157"/>
      <w:bookmarkStart w:id="249" w:name="_Toc292559362"/>
      <w:bookmarkStart w:id="250" w:name="_Toc296347156"/>
      <w:bookmarkStart w:id="251" w:name="_Toc296891197"/>
      <w:r>
        <w:rPr>
          <w:rFonts w:hint="eastAsia" w:ascii="宋体" w:cs="宋体"/>
          <w:color w:val="auto"/>
          <w:highlight w:val="none"/>
        </w:rPr>
        <w:t>. 发包人</w:t>
      </w:r>
      <w:bookmarkEnd w:id="233"/>
      <w:bookmarkEnd w:id="234"/>
      <w:bookmarkEnd w:id="235"/>
      <w:bookmarkEnd w:id="236"/>
      <w:bookmarkEnd w:id="237"/>
      <w:bookmarkEnd w:id="238"/>
      <w:bookmarkEnd w:id="239"/>
      <w:bookmarkEnd w:id="240"/>
      <w:bookmarkEnd w:id="241"/>
    </w:p>
    <w:bookmarkEnd w:id="242"/>
    <w:bookmarkEnd w:id="243"/>
    <w:bookmarkEnd w:id="244"/>
    <w:bookmarkEnd w:id="245"/>
    <w:bookmarkEnd w:id="246"/>
    <w:bookmarkEnd w:id="247"/>
    <w:bookmarkEnd w:id="248"/>
    <w:bookmarkEnd w:id="249"/>
    <w:bookmarkEnd w:id="250"/>
    <w:bookmarkEnd w:id="251"/>
    <w:p w14:paraId="1EA2313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52" w:name="_Toc256000183"/>
      <w:bookmarkStart w:id="253" w:name="_Toc497747181"/>
      <w:bookmarkStart w:id="254" w:name="_Toc418752245"/>
      <w:bookmarkStart w:id="255" w:name="_Toc14432"/>
      <w:bookmarkStart w:id="256" w:name="_Toc406522223"/>
      <w:bookmarkStart w:id="257" w:name="_Toc497746784"/>
      <w:bookmarkStart w:id="258" w:name="_Toc522201733"/>
      <w:bookmarkStart w:id="259" w:name="_Toc418751799"/>
      <w:r>
        <w:rPr>
          <w:rFonts w:hint="eastAsia" w:ascii="宋体" w:cs="宋体"/>
          <w:color w:val="auto"/>
          <w:highlight w:val="none"/>
        </w:rPr>
        <w:t>2.2 发包人代表</w:t>
      </w:r>
      <w:bookmarkEnd w:id="252"/>
      <w:bookmarkEnd w:id="253"/>
      <w:bookmarkEnd w:id="254"/>
      <w:bookmarkEnd w:id="255"/>
      <w:bookmarkEnd w:id="256"/>
      <w:bookmarkEnd w:id="257"/>
      <w:bookmarkEnd w:id="258"/>
      <w:bookmarkEnd w:id="259"/>
    </w:p>
    <w:p w14:paraId="73B687B0">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发包人代表：</w:t>
      </w:r>
    </w:p>
    <w:p w14:paraId="08B958C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A0A297E">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C2A6B6F">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1EF0B13">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338C921">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A53E7D4">
      <w:pPr>
        <w:pStyle w:val="251"/>
        <w:pageBreakBefore w:val="0"/>
        <w:widowControl w:val="0"/>
        <w:kinsoku/>
        <w:wordWrap/>
        <w:overflowPunct/>
        <w:topLinePunct w:val="0"/>
        <w:bidi w:val="0"/>
        <w:snapToGrid/>
        <w:spacing w:line="440" w:lineRule="exact"/>
        <w:textAlignment w:val="auto"/>
        <w:rPr>
          <w:rFonts w:ascii="宋体" w:hAnsi="宋体" w:cs="宋体"/>
          <w:b/>
          <w:color w:val="auto"/>
          <w:highlight w:val="none"/>
        </w:rPr>
      </w:pPr>
      <w:r>
        <w:rPr>
          <w:rFonts w:hint="eastAsia" w:ascii="宋体" w:hAnsi="宋体" w:cs="宋体"/>
          <w:color w:val="auto"/>
          <w:highlight w:val="none"/>
        </w:rPr>
        <w:t>发包人对发包人代表的授权范围如下：</w:t>
      </w:r>
      <w:r>
        <w:rPr>
          <w:rFonts w:ascii="宋体" w:hAnsi="宋体" w:eastAsia="宋体" w:cs="宋体"/>
          <w:color w:val="auto"/>
          <w:spacing w:val="7"/>
          <w:sz w:val="20"/>
          <w:szCs w:val="20"/>
          <w:highlight w:val="none"/>
          <w:u w:val="single" w:color="auto"/>
        </w:rPr>
        <w:t>主持该项目施工过程中及</w:t>
      </w:r>
      <w:r>
        <w:rPr>
          <w:rFonts w:ascii="宋体" w:hAnsi="宋体" w:eastAsia="宋体" w:cs="宋体"/>
          <w:color w:val="auto"/>
          <w:spacing w:val="6"/>
          <w:sz w:val="20"/>
          <w:szCs w:val="20"/>
          <w:highlight w:val="none"/>
          <w:u w:val="single" w:color="auto"/>
        </w:rPr>
        <w:t>保修阶段的全过程管理。负责安全、</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u w:val="single" w:color="auto"/>
        </w:rPr>
        <w:t>质量、进度，监督材料、设备的定样，材料价格的确认，以及代表发包人对工程量造价的核算和工程结算、</w:t>
      </w:r>
      <w:r>
        <w:rPr>
          <w:rFonts w:ascii="宋体" w:hAnsi="宋体" w:eastAsia="宋体" w:cs="宋体"/>
          <w:color w:val="auto"/>
          <w:spacing w:val="9"/>
          <w:sz w:val="20"/>
          <w:szCs w:val="20"/>
          <w:highlight w:val="none"/>
          <w:u w:val="single" w:color="auto"/>
        </w:rPr>
        <w:t>工程安全、质量、进度、变更、认价、工程量的增减等所有相关文件的签字确认</w:t>
      </w:r>
      <w:r>
        <w:rPr>
          <w:rFonts w:hint="eastAsia" w:ascii="宋体" w:hAnsi="宋体" w:cs="宋体"/>
          <w:color w:val="auto"/>
          <w:highlight w:val="none"/>
        </w:rPr>
        <w:t>。</w:t>
      </w:r>
    </w:p>
    <w:p w14:paraId="2DB95A9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60" w:name="_Toc418752246"/>
      <w:bookmarkStart w:id="261" w:name="_Toc497746785"/>
      <w:bookmarkStart w:id="262" w:name="_Toc418751800"/>
      <w:bookmarkStart w:id="263" w:name="_Toc256000184"/>
      <w:bookmarkStart w:id="264" w:name="_Toc522201734"/>
      <w:bookmarkStart w:id="265" w:name="_Toc497747182"/>
      <w:bookmarkStart w:id="266" w:name="_Toc406522224"/>
      <w:bookmarkStart w:id="267" w:name="_Toc31231"/>
      <w:r>
        <w:rPr>
          <w:rFonts w:hint="eastAsia" w:ascii="宋体" w:cs="宋体"/>
          <w:color w:val="auto"/>
          <w:highlight w:val="none"/>
        </w:rPr>
        <w:t>2.4 施工现场、施工条件和基础资料的提供</w:t>
      </w:r>
      <w:bookmarkEnd w:id="260"/>
      <w:bookmarkEnd w:id="261"/>
      <w:bookmarkEnd w:id="262"/>
      <w:bookmarkEnd w:id="263"/>
      <w:bookmarkEnd w:id="264"/>
      <w:bookmarkEnd w:id="265"/>
      <w:bookmarkEnd w:id="266"/>
      <w:bookmarkEnd w:id="267"/>
    </w:p>
    <w:p w14:paraId="3C82159C">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2.4.1 提供施工现场</w:t>
      </w:r>
    </w:p>
    <w:p w14:paraId="69BC4623">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color w:val="auto"/>
          <w:highlight w:val="none"/>
          <w:u w:val="single"/>
        </w:rPr>
        <w:t xml:space="preserve"> </w:t>
      </w:r>
      <w:r>
        <w:rPr>
          <w:rFonts w:ascii="宋体" w:hAnsi="宋体" w:eastAsia="宋体" w:cs="宋体"/>
          <w:color w:val="auto"/>
          <w:spacing w:val="9"/>
          <w:sz w:val="20"/>
          <w:szCs w:val="20"/>
          <w:highlight w:val="none"/>
          <w:u w:val="single" w:color="auto"/>
        </w:rPr>
        <w:t>以发包人</w:t>
      </w:r>
      <w:r>
        <w:rPr>
          <w:rFonts w:ascii="宋体" w:hAnsi="宋体" w:eastAsia="宋体" w:cs="宋体"/>
          <w:color w:val="auto"/>
          <w:spacing w:val="8"/>
          <w:sz w:val="20"/>
          <w:szCs w:val="20"/>
          <w:highlight w:val="none"/>
          <w:u w:val="single" w:color="auto"/>
        </w:rPr>
        <w:t>发出的开工令为准</w:t>
      </w:r>
      <w:r>
        <w:rPr>
          <w:rFonts w:hint="eastAsia" w:ascii="宋体" w:hAnsi="宋体" w:cs="宋体"/>
          <w:color w:val="auto"/>
          <w:highlight w:val="none"/>
        </w:rPr>
        <w:t>。</w:t>
      </w:r>
    </w:p>
    <w:p w14:paraId="009538B5">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2.4.2 提供施工条件</w:t>
      </w:r>
    </w:p>
    <w:p w14:paraId="62B8DAC8">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关于发包人应负责提供施工所需要的条件，包括：</w:t>
      </w:r>
      <w:r>
        <w:rPr>
          <w:rFonts w:ascii="宋体" w:hAnsi="宋体" w:eastAsia="宋体" w:cs="宋体"/>
          <w:color w:val="auto"/>
          <w:spacing w:val="9"/>
          <w:sz w:val="20"/>
          <w:szCs w:val="20"/>
          <w:highlight w:val="none"/>
          <w:u w:val="single" w:color="auto"/>
        </w:rPr>
        <w:t>发包人按承包人的施工现场总平面布置图的要求于开工</w:t>
      </w:r>
      <w:r>
        <w:rPr>
          <w:rFonts w:ascii="宋体" w:hAnsi="宋体" w:eastAsia="宋体" w:cs="宋体"/>
          <w:color w:val="auto"/>
          <w:spacing w:val="8"/>
          <w:sz w:val="20"/>
          <w:szCs w:val="20"/>
          <w:highlight w:val="none"/>
          <w:u w:val="single" w:color="auto"/>
        </w:rPr>
        <w:t>7 日前达到三通一平的施工要求，将水、电接至距拟建建</w:t>
      </w:r>
      <w:r>
        <w:rPr>
          <w:rFonts w:ascii="宋体" w:hAnsi="宋体" w:eastAsia="宋体" w:cs="宋体"/>
          <w:color w:val="auto"/>
          <w:spacing w:val="7"/>
          <w:sz w:val="20"/>
          <w:szCs w:val="20"/>
          <w:highlight w:val="none"/>
          <w:u w:val="single" w:color="auto"/>
        </w:rPr>
        <w:t>筑物外墙（或构筑物外边线）50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7"/>
          <w:sz w:val="20"/>
          <w:szCs w:val="20"/>
          <w:highlight w:val="none"/>
          <w:u w:val="single" w:color="auto"/>
        </w:rPr>
        <w:t>米范围内。电讯</w:t>
      </w:r>
      <w:r>
        <w:rPr>
          <w:rFonts w:ascii="宋体" w:hAnsi="宋体" w:eastAsia="宋体" w:cs="宋体"/>
          <w:color w:val="auto"/>
          <w:spacing w:val="9"/>
          <w:sz w:val="20"/>
          <w:szCs w:val="20"/>
          <w:highlight w:val="none"/>
          <w:u w:val="single" w:color="auto"/>
        </w:rPr>
        <w:t>线路的接通由承包人自费解决；电气管线的接通由承包人自费解决；承包人施工期间的生活用水、电、电讯、</w:t>
      </w:r>
      <w:r>
        <w:rPr>
          <w:rFonts w:ascii="宋体" w:hAnsi="宋体" w:eastAsia="宋体" w:cs="宋体"/>
          <w:color w:val="auto"/>
          <w:spacing w:val="-60"/>
          <w:sz w:val="20"/>
          <w:szCs w:val="20"/>
          <w:highlight w:val="none"/>
          <w:u w:val="single" w:color="auto"/>
        </w:rPr>
        <w:t xml:space="preserve"> </w:t>
      </w:r>
      <w:r>
        <w:rPr>
          <w:rFonts w:ascii="宋体" w:hAnsi="宋体" w:eastAsia="宋体" w:cs="宋体"/>
          <w:color w:val="auto"/>
          <w:spacing w:val="9"/>
          <w:sz w:val="20"/>
          <w:szCs w:val="20"/>
          <w:highlight w:val="none"/>
          <w:u w:val="single" w:color="auto"/>
        </w:rPr>
        <w:t>电气费用由承包人支付；承包人负责在发包</w:t>
      </w:r>
      <w:r>
        <w:rPr>
          <w:rFonts w:ascii="宋体" w:hAnsi="宋体" w:eastAsia="宋体" w:cs="宋体"/>
          <w:color w:val="auto"/>
          <w:spacing w:val="8"/>
          <w:sz w:val="20"/>
          <w:szCs w:val="20"/>
          <w:highlight w:val="none"/>
          <w:u w:val="single" w:color="auto"/>
        </w:rPr>
        <w:t>人指定的部位安装计量表，水电费按表计量度数</w:t>
      </w:r>
      <w:r>
        <w:rPr>
          <w:rFonts w:hint="eastAsia" w:ascii="宋体" w:hAnsi="宋体" w:cs="宋体"/>
          <w:color w:val="auto"/>
          <w:highlight w:val="none"/>
        </w:rPr>
        <w:t>。</w:t>
      </w:r>
    </w:p>
    <w:p w14:paraId="063DECDC">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68" w:name="_Toc497746786"/>
      <w:bookmarkStart w:id="269" w:name="_Toc497747183"/>
      <w:bookmarkStart w:id="270" w:name="_Toc522201735"/>
      <w:bookmarkStart w:id="271" w:name="_Toc418752247"/>
      <w:bookmarkStart w:id="272" w:name="_Toc256000185"/>
      <w:bookmarkStart w:id="273" w:name="_Toc406522225"/>
      <w:bookmarkStart w:id="274" w:name="_Toc5533"/>
      <w:bookmarkStart w:id="275" w:name="_Toc418751801"/>
      <w:r>
        <w:rPr>
          <w:rFonts w:hint="eastAsia" w:ascii="宋体" w:cs="宋体"/>
          <w:color w:val="auto"/>
          <w:highlight w:val="none"/>
        </w:rPr>
        <w:t>2.5 资金来源证明及支付担保</w:t>
      </w:r>
      <w:bookmarkEnd w:id="268"/>
      <w:bookmarkEnd w:id="269"/>
      <w:bookmarkEnd w:id="270"/>
      <w:bookmarkEnd w:id="271"/>
      <w:bookmarkEnd w:id="272"/>
      <w:bookmarkEnd w:id="273"/>
      <w:bookmarkEnd w:id="274"/>
      <w:bookmarkEnd w:id="275"/>
    </w:p>
    <w:p w14:paraId="5CACA548">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发包人提供资金来源证明的期限要求：</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2312977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发包人是否提供支付担保：</w:t>
      </w:r>
      <w:r>
        <w:rPr>
          <w:rFonts w:hint="eastAsia" w:ascii="宋体" w:hAnsi="宋体" w:cs="宋体"/>
          <w:color w:val="auto"/>
          <w:highlight w:val="none"/>
          <w:u w:val="single"/>
        </w:rPr>
        <w:t xml:space="preserve">    否　　　   </w:t>
      </w:r>
      <w:r>
        <w:rPr>
          <w:rFonts w:hint="eastAsia" w:ascii="宋体" w:hAnsi="宋体" w:cs="宋体"/>
          <w:color w:val="auto"/>
          <w:highlight w:val="none"/>
        </w:rPr>
        <w:t>。</w:t>
      </w:r>
    </w:p>
    <w:p w14:paraId="6059C833">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发包人提供支付担保的形式：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46645F0">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276" w:name="_Toc256000186"/>
      <w:bookmarkStart w:id="277" w:name="_Toc522201736"/>
      <w:bookmarkStart w:id="278" w:name="_Toc497747184"/>
      <w:bookmarkStart w:id="279" w:name="_Toc418751802"/>
      <w:bookmarkStart w:id="280" w:name="_Toc5062"/>
      <w:bookmarkStart w:id="281" w:name="_Toc418752248"/>
      <w:bookmarkStart w:id="282" w:name="_Toc351203635"/>
      <w:bookmarkStart w:id="283" w:name="_Toc406522226"/>
      <w:bookmarkStart w:id="284" w:name="_Toc497746787"/>
      <w:r>
        <w:rPr>
          <w:rFonts w:hint="eastAsia" w:ascii="宋体" w:cs="宋体"/>
          <w:color w:val="auto"/>
          <w:highlight w:val="none"/>
        </w:rPr>
        <w:t>3</w:t>
      </w:r>
      <w:bookmarkStart w:id="285" w:name="_Toc296890986"/>
      <w:bookmarkStart w:id="286" w:name="_Toc296503158"/>
      <w:bookmarkStart w:id="287" w:name="_Toc296891198"/>
      <w:bookmarkStart w:id="288" w:name="_Toc296944497"/>
      <w:bookmarkStart w:id="289" w:name="_Toc297120458"/>
      <w:bookmarkStart w:id="290" w:name="_Toc296347157"/>
      <w:bookmarkStart w:id="291" w:name="_Toc297048344"/>
      <w:bookmarkStart w:id="292" w:name="_Toc296346659"/>
      <w:bookmarkStart w:id="293" w:name="_Toc292559868"/>
      <w:bookmarkStart w:id="294" w:name="_Toc292559363"/>
      <w:r>
        <w:rPr>
          <w:rFonts w:hint="eastAsia" w:ascii="宋体" w:cs="宋体"/>
          <w:color w:val="auto"/>
          <w:highlight w:val="none"/>
        </w:rPr>
        <w:t>. 承包人</w:t>
      </w:r>
      <w:bookmarkEnd w:id="276"/>
      <w:bookmarkEnd w:id="277"/>
      <w:bookmarkEnd w:id="278"/>
      <w:bookmarkEnd w:id="279"/>
      <w:bookmarkEnd w:id="280"/>
      <w:bookmarkEnd w:id="281"/>
      <w:bookmarkEnd w:id="282"/>
      <w:bookmarkEnd w:id="283"/>
      <w:bookmarkEnd w:id="284"/>
    </w:p>
    <w:bookmarkEnd w:id="285"/>
    <w:bookmarkEnd w:id="286"/>
    <w:bookmarkEnd w:id="287"/>
    <w:bookmarkEnd w:id="288"/>
    <w:bookmarkEnd w:id="289"/>
    <w:bookmarkEnd w:id="290"/>
    <w:bookmarkEnd w:id="291"/>
    <w:bookmarkEnd w:id="292"/>
    <w:bookmarkEnd w:id="293"/>
    <w:bookmarkEnd w:id="294"/>
    <w:p w14:paraId="799396BC">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95" w:name="_Toc406522227"/>
      <w:bookmarkStart w:id="296" w:name="_Toc3826"/>
      <w:bookmarkStart w:id="297" w:name="_Toc497747185"/>
      <w:bookmarkStart w:id="298" w:name="_Toc418751803"/>
      <w:bookmarkStart w:id="299" w:name="_Toc418752249"/>
      <w:bookmarkStart w:id="300" w:name="_Toc522201737"/>
      <w:bookmarkStart w:id="301" w:name="_Toc497746788"/>
      <w:bookmarkStart w:id="302" w:name="_Toc256000187"/>
      <w:r>
        <w:rPr>
          <w:rFonts w:hint="eastAsia" w:ascii="宋体" w:cs="宋体"/>
          <w:color w:val="auto"/>
          <w:highlight w:val="none"/>
        </w:rPr>
        <w:t>3.1 承包人的一般义务</w:t>
      </w:r>
      <w:bookmarkEnd w:id="295"/>
      <w:bookmarkEnd w:id="296"/>
      <w:bookmarkEnd w:id="297"/>
      <w:bookmarkEnd w:id="298"/>
      <w:bookmarkEnd w:id="299"/>
      <w:bookmarkEnd w:id="300"/>
      <w:bookmarkEnd w:id="301"/>
      <w:bookmarkEnd w:id="302"/>
    </w:p>
    <w:p w14:paraId="0499899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ascii="宋体" w:hAnsi="宋体" w:eastAsia="宋体" w:cs="宋体"/>
          <w:color w:val="auto"/>
          <w:spacing w:val="8"/>
          <w:sz w:val="20"/>
          <w:szCs w:val="20"/>
          <w:highlight w:val="none"/>
          <w:u w:val="single" w:color="auto"/>
        </w:rPr>
        <w:t>按相关规定</w:t>
      </w:r>
      <w:r>
        <w:rPr>
          <w:rFonts w:hint="eastAsia" w:ascii="宋体" w:hAnsi="宋体" w:cs="宋体"/>
          <w:color w:val="auto"/>
          <w:szCs w:val="21"/>
          <w:highlight w:val="none"/>
        </w:rPr>
        <w:t>。</w:t>
      </w:r>
    </w:p>
    <w:p w14:paraId="52A05F3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承包人需要提交的竣工资料套数：</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5</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6"/>
          <w:sz w:val="20"/>
          <w:szCs w:val="20"/>
          <w:highlight w:val="none"/>
          <w:u w:val="single" w:color="auto"/>
        </w:rPr>
        <w:t>份</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77EFE6F">
      <w:pPr>
        <w:pStyle w:val="246"/>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承包人提交的竣工资料的费用承担：</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由承包人自行承担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637BA2">
      <w:pPr>
        <w:pStyle w:val="246"/>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承包人提交的竣工资料移交时间：</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竣工验收</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pacing w:val="6"/>
          <w:sz w:val="20"/>
          <w:szCs w:val="20"/>
          <w:highlight w:val="none"/>
          <w:u w:val="single" w:color="auto"/>
        </w:rPr>
        <w:t>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6"/>
          <w:sz w:val="20"/>
          <w:szCs w:val="20"/>
          <w:highlight w:val="none"/>
          <w:u w:val="single" w:color="auto"/>
        </w:rPr>
        <w:t>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524687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承包人提交的竣工资料形式要求：</w:t>
      </w:r>
      <w:r>
        <w:rPr>
          <w:rFonts w:ascii="宋体" w:hAnsi="宋体" w:eastAsia="宋体" w:cs="宋体"/>
          <w:color w:val="auto"/>
          <w:spacing w:val="8"/>
          <w:sz w:val="20"/>
          <w:szCs w:val="20"/>
          <w:highlight w:val="none"/>
          <w:u w:val="single" w:color="auto"/>
        </w:rPr>
        <w:t xml:space="preserve"> 纸质和电子</w:t>
      </w:r>
      <w:r>
        <w:rPr>
          <w:rFonts w:ascii="宋体" w:hAnsi="宋体" w:eastAsia="宋体" w:cs="宋体"/>
          <w:color w:val="auto"/>
          <w:spacing w:val="7"/>
          <w:sz w:val="20"/>
          <w:szCs w:val="20"/>
          <w:highlight w:val="none"/>
          <w:u w:val="single" w:color="auto"/>
        </w:rPr>
        <w:t>文档</w:t>
      </w:r>
      <w:r>
        <w:rPr>
          <w:rFonts w:hint="eastAsia" w:ascii="宋体" w:hAnsi="宋体" w:cs="宋体"/>
          <w:color w:val="auto"/>
          <w:szCs w:val="21"/>
          <w:highlight w:val="none"/>
        </w:rPr>
        <w:t>。</w:t>
      </w:r>
    </w:p>
    <w:p w14:paraId="18FA59D3">
      <w:pPr>
        <w:pStyle w:val="246"/>
        <w:pageBreakBefore w:val="0"/>
        <w:widowControl w:val="0"/>
        <w:kinsoku/>
        <w:wordWrap/>
        <w:overflowPunct/>
        <w:topLinePunct w:val="0"/>
        <w:bidi w:val="0"/>
        <w:snapToGrid/>
        <w:spacing w:line="440" w:lineRule="exact"/>
        <w:ind w:firstLine="420" w:firstLineChars="200"/>
        <w:textAlignment w:val="auto"/>
        <w:rPr>
          <w:rFonts w:hint="default" w:ascii="宋体" w:hAnsi="宋体" w:eastAsia="宋体" w:cs="宋体"/>
          <w:color w:val="auto"/>
          <w:szCs w:val="21"/>
          <w:highlight w:val="none"/>
          <w:u w:val="single"/>
          <w:lang w:val="en-US" w:eastAsia="zh-CN"/>
        </w:rPr>
      </w:pPr>
      <w:r>
        <w:rPr>
          <w:rFonts w:hint="eastAsia" w:ascii="宋体" w:hAnsi="宋体" w:cs="宋体"/>
          <w:color w:val="auto"/>
          <w:kern w:val="0"/>
          <w:szCs w:val="21"/>
          <w:highlight w:val="none"/>
        </w:rPr>
        <w:t>（10）承包人应履行的其他义务：</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rPr>
        <w:t>。</w:t>
      </w:r>
    </w:p>
    <w:p w14:paraId="4734A969">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03" w:name="_Toc256000188"/>
      <w:bookmarkStart w:id="304" w:name="_Toc497747186"/>
      <w:bookmarkStart w:id="305" w:name="_Toc16995"/>
      <w:bookmarkStart w:id="306" w:name="_Toc418751804"/>
      <w:bookmarkStart w:id="307" w:name="_Toc418518118"/>
      <w:bookmarkStart w:id="308" w:name="_Toc389065274"/>
      <w:bookmarkStart w:id="309" w:name="_Toc418061319"/>
      <w:bookmarkStart w:id="310" w:name="_Toc373227708"/>
      <w:bookmarkStart w:id="311" w:name="_Toc373478355"/>
      <w:bookmarkStart w:id="312" w:name="_Toc418752250"/>
      <w:bookmarkStart w:id="313" w:name="_Toc522201738"/>
      <w:bookmarkStart w:id="314" w:name="_Toc403578942"/>
      <w:bookmarkStart w:id="315" w:name="_Toc497746789"/>
      <w:bookmarkStart w:id="316" w:name="_Toc418518354"/>
      <w:r>
        <w:rPr>
          <w:rFonts w:hint="eastAsia" w:ascii="宋体" w:cs="宋体"/>
          <w:color w:val="auto"/>
          <w:highlight w:val="none"/>
        </w:rPr>
        <w:t>3.2 项目经理</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2DE6960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14:paraId="4DC1C195">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51665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B0C670">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D44014">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1CC2FB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4CC426">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08140E9">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69C0467">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42CC2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629E3C">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color w:val="auto"/>
          <w:spacing w:val="9"/>
          <w:sz w:val="20"/>
          <w:szCs w:val="20"/>
          <w:highlight w:val="none"/>
          <w:u w:val="single" w:color="auto"/>
          <w:lang w:val="en-US" w:eastAsia="zh-CN"/>
        </w:rPr>
      </w:pPr>
      <w:r>
        <w:rPr>
          <w:rFonts w:hint="eastAsia" w:ascii="宋体" w:hAnsi="宋体" w:cs="宋体"/>
          <w:color w:val="auto"/>
          <w:szCs w:val="21"/>
          <w:highlight w:val="none"/>
        </w:rPr>
        <w:t xml:space="preserve">承包人对项目经理的授权范围如下： </w:t>
      </w:r>
      <w:r>
        <w:rPr>
          <w:rFonts w:ascii="宋体" w:hAnsi="宋体" w:eastAsia="宋体" w:cs="宋体"/>
          <w:color w:val="auto"/>
          <w:spacing w:val="9"/>
          <w:sz w:val="20"/>
          <w:szCs w:val="20"/>
          <w:highlight w:val="none"/>
          <w:u w:val="single" w:color="auto"/>
        </w:rPr>
        <w:t>全权处理本项目的一切施工事宜。但未经承包人盖章同意不得以承包人名义向外融资、采购材料设备、租用建筑周转材料、雇佣劳动力、签订分包合同等从事一切为承包人设立义务或责任的行为</w:t>
      </w:r>
      <w:r>
        <w:rPr>
          <w:rFonts w:hint="eastAsia" w:ascii="宋体" w:hAnsi="宋体" w:eastAsia="宋体" w:cs="宋体"/>
          <w:color w:val="auto"/>
          <w:spacing w:val="9"/>
          <w:sz w:val="20"/>
          <w:szCs w:val="20"/>
          <w:highlight w:val="none"/>
          <w:u w:val="single" w:color="auto"/>
          <w:lang w:val="en-US" w:eastAsia="zh-CN"/>
        </w:rPr>
        <w:t>：</w:t>
      </w:r>
    </w:p>
    <w:p w14:paraId="5906CD0E">
      <w:pPr>
        <w:spacing w:before="1" w:line="226" w:lineRule="auto"/>
        <w:ind w:left="442"/>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1.对本工程的建设进行全面管理，行使合同约定的权利，履行合同约定的义务；</w:t>
      </w:r>
    </w:p>
    <w:p w14:paraId="0DF8332D">
      <w:pPr>
        <w:spacing w:before="222" w:line="227" w:lineRule="auto"/>
        <w:ind w:left="429"/>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2.负责本工程的施工组织、劳动力组织、机械设备组织；</w:t>
      </w:r>
    </w:p>
    <w:p w14:paraId="4C025FC1">
      <w:pPr>
        <w:spacing w:before="222" w:line="228" w:lineRule="auto"/>
        <w:ind w:left="431"/>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3.在授权范围内协调与项目有关的内、外部关系；</w:t>
      </w:r>
    </w:p>
    <w:p w14:paraId="1751C5C8">
      <w:pPr>
        <w:spacing w:before="221" w:line="228" w:lineRule="auto"/>
        <w:ind w:left="426"/>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4.负责与发包人、监理人办理设计变更、现场签证等手续；</w:t>
      </w:r>
    </w:p>
    <w:p w14:paraId="10391D62">
      <w:pPr>
        <w:spacing w:before="221" w:line="227" w:lineRule="auto"/>
        <w:ind w:left="431"/>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5.代表承包人接受监理工程或发包人现场代表发出的指示和指令；</w:t>
      </w:r>
    </w:p>
    <w:p w14:paraId="4899A13B">
      <w:pPr>
        <w:spacing w:before="222" w:line="330" w:lineRule="auto"/>
        <w:ind w:left="6" w:firstLine="421"/>
        <w:rPr>
          <w:rFonts w:ascii="宋体" w:hAnsi="宋体" w:eastAsia="宋体" w:cs="宋体"/>
          <w:color w:val="auto"/>
          <w:sz w:val="20"/>
          <w:szCs w:val="20"/>
          <w:highlight w:val="none"/>
        </w:rPr>
      </w:pPr>
      <w:r>
        <w:rPr>
          <w:rFonts w:ascii="宋体" w:hAnsi="宋体" w:eastAsia="宋体" w:cs="宋体"/>
          <w:color w:val="auto"/>
          <w:spacing w:val="9"/>
          <w:kern w:val="2"/>
          <w:sz w:val="20"/>
          <w:szCs w:val="20"/>
          <w:highlight w:val="none"/>
          <w:u w:val="single" w:color="auto"/>
          <w:lang w:val="en-US" w:eastAsia="zh-CN" w:bidi="ar-SA"/>
        </w:rPr>
        <w:t>6.未经承包人盖章同意不得以承包人名义向外融资、采购材料设备、租用件数周转材料、雇佣劳动力、签订分包合同等从事一切为承包人设立义务或责任的行为。</w:t>
      </w:r>
    </w:p>
    <w:p w14:paraId="6845655B">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 xml:space="preserve"> 22</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8"/>
          <w:sz w:val="20"/>
          <w:szCs w:val="20"/>
          <w:highlight w:val="none"/>
          <w:u w:val="single" w:color="auto"/>
        </w:rPr>
        <w:t>天</w:t>
      </w:r>
      <w:r>
        <w:rPr>
          <w:rFonts w:ascii="宋体" w:hAnsi="宋体" w:eastAsia="宋体" w:cs="宋体"/>
          <w:color w:val="auto"/>
          <w:sz w:val="20"/>
          <w:szCs w:val="20"/>
          <w:highlight w:val="none"/>
          <w:u w:val="single" w:color="auto"/>
        </w:rPr>
        <w:t xml:space="preserve"> </w:t>
      </w:r>
      <w:r>
        <w:rPr>
          <w:rFonts w:hint="eastAsia" w:ascii="宋体" w:hAnsi="宋体" w:cs="宋体"/>
          <w:color w:val="auto"/>
          <w:szCs w:val="21"/>
          <w:highlight w:val="none"/>
        </w:rPr>
        <w:t>。</w:t>
      </w:r>
    </w:p>
    <w:p w14:paraId="7C998C6E">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项目经理未经批准，擅自离开施工现场的违约责任：</w:t>
      </w:r>
      <w:r>
        <w:rPr>
          <w:rFonts w:ascii="宋体" w:hAnsi="宋体" w:eastAsia="宋体" w:cs="宋体"/>
          <w:color w:val="auto"/>
          <w:spacing w:val="8"/>
          <w:sz w:val="20"/>
          <w:szCs w:val="20"/>
          <w:highlight w:val="none"/>
          <w:u w:val="single" w:color="auto"/>
        </w:rPr>
        <w:t>项目经理每月在岗不得少于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22</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天/月，在岗每天</w:t>
      </w:r>
      <w:r>
        <w:rPr>
          <w:rFonts w:ascii="宋体" w:hAnsi="宋体" w:eastAsia="宋体" w:cs="宋体"/>
          <w:color w:val="auto"/>
          <w:spacing w:val="10"/>
          <w:sz w:val="20"/>
          <w:szCs w:val="20"/>
          <w:highlight w:val="none"/>
          <w:u w:val="single" w:color="auto"/>
        </w:rPr>
        <w:t>不少于</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10"/>
          <w:sz w:val="20"/>
          <w:szCs w:val="20"/>
          <w:highlight w:val="none"/>
          <w:u w:val="single" w:color="auto"/>
        </w:rPr>
        <w:t>6</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10"/>
          <w:sz w:val="20"/>
          <w:szCs w:val="20"/>
          <w:highlight w:val="none"/>
          <w:u w:val="single" w:color="auto"/>
        </w:rPr>
        <w:t>小时。未经发包人同意或正当理由，项目经理每月在岗少于</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10"/>
          <w:sz w:val="20"/>
          <w:szCs w:val="20"/>
          <w:highlight w:val="none"/>
          <w:u w:val="single" w:color="auto"/>
        </w:rPr>
        <w:t>22</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10"/>
          <w:sz w:val="20"/>
          <w:szCs w:val="20"/>
          <w:highlight w:val="none"/>
          <w:u w:val="single" w:color="auto"/>
        </w:rPr>
        <w:t>天，每缺勤一天，发包人有权处</w:t>
      </w:r>
      <w:r>
        <w:rPr>
          <w:rFonts w:ascii="宋体" w:hAnsi="宋体" w:eastAsia="宋体" w:cs="宋体"/>
          <w:color w:val="auto"/>
          <w:spacing w:val="5"/>
          <w:sz w:val="20"/>
          <w:szCs w:val="20"/>
          <w:highlight w:val="none"/>
          <w:u w:val="single" w:color="auto"/>
        </w:rPr>
        <w:t>违约金</w:t>
      </w:r>
      <w:r>
        <w:rPr>
          <w:rFonts w:ascii="宋体" w:hAnsi="宋体" w:eastAsia="宋体" w:cs="宋体"/>
          <w:color w:val="auto"/>
          <w:spacing w:val="-22"/>
          <w:sz w:val="20"/>
          <w:szCs w:val="20"/>
          <w:highlight w:val="none"/>
          <w:u w:val="single" w:color="auto"/>
        </w:rPr>
        <w:t xml:space="preserve"> </w:t>
      </w:r>
      <w:r>
        <w:rPr>
          <w:rFonts w:ascii="宋体" w:hAnsi="宋体" w:eastAsia="宋体" w:cs="宋体"/>
          <w:color w:val="auto"/>
          <w:spacing w:val="5"/>
          <w:sz w:val="20"/>
          <w:szCs w:val="20"/>
          <w:highlight w:val="none"/>
          <w:u w:val="single" w:color="auto"/>
        </w:rPr>
        <w:t>200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5"/>
          <w:sz w:val="20"/>
          <w:szCs w:val="20"/>
          <w:highlight w:val="none"/>
          <w:u w:val="single" w:color="auto"/>
        </w:rPr>
        <w:t xml:space="preserve">元/日（人民币） </w:t>
      </w:r>
      <w:r>
        <w:rPr>
          <w:rFonts w:hint="eastAsia" w:ascii="宋体" w:hAnsi="宋体" w:cs="宋体"/>
          <w:color w:val="auto"/>
          <w:szCs w:val="21"/>
          <w:highlight w:val="none"/>
        </w:rPr>
        <w:t>。</w:t>
      </w:r>
    </w:p>
    <w:p w14:paraId="45DCC52C">
      <w:pPr>
        <w:pStyle w:val="247"/>
        <w:jc w:val="both"/>
        <w:rPr>
          <w:rFonts w:hint="eastAsia" w:ascii="宋体" w:hAnsi="宋体" w:eastAsia="宋体" w:cs="宋体"/>
          <w:color w:val="auto"/>
          <w:spacing w:val="10"/>
          <w:kern w:val="2"/>
          <w:sz w:val="20"/>
          <w:szCs w:val="20"/>
          <w:highlight w:val="none"/>
          <w:u w:val="single" w:color="auto"/>
          <w:lang w:val="en-US" w:eastAsia="zh-CN" w:bidi="ar-SA"/>
        </w:rPr>
      </w:pPr>
      <w:r>
        <w:rPr>
          <w:rFonts w:hint="eastAsia" w:ascii="宋体" w:hAnsi="宋体" w:cs="宋体"/>
          <w:color w:val="auto"/>
          <w:szCs w:val="21"/>
          <w:highlight w:val="none"/>
          <w:lang w:val="en-US" w:eastAsia="zh-CN"/>
        </w:rPr>
        <w:t xml:space="preserve">    承包人未提交劳动合同，以及没有为项目经理缴纳社会保险证明的违约责任：</w:t>
      </w:r>
      <w:r>
        <w:rPr>
          <w:rFonts w:hint="eastAsia" w:ascii="宋体" w:hAnsi="宋体" w:eastAsia="宋体" w:cs="宋体"/>
          <w:color w:val="auto"/>
          <w:spacing w:val="10"/>
          <w:kern w:val="2"/>
          <w:sz w:val="20"/>
          <w:szCs w:val="20"/>
          <w:highlight w:val="none"/>
          <w:u w:val="single" w:color="auto"/>
          <w:lang w:val="en-US" w:eastAsia="zh-CN" w:bidi="ar-SA"/>
        </w:rPr>
        <w:t>发包人有权要求承包人支付 500 元违约金，责令期限提交劳工合同并补缴社会保险。如因承包人此项行为造成发包人支出相应费用或产生损失的， 由承包人向发包人赔偿。 。</w:t>
      </w:r>
    </w:p>
    <w:p w14:paraId="54261226">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ascii="宋体" w:hAnsi="宋体" w:eastAsia="宋体" w:cs="宋体"/>
          <w:color w:val="auto"/>
          <w:spacing w:val="6"/>
          <w:sz w:val="20"/>
          <w:szCs w:val="20"/>
          <w:highlight w:val="none"/>
          <w:u w:val="single" w:color="auto"/>
        </w:rPr>
        <w:t>承包人项目经理必须与承包人投标时所承诺的人员一致，</w:t>
      </w:r>
      <w:r>
        <w:rPr>
          <w:rFonts w:ascii="宋体" w:hAnsi="宋体" w:eastAsia="宋体" w:cs="宋体"/>
          <w:color w:val="auto"/>
          <w:spacing w:val="9"/>
          <w:sz w:val="20"/>
          <w:szCs w:val="20"/>
          <w:highlight w:val="none"/>
          <w:u w:val="single" w:color="auto"/>
        </w:rPr>
        <w:t>并在约定开工日期前到任。在监理人向承包人颁发竣工证明材料名称前，项目经理不得同时兼任其他任何</w:t>
      </w:r>
      <w:r>
        <w:rPr>
          <w:rFonts w:ascii="宋体" w:hAnsi="宋体" w:eastAsia="宋体" w:cs="宋体"/>
          <w:color w:val="auto"/>
          <w:spacing w:val="7"/>
          <w:sz w:val="20"/>
          <w:szCs w:val="20"/>
          <w:highlight w:val="none"/>
          <w:u w:val="single" w:color="auto"/>
        </w:rPr>
        <w:t>项目的项目经理（符合桂建管</w:t>
      </w:r>
      <w:r>
        <w:rPr>
          <w:rFonts w:ascii="宋体" w:hAnsi="宋体" w:eastAsia="宋体" w:cs="宋体"/>
          <w:color w:val="auto"/>
          <w:spacing w:val="-65"/>
          <w:sz w:val="20"/>
          <w:szCs w:val="20"/>
          <w:highlight w:val="none"/>
          <w:u w:val="single" w:color="auto"/>
        </w:rPr>
        <w:t xml:space="preserve"> </w:t>
      </w:r>
      <w:r>
        <w:rPr>
          <w:rFonts w:ascii="宋体" w:hAnsi="宋体" w:eastAsia="宋体" w:cs="宋体"/>
          <w:color w:val="auto"/>
          <w:spacing w:val="7"/>
          <w:sz w:val="20"/>
          <w:szCs w:val="20"/>
          <w:highlight w:val="none"/>
          <w:u w:val="single" w:color="auto"/>
        </w:rPr>
        <w:t>﹝2013﹞</w:t>
      </w:r>
      <w:r>
        <w:rPr>
          <w:rFonts w:ascii="宋体" w:hAnsi="宋体" w:eastAsia="宋体" w:cs="宋体"/>
          <w:color w:val="auto"/>
          <w:spacing w:val="-71"/>
          <w:sz w:val="20"/>
          <w:szCs w:val="20"/>
          <w:highlight w:val="none"/>
          <w:u w:val="single" w:color="auto"/>
        </w:rPr>
        <w:t xml:space="preserve"> </w:t>
      </w:r>
      <w:r>
        <w:rPr>
          <w:rFonts w:ascii="宋体" w:hAnsi="宋体" w:eastAsia="宋体" w:cs="宋体"/>
          <w:color w:val="auto"/>
          <w:spacing w:val="7"/>
          <w:sz w:val="20"/>
          <w:szCs w:val="20"/>
          <w:highlight w:val="none"/>
          <w:u w:val="single" w:color="auto"/>
        </w:rPr>
        <w:t>17</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7"/>
          <w:sz w:val="20"/>
          <w:szCs w:val="20"/>
          <w:highlight w:val="none"/>
          <w:u w:val="single" w:color="auto"/>
        </w:rPr>
        <w:t>号和桂建管</w:t>
      </w:r>
      <w:r>
        <w:rPr>
          <w:rFonts w:ascii="宋体" w:hAnsi="宋体" w:eastAsia="宋体" w:cs="宋体"/>
          <w:color w:val="auto"/>
          <w:spacing w:val="-73"/>
          <w:sz w:val="20"/>
          <w:szCs w:val="20"/>
          <w:highlight w:val="none"/>
          <w:u w:val="single" w:color="auto"/>
        </w:rPr>
        <w:t xml:space="preserve"> </w:t>
      </w:r>
      <w:r>
        <w:rPr>
          <w:rFonts w:ascii="宋体" w:hAnsi="宋体" w:eastAsia="宋体" w:cs="宋体"/>
          <w:color w:val="auto"/>
          <w:spacing w:val="7"/>
          <w:sz w:val="20"/>
          <w:szCs w:val="20"/>
          <w:highlight w:val="none"/>
          <w:u w:val="single" w:color="auto"/>
        </w:rPr>
        <w:t>﹝2014﹞25</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7"/>
          <w:sz w:val="20"/>
          <w:szCs w:val="20"/>
          <w:highlight w:val="none"/>
          <w:u w:val="single" w:color="auto"/>
        </w:rPr>
        <w:t>号文除外）</w:t>
      </w:r>
      <w:r>
        <w:rPr>
          <w:rFonts w:ascii="宋体" w:hAnsi="宋体" w:eastAsia="宋体" w:cs="宋体"/>
          <w:color w:val="auto"/>
          <w:spacing w:val="-55"/>
          <w:sz w:val="20"/>
          <w:szCs w:val="20"/>
          <w:highlight w:val="none"/>
          <w:u w:val="single" w:color="auto"/>
        </w:rPr>
        <w:t xml:space="preserve"> </w:t>
      </w:r>
      <w:r>
        <w:rPr>
          <w:rFonts w:ascii="宋体" w:hAnsi="宋体" w:eastAsia="宋体" w:cs="宋体"/>
          <w:color w:val="auto"/>
          <w:spacing w:val="7"/>
          <w:sz w:val="20"/>
          <w:szCs w:val="20"/>
          <w:highlight w:val="none"/>
          <w:u w:val="single" w:color="auto"/>
        </w:rPr>
        <w:t>。未经发包人书面同意，承</w:t>
      </w:r>
      <w:r>
        <w:rPr>
          <w:rFonts w:ascii="宋体" w:hAnsi="宋体" w:eastAsia="宋体" w:cs="宋体"/>
          <w:color w:val="auto"/>
          <w:spacing w:val="8"/>
          <w:sz w:val="20"/>
          <w:szCs w:val="20"/>
          <w:highlight w:val="none"/>
          <w:u w:val="single" w:color="auto"/>
        </w:rPr>
        <w:t>包人擅自更换项目经理的视为违约，违约金处</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7"/>
          <w:sz w:val="20"/>
          <w:szCs w:val="20"/>
          <w:highlight w:val="none"/>
          <w:u w:val="single" w:color="auto"/>
        </w:rPr>
        <w:t>2000.00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650BE110">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3.2.4 承包人无正当理由拒绝更换项目经理的违约责任：</w:t>
      </w:r>
      <w:r>
        <w:rPr>
          <w:rFonts w:ascii="宋体" w:hAnsi="宋体" w:eastAsia="宋体" w:cs="宋体"/>
          <w:color w:val="auto"/>
          <w:spacing w:val="10"/>
          <w:sz w:val="20"/>
          <w:szCs w:val="20"/>
          <w:highlight w:val="none"/>
          <w:u w:val="single" w:color="auto"/>
        </w:rPr>
        <w:t>因</w:t>
      </w:r>
      <w:r>
        <w:rPr>
          <w:rFonts w:ascii="宋体" w:hAnsi="宋体" w:eastAsia="宋体" w:cs="宋体"/>
          <w:color w:val="auto"/>
          <w:spacing w:val="9"/>
          <w:sz w:val="20"/>
          <w:szCs w:val="20"/>
          <w:highlight w:val="none"/>
          <w:u w:val="single" w:color="auto"/>
        </w:rPr>
        <w:t>承包人项目经理不称职，发包人要求调换</w:t>
      </w:r>
      <w:r>
        <w:rPr>
          <w:rFonts w:ascii="宋体" w:hAnsi="宋体" w:eastAsia="宋体" w:cs="宋体"/>
          <w:color w:val="auto"/>
          <w:spacing w:val="8"/>
          <w:sz w:val="20"/>
          <w:szCs w:val="20"/>
          <w:highlight w:val="none"/>
          <w:u w:val="single" w:color="auto"/>
        </w:rPr>
        <w:t>而未及时调换的，视为承包人违约，必须向发包</w:t>
      </w:r>
      <w:r>
        <w:rPr>
          <w:rFonts w:ascii="宋体" w:hAnsi="宋体" w:eastAsia="宋体" w:cs="宋体"/>
          <w:color w:val="auto"/>
          <w:spacing w:val="7"/>
          <w:sz w:val="20"/>
          <w:szCs w:val="20"/>
          <w:highlight w:val="none"/>
          <w:u w:val="single" w:color="auto"/>
        </w:rPr>
        <w:t>人交纳处罚金</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7"/>
          <w:sz w:val="20"/>
          <w:szCs w:val="20"/>
          <w:highlight w:val="none"/>
          <w:u w:val="single" w:color="auto"/>
        </w:rPr>
        <w:t>1000.00</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35FBCDFF">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17" w:name="_Toc373478356"/>
      <w:bookmarkStart w:id="318" w:name="_Toc256000189"/>
      <w:bookmarkStart w:id="319" w:name="_Toc497746790"/>
      <w:bookmarkStart w:id="320" w:name="_Toc418061320"/>
      <w:bookmarkStart w:id="321" w:name="_Toc373227709"/>
      <w:bookmarkStart w:id="322" w:name="_Toc418518119"/>
      <w:bookmarkStart w:id="323" w:name="_Toc389065275"/>
      <w:bookmarkStart w:id="324" w:name="_Toc418751805"/>
      <w:bookmarkStart w:id="325" w:name="_Toc403578943"/>
      <w:bookmarkStart w:id="326" w:name="_Toc522201739"/>
      <w:bookmarkStart w:id="327" w:name="_Toc497747187"/>
      <w:bookmarkStart w:id="328" w:name="_Toc26463"/>
      <w:bookmarkStart w:id="329" w:name="_Toc418752251"/>
      <w:bookmarkStart w:id="330" w:name="_Toc418518355"/>
      <w:r>
        <w:rPr>
          <w:rFonts w:hint="eastAsia" w:ascii="宋体" w:cs="宋体"/>
          <w:color w:val="auto"/>
          <w:highlight w:val="none"/>
        </w:rPr>
        <w:t>3.3 承包人人员</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5402D7C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3.3.1 承包人提交项目管理机构及施工现场管理人员安排报告（格式见合同附件6）的期限：</w:t>
      </w:r>
      <w:r>
        <w:rPr>
          <w:rFonts w:ascii="宋体" w:hAnsi="宋体" w:eastAsia="宋体" w:cs="宋体"/>
          <w:color w:val="auto"/>
          <w:spacing w:val="7"/>
          <w:sz w:val="20"/>
          <w:szCs w:val="20"/>
          <w:highlight w:val="none"/>
          <w:u w:val="single" w:color="auto"/>
        </w:rPr>
        <w:t>合同签</w:t>
      </w:r>
      <w:r>
        <w:rPr>
          <w:rFonts w:ascii="宋体" w:hAnsi="宋体" w:eastAsia="宋体" w:cs="宋体"/>
          <w:color w:val="auto"/>
          <w:sz w:val="20"/>
          <w:szCs w:val="20"/>
          <w:highlight w:val="none"/>
          <w:u w:val="single" w:color="auto"/>
        </w:rPr>
        <w:t>订后</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z w:val="20"/>
          <w:szCs w:val="20"/>
          <w:highlight w:val="none"/>
          <w:u w:val="single" w:color="auto"/>
        </w:rPr>
        <w:t>5</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z w:val="20"/>
          <w:szCs w:val="20"/>
          <w:highlight w:val="none"/>
          <w:u w:val="single" w:color="auto"/>
        </w:rPr>
        <w:t>天内</w:t>
      </w:r>
      <w:r>
        <w:rPr>
          <w:rFonts w:ascii="宋体" w:hAnsi="宋体" w:eastAsia="宋体" w:cs="宋体"/>
          <w:color w:val="auto"/>
          <w:spacing w:val="19"/>
          <w:sz w:val="20"/>
          <w:szCs w:val="20"/>
          <w:highlight w:val="none"/>
          <w:u w:val="single" w:color="auto"/>
        </w:rPr>
        <w:t xml:space="preserve"> </w:t>
      </w:r>
      <w:r>
        <w:rPr>
          <w:rFonts w:hint="eastAsia" w:ascii="宋体" w:hAnsi="宋体" w:cs="宋体"/>
          <w:color w:val="auto"/>
          <w:szCs w:val="21"/>
          <w:highlight w:val="none"/>
        </w:rPr>
        <w:t>。</w:t>
      </w:r>
    </w:p>
    <w:p w14:paraId="404C1818">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3.3.3 承包人无正当理由拒绝撤换主要施工管理人员的违约责任：</w:t>
      </w:r>
      <w:r>
        <w:rPr>
          <w:rFonts w:ascii="宋体" w:hAnsi="宋体" w:eastAsia="宋体" w:cs="宋体"/>
          <w:color w:val="auto"/>
          <w:spacing w:val="6"/>
          <w:sz w:val="20"/>
          <w:szCs w:val="20"/>
          <w:highlight w:val="none"/>
          <w:u w:val="single" w:color="auto"/>
        </w:rPr>
        <w:t>因承包人主要施工管理人员不称职，</w:t>
      </w:r>
      <w:r>
        <w:rPr>
          <w:rFonts w:ascii="宋体" w:hAnsi="宋体" w:eastAsia="宋体" w:cs="宋体"/>
          <w:color w:val="auto"/>
          <w:spacing w:val="9"/>
          <w:sz w:val="20"/>
          <w:szCs w:val="20"/>
          <w:highlight w:val="none"/>
          <w:u w:val="single" w:color="auto"/>
        </w:rPr>
        <w:t>发包人要求调换而无正当理由拒绝撤换或未及时调换的，视为承包人违约，必须向发包人交纳处罚金，处</w:t>
      </w:r>
      <w:r>
        <w:rPr>
          <w:rFonts w:ascii="宋体" w:hAnsi="宋体" w:eastAsia="宋体" w:cs="宋体"/>
          <w:color w:val="auto"/>
          <w:spacing w:val="7"/>
          <w:sz w:val="20"/>
          <w:szCs w:val="20"/>
          <w:highlight w:val="none"/>
          <w:u w:val="single" w:color="auto"/>
        </w:rPr>
        <w:t>罚标准：技术负责人</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7"/>
          <w:sz w:val="20"/>
          <w:szCs w:val="20"/>
          <w:highlight w:val="none"/>
          <w:u w:val="single" w:color="auto"/>
        </w:rPr>
        <w:t>500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ascii="宋体" w:hAnsi="宋体" w:eastAsia="宋体" w:cs="宋体"/>
          <w:color w:val="auto"/>
          <w:spacing w:val="14"/>
          <w:sz w:val="20"/>
          <w:szCs w:val="20"/>
          <w:highlight w:val="none"/>
          <w:u w:val="single" w:color="auto"/>
        </w:rPr>
        <w:t>）；</w:t>
      </w:r>
      <w:r>
        <w:rPr>
          <w:rFonts w:ascii="宋体" w:hAnsi="宋体" w:eastAsia="宋体" w:cs="宋体"/>
          <w:color w:val="auto"/>
          <w:spacing w:val="7"/>
          <w:sz w:val="20"/>
          <w:szCs w:val="20"/>
          <w:highlight w:val="none"/>
          <w:u w:val="single" w:color="auto"/>
        </w:rPr>
        <w:t>专业</w:t>
      </w:r>
      <w:r>
        <w:rPr>
          <w:rFonts w:ascii="宋体" w:hAnsi="宋体" w:eastAsia="宋体" w:cs="宋体"/>
          <w:color w:val="auto"/>
          <w:spacing w:val="6"/>
          <w:sz w:val="20"/>
          <w:szCs w:val="20"/>
          <w:highlight w:val="none"/>
          <w:u w:val="single" w:color="auto"/>
        </w:rPr>
        <w:t>工程师</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6"/>
          <w:sz w:val="20"/>
          <w:szCs w:val="20"/>
          <w:highlight w:val="none"/>
          <w:u w:val="single" w:color="auto"/>
        </w:rPr>
        <w:t>200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元/人•次（人民币）</w:t>
      </w:r>
      <w:r>
        <w:rPr>
          <w:rFonts w:hint="eastAsia" w:ascii="宋体" w:hAnsi="宋体" w:cs="宋体"/>
          <w:color w:val="auto"/>
          <w:szCs w:val="21"/>
          <w:highlight w:val="none"/>
        </w:rPr>
        <w:t>。</w:t>
      </w:r>
    </w:p>
    <w:p w14:paraId="10BD53A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u w:val="single"/>
        </w:rPr>
      </w:pPr>
      <w:r>
        <w:rPr>
          <w:rFonts w:hint="eastAsia" w:ascii="宋体" w:hAnsi="宋体" w:cs="宋体"/>
          <w:color w:val="auto"/>
          <w:szCs w:val="21"/>
          <w:highlight w:val="none"/>
        </w:rPr>
        <w:t>3.3.4 承包人主要施工管理人员离开施工现场的批准要求：</w:t>
      </w:r>
      <w:r>
        <w:rPr>
          <w:rFonts w:ascii="宋体" w:hAnsi="宋体" w:eastAsia="宋体" w:cs="宋体"/>
          <w:color w:val="auto"/>
          <w:spacing w:val="6"/>
          <w:sz w:val="20"/>
          <w:szCs w:val="20"/>
          <w:highlight w:val="none"/>
          <w:u w:val="single" w:color="auto"/>
        </w:rPr>
        <w:t>应事先通知监理</w:t>
      </w:r>
      <w:r>
        <w:rPr>
          <w:rFonts w:ascii="宋体" w:hAnsi="宋体" w:eastAsia="宋体" w:cs="宋体"/>
          <w:color w:val="auto"/>
          <w:spacing w:val="5"/>
          <w:sz w:val="20"/>
          <w:szCs w:val="20"/>
          <w:highlight w:val="none"/>
          <w:u w:val="single" w:color="auto"/>
        </w:rPr>
        <w:t>人，并取得发包人的同意</w:t>
      </w:r>
      <w:r>
        <w:rPr>
          <w:rFonts w:hint="eastAsia" w:ascii="宋体" w:hAnsi="宋体" w:cs="宋体"/>
          <w:color w:val="auto"/>
          <w:szCs w:val="21"/>
          <w:highlight w:val="none"/>
        </w:rPr>
        <w:t>。</w:t>
      </w:r>
    </w:p>
    <w:p w14:paraId="0E6780C1">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3.3.5 承包人擅自更换主要施工管理人员的违约责任：</w:t>
      </w:r>
      <w:r>
        <w:rPr>
          <w:rFonts w:ascii="宋体" w:hAnsi="宋体" w:eastAsia="宋体" w:cs="宋体"/>
          <w:color w:val="auto"/>
          <w:spacing w:val="10"/>
          <w:sz w:val="20"/>
          <w:szCs w:val="20"/>
          <w:highlight w:val="none"/>
          <w:u w:val="single" w:color="auto"/>
        </w:rPr>
        <w:t>项目</w:t>
      </w:r>
      <w:r>
        <w:rPr>
          <w:rFonts w:ascii="宋体" w:hAnsi="宋体" w:eastAsia="宋体" w:cs="宋体"/>
          <w:color w:val="auto"/>
          <w:spacing w:val="9"/>
          <w:sz w:val="20"/>
          <w:szCs w:val="20"/>
          <w:highlight w:val="none"/>
          <w:u w:val="single" w:color="auto"/>
        </w:rPr>
        <w:t>技术负责人、专职安全员及其承诺的其它</w:t>
      </w:r>
      <w:r>
        <w:rPr>
          <w:rFonts w:ascii="宋体" w:hAnsi="宋体" w:eastAsia="宋体" w:cs="宋体"/>
          <w:color w:val="auto"/>
          <w:spacing w:val="8"/>
          <w:sz w:val="20"/>
          <w:szCs w:val="20"/>
          <w:highlight w:val="none"/>
          <w:u w:val="single" w:color="auto"/>
        </w:rPr>
        <w:t>在场管理人员未经发包人书面同意不准擅自更换，擅自更换项目技术负责人处</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500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元/人•次（人民币）违</w:t>
      </w:r>
      <w:r>
        <w:rPr>
          <w:rFonts w:ascii="宋体" w:hAnsi="宋体" w:eastAsia="宋体" w:cs="宋体"/>
          <w:color w:val="auto"/>
          <w:spacing w:val="7"/>
          <w:sz w:val="20"/>
          <w:szCs w:val="20"/>
          <w:highlight w:val="none"/>
          <w:u w:val="single" w:color="auto"/>
        </w:rPr>
        <w:t>约金；擅自更换专职安全员处</w:t>
      </w:r>
      <w:r>
        <w:rPr>
          <w:rFonts w:ascii="宋体" w:hAnsi="宋体" w:eastAsia="宋体" w:cs="宋体"/>
          <w:color w:val="auto"/>
          <w:spacing w:val="-16"/>
          <w:sz w:val="20"/>
          <w:szCs w:val="20"/>
          <w:highlight w:val="none"/>
          <w:u w:val="single" w:color="auto"/>
        </w:rPr>
        <w:t xml:space="preserve"> </w:t>
      </w:r>
      <w:r>
        <w:rPr>
          <w:rFonts w:ascii="宋体" w:hAnsi="宋体" w:eastAsia="宋体" w:cs="宋体"/>
          <w:color w:val="auto"/>
          <w:spacing w:val="7"/>
          <w:sz w:val="20"/>
          <w:szCs w:val="20"/>
          <w:highlight w:val="none"/>
          <w:u w:val="single" w:color="auto"/>
        </w:rPr>
        <w:t>200</w:t>
      </w:r>
      <w:r>
        <w:rPr>
          <w:rFonts w:ascii="宋体" w:hAnsi="宋体" w:eastAsia="宋体" w:cs="宋体"/>
          <w:color w:val="auto"/>
          <w:spacing w:val="-41"/>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元/人•次（人民币）违约金；擅自更换其它在场管理人员处</w:t>
      </w:r>
      <w:r>
        <w:rPr>
          <w:rFonts w:ascii="宋体" w:hAnsi="宋体" w:eastAsia="宋体" w:cs="宋体"/>
          <w:color w:val="auto"/>
          <w:spacing w:val="-23"/>
          <w:sz w:val="20"/>
          <w:szCs w:val="20"/>
          <w:highlight w:val="none"/>
          <w:u w:val="single" w:color="auto"/>
        </w:rPr>
        <w:t xml:space="preserve"> </w:t>
      </w:r>
      <w:r>
        <w:rPr>
          <w:rFonts w:ascii="宋体" w:hAnsi="宋体" w:eastAsia="宋体" w:cs="宋体"/>
          <w:color w:val="auto"/>
          <w:spacing w:val="7"/>
          <w:sz w:val="20"/>
          <w:szCs w:val="20"/>
          <w:highlight w:val="none"/>
          <w:u w:val="single" w:color="auto"/>
        </w:rPr>
        <w:t>100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w:t>
      </w:r>
      <w:r>
        <w:rPr>
          <w:rFonts w:ascii="宋体" w:hAnsi="宋体" w:eastAsia="宋体" w:cs="宋体"/>
          <w:color w:val="auto"/>
          <w:spacing w:val="8"/>
          <w:sz w:val="20"/>
          <w:szCs w:val="20"/>
          <w:highlight w:val="none"/>
          <w:u w:val="single" w:color="auto"/>
        </w:rPr>
        <w:t>次（人民币）违约金</w:t>
      </w:r>
      <w:r>
        <w:rPr>
          <w:rFonts w:hint="eastAsia" w:ascii="宋体" w:hAnsi="宋体" w:cs="宋体"/>
          <w:color w:val="auto"/>
          <w:szCs w:val="21"/>
          <w:highlight w:val="none"/>
        </w:rPr>
        <w:t>。</w:t>
      </w:r>
    </w:p>
    <w:p w14:paraId="677572A1">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承包人主要施工管理人员擅自离开施工现场的违约责任：</w:t>
      </w:r>
      <w:r>
        <w:rPr>
          <w:rFonts w:ascii="宋体" w:hAnsi="宋体" w:eastAsia="宋体" w:cs="宋体"/>
          <w:color w:val="auto"/>
          <w:spacing w:val="9"/>
          <w:sz w:val="20"/>
          <w:szCs w:val="20"/>
          <w:highlight w:val="none"/>
          <w:u w:val="single" w:color="auto"/>
        </w:rPr>
        <w:t>未经发包人同意，项目技术负责人擅自离岗</w:t>
      </w:r>
      <w:r>
        <w:rPr>
          <w:rFonts w:ascii="宋体" w:hAnsi="宋体" w:eastAsia="宋体" w:cs="宋体"/>
          <w:color w:val="auto"/>
          <w:spacing w:val="8"/>
          <w:sz w:val="20"/>
          <w:szCs w:val="20"/>
          <w:highlight w:val="none"/>
          <w:u w:val="single" w:color="auto"/>
        </w:rPr>
        <w:t>的，视为承包人违约，发包人有权处违约金</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200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8"/>
          <w:sz w:val="20"/>
          <w:szCs w:val="20"/>
          <w:highlight w:val="none"/>
          <w:u w:val="single" w:color="auto"/>
        </w:rPr>
        <w:t>元/人•次（人民币</w:t>
      </w:r>
      <w:r>
        <w:rPr>
          <w:rFonts w:ascii="宋体" w:hAnsi="宋体" w:eastAsia="宋体" w:cs="宋体"/>
          <w:color w:val="auto"/>
          <w:spacing w:val="18"/>
          <w:sz w:val="20"/>
          <w:szCs w:val="20"/>
          <w:highlight w:val="none"/>
          <w:u w:val="single" w:color="auto"/>
        </w:rPr>
        <w:t>）；</w:t>
      </w:r>
      <w:r>
        <w:rPr>
          <w:rFonts w:ascii="宋体" w:hAnsi="宋体" w:eastAsia="宋体" w:cs="宋体"/>
          <w:color w:val="auto"/>
          <w:spacing w:val="8"/>
          <w:sz w:val="20"/>
          <w:szCs w:val="20"/>
          <w:highlight w:val="none"/>
          <w:u w:val="single" w:color="auto"/>
        </w:rPr>
        <w:t>未经发包人同意，专职安全员擅自</w:t>
      </w:r>
      <w:r>
        <w:rPr>
          <w:rFonts w:ascii="宋体" w:hAnsi="宋体" w:eastAsia="宋体" w:cs="宋体"/>
          <w:color w:val="auto"/>
          <w:spacing w:val="6"/>
          <w:sz w:val="20"/>
          <w:szCs w:val="20"/>
          <w:highlight w:val="none"/>
          <w:u w:val="single" w:color="auto"/>
        </w:rPr>
        <w:t>离岗的，视为承包人违约，发包人有权处违约金</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6"/>
          <w:sz w:val="20"/>
          <w:szCs w:val="20"/>
          <w:highlight w:val="none"/>
          <w:u w:val="single" w:color="auto"/>
        </w:rPr>
        <w:t>100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元/人•次（人</w:t>
      </w:r>
      <w:r>
        <w:rPr>
          <w:rFonts w:ascii="宋体" w:hAnsi="宋体" w:eastAsia="宋体" w:cs="宋体"/>
          <w:color w:val="auto"/>
          <w:spacing w:val="5"/>
          <w:sz w:val="20"/>
          <w:szCs w:val="20"/>
          <w:highlight w:val="none"/>
          <w:u w:val="single" w:color="auto"/>
        </w:rPr>
        <w:t>民币</w:t>
      </w:r>
      <w:r>
        <w:rPr>
          <w:rFonts w:ascii="宋体" w:hAnsi="宋体" w:eastAsia="宋体" w:cs="宋体"/>
          <w:color w:val="auto"/>
          <w:spacing w:val="-11"/>
          <w:sz w:val="20"/>
          <w:szCs w:val="20"/>
          <w:highlight w:val="none"/>
          <w:u w:val="single" w:color="auto"/>
        </w:rPr>
        <w:t>）；</w:t>
      </w:r>
      <w:r>
        <w:rPr>
          <w:rFonts w:ascii="宋体" w:hAnsi="宋体" w:eastAsia="宋体" w:cs="宋体"/>
          <w:color w:val="auto"/>
          <w:spacing w:val="5"/>
          <w:sz w:val="20"/>
          <w:szCs w:val="20"/>
          <w:highlight w:val="none"/>
          <w:u w:val="single" w:color="auto"/>
        </w:rPr>
        <w:t>其它在场管理人员擅自离岗的，</w:t>
      </w:r>
      <w:r>
        <w:rPr>
          <w:rFonts w:ascii="宋体" w:hAnsi="宋体" w:eastAsia="宋体" w:cs="宋体"/>
          <w:color w:val="auto"/>
          <w:spacing w:val="7"/>
          <w:sz w:val="20"/>
          <w:szCs w:val="20"/>
          <w:highlight w:val="none"/>
          <w:u w:val="single" w:color="auto"/>
        </w:rPr>
        <w:t>视为承包人违约，发包人有权处违约金</w:t>
      </w:r>
      <w:r>
        <w:rPr>
          <w:rFonts w:ascii="宋体" w:hAnsi="宋体" w:eastAsia="宋体" w:cs="宋体"/>
          <w:color w:val="auto"/>
          <w:spacing w:val="-14"/>
          <w:sz w:val="20"/>
          <w:szCs w:val="20"/>
          <w:highlight w:val="none"/>
          <w:u w:val="single" w:color="auto"/>
        </w:rPr>
        <w:t xml:space="preserve"> </w:t>
      </w:r>
      <w:r>
        <w:rPr>
          <w:rFonts w:ascii="宋体" w:hAnsi="宋体" w:eastAsia="宋体" w:cs="宋体"/>
          <w:color w:val="auto"/>
          <w:spacing w:val="7"/>
          <w:sz w:val="20"/>
          <w:szCs w:val="20"/>
          <w:highlight w:val="none"/>
          <w:u w:val="single" w:color="auto"/>
        </w:rPr>
        <w:t>50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7E913FF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31" w:name="_Toc418061321"/>
      <w:bookmarkStart w:id="332" w:name="_Toc418752252"/>
      <w:bookmarkStart w:id="333" w:name="_Toc389065276"/>
      <w:bookmarkStart w:id="334" w:name="_Toc28656"/>
      <w:bookmarkStart w:id="335" w:name="_Toc373227710"/>
      <w:bookmarkStart w:id="336" w:name="_Toc373478357"/>
      <w:bookmarkStart w:id="337" w:name="_Toc497746791"/>
      <w:bookmarkStart w:id="338" w:name="_Toc522201740"/>
      <w:bookmarkStart w:id="339" w:name="_Toc256000190"/>
      <w:bookmarkStart w:id="340" w:name="_Toc418518356"/>
      <w:bookmarkStart w:id="341" w:name="_Toc497747188"/>
      <w:bookmarkStart w:id="342" w:name="_Toc403578944"/>
      <w:bookmarkStart w:id="343" w:name="_Toc418751806"/>
      <w:bookmarkStart w:id="344" w:name="_Toc418518120"/>
      <w:r>
        <w:rPr>
          <w:rFonts w:hint="eastAsia" w:ascii="宋体" w:cs="宋体"/>
          <w:color w:val="auto"/>
          <w:highlight w:val="none"/>
        </w:rPr>
        <w:t>3</w:t>
      </w:r>
      <w:bookmarkStart w:id="345" w:name="_Toc297123492"/>
      <w:bookmarkStart w:id="346" w:name="_Toc304295523"/>
      <w:bookmarkStart w:id="347" w:name="_Toc296891199"/>
      <w:bookmarkStart w:id="348" w:name="_Toc297048345"/>
      <w:bookmarkStart w:id="349" w:name="_Toc300934945"/>
      <w:bookmarkStart w:id="350" w:name="_Toc296503159"/>
      <w:bookmarkStart w:id="351" w:name="_Toc292559869"/>
      <w:bookmarkStart w:id="352" w:name="_Toc303539102"/>
      <w:bookmarkStart w:id="353" w:name="_Toc296346660"/>
      <w:bookmarkStart w:id="354" w:name="_Toc292559364"/>
      <w:bookmarkStart w:id="355" w:name="_Toc297216151"/>
      <w:bookmarkStart w:id="356" w:name="_Toc312677988"/>
      <w:bookmarkStart w:id="357" w:name="_Toc297120459"/>
      <w:bookmarkStart w:id="358" w:name="_Toc296944498"/>
      <w:bookmarkStart w:id="359" w:name="_Toc296890987"/>
      <w:bookmarkStart w:id="360" w:name="_Toc296347158"/>
      <w:r>
        <w:rPr>
          <w:rFonts w:hint="eastAsia" w:ascii="宋体" w:cs="宋体"/>
          <w:color w:val="auto"/>
          <w:highlight w:val="none"/>
        </w:rPr>
        <w:t>.5 分包</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14:paraId="7103C70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w:t>
      </w:r>
      <w:bookmarkStart w:id="361" w:name="_Toc296891200"/>
      <w:bookmarkStart w:id="362" w:name="_Toc318581158"/>
      <w:bookmarkStart w:id="363" w:name="_Toc296347159"/>
      <w:bookmarkStart w:id="364" w:name="_Toc296944499"/>
      <w:bookmarkStart w:id="365" w:name="_Toc292559870"/>
      <w:bookmarkStart w:id="366" w:name="_Toc297216152"/>
      <w:bookmarkStart w:id="367" w:name="_Toc297048346"/>
      <w:bookmarkStart w:id="368" w:name="_Toc297120460"/>
      <w:bookmarkStart w:id="369" w:name="_Toc304295524"/>
      <w:bookmarkStart w:id="370" w:name="_Toc312677989"/>
      <w:bookmarkStart w:id="371" w:name="_Toc303539103"/>
      <w:bookmarkStart w:id="372" w:name="_Toc297123493"/>
      <w:bookmarkStart w:id="373" w:name="_Toc292559365"/>
      <w:bookmarkStart w:id="374" w:name="_Toc296503160"/>
      <w:bookmarkStart w:id="375" w:name="_Toc300934946"/>
      <w:bookmarkStart w:id="376" w:name="_Toc296890988"/>
      <w:bookmarkStart w:id="377" w:name="_Toc296346661"/>
      <w:r>
        <w:rPr>
          <w:rFonts w:hint="eastAsia" w:ascii="宋体" w:hAnsi="宋体" w:cs="宋体"/>
          <w:color w:val="auto"/>
          <w:szCs w:val="21"/>
          <w:highlight w:val="none"/>
        </w:rPr>
        <w:t>.5.1 分包的一般约定</w:t>
      </w:r>
    </w:p>
    <w:p w14:paraId="05C5F34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ascii="宋体" w:hAnsi="宋体" w:eastAsia="宋体" w:cs="宋体"/>
          <w:color w:val="auto"/>
          <w:spacing w:val="8"/>
          <w:sz w:val="20"/>
          <w:szCs w:val="20"/>
          <w:highlight w:val="none"/>
          <w:u w:val="single" w:color="auto"/>
        </w:rPr>
        <w:t>按国家规定及招标要求</w:t>
      </w:r>
      <w:r>
        <w:rPr>
          <w:rFonts w:hint="eastAsia" w:ascii="宋体" w:hAnsi="宋体" w:cs="宋体"/>
          <w:color w:val="auto"/>
          <w:szCs w:val="21"/>
          <w:highlight w:val="none"/>
        </w:rPr>
        <w:t>。</w:t>
      </w:r>
    </w:p>
    <w:p w14:paraId="7725BC8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主体结构、关键性工作的范围：</w:t>
      </w:r>
      <w:r>
        <w:rPr>
          <w:rFonts w:ascii="宋体" w:hAnsi="宋体" w:cs="宋体"/>
          <w:color w:val="auto"/>
          <w:szCs w:val="21"/>
          <w:highlight w:val="none"/>
          <w:u w:val="single"/>
        </w:rPr>
        <w:t></w:t>
      </w:r>
      <w:r>
        <w:rPr>
          <w:rFonts w:ascii="宋体" w:hAnsi="宋体" w:eastAsia="宋体" w:cs="宋体"/>
          <w:color w:val="auto"/>
          <w:spacing w:val="8"/>
          <w:sz w:val="20"/>
          <w:szCs w:val="20"/>
          <w:highlight w:val="none"/>
          <w:u w:val="single" w:color="auto"/>
        </w:rPr>
        <w:t>不允许分包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6C3393F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w:t>
      </w:r>
      <w:bookmarkStart w:id="378" w:name="_Toc312677990"/>
      <w:bookmarkStart w:id="379" w:name="_Toc318581159"/>
      <w:r>
        <w:rPr>
          <w:rFonts w:hint="eastAsia" w:ascii="宋体" w:hAnsi="宋体" w:cs="宋体"/>
          <w:color w:val="auto"/>
          <w:szCs w:val="21"/>
          <w:highlight w:val="none"/>
        </w:rPr>
        <w:t>.5.2 分包的确定</w:t>
      </w:r>
    </w:p>
    <w:p w14:paraId="677DE4D2">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 xml:space="preserve">劳务工程  </w:t>
      </w:r>
      <w:r>
        <w:rPr>
          <w:rFonts w:hint="eastAsia" w:ascii="宋体" w:hAnsi="宋体" w:cs="宋体"/>
          <w:color w:val="auto"/>
          <w:szCs w:val="21"/>
          <w:highlight w:val="none"/>
        </w:rPr>
        <w:t>。</w:t>
      </w:r>
    </w:p>
    <w:bookmarkEnd w:id="378"/>
    <w:bookmarkEnd w:id="379"/>
    <w:p w14:paraId="072AA747">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80" w:name="_Toc418518357"/>
      <w:bookmarkStart w:id="381" w:name="_Toc373227711"/>
      <w:bookmarkStart w:id="382" w:name="_Toc403578945"/>
      <w:bookmarkStart w:id="383" w:name="_Toc497747189"/>
      <w:bookmarkStart w:id="384" w:name="_Toc418751807"/>
      <w:bookmarkStart w:id="385" w:name="_Toc522201741"/>
      <w:bookmarkStart w:id="386" w:name="_Toc256000191"/>
      <w:bookmarkStart w:id="387" w:name="_Toc3937"/>
      <w:bookmarkStart w:id="388" w:name="_Toc373478358"/>
      <w:bookmarkStart w:id="389" w:name="_Toc418061322"/>
      <w:bookmarkStart w:id="390" w:name="_Toc497746792"/>
      <w:bookmarkStart w:id="391" w:name="_Toc389065277"/>
      <w:bookmarkStart w:id="392" w:name="_Toc418518121"/>
      <w:bookmarkStart w:id="393" w:name="_Toc418752253"/>
      <w:r>
        <w:rPr>
          <w:rFonts w:hint="eastAsia" w:ascii="宋体" w:cs="宋体"/>
          <w:color w:val="auto"/>
          <w:highlight w:val="none"/>
        </w:rPr>
        <w:t>3.6 工程照管与成品、半成品保护</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58B6A868">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承包人负责照管工程及工程相关的材料、工程设备的起始时间：</w:t>
      </w:r>
      <w:r>
        <w:rPr>
          <w:rFonts w:ascii="宋体" w:hAnsi="宋体" w:eastAsia="宋体" w:cs="宋体"/>
          <w:color w:val="auto"/>
          <w:spacing w:val="11"/>
          <w:sz w:val="20"/>
          <w:szCs w:val="20"/>
          <w:highlight w:val="none"/>
        </w:rPr>
        <w:t>发包人移交施工现场至</w:t>
      </w:r>
      <w:r>
        <w:rPr>
          <w:rFonts w:ascii="宋体" w:hAnsi="宋体" w:eastAsia="宋体" w:cs="宋体"/>
          <w:color w:val="auto"/>
          <w:spacing w:val="11"/>
          <w:sz w:val="20"/>
          <w:szCs w:val="20"/>
          <w:highlight w:val="none"/>
          <w:u w:val="single" w:color="auto"/>
        </w:rPr>
        <w:t xml:space="preserve"> 验收交付发包人</w:t>
      </w:r>
      <w:r>
        <w:rPr>
          <w:rFonts w:ascii="宋体" w:hAnsi="宋体" w:eastAsia="宋体" w:cs="宋体"/>
          <w:color w:val="auto"/>
          <w:spacing w:val="4"/>
          <w:sz w:val="20"/>
          <w:szCs w:val="20"/>
          <w:highlight w:val="none"/>
          <w:u w:val="single" w:color="auto"/>
        </w:rPr>
        <w:t>使用前</w:t>
      </w:r>
      <w:r>
        <w:rPr>
          <w:rFonts w:hint="eastAsia" w:ascii="宋体" w:hAnsi="宋体" w:cs="宋体"/>
          <w:color w:val="auto"/>
          <w:kern w:val="0"/>
          <w:szCs w:val="21"/>
          <w:highlight w:val="none"/>
        </w:rPr>
        <w:t>。</w:t>
      </w:r>
    </w:p>
    <w:p w14:paraId="39201C4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94" w:name="_Toc403578946"/>
      <w:bookmarkStart w:id="395" w:name="_Toc522201742"/>
      <w:bookmarkStart w:id="396" w:name="_Toc497747190"/>
      <w:bookmarkStart w:id="397" w:name="_Toc497746793"/>
      <w:bookmarkStart w:id="398" w:name="_Toc389065278"/>
      <w:bookmarkStart w:id="399" w:name="_Toc418752254"/>
      <w:bookmarkStart w:id="400" w:name="_Toc418751808"/>
      <w:bookmarkStart w:id="401" w:name="_Toc373478359"/>
      <w:bookmarkStart w:id="402" w:name="_Toc418518358"/>
      <w:bookmarkStart w:id="403" w:name="_Toc418518122"/>
      <w:bookmarkStart w:id="404" w:name="_Toc418061323"/>
      <w:bookmarkStart w:id="405" w:name="_Toc373227712"/>
      <w:bookmarkStart w:id="406" w:name="_Toc26258"/>
      <w:bookmarkStart w:id="407" w:name="_Toc256000192"/>
      <w:r>
        <w:rPr>
          <w:rFonts w:hint="eastAsia" w:ascii="宋体" w:cs="宋体"/>
          <w:color w:val="auto"/>
          <w:highlight w:val="none"/>
        </w:rPr>
        <w:t>3.7 履约</w:t>
      </w:r>
      <w:bookmarkEnd w:id="394"/>
      <w:bookmarkEnd w:id="395"/>
      <w:bookmarkEnd w:id="396"/>
      <w:bookmarkEnd w:id="397"/>
      <w:bookmarkEnd w:id="398"/>
      <w:bookmarkEnd w:id="399"/>
      <w:bookmarkEnd w:id="400"/>
      <w:bookmarkEnd w:id="401"/>
      <w:bookmarkEnd w:id="402"/>
      <w:bookmarkEnd w:id="403"/>
      <w:bookmarkEnd w:id="404"/>
      <w:bookmarkEnd w:id="405"/>
      <w:r>
        <w:rPr>
          <w:rFonts w:hint="eastAsia" w:ascii="宋体" w:cs="宋体"/>
          <w:color w:val="auto"/>
          <w:highlight w:val="none"/>
        </w:rPr>
        <w:t>担保</w:t>
      </w:r>
      <w:bookmarkEnd w:id="406"/>
      <w:bookmarkEnd w:id="407"/>
    </w:p>
    <w:p w14:paraId="4A9CBCA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bookmarkStart w:id="408" w:name="_Toc351203636"/>
      <w:bookmarkStart w:id="409" w:name="_Toc373227713"/>
      <w:bookmarkStart w:id="410" w:name="_Toc373478360"/>
      <w:bookmarkStart w:id="411" w:name="_Toc418061324"/>
      <w:bookmarkStart w:id="412" w:name="_Toc389065279"/>
      <w:bookmarkStart w:id="413" w:name="_Toc403578947"/>
      <w:bookmarkStart w:id="414" w:name="_Toc418518359"/>
      <w:bookmarkStart w:id="415" w:name="_Toc418751809"/>
      <w:bookmarkStart w:id="416" w:name="_Toc418752255"/>
      <w:bookmarkStart w:id="417" w:name="_Toc418518123"/>
      <w:r>
        <w:rPr>
          <w:rFonts w:hint="eastAsia" w:ascii="宋体" w:hAnsi="宋体" w:cs="宋体"/>
          <w:color w:val="auto"/>
          <w:highlight w:val="none"/>
        </w:rPr>
        <w:t>承包人是否提供履约担保：</w:t>
      </w:r>
      <w:r>
        <w:rPr>
          <w:rFonts w:hint="eastAsia" w:ascii="宋体" w:hAnsi="宋体" w:cs="宋体"/>
          <w:color w:val="auto"/>
          <w:highlight w:val="none"/>
          <w:u w:val="single"/>
        </w:rPr>
        <w:t xml:space="preserve">     否    　</w:t>
      </w:r>
      <w:r>
        <w:rPr>
          <w:rFonts w:hint="eastAsia" w:ascii="宋体" w:hAnsi="宋体" w:cs="宋体"/>
          <w:color w:val="auto"/>
          <w:highlight w:val="none"/>
        </w:rPr>
        <w:t>。</w:t>
      </w:r>
    </w:p>
    <w:p w14:paraId="01B44705">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承包人提供履约担保的形式、金额及期限的：</w:t>
      </w:r>
      <w:r>
        <w:rPr>
          <w:rFonts w:ascii="宋体" w:hAnsi="宋体" w:eastAsia="宋体" w:cs="宋体"/>
          <w:color w:val="auto"/>
          <w:spacing w:val="9"/>
          <w:sz w:val="20"/>
          <w:szCs w:val="20"/>
          <w:highlight w:val="none"/>
          <w:u w:val="single" w:color="auto"/>
        </w:rPr>
        <w:t xml:space="preserve"> 中标</w:t>
      </w:r>
      <w:r>
        <w:rPr>
          <w:rFonts w:ascii="宋体" w:hAnsi="宋体" w:eastAsia="宋体" w:cs="宋体"/>
          <w:color w:val="auto"/>
          <w:spacing w:val="8"/>
          <w:sz w:val="20"/>
          <w:szCs w:val="20"/>
          <w:highlight w:val="none"/>
          <w:u w:val="single" w:color="auto"/>
        </w:rPr>
        <w:t>后填写</w:t>
      </w:r>
      <w:r>
        <w:rPr>
          <w:rFonts w:hint="eastAsia" w:ascii="宋体" w:hAnsi="宋体" w:cs="宋体"/>
          <w:color w:val="auto"/>
          <w:szCs w:val="21"/>
          <w:highlight w:val="none"/>
          <w:u w:val="single"/>
        </w:rPr>
        <w:t>。</w:t>
      </w:r>
    </w:p>
    <w:p w14:paraId="5620F397">
      <w:pPr>
        <w:pStyle w:val="244"/>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bookmarkStart w:id="418" w:name="_Toc256000193"/>
      <w:bookmarkStart w:id="419" w:name="_Toc497747191"/>
      <w:bookmarkStart w:id="420" w:name="_Toc522201743"/>
      <w:bookmarkStart w:id="421" w:name="_Toc23968"/>
      <w:bookmarkStart w:id="422" w:name="_Toc497746794"/>
      <w:r>
        <w:rPr>
          <w:rFonts w:hint="eastAsia" w:ascii="宋体" w:cs="宋体"/>
          <w:b w:val="0"/>
          <w:bCs w:val="0"/>
          <w:color w:val="auto"/>
          <w:highlight w:val="none"/>
        </w:rPr>
        <w:t>承包人在中标后 7 个工作日内，按桂劳社发[2009]50 号文件规定将农民工工资保障金存入账户。工程竣工验收结算经审定后，按照规定程序，将农民工工资保障金没有使用或剩余的金额退还给承包人。</w:t>
      </w:r>
    </w:p>
    <w:p w14:paraId="6895BDCC">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r>
        <w:rPr>
          <w:rFonts w:hint="eastAsia" w:ascii="宋体" w:cs="宋体"/>
          <w:color w:val="auto"/>
          <w:highlight w:val="none"/>
        </w:rPr>
        <w:t>4</w:t>
      </w:r>
      <w:bookmarkStart w:id="423" w:name="_Toc296890990"/>
      <w:bookmarkStart w:id="424" w:name="_Toc267251413"/>
      <w:bookmarkStart w:id="425" w:name="_Toc297120462"/>
      <w:bookmarkStart w:id="426" w:name="_Toc296944501"/>
      <w:bookmarkStart w:id="427" w:name="_Toc296347161"/>
      <w:bookmarkStart w:id="428" w:name="_Toc296346663"/>
      <w:bookmarkStart w:id="429" w:name="_Toc292559366"/>
      <w:bookmarkStart w:id="430" w:name="_Toc297048348"/>
      <w:bookmarkStart w:id="431" w:name="_Toc296503162"/>
      <w:bookmarkStart w:id="432" w:name="_Toc292559871"/>
      <w:bookmarkStart w:id="433" w:name="_Toc296891202"/>
      <w:r>
        <w:rPr>
          <w:rFonts w:hint="eastAsia" w:ascii="宋体" w:cs="宋体"/>
          <w:color w:val="auto"/>
          <w:highlight w:val="none"/>
        </w:rPr>
        <w:t>. 监</w:t>
      </w:r>
      <w:bookmarkEnd w:id="423"/>
      <w:bookmarkEnd w:id="424"/>
      <w:bookmarkEnd w:id="425"/>
      <w:bookmarkEnd w:id="426"/>
      <w:bookmarkEnd w:id="427"/>
      <w:bookmarkEnd w:id="428"/>
      <w:bookmarkEnd w:id="429"/>
      <w:bookmarkEnd w:id="430"/>
      <w:bookmarkEnd w:id="431"/>
      <w:bookmarkEnd w:id="432"/>
      <w:bookmarkEnd w:id="433"/>
      <w:r>
        <w:rPr>
          <w:rFonts w:hint="eastAsia" w:ascii="宋体" w:cs="宋体"/>
          <w:color w:val="auto"/>
          <w:highlight w:val="none"/>
        </w:rPr>
        <w:t>理人</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7BB42351">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34" w:name="_Toc418751810"/>
      <w:bookmarkStart w:id="435" w:name="_Toc418752256"/>
      <w:bookmarkStart w:id="436" w:name="_Toc418518124"/>
      <w:bookmarkStart w:id="437" w:name="_Toc418518360"/>
      <w:bookmarkStart w:id="438" w:name="_Toc256000194"/>
      <w:bookmarkStart w:id="439" w:name="_Toc27400"/>
      <w:bookmarkStart w:id="440" w:name="_Toc389065280"/>
      <w:bookmarkStart w:id="441" w:name="_Toc403578948"/>
      <w:bookmarkStart w:id="442" w:name="_Toc497747192"/>
      <w:bookmarkStart w:id="443" w:name="_Toc373227714"/>
      <w:bookmarkStart w:id="444" w:name="_Toc418061325"/>
      <w:bookmarkStart w:id="445" w:name="_Toc497746795"/>
      <w:bookmarkStart w:id="446" w:name="_Toc373478361"/>
      <w:bookmarkStart w:id="447" w:name="_Toc522201744"/>
      <w:r>
        <w:rPr>
          <w:rFonts w:hint="eastAsia" w:ascii="宋体" w:cs="宋体"/>
          <w:color w:val="auto"/>
          <w:highlight w:val="none"/>
        </w:rPr>
        <w:t>4.1 监理人的一般规定</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14788D0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关于监理人的监理内容：</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szCs w:val="21"/>
          <w:highlight w:val="none"/>
          <w:u w:val="single"/>
        </w:rPr>
        <w:t>。</w:t>
      </w:r>
    </w:p>
    <w:p w14:paraId="327D3FC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关于监理人的监理权限：</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3C92C32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关于监理人在施工现场的办公场所、生活场所的提供和费用承担的约定：</w:t>
      </w:r>
      <w:r>
        <w:rPr>
          <w:rFonts w:ascii="宋体" w:hAnsi="宋体" w:eastAsia="宋体" w:cs="宋体"/>
          <w:color w:val="auto"/>
          <w:spacing w:val="9"/>
          <w:sz w:val="20"/>
          <w:szCs w:val="20"/>
          <w:highlight w:val="none"/>
          <w:u w:val="single" w:color="auto"/>
        </w:rPr>
        <w:t xml:space="preserve">发包人与监理人约定 </w:t>
      </w:r>
      <w:r>
        <w:rPr>
          <w:rFonts w:hint="eastAsia" w:ascii="宋体" w:hAnsi="宋体" w:cs="宋体"/>
          <w:color w:val="auto"/>
          <w:szCs w:val="21"/>
          <w:highlight w:val="none"/>
        </w:rPr>
        <w:t>。</w:t>
      </w:r>
    </w:p>
    <w:p w14:paraId="67368717">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48" w:name="_Toc29129"/>
      <w:bookmarkStart w:id="449" w:name="_Toc389065281"/>
      <w:bookmarkStart w:id="450" w:name="_Toc418518361"/>
      <w:bookmarkStart w:id="451" w:name="_Toc497746796"/>
      <w:bookmarkStart w:id="452" w:name="_Toc403578949"/>
      <w:bookmarkStart w:id="453" w:name="_Toc418751811"/>
      <w:bookmarkStart w:id="454" w:name="_Toc373478362"/>
      <w:bookmarkStart w:id="455" w:name="_Toc418752257"/>
      <w:bookmarkStart w:id="456" w:name="_Toc497747193"/>
      <w:bookmarkStart w:id="457" w:name="_Toc522201745"/>
      <w:bookmarkStart w:id="458" w:name="_Toc418061326"/>
      <w:bookmarkStart w:id="459" w:name="_Toc418518125"/>
      <w:bookmarkStart w:id="460" w:name="_Toc373227715"/>
      <w:bookmarkStart w:id="461" w:name="_Toc256000195"/>
      <w:r>
        <w:rPr>
          <w:rFonts w:hint="eastAsia" w:ascii="宋体" w:cs="宋体"/>
          <w:color w:val="auto"/>
          <w:highlight w:val="none"/>
        </w:rPr>
        <w:t>4.2 监理人员</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5D4FF64B">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总监理工程师：</w:t>
      </w:r>
    </w:p>
    <w:p w14:paraId="66F9A405">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9E20BA9">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642997">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E666370">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75B06A5">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20A4FB">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6966E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 xml:space="preserve">中标后填写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FFF93D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62" w:name="_Toc418752258"/>
      <w:bookmarkStart w:id="463" w:name="_Toc522201746"/>
      <w:bookmarkStart w:id="464" w:name="_Toc418061327"/>
      <w:bookmarkStart w:id="465" w:name="_Toc403578950"/>
      <w:bookmarkStart w:id="466" w:name="_Toc373227716"/>
      <w:bookmarkStart w:id="467" w:name="_Toc256000196"/>
      <w:bookmarkStart w:id="468" w:name="_Toc389065282"/>
      <w:bookmarkStart w:id="469" w:name="_Toc497747194"/>
      <w:bookmarkStart w:id="470" w:name="_Toc31881"/>
      <w:bookmarkStart w:id="471" w:name="_Toc418518126"/>
      <w:bookmarkStart w:id="472" w:name="_Toc418751812"/>
      <w:bookmarkStart w:id="473" w:name="_Toc497746797"/>
      <w:bookmarkStart w:id="474" w:name="_Toc418518362"/>
      <w:bookmarkStart w:id="475" w:name="_Toc373478363"/>
      <w:r>
        <w:rPr>
          <w:rFonts w:hint="eastAsia" w:ascii="宋体" w:cs="宋体"/>
          <w:color w:val="auto"/>
          <w:highlight w:val="none"/>
        </w:rPr>
        <w:t>4.4 商定或确定</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8FC5824">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bookmarkStart w:id="476" w:name="_Toc267251418"/>
      <w:r>
        <w:rPr>
          <w:rFonts w:hint="eastAsia" w:ascii="宋体" w:hAnsi="宋体" w:cs="宋体"/>
          <w:color w:val="auto"/>
          <w:szCs w:val="21"/>
          <w:highlight w:val="none"/>
        </w:rPr>
        <w:t>在发包人和承包人不能通过协商达成一致意见时，发包人授权监理人对以下事项进行确定：</w:t>
      </w:r>
    </w:p>
    <w:p w14:paraId="436D068E">
      <w:pPr>
        <w:spacing w:before="222" w:line="228" w:lineRule="auto"/>
        <w:ind w:left="43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（1）</w:t>
      </w:r>
      <w:r>
        <w:rPr>
          <w:rFonts w:ascii="宋体" w:hAnsi="宋体" w:eastAsia="宋体" w:cs="宋体"/>
          <w:color w:val="auto"/>
          <w:spacing w:val="9"/>
          <w:sz w:val="20"/>
          <w:szCs w:val="20"/>
          <w:highlight w:val="none"/>
          <w:u w:val="single" w:color="auto"/>
        </w:rPr>
        <w:t xml:space="preserve">      </w:t>
      </w:r>
      <w:r>
        <w:rPr>
          <w:rFonts w:ascii="宋体" w:hAnsi="宋体" w:eastAsia="宋体" w:cs="宋体"/>
          <w:color w:val="auto"/>
          <w:spacing w:val="3"/>
          <w:sz w:val="20"/>
          <w:szCs w:val="20"/>
          <w:highlight w:val="none"/>
          <w:u w:val="single" w:color="auto"/>
        </w:rPr>
        <w:t>中标后填写</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3"/>
          <w:sz w:val="20"/>
          <w:szCs w:val="20"/>
          <w:highlight w:val="none"/>
        </w:rPr>
        <w:t>；</w:t>
      </w:r>
    </w:p>
    <w:p w14:paraId="1185C972">
      <w:pPr>
        <w:spacing w:before="221" w:line="228" w:lineRule="auto"/>
        <w:ind w:left="43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（2）</w:t>
      </w:r>
      <w:r>
        <w:rPr>
          <w:rFonts w:ascii="宋体" w:hAnsi="宋体" w:eastAsia="宋体" w:cs="宋体"/>
          <w:color w:val="auto"/>
          <w:spacing w:val="10"/>
          <w:sz w:val="20"/>
          <w:szCs w:val="20"/>
          <w:highlight w:val="none"/>
          <w:u w:val="single" w:color="auto"/>
        </w:rPr>
        <w:t xml:space="preserve">     </w:t>
      </w:r>
      <w:r>
        <w:rPr>
          <w:rFonts w:ascii="宋体" w:hAnsi="宋体" w:eastAsia="宋体" w:cs="宋体"/>
          <w:color w:val="auto"/>
          <w:spacing w:val="3"/>
          <w:sz w:val="20"/>
          <w:szCs w:val="20"/>
          <w:highlight w:val="none"/>
          <w:u w:val="single" w:color="auto"/>
        </w:rPr>
        <w:t>中标后填写</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3"/>
          <w:sz w:val="20"/>
          <w:szCs w:val="20"/>
          <w:highlight w:val="none"/>
        </w:rPr>
        <w:t>；</w:t>
      </w:r>
    </w:p>
    <w:p w14:paraId="50FCA89F">
      <w:pPr>
        <w:spacing w:before="221" w:line="228" w:lineRule="auto"/>
        <w:ind w:left="437"/>
        <w:rPr>
          <w:rFonts w:ascii="宋体" w:hAnsi="宋体" w:cs="宋体"/>
          <w:color w:val="auto"/>
          <w:szCs w:val="21"/>
          <w:highlight w:val="none"/>
        </w:rPr>
      </w:pPr>
      <w:r>
        <w:rPr>
          <w:rFonts w:ascii="宋体" w:hAnsi="宋体" w:eastAsia="宋体" w:cs="宋体"/>
          <w:color w:val="auto"/>
          <w:spacing w:val="3"/>
          <w:sz w:val="20"/>
          <w:szCs w:val="20"/>
          <w:highlight w:val="none"/>
        </w:rPr>
        <w:t>（3）</w:t>
      </w:r>
      <w:r>
        <w:rPr>
          <w:rFonts w:ascii="宋体" w:hAnsi="宋体" w:eastAsia="宋体" w:cs="宋体"/>
          <w:color w:val="auto"/>
          <w:spacing w:val="11"/>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中标后填写     </w:t>
      </w:r>
      <w:r>
        <w:rPr>
          <w:rFonts w:ascii="宋体" w:hAnsi="宋体" w:eastAsia="宋体" w:cs="宋体"/>
          <w:color w:val="auto"/>
          <w:spacing w:val="3"/>
          <w:sz w:val="20"/>
          <w:szCs w:val="20"/>
          <w:highlight w:val="none"/>
        </w:rPr>
        <w:t>。</w:t>
      </w:r>
    </w:p>
    <w:p w14:paraId="10FB1BD5">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477" w:name="_Toc522201747"/>
      <w:bookmarkStart w:id="478" w:name="_Toc497746798"/>
      <w:bookmarkStart w:id="479" w:name="_Toc256000197"/>
      <w:bookmarkStart w:id="480" w:name="_Toc351203637"/>
      <w:bookmarkStart w:id="481" w:name="_Toc373227717"/>
      <w:bookmarkStart w:id="482" w:name="_Toc373478364"/>
      <w:bookmarkStart w:id="483" w:name="_Toc418752259"/>
      <w:bookmarkStart w:id="484" w:name="_Toc497747195"/>
      <w:bookmarkStart w:id="485" w:name="_Toc403578951"/>
      <w:bookmarkStart w:id="486" w:name="_Toc389065283"/>
      <w:bookmarkStart w:id="487" w:name="_Toc15220"/>
      <w:bookmarkStart w:id="488" w:name="_Toc418518363"/>
      <w:bookmarkStart w:id="489" w:name="_Toc418518127"/>
      <w:bookmarkStart w:id="490" w:name="_Toc418061328"/>
      <w:bookmarkStart w:id="491" w:name="_Toc418751813"/>
      <w:r>
        <w:rPr>
          <w:rFonts w:hint="eastAsia" w:ascii="宋体" w:cs="宋体"/>
          <w:color w:val="auto"/>
          <w:highlight w:val="none"/>
        </w:rPr>
        <w:t>5</w:t>
      </w:r>
      <w:bookmarkEnd w:id="476"/>
      <w:bookmarkStart w:id="492" w:name="_Toc292559367"/>
      <w:bookmarkStart w:id="493" w:name="_Toc296503163"/>
      <w:bookmarkStart w:id="494" w:name="_Toc292559872"/>
      <w:bookmarkStart w:id="495" w:name="_Toc296347162"/>
      <w:bookmarkStart w:id="496" w:name="_Toc296346664"/>
      <w:bookmarkStart w:id="497" w:name="_Toc297120463"/>
      <w:bookmarkStart w:id="498" w:name="_Toc297048349"/>
      <w:bookmarkStart w:id="499" w:name="_Toc296891203"/>
      <w:bookmarkStart w:id="500" w:name="_Toc296944502"/>
      <w:bookmarkStart w:id="501" w:name="_Toc296890991"/>
      <w:r>
        <w:rPr>
          <w:rFonts w:hint="eastAsia" w:ascii="宋体" w:cs="宋体"/>
          <w:color w:val="auto"/>
          <w:highlight w:val="none"/>
        </w:rPr>
        <w:t>. 工程质量</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65AB8C99">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02" w:name="_Toc418751814"/>
      <w:bookmarkStart w:id="503" w:name="_Toc373227718"/>
      <w:bookmarkStart w:id="504" w:name="_Toc418061329"/>
      <w:bookmarkStart w:id="505" w:name="_Toc389065284"/>
      <w:bookmarkStart w:id="506" w:name="_Toc497747196"/>
      <w:bookmarkStart w:id="507" w:name="_Toc27806"/>
      <w:bookmarkStart w:id="508" w:name="_Toc497746799"/>
      <w:bookmarkStart w:id="509" w:name="_Toc403578952"/>
      <w:bookmarkStart w:id="510" w:name="_Toc373478365"/>
      <w:bookmarkStart w:id="511" w:name="_Toc418518364"/>
      <w:bookmarkStart w:id="512" w:name="_Toc418752260"/>
      <w:bookmarkStart w:id="513" w:name="_Toc522201748"/>
      <w:bookmarkStart w:id="514" w:name="_Toc256000198"/>
      <w:bookmarkStart w:id="515" w:name="_Toc418518128"/>
      <w:r>
        <w:rPr>
          <w:rFonts w:hint="eastAsia" w:ascii="宋体" w:cs="宋体"/>
          <w:color w:val="auto"/>
          <w:highlight w:val="none"/>
        </w:rPr>
        <w:t>5.1 质量要求</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53071B5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5</w:t>
      </w:r>
      <w:bookmarkStart w:id="516" w:name="_Toc300934949"/>
      <w:bookmarkStart w:id="517" w:name="_Toc303539106"/>
      <w:bookmarkStart w:id="518" w:name="_Toc297123496"/>
      <w:bookmarkStart w:id="519" w:name="_Toc297216155"/>
      <w:bookmarkStart w:id="520" w:name="_Toc318581164"/>
      <w:bookmarkStart w:id="521" w:name="_Toc312677997"/>
      <w:bookmarkStart w:id="522" w:name="_Toc304295527"/>
      <w:r>
        <w:rPr>
          <w:rFonts w:hint="eastAsia" w:ascii="宋体" w:hAnsi="宋体" w:cs="宋体"/>
          <w:color w:val="auto"/>
          <w:szCs w:val="21"/>
          <w:highlight w:val="none"/>
        </w:rPr>
        <w:t>.1.1 特殊质量标准和要求：</w:t>
      </w:r>
      <w:r>
        <w:rPr>
          <w:rFonts w:hint="eastAsia" w:ascii="宋体" w:hAnsi="宋体" w:cs="宋体"/>
          <w:color w:val="auto"/>
          <w:szCs w:val="21"/>
          <w:highlight w:val="none"/>
          <w:u w:val="single"/>
        </w:rPr>
        <w:t xml:space="preserve"> 工程质量达到国家验收合格标准 </w:t>
      </w:r>
      <w:r>
        <w:rPr>
          <w:rFonts w:hint="eastAsia" w:ascii="宋体" w:hAnsi="宋体" w:cs="宋体"/>
          <w:color w:val="auto"/>
          <w:szCs w:val="21"/>
          <w:highlight w:val="none"/>
        </w:rPr>
        <w:t>。</w:t>
      </w:r>
    </w:p>
    <w:p w14:paraId="24A3CCD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44E1D97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5.3 隐蔽工程检查</w:t>
      </w:r>
    </w:p>
    <w:p w14:paraId="0950375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szCs w:val="21"/>
          <w:highlight w:val="none"/>
        </w:rPr>
        <w:t>5.3.2承包人提前通知监理人隐蔽工程检查的期限的约定：</w:t>
      </w:r>
      <w:r>
        <w:rPr>
          <w:rFonts w:ascii="宋体" w:hAnsi="宋体" w:eastAsia="宋体" w:cs="宋体"/>
          <w:color w:val="auto"/>
          <w:spacing w:val="8"/>
          <w:sz w:val="20"/>
          <w:szCs w:val="20"/>
          <w:highlight w:val="none"/>
          <w:u w:val="single" w:color="auto"/>
        </w:rPr>
        <w:t>共同检查前48</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小时书面通知监理人，通知</w:t>
      </w:r>
      <w:r>
        <w:rPr>
          <w:rFonts w:ascii="宋体" w:hAnsi="宋体" w:eastAsia="宋体" w:cs="宋体"/>
          <w:color w:val="auto"/>
          <w:spacing w:val="9"/>
          <w:sz w:val="20"/>
          <w:szCs w:val="20"/>
          <w:highlight w:val="none"/>
          <w:u w:val="single" w:color="auto"/>
        </w:rPr>
        <w:t>中应载明隐蔽检查的内容、时间、地点，并应附有自检记录和必</w:t>
      </w:r>
      <w:r>
        <w:rPr>
          <w:rFonts w:ascii="宋体" w:hAnsi="宋体" w:eastAsia="宋体" w:cs="宋体"/>
          <w:color w:val="auto"/>
          <w:spacing w:val="8"/>
          <w:sz w:val="20"/>
          <w:szCs w:val="20"/>
          <w:highlight w:val="none"/>
          <w:u w:val="single" w:color="auto"/>
        </w:rPr>
        <w:t>要的检查资料</w:t>
      </w:r>
      <w:r>
        <w:rPr>
          <w:rFonts w:hint="eastAsia" w:ascii="宋体" w:hAnsi="宋体" w:cs="宋体"/>
          <w:bCs/>
          <w:color w:val="auto"/>
          <w:szCs w:val="21"/>
          <w:highlight w:val="none"/>
          <w:u w:val="single"/>
        </w:rPr>
        <w:t>。</w:t>
      </w:r>
    </w:p>
    <w:p w14:paraId="6378F0B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监理人不能按时进行检查时，应提前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49B1014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752DB2D5">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523" w:name="_Toc351203638"/>
      <w:bookmarkStart w:id="524" w:name="_Toc418061330"/>
      <w:bookmarkStart w:id="525" w:name="_Toc256000199"/>
      <w:bookmarkStart w:id="526" w:name="_Toc497746800"/>
      <w:bookmarkStart w:id="527" w:name="_Toc403578953"/>
      <w:bookmarkStart w:id="528" w:name="_Toc522201749"/>
      <w:bookmarkStart w:id="529" w:name="_Toc373227719"/>
      <w:bookmarkStart w:id="530" w:name="_Toc497747197"/>
      <w:bookmarkStart w:id="531" w:name="_Toc418752261"/>
      <w:bookmarkStart w:id="532" w:name="_Toc418751815"/>
      <w:bookmarkStart w:id="533" w:name="_Toc373478366"/>
      <w:bookmarkStart w:id="534" w:name="_Toc11534"/>
      <w:bookmarkStart w:id="535" w:name="_Toc389065285"/>
      <w:bookmarkStart w:id="536" w:name="_Toc418518129"/>
      <w:bookmarkStart w:id="537" w:name="_Toc418518365"/>
      <w:r>
        <w:rPr>
          <w:rFonts w:hint="eastAsia" w:ascii="宋体" w:cs="宋体"/>
          <w:color w:val="auto"/>
          <w:highlight w:val="none"/>
        </w:rPr>
        <w:t>6. 安全文明施工与环境保护</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5DFA97A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38" w:name="_Toc22248"/>
      <w:bookmarkStart w:id="539" w:name="_Toc497746801"/>
      <w:bookmarkStart w:id="540" w:name="_Toc373478367"/>
      <w:bookmarkStart w:id="541" w:name="_Toc256000200"/>
      <w:bookmarkStart w:id="542" w:name="_Toc403578954"/>
      <w:bookmarkStart w:id="543" w:name="_Toc418751816"/>
      <w:bookmarkStart w:id="544" w:name="_Toc418752262"/>
      <w:bookmarkStart w:id="545" w:name="_Toc522201750"/>
      <w:bookmarkStart w:id="546" w:name="_Toc497747198"/>
      <w:bookmarkStart w:id="547" w:name="_Toc373227720"/>
      <w:bookmarkStart w:id="548" w:name="_Toc418518366"/>
      <w:bookmarkStart w:id="549" w:name="_Toc389065286"/>
      <w:bookmarkStart w:id="550" w:name="_Toc418061331"/>
      <w:bookmarkStart w:id="551" w:name="_Toc418518130"/>
      <w:r>
        <w:rPr>
          <w:rFonts w:hint="eastAsia" w:ascii="宋体" w:cs="宋体"/>
          <w:color w:val="auto"/>
          <w:highlight w:val="none"/>
        </w:rPr>
        <w:t>6.1 安全文明施工</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0B6FB0E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6.1.1 项目安全生产的达标目标及相应事项的约定：</w:t>
      </w:r>
      <w:r>
        <w:rPr>
          <w:rFonts w:hint="eastAsia" w:ascii="宋体" w:hAnsi="宋体" w:cs="宋体"/>
          <w:color w:val="auto"/>
          <w:szCs w:val="21"/>
          <w:highlight w:val="none"/>
          <w:u w:val="single"/>
        </w:rPr>
        <w:t xml:space="preserve"> ⑴除执行各项合同条款以外，承包人须按照国家、广西壮族自治区和桂林市有关规定搞好现场安全及文明施工。承包人对单位工程内的安全负全部责任，由于承包人安全措施不力而造成安全事故和人身伤亡的，承包人承担全部责任、并承担因此发生的全部费用，发包人不承担任何责任；若因此造成发包人损失或被第三方索赔的，承包人须承担一切责任及费用。⑵在合同期内承包人对施工现场的安全生产管理必须严格执行《建筑施工安全检查标准》（JGJ59-2011）、《建设工程安全生产管理条例》（中华人民共和国国务院第 393 号）和广西壮族自治区和桂林市有安全施工以及文物保护的有关规定，其费用已包含在相关工作的合同价格中；对检查不合格的，监理工程师有权下达限期停工整改通知，承包人在期限内无条件进行整改直至达到合格，造成工期延误的，工期不予顺延，由此造成的损失由承包人负责  </w:t>
      </w:r>
      <w:r>
        <w:rPr>
          <w:rFonts w:hint="eastAsia" w:ascii="宋体" w:hAnsi="宋体" w:cs="宋体"/>
          <w:color w:val="auto"/>
          <w:szCs w:val="21"/>
          <w:highlight w:val="none"/>
        </w:rPr>
        <w:t>。</w:t>
      </w:r>
    </w:p>
    <w:p w14:paraId="2BAE099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6.1.4 关于治安保卫的特别约定：</w:t>
      </w:r>
      <w:r>
        <w:rPr>
          <w:rFonts w:ascii="宋体" w:hAnsi="宋体" w:eastAsia="宋体" w:cs="宋体"/>
          <w:color w:val="auto"/>
          <w:spacing w:val="10"/>
          <w:sz w:val="20"/>
          <w:szCs w:val="20"/>
          <w:highlight w:val="none"/>
          <w:u w:val="single" w:color="auto"/>
        </w:rPr>
        <w:t>承包人应承担施工安全保</w:t>
      </w:r>
      <w:r>
        <w:rPr>
          <w:rFonts w:ascii="宋体" w:hAnsi="宋体" w:eastAsia="宋体" w:cs="宋体"/>
          <w:color w:val="auto"/>
          <w:spacing w:val="9"/>
          <w:sz w:val="20"/>
          <w:szCs w:val="20"/>
          <w:highlight w:val="none"/>
          <w:u w:val="single" w:color="auto"/>
        </w:rPr>
        <w:t>卫工作及非夜间施工照明的责任，承包人应采取一切合理的预防措施，防止人员伤亡、财产损失事故，费用由承包人承担。承包人生活设施及施工</w:t>
      </w:r>
      <w:r>
        <w:rPr>
          <w:rFonts w:ascii="宋体" w:hAnsi="宋体" w:eastAsia="宋体" w:cs="宋体"/>
          <w:color w:val="auto"/>
          <w:spacing w:val="10"/>
          <w:sz w:val="20"/>
          <w:szCs w:val="20"/>
          <w:highlight w:val="none"/>
          <w:u w:val="single" w:color="auto"/>
        </w:rPr>
        <w:t>场应自费配备消防设备，防止火灾发生</w:t>
      </w:r>
      <w:r>
        <w:rPr>
          <w:rFonts w:hint="eastAsia" w:ascii="宋体" w:hAnsi="宋体" w:cs="宋体"/>
          <w:color w:val="auto"/>
          <w:szCs w:val="21"/>
          <w:highlight w:val="none"/>
        </w:rPr>
        <w:t>。</w:t>
      </w:r>
    </w:p>
    <w:p w14:paraId="58DECBB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关于编制施工场地治安管理计划的约定：</w:t>
      </w:r>
      <w:r>
        <w:rPr>
          <w:rFonts w:hint="eastAsia" w:ascii="宋体" w:hAnsi="宋体" w:cs="宋体"/>
          <w:color w:val="auto"/>
          <w:szCs w:val="21"/>
          <w:highlight w:val="none"/>
          <w:u w:val="single"/>
        </w:rPr>
        <w:t xml:space="preserve">  开工后 7 天内由承包人编制施工场地治安管理计划，并制定应对突发治安事件紧急预案</w:t>
      </w:r>
      <w:r>
        <w:rPr>
          <w:rFonts w:hint="eastAsia" w:ascii="宋体" w:hAnsi="宋体" w:cs="宋体"/>
          <w:color w:val="auto"/>
          <w:szCs w:val="21"/>
          <w:highlight w:val="none"/>
        </w:rPr>
        <w:t>。</w:t>
      </w:r>
    </w:p>
    <w:p w14:paraId="7C2AC2D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6.1.5 文明施工</w:t>
      </w:r>
    </w:p>
    <w:p w14:paraId="603A943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按照国家及地方安全文明施工的有关规定执行</w:t>
      </w:r>
      <w:r>
        <w:rPr>
          <w:rFonts w:hint="eastAsia" w:ascii="宋体" w:hAnsi="宋体" w:cs="宋体"/>
          <w:color w:val="auto"/>
          <w:szCs w:val="21"/>
          <w:highlight w:val="none"/>
        </w:rPr>
        <w:t>。</w:t>
      </w:r>
    </w:p>
    <w:p w14:paraId="75D152DF">
      <w:pPr>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宋体" w:hAnsi="宋体" w:cs="宋体"/>
          <w:color w:val="auto"/>
          <w:kern w:val="0"/>
          <w:highlight w:val="none"/>
        </w:rPr>
      </w:pPr>
      <w:r>
        <w:rPr>
          <w:rFonts w:hint="eastAsia" w:ascii="宋体" w:hAnsi="宋体" w:cs="宋体"/>
          <w:color w:val="auto"/>
          <w:szCs w:val="21"/>
          <w:highlight w:val="none"/>
        </w:rPr>
        <w:t>6.1.6 关于安全文明施工费支付比例和支付期限的约定：</w:t>
      </w:r>
      <w:r>
        <w:rPr>
          <w:rFonts w:ascii="宋体" w:hAnsi="宋体" w:eastAsia="宋体" w:cs="宋体"/>
          <w:color w:val="auto"/>
          <w:spacing w:val="7"/>
          <w:sz w:val="20"/>
          <w:szCs w:val="20"/>
          <w:highlight w:val="none"/>
          <w:u w:val="single" w:color="auto"/>
        </w:rPr>
        <w:t>专款专</w:t>
      </w:r>
      <w:r>
        <w:rPr>
          <w:rFonts w:ascii="宋体" w:hAnsi="宋体" w:eastAsia="宋体" w:cs="宋体"/>
          <w:color w:val="auto"/>
          <w:spacing w:val="6"/>
          <w:sz w:val="20"/>
          <w:szCs w:val="20"/>
          <w:highlight w:val="none"/>
          <w:u w:val="single" w:color="auto"/>
        </w:rPr>
        <w:t>用。具体按桂建质（2015）</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u w:val="single" w:color="auto"/>
        </w:rPr>
        <w:t>16</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号文《广西壮族自治区建设工程安全文明施工</w:t>
      </w:r>
      <w:r>
        <w:rPr>
          <w:rFonts w:ascii="宋体" w:hAnsi="宋体" w:eastAsia="宋体" w:cs="宋体"/>
          <w:color w:val="auto"/>
          <w:spacing w:val="7"/>
          <w:sz w:val="20"/>
          <w:szCs w:val="20"/>
          <w:highlight w:val="none"/>
          <w:u w:val="single" w:color="auto"/>
        </w:rPr>
        <w:t>费使用管理细则》和桂林市建规[2007]131</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7"/>
          <w:sz w:val="20"/>
          <w:szCs w:val="20"/>
          <w:highlight w:val="none"/>
          <w:u w:val="single" w:color="auto"/>
        </w:rPr>
        <w:t>号文及市建规</w:t>
      </w:r>
      <w:r>
        <w:rPr>
          <w:rFonts w:ascii="宋体" w:hAnsi="宋体" w:eastAsia="宋体" w:cs="宋体"/>
          <w:color w:val="auto"/>
          <w:spacing w:val="6"/>
          <w:sz w:val="20"/>
          <w:szCs w:val="20"/>
          <w:highlight w:val="none"/>
          <w:u w:val="single" w:color="auto"/>
        </w:rPr>
        <w:t>[2008]224</w:t>
      </w:r>
      <w:r>
        <w:rPr>
          <w:rFonts w:ascii="宋体" w:hAnsi="宋体" w:eastAsia="宋体" w:cs="宋体"/>
          <w:color w:val="auto"/>
          <w:spacing w:val="-26"/>
          <w:sz w:val="20"/>
          <w:szCs w:val="20"/>
          <w:highlight w:val="none"/>
          <w:u w:val="single" w:color="auto"/>
        </w:rPr>
        <w:t xml:space="preserve"> </w:t>
      </w:r>
      <w:r>
        <w:rPr>
          <w:rFonts w:ascii="宋体" w:hAnsi="宋体" w:eastAsia="宋体" w:cs="宋体"/>
          <w:color w:val="auto"/>
          <w:spacing w:val="6"/>
          <w:sz w:val="20"/>
          <w:szCs w:val="20"/>
          <w:highlight w:val="none"/>
          <w:u w:val="single" w:color="auto"/>
        </w:rPr>
        <w:t>号文相关规定执行</w:t>
      </w:r>
      <w:r>
        <w:rPr>
          <w:rFonts w:hint="eastAsia" w:ascii="宋体" w:hAnsi="宋体" w:cs="宋体"/>
          <w:color w:val="auto"/>
          <w:kern w:val="0"/>
          <w:highlight w:val="none"/>
        </w:rPr>
        <w:t>。</w:t>
      </w:r>
    </w:p>
    <w:p w14:paraId="52B0D4E1">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bookmarkStart w:id="552" w:name="_Toc418061332"/>
      <w:bookmarkStart w:id="553" w:name="_Toc418518131"/>
      <w:bookmarkStart w:id="554" w:name="_Toc373478368"/>
      <w:bookmarkStart w:id="555" w:name="_Toc497747199"/>
      <w:bookmarkStart w:id="556" w:name="_Toc418518367"/>
      <w:bookmarkStart w:id="557" w:name="_Toc373227721"/>
      <w:bookmarkStart w:id="558" w:name="_Toc418752263"/>
      <w:bookmarkStart w:id="559" w:name="_Toc403578955"/>
      <w:bookmarkStart w:id="560" w:name="_Toc389065287"/>
      <w:bookmarkStart w:id="561" w:name="_Toc497746802"/>
      <w:bookmarkStart w:id="562" w:name="_Toc418751817"/>
      <w:r>
        <w:rPr>
          <w:rFonts w:hint="eastAsia" w:ascii="宋体" w:hAnsi="宋体" w:cs="宋体"/>
          <w:color w:val="auto"/>
          <w:highlight w:val="none"/>
        </w:rPr>
        <w:t>6.2</w:t>
      </w:r>
      <w:r>
        <w:rPr>
          <w:rFonts w:ascii="宋体" w:hAnsi="宋体" w:eastAsia="宋体" w:cs="宋体"/>
          <w:color w:val="auto"/>
          <w:spacing w:val="5"/>
          <w:sz w:val="20"/>
          <w:szCs w:val="20"/>
          <w:highlight w:val="none"/>
        </w:rPr>
        <w:t>环境保护</w:t>
      </w:r>
    </w:p>
    <w:bookmarkEnd w:id="516"/>
    <w:bookmarkEnd w:id="517"/>
    <w:bookmarkEnd w:id="518"/>
    <w:bookmarkEnd w:id="519"/>
    <w:bookmarkEnd w:id="520"/>
    <w:bookmarkEnd w:id="521"/>
    <w:bookmarkEnd w:id="522"/>
    <w:bookmarkEnd w:id="552"/>
    <w:bookmarkEnd w:id="553"/>
    <w:bookmarkEnd w:id="554"/>
    <w:bookmarkEnd w:id="555"/>
    <w:bookmarkEnd w:id="556"/>
    <w:bookmarkEnd w:id="557"/>
    <w:bookmarkEnd w:id="558"/>
    <w:bookmarkEnd w:id="559"/>
    <w:bookmarkEnd w:id="560"/>
    <w:bookmarkEnd w:id="561"/>
    <w:bookmarkEnd w:id="562"/>
    <w:p w14:paraId="76014C34">
      <w:pPr>
        <w:pStyle w:val="244"/>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bookmarkStart w:id="563" w:name="_Toc418518368"/>
      <w:bookmarkStart w:id="564" w:name="_Toc418752264"/>
      <w:bookmarkStart w:id="565" w:name="_Toc418061333"/>
      <w:bookmarkStart w:id="566" w:name="_Toc389065288"/>
      <w:bookmarkStart w:id="567" w:name="_Toc418518132"/>
      <w:bookmarkStart w:id="568" w:name="_Toc497746803"/>
      <w:bookmarkStart w:id="569" w:name="_Toc256000201"/>
      <w:bookmarkStart w:id="570" w:name="_Toc403578956"/>
      <w:bookmarkStart w:id="571" w:name="_Toc351203639"/>
      <w:bookmarkStart w:id="572" w:name="_Toc418751818"/>
      <w:bookmarkStart w:id="573" w:name="_Toc522201751"/>
      <w:bookmarkStart w:id="574" w:name="_Toc497747200"/>
      <w:bookmarkStart w:id="575" w:name="_Toc373227722"/>
      <w:bookmarkStart w:id="576" w:name="_Toc8975"/>
      <w:bookmarkStart w:id="577" w:name="_Toc373478369"/>
      <w:r>
        <w:rPr>
          <w:rFonts w:hint="eastAsia" w:ascii="宋体" w:cs="宋体"/>
          <w:b w:val="0"/>
          <w:bCs w:val="0"/>
          <w:color w:val="auto"/>
          <w:highlight w:val="none"/>
        </w:rPr>
        <w:t>因施工需要，经发包人批准，由承包人办理有关施工场地交通、环卫和施工噪音管理等手续，费用由承包人负责。</w:t>
      </w:r>
    </w:p>
    <w:p w14:paraId="15159DBA">
      <w:pPr>
        <w:pStyle w:val="244"/>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r>
        <w:rPr>
          <w:rFonts w:hint="eastAsia" w:ascii="宋体" w:cs="宋体"/>
          <w:b w:val="0"/>
          <w:bCs w:val="0"/>
          <w:color w:val="auto"/>
          <w:highlight w:val="none"/>
        </w:rPr>
        <w:t>经过城市道路的施工车辆，必须按交警、城管、运输等部门相关规定执行。由于施工车辆造成的道路、环境等污染，其责任和费用均由承包人承担。</w:t>
      </w:r>
    </w:p>
    <w:p w14:paraId="1DC80AA5">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r>
        <w:rPr>
          <w:rFonts w:hint="eastAsia" w:ascii="宋体" w:cs="宋体"/>
          <w:color w:val="auto"/>
          <w:highlight w:val="none"/>
        </w:rPr>
        <w:t>7. 工期和进度</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7144B859">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78" w:name="_Toc256000202"/>
      <w:bookmarkStart w:id="579" w:name="_Toc373478370"/>
      <w:bookmarkStart w:id="580" w:name="_Toc389065289"/>
      <w:bookmarkStart w:id="581" w:name="_Toc418518369"/>
      <w:bookmarkStart w:id="582" w:name="_Toc418061334"/>
      <w:bookmarkStart w:id="583" w:name="_Toc373227723"/>
      <w:bookmarkStart w:id="584" w:name="_Toc418752265"/>
      <w:bookmarkStart w:id="585" w:name="_Toc418751819"/>
      <w:bookmarkStart w:id="586" w:name="_Toc32746"/>
      <w:bookmarkStart w:id="587" w:name="_Toc497747201"/>
      <w:bookmarkStart w:id="588" w:name="_Toc418518133"/>
      <w:bookmarkStart w:id="589" w:name="_Toc497746804"/>
      <w:bookmarkStart w:id="590" w:name="_Toc403578957"/>
      <w:bookmarkStart w:id="591" w:name="_Toc522201752"/>
      <w:r>
        <w:rPr>
          <w:rFonts w:hint="eastAsia" w:ascii="宋体" w:cs="宋体"/>
          <w:color w:val="auto"/>
          <w:highlight w:val="none"/>
        </w:rPr>
        <w:t>7.1 施工组织设计</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28D59A8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7.1.1 合同当事人约定的施工组织设计应包括的其他内容：</w:t>
      </w:r>
      <w:r>
        <w:rPr>
          <w:rFonts w:ascii="宋体" w:hAnsi="宋体" w:eastAsia="宋体" w:cs="宋体"/>
          <w:color w:val="auto"/>
          <w:spacing w:val="9"/>
          <w:sz w:val="20"/>
          <w:szCs w:val="20"/>
          <w:highlight w:val="none"/>
          <w:u w:val="single" w:color="auto"/>
        </w:rPr>
        <w:t>(1)管理人员名单，含职称、职务并附相</w:t>
      </w:r>
      <w:r>
        <w:rPr>
          <w:rFonts w:ascii="宋体" w:hAnsi="宋体" w:eastAsia="宋体" w:cs="宋体"/>
          <w:color w:val="auto"/>
          <w:spacing w:val="12"/>
          <w:sz w:val="20"/>
          <w:szCs w:val="20"/>
          <w:highlight w:val="none"/>
          <w:u w:val="single" w:color="auto"/>
        </w:rPr>
        <w:t>关人员岗位证书等复印件</w:t>
      </w:r>
      <w:r>
        <w:rPr>
          <w:rFonts w:ascii="宋体" w:hAnsi="宋体" w:eastAsia="宋体" w:cs="宋体"/>
          <w:color w:val="auto"/>
          <w:spacing w:val="2"/>
          <w:sz w:val="20"/>
          <w:szCs w:val="20"/>
          <w:highlight w:val="none"/>
          <w:u w:val="single" w:color="auto"/>
        </w:rPr>
        <w:t>；（</w:t>
      </w:r>
      <w:r>
        <w:rPr>
          <w:rFonts w:ascii="宋体" w:hAnsi="宋体" w:eastAsia="宋体" w:cs="宋体"/>
          <w:color w:val="auto"/>
          <w:spacing w:val="12"/>
          <w:sz w:val="20"/>
          <w:szCs w:val="20"/>
          <w:highlight w:val="none"/>
          <w:u w:val="single" w:color="auto"/>
        </w:rPr>
        <w:t>2）施工进度计划包括总进度计划、分阶段和分项进度计划、设备材料人员</w:t>
      </w:r>
      <w:r>
        <w:rPr>
          <w:rFonts w:ascii="宋体" w:hAnsi="宋体" w:eastAsia="宋体" w:cs="宋体"/>
          <w:color w:val="auto"/>
          <w:spacing w:val="11"/>
          <w:sz w:val="20"/>
          <w:szCs w:val="20"/>
          <w:highlight w:val="none"/>
          <w:u w:val="single" w:color="auto"/>
        </w:rPr>
        <w:t>进场计划；施工方案说明包括分部、分项工程或工程部位的名称及施工顺序和方法</w:t>
      </w:r>
      <w:r>
        <w:rPr>
          <w:rFonts w:ascii="宋体" w:hAnsi="宋体" w:eastAsia="宋体" w:cs="宋体"/>
          <w:color w:val="auto"/>
          <w:spacing w:val="3"/>
          <w:sz w:val="20"/>
          <w:szCs w:val="20"/>
          <w:highlight w:val="none"/>
          <w:u w:val="single" w:color="auto"/>
        </w:rPr>
        <w:t>；（</w:t>
      </w:r>
      <w:r>
        <w:rPr>
          <w:rFonts w:ascii="宋体" w:hAnsi="宋体" w:eastAsia="宋体" w:cs="宋体"/>
          <w:color w:val="auto"/>
          <w:spacing w:val="11"/>
          <w:sz w:val="20"/>
          <w:szCs w:val="20"/>
          <w:highlight w:val="none"/>
          <w:u w:val="single" w:color="auto"/>
        </w:rPr>
        <w:t>3）</w:t>
      </w:r>
      <w:r>
        <w:rPr>
          <w:rFonts w:ascii="宋体" w:hAnsi="宋体" w:eastAsia="宋体" w:cs="宋体"/>
          <w:color w:val="auto"/>
          <w:spacing w:val="-59"/>
          <w:sz w:val="20"/>
          <w:szCs w:val="20"/>
          <w:highlight w:val="none"/>
          <w:u w:val="single" w:color="auto"/>
        </w:rPr>
        <w:t xml:space="preserve"> </w:t>
      </w:r>
      <w:r>
        <w:rPr>
          <w:rFonts w:ascii="宋体" w:hAnsi="宋体" w:eastAsia="宋体" w:cs="宋体"/>
          <w:color w:val="auto"/>
          <w:spacing w:val="11"/>
          <w:sz w:val="20"/>
          <w:szCs w:val="20"/>
          <w:highlight w:val="none"/>
          <w:u w:val="single" w:color="auto"/>
        </w:rPr>
        <w:t>国家及地方有关规定应当提交的内容。</w:t>
      </w:r>
    </w:p>
    <w:p w14:paraId="7B925F5A">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 xml:space="preserve">7.1.2 </w:t>
      </w:r>
      <w:r>
        <w:rPr>
          <w:rFonts w:hint="eastAsia" w:ascii="宋体" w:hAnsi="宋体" w:cs="宋体"/>
          <w:color w:val="auto"/>
          <w:kern w:val="0"/>
          <w:szCs w:val="21"/>
          <w:highlight w:val="none"/>
        </w:rPr>
        <w:t>施工组织设计的提交和修改</w:t>
      </w:r>
    </w:p>
    <w:p w14:paraId="2456A316">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承包人提交详细施工组织设计的期限的约定：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合同签订后</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天内。因承包人原因未能按时提交，承包</w:t>
      </w:r>
      <w:r>
        <w:rPr>
          <w:rFonts w:ascii="宋体" w:hAnsi="宋体" w:eastAsia="宋体" w:cs="宋体"/>
          <w:color w:val="auto"/>
          <w:spacing w:val="6"/>
          <w:sz w:val="20"/>
          <w:szCs w:val="20"/>
          <w:highlight w:val="none"/>
          <w:u w:val="single" w:color="auto"/>
        </w:rPr>
        <w:t>人向发包人交纳处罚金</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6"/>
          <w:sz w:val="20"/>
          <w:szCs w:val="20"/>
          <w:highlight w:val="none"/>
          <w:u w:val="single" w:color="auto"/>
        </w:rPr>
        <w:t>200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元（人民币）</w:t>
      </w:r>
      <w:r>
        <w:rPr>
          <w:rFonts w:hint="eastAsia" w:ascii="宋体" w:hAnsi="宋体" w:cs="宋体"/>
          <w:color w:val="auto"/>
          <w:szCs w:val="21"/>
          <w:highlight w:val="none"/>
        </w:rPr>
        <w:t>。</w:t>
      </w:r>
    </w:p>
    <w:p w14:paraId="4A3DE95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发包人和监理人在收到详细的施工组织设计后确认或提出修改意见的期限：</w:t>
      </w:r>
      <w:r>
        <w:rPr>
          <w:rFonts w:ascii="宋体" w:hAnsi="宋体" w:eastAsia="宋体" w:cs="宋体"/>
          <w:color w:val="auto"/>
          <w:spacing w:val="8"/>
          <w:sz w:val="20"/>
          <w:szCs w:val="20"/>
          <w:highlight w:val="none"/>
          <w:u w:val="single" w:color="auto"/>
        </w:rPr>
        <w:t xml:space="preserve"> 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w:t>
      </w:r>
      <w:r>
        <w:rPr>
          <w:rFonts w:hint="eastAsia" w:ascii="宋体" w:hAnsi="宋体"/>
          <w:color w:val="auto"/>
          <w:szCs w:val="21"/>
          <w:highlight w:val="none"/>
          <w:u w:val="single"/>
        </w:rPr>
        <w:t>。</w:t>
      </w:r>
    </w:p>
    <w:p w14:paraId="1B8FB48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92" w:name="_Toc418061335"/>
      <w:bookmarkStart w:id="593" w:name="_Toc418752266"/>
      <w:bookmarkStart w:id="594" w:name="_Toc256000203"/>
      <w:bookmarkStart w:id="595" w:name="_Toc522201753"/>
      <w:bookmarkStart w:id="596" w:name="_Toc403578958"/>
      <w:bookmarkStart w:id="597" w:name="_Toc418751820"/>
      <w:bookmarkStart w:id="598" w:name="_Toc418518370"/>
      <w:bookmarkStart w:id="599" w:name="_Toc418518134"/>
      <w:bookmarkStart w:id="600" w:name="_Toc373478371"/>
      <w:bookmarkStart w:id="601" w:name="_Toc373227724"/>
      <w:bookmarkStart w:id="602" w:name="_Toc389065290"/>
      <w:bookmarkStart w:id="603" w:name="_Toc2580"/>
      <w:bookmarkStart w:id="604" w:name="_Toc497747202"/>
      <w:bookmarkStart w:id="605" w:name="_Toc497746805"/>
      <w:r>
        <w:rPr>
          <w:rFonts w:hint="eastAsia" w:ascii="宋体" w:cs="宋体"/>
          <w:color w:val="auto"/>
          <w:highlight w:val="none"/>
        </w:rPr>
        <w:t>7</w:t>
      </w:r>
      <w:bookmarkStart w:id="606" w:name="_Toc303539123"/>
      <w:bookmarkStart w:id="607" w:name="_Toc297123514"/>
      <w:bookmarkStart w:id="608" w:name="_Toc312677479"/>
      <w:bookmarkStart w:id="609" w:name="_Toc304295541"/>
      <w:bookmarkStart w:id="610" w:name="_Toc312678005"/>
      <w:bookmarkStart w:id="611" w:name="_Toc300934966"/>
      <w:bookmarkStart w:id="612" w:name="_Toc297216173"/>
      <w:r>
        <w:rPr>
          <w:rFonts w:hint="eastAsia" w:ascii="宋体" w:cs="宋体"/>
          <w:color w:val="auto"/>
          <w:highlight w:val="none"/>
        </w:rPr>
        <w:t>.2 施工进度计划</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10276E7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7.2.2 施工进度计划的修订</w:t>
      </w:r>
    </w:p>
    <w:p w14:paraId="31D6D12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发包人和监理人在收到修订的施工进度计划后确认或提出修改意见的期限：</w:t>
      </w:r>
      <w:r>
        <w:rPr>
          <w:rFonts w:ascii="宋体" w:hAnsi="宋体" w:eastAsia="宋体" w:cs="宋体"/>
          <w:color w:val="auto"/>
          <w:spacing w:val="9"/>
          <w:sz w:val="20"/>
          <w:szCs w:val="20"/>
          <w:highlight w:val="none"/>
          <w:u w:val="single" w:color="auto"/>
        </w:rPr>
        <w:t>收到修订合同进度计划后</w:t>
      </w:r>
      <w:r>
        <w:rPr>
          <w:rFonts w:ascii="宋体" w:hAnsi="宋体" w:eastAsia="宋体" w:cs="宋体"/>
          <w:color w:val="auto"/>
          <w:spacing w:val="-4"/>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4"/>
          <w:sz w:val="20"/>
          <w:szCs w:val="20"/>
          <w:highlight w:val="none"/>
          <w:u w:val="single" w:color="auto"/>
        </w:rPr>
        <w:t>天</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77C0E18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13" w:name="_Toc418061336"/>
      <w:bookmarkStart w:id="614" w:name="_Toc497747203"/>
      <w:bookmarkStart w:id="615" w:name="_Toc373227725"/>
      <w:bookmarkStart w:id="616" w:name="_Toc389065291"/>
      <w:bookmarkStart w:id="617" w:name="_Toc497746806"/>
      <w:bookmarkStart w:id="618" w:name="_Toc418518371"/>
      <w:bookmarkStart w:id="619" w:name="_Toc522201754"/>
      <w:bookmarkStart w:id="620" w:name="_Toc373478372"/>
      <w:bookmarkStart w:id="621" w:name="_Toc418518135"/>
      <w:bookmarkStart w:id="622" w:name="_Toc403578959"/>
      <w:bookmarkStart w:id="623" w:name="_Toc6994"/>
      <w:bookmarkStart w:id="624" w:name="_Toc256000204"/>
      <w:bookmarkStart w:id="625" w:name="_Toc418752267"/>
      <w:bookmarkStart w:id="626" w:name="_Toc418751821"/>
      <w:r>
        <w:rPr>
          <w:rFonts w:hint="eastAsia" w:ascii="宋体" w:cs="宋体"/>
          <w:color w:val="auto"/>
          <w:highlight w:val="none"/>
        </w:rPr>
        <w:t>7.3 开工</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0769FE6B">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7.3.1 开工准备</w:t>
      </w:r>
    </w:p>
    <w:p w14:paraId="683E4930">
      <w:pPr>
        <w:pStyle w:val="246"/>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关于承包人提交</w:t>
      </w:r>
      <w:r>
        <w:rPr>
          <w:rFonts w:hint="eastAsia" w:ascii="宋体" w:hAnsi="宋体" w:cs="宋体"/>
          <w:color w:val="auto"/>
          <w:kern w:val="0"/>
          <w:szCs w:val="21"/>
          <w:highlight w:val="none"/>
        </w:rPr>
        <w:t>工程开工报审表的期限：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15BAD6B">
      <w:pPr>
        <w:pStyle w:val="246"/>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关于发包人应完成的其他开工准备工作及期限：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0CBB06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 关于承包人应完成的其他开工准备工作及期限：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FB1345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7.3.2 开工通知</w:t>
      </w:r>
    </w:p>
    <w:p w14:paraId="68EE646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因发包人原因造成监理人未能在计划开工日期之日起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天内发出开工通知的，承包人有权提出价格调整要求，或者解除合同。</w:t>
      </w:r>
    </w:p>
    <w:bookmarkEnd w:id="606"/>
    <w:bookmarkEnd w:id="607"/>
    <w:bookmarkEnd w:id="608"/>
    <w:bookmarkEnd w:id="609"/>
    <w:bookmarkEnd w:id="610"/>
    <w:bookmarkEnd w:id="611"/>
    <w:bookmarkEnd w:id="612"/>
    <w:p w14:paraId="10655348">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27" w:name="_Toc418751822"/>
      <w:bookmarkStart w:id="628" w:name="_Toc497747204"/>
      <w:bookmarkStart w:id="629" w:name="_Toc497746807"/>
      <w:bookmarkStart w:id="630" w:name="_Toc418518372"/>
      <w:bookmarkStart w:id="631" w:name="_Toc373478373"/>
      <w:bookmarkStart w:id="632" w:name="_Toc373227726"/>
      <w:bookmarkStart w:id="633" w:name="_Toc403578960"/>
      <w:bookmarkStart w:id="634" w:name="_Toc25234"/>
      <w:bookmarkStart w:id="635" w:name="_Toc389065292"/>
      <w:bookmarkStart w:id="636" w:name="_Toc418518136"/>
      <w:bookmarkStart w:id="637" w:name="_Toc418061337"/>
      <w:bookmarkStart w:id="638" w:name="_Toc256000205"/>
      <w:bookmarkStart w:id="639" w:name="_Toc418752268"/>
      <w:bookmarkStart w:id="640" w:name="_Toc522201755"/>
      <w:r>
        <w:rPr>
          <w:rFonts w:hint="eastAsia" w:ascii="宋体" w:cs="宋体"/>
          <w:color w:val="auto"/>
          <w:highlight w:val="none"/>
        </w:rPr>
        <w:t>7.4 测量放线</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5871D41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7.4.1发包人通过监理人向承包人提供测量基准点、基准线和水准点及其书面资料的期限：</w:t>
      </w:r>
      <w:r>
        <w:rPr>
          <w:rFonts w:ascii="宋体" w:hAnsi="宋体" w:eastAsia="宋体" w:cs="宋体"/>
          <w:color w:val="auto"/>
          <w:spacing w:val="9"/>
          <w:sz w:val="20"/>
          <w:szCs w:val="20"/>
          <w:highlight w:val="none"/>
          <w:u w:val="single" w:color="auto"/>
        </w:rPr>
        <w:t>合同签订</w:t>
      </w:r>
      <w:r>
        <w:rPr>
          <w:rFonts w:ascii="宋体" w:hAnsi="宋体" w:eastAsia="宋体" w:cs="宋体"/>
          <w:color w:val="auto"/>
          <w:spacing w:val="-4"/>
          <w:sz w:val="20"/>
          <w:szCs w:val="20"/>
          <w:highlight w:val="none"/>
          <w:u w:val="single" w:color="auto"/>
        </w:rPr>
        <w:t>后</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4"/>
          <w:sz w:val="20"/>
          <w:szCs w:val="20"/>
          <w:highlight w:val="none"/>
          <w:u w:val="single" w:color="auto"/>
        </w:rPr>
        <w:t>14</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4"/>
          <w:sz w:val="20"/>
          <w:szCs w:val="20"/>
          <w:highlight w:val="none"/>
          <w:u w:val="single" w:color="auto"/>
        </w:rPr>
        <w:t>天</w:t>
      </w:r>
      <w:r>
        <w:rPr>
          <w:rFonts w:ascii="宋体" w:hAnsi="宋体" w:eastAsia="宋体" w:cs="宋体"/>
          <w:color w:val="auto"/>
          <w:spacing w:val="7"/>
          <w:sz w:val="20"/>
          <w:szCs w:val="20"/>
          <w:highlight w:val="none"/>
          <w:u w:val="single" w:color="auto"/>
        </w:rPr>
        <w:t xml:space="preserve"> </w:t>
      </w:r>
      <w:r>
        <w:rPr>
          <w:rFonts w:hint="eastAsia" w:ascii="宋体" w:hAnsi="宋体" w:cs="宋体"/>
          <w:color w:val="auto"/>
          <w:szCs w:val="21"/>
          <w:highlight w:val="none"/>
          <w:u w:val="single"/>
        </w:rPr>
        <w:t>。</w:t>
      </w:r>
    </w:p>
    <w:p w14:paraId="5DA7308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41" w:name="_Toc15701"/>
      <w:bookmarkStart w:id="642" w:name="_Toc497747205"/>
      <w:bookmarkStart w:id="643" w:name="_Toc389065293"/>
      <w:bookmarkStart w:id="644" w:name="_Toc522201756"/>
      <w:bookmarkStart w:id="645" w:name="_Toc418518137"/>
      <w:bookmarkStart w:id="646" w:name="_Toc418751823"/>
      <w:bookmarkStart w:id="647" w:name="_Toc403578961"/>
      <w:bookmarkStart w:id="648" w:name="_Toc418061338"/>
      <w:bookmarkStart w:id="649" w:name="_Toc497746808"/>
      <w:bookmarkStart w:id="650" w:name="_Toc418518373"/>
      <w:bookmarkStart w:id="651" w:name="_Toc418752269"/>
      <w:bookmarkStart w:id="652" w:name="_Toc373478374"/>
      <w:bookmarkStart w:id="653" w:name="_Toc256000206"/>
      <w:bookmarkStart w:id="654" w:name="_Toc373227727"/>
      <w:r>
        <w:rPr>
          <w:rFonts w:hint="eastAsia" w:ascii="宋体" w:cs="宋体"/>
          <w:color w:val="auto"/>
          <w:highlight w:val="none"/>
        </w:rPr>
        <w:t>7</w:t>
      </w:r>
      <w:bookmarkStart w:id="655" w:name="_Toc300934968"/>
      <w:bookmarkStart w:id="656" w:name="_Toc297216175"/>
      <w:bookmarkStart w:id="657" w:name="_Toc297123516"/>
      <w:bookmarkStart w:id="658" w:name="_Toc304295546"/>
      <w:bookmarkStart w:id="659" w:name="_Toc303539125"/>
      <w:bookmarkStart w:id="660" w:name="_Toc312677484"/>
      <w:bookmarkStart w:id="661" w:name="_Toc312678010"/>
      <w:r>
        <w:rPr>
          <w:rFonts w:hint="eastAsia" w:ascii="宋体" w:cs="宋体"/>
          <w:color w:val="auto"/>
          <w:highlight w:val="none"/>
        </w:rPr>
        <w:t>.5 工期延误</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bookmarkEnd w:id="655"/>
    <w:bookmarkEnd w:id="656"/>
    <w:bookmarkEnd w:id="657"/>
    <w:bookmarkEnd w:id="658"/>
    <w:bookmarkEnd w:id="659"/>
    <w:bookmarkEnd w:id="660"/>
    <w:bookmarkEnd w:id="661"/>
    <w:p w14:paraId="10A92CC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7.5.1 因发包人原因导致工期延误</w:t>
      </w:r>
    </w:p>
    <w:p w14:paraId="752B451B">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（7）因发包人原因导致工期延误的其他情形：</w:t>
      </w:r>
      <w:r>
        <w:rPr>
          <w:rFonts w:ascii="宋体" w:hAnsi="宋体" w:eastAsia="宋体" w:cs="宋体"/>
          <w:color w:val="auto"/>
          <w:spacing w:val="7"/>
          <w:sz w:val="20"/>
          <w:szCs w:val="20"/>
          <w:highlight w:val="none"/>
          <w:u w:val="single" w:color="auto"/>
        </w:rPr>
        <w:t>①重大图纸变更影响关键线路工序施工；②施工期间如因停电、停水连续 8 小时以上或一周内间歇性停水、停电累计 8 小时（含8 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auto"/>
          <w:spacing w:val="7"/>
          <w:sz w:val="20"/>
          <w:szCs w:val="20"/>
          <w:highlight w:val="none"/>
          <w:u w:val="single" w:color="auto"/>
        </w:rPr>
        <w:t xml:space="preserve">  。</w:t>
      </w:r>
    </w:p>
    <w:p w14:paraId="4F12983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w:t>
      </w:r>
      <w:bookmarkStart w:id="662" w:name="_Toc318581169"/>
      <w:bookmarkStart w:id="663" w:name="_Toc312677486"/>
      <w:bookmarkStart w:id="664" w:name="_Toc312678012"/>
      <w:bookmarkStart w:id="665" w:name="_Toc300934970"/>
      <w:bookmarkStart w:id="666" w:name="_Toc303539127"/>
      <w:bookmarkStart w:id="667" w:name="_Toc304295548"/>
      <w:bookmarkStart w:id="668" w:name="_Toc297123518"/>
      <w:bookmarkStart w:id="669" w:name="_Toc297216177"/>
      <w:r>
        <w:rPr>
          <w:rFonts w:hint="eastAsia" w:ascii="宋体" w:hAnsi="宋体" w:cs="宋体"/>
          <w:color w:val="auto"/>
          <w:szCs w:val="21"/>
          <w:highlight w:val="none"/>
        </w:rPr>
        <w:t>.5.2 因承包人原因导致工期延误</w:t>
      </w:r>
    </w:p>
    <w:bookmarkEnd w:id="662"/>
    <w:bookmarkEnd w:id="663"/>
    <w:bookmarkEnd w:id="664"/>
    <w:p w14:paraId="6461B91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7"/>
          <w:sz w:val="20"/>
          <w:szCs w:val="20"/>
          <w:highlight w:val="none"/>
          <w:u w:val="single" w:color="auto"/>
        </w:rPr>
      </w:pPr>
      <w:r>
        <w:rPr>
          <w:rFonts w:hint="eastAsia" w:ascii="宋体" w:hAnsi="宋体" w:cs="宋体"/>
          <w:color w:val="auto"/>
          <w:szCs w:val="21"/>
          <w:highlight w:val="none"/>
        </w:rPr>
        <w:t>因</w:t>
      </w:r>
      <w:bookmarkStart w:id="670" w:name="_Toc312678013"/>
      <w:bookmarkStart w:id="671" w:name="_Toc318581170"/>
      <w:bookmarkStart w:id="672" w:name="_Toc312677487"/>
      <w:r>
        <w:rPr>
          <w:rFonts w:hint="eastAsia" w:ascii="宋体" w:hAnsi="宋体" w:cs="宋体"/>
          <w:color w:val="auto"/>
          <w:szCs w:val="21"/>
          <w:highlight w:val="none"/>
        </w:rPr>
        <w:t>承包人原因造成工期延误，逾期竣工违约金的计算方法为：</w:t>
      </w:r>
      <w:r>
        <w:rPr>
          <w:rFonts w:ascii="宋体" w:hAnsi="宋体" w:eastAsia="宋体" w:cs="宋体"/>
          <w:color w:val="auto"/>
          <w:spacing w:val="7"/>
          <w:sz w:val="20"/>
          <w:szCs w:val="20"/>
          <w:highlight w:val="none"/>
          <w:u w:val="single" w:color="auto"/>
        </w:rPr>
        <w:t>非上述原因，承包人不能按合同约定的时间竣工，承包人应承担违约责任。应向发包人支付误期赔偿费（每天赔偿金额为合同价款扣除建安劳保费、发包人材料价款、暂估专业工程款、暂列金额后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r>
        <w:rPr>
          <w:rFonts w:hint="eastAsia" w:ascii="宋体" w:hAnsi="宋体" w:eastAsia="宋体" w:cs="宋体"/>
          <w:color w:val="auto"/>
          <w:spacing w:val="7"/>
          <w:sz w:val="20"/>
          <w:szCs w:val="20"/>
          <w:highlight w:val="none"/>
          <w:u w:val="single" w:color="auto"/>
        </w:rPr>
        <w:t xml:space="preserve">。 </w:t>
      </w:r>
    </w:p>
    <w:bookmarkEnd w:id="665"/>
    <w:bookmarkEnd w:id="666"/>
    <w:bookmarkEnd w:id="667"/>
    <w:bookmarkEnd w:id="668"/>
    <w:bookmarkEnd w:id="669"/>
    <w:bookmarkEnd w:id="670"/>
    <w:bookmarkEnd w:id="671"/>
    <w:bookmarkEnd w:id="672"/>
    <w:p w14:paraId="24E3BDF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因承包人原因造成工期延误，逾</w:t>
      </w:r>
      <w:bookmarkStart w:id="673" w:name="_Toc318581171"/>
      <w:bookmarkStart w:id="674" w:name="_Toc312678014"/>
      <w:r>
        <w:rPr>
          <w:rFonts w:hint="eastAsia" w:ascii="宋体" w:hAnsi="宋体" w:cs="宋体"/>
          <w:color w:val="auto"/>
          <w:szCs w:val="21"/>
          <w:highlight w:val="none"/>
        </w:rPr>
        <w:t>期竣工违约金的上限：</w:t>
      </w:r>
      <w:r>
        <w:rPr>
          <w:color w:val="auto"/>
          <w:spacing w:val="9"/>
          <w:sz w:val="20"/>
          <w:szCs w:val="20"/>
          <w:highlight w:val="none"/>
          <w:u w:val="single" w:color="auto"/>
        </w:rPr>
        <w:t>合同价扣除建安劳保费、发包人材料价</w:t>
      </w:r>
      <w:r>
        <w:rPr>
          <w:color w:val="auto"/>
          <w:spacing w:val="8"/>
          <w:sz w:val="20"/>
          <w:szCs w:val="20"/>
          <w:highlight w:val="none"/>
          <w:u w:val="single" w:color="auto"/>
        </w:rPr>
        <w:t>款、暂</w:t>
      </w:r>
      <w:r>
        <w:rPr>
          <w:color w:val="auto"/>
          <w:spacing w:val="7"/>
          <w:sz w:val="20"/>
          <w:szCs w:val="20"/>
          <w:highlight w:val="none"/>
          <w:u w:val="single" w:color="auto"/>
        </w:rPr>
        <w:t>估专业工程、暂列金额后的</w:t>
      </w:r>
      <w:r>
        <w:rPr>
          <w:color w:val="auto"/>
          <w:spacing w:val="-33"/>
          <w:sz w:val="20"/>
          <w:szCs w:val="20"/>
          <w:highlight w:val="none"/>
          <w:u w:val="single" w:color="auto"/>
        </w:rPr>
        <w:t xml:space="preserve"> </w:t>
      </w:r>
      <w:r>
        <w:rPr>
          <w:color w:val="auto"/>
          <w:spacing w:val="7"/>
          <w:sz w:val="20"/>
          <w:szCs w:val="20"/>
          <w:highlight w:val="none"/>
          <w:u w:val="single" w:color="auto"/>
        </w:rPr>
        <w:t>2%</w:t>
      </w:r>
      <w:r>
        <w:rPr>
          <w:rFonts w:hint="eastAsia" w:ascii="宋体" w:hAnsi="宋体" w:cs="宋体"/>
          <w:color w:val="auto"/>
          <w:szCs w:val="21"/>
          <w:highlight w:val="none"/>
        </w:rPr>
        <w:t>。</w:t>
      </w:r>
    </w:p>
    <w:bookmarkEnd w:id="673"/>
    <w:bookmarkEnd w:id="674"/>
    <w:p w14:paraId="531BBA1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75" w:name="_Toc418752270"/>
      <w:bookmarkStart w:id="676" w:name="_Toc30515"/>
      <w:bookmarkStart w:id="677" w:name="_Toc373478375"/>
      <w:bookmarkStart w:id="678" w:name="_Toc389065294"/>
      <w:bookmarkStart w:id="679" w:name="_Toc497747206"/>
      <w:bookmarkStart w:id="680" w:name="_Toc256000207"/>
      <w:bookmarkStart w:id="681" w:name="_Toc418518138"/>
      <w:bookmarkStart w:id="682" w:name="_Toc403578962"/>
      <w:bookmarkStart w:id="683" w:name="_Toc418061339"/>
      <w:bookmarkStart w:id="684" w:name="_Toc497746809"/>
      <w:bookmarkStart w:id="685" w:name="_Toc418518374"/>
      <w:bookmarkStart w:id="686" w:name="_Toc418751824"/>
      <w:bookmarkStart w:id="687" w:name="_Toc522201757"/>
      <w:bookmarkStart w:id="688" w:name="_Toc373227728"/>
      <w:r>
        <w:rPr>
          <w:rFonts w:hint="eastAsia" w:ascii="宋体" w:cs="宋体"/>
          <w:color w:val="auto"/>
          <w:highlight w:val="none"/>
        </w:rPr>
        <w:t>7</w:t>
      </w:r>
      <w:bookmarkStart w:id="689" w:name="_Toc297216178"/>
      <w:bookmarkStart w:id="690" w:name="_Toc304295549"/>
      <w:bookmarkStart w:id="691" w:name="_Toc297123519"/>
      <w:bookmarkStart w:id="692" w:name="_Toc300934971"/>
      <w:bookmarkStart w:id="693" w:name="_Toc303539128"/>
      <w:bookmarkStart w:id="694" w:name="_Toc312678015"/>
      <w:r>
        <w:rPr>
          <w:rFonts w:hint="eastAsia" w:ascii="宋体" w:cs="宋体"/>
          <w:color w:val="auto"/>
          <w:highlight w:val="none"/>
        </w:rPr>
        <w:t>.6 不</w:t>
      </w:r>
      <w:bookmarkEnd w:id="689"/>
      <w:bookmarkEnd w:id="690"/>
      <w:bookmarkEnd w:id="691"/>
      <w:bookmarkEnd w:id="692"/>
      <w:bookmarkEnd w:id="693"/>
      <w:bookmarkEnd w:id="694"/>
      <w:r>
        <w:rPr>
          <w:rFonts w:hint="eastAsia" w:ascii="宋体" w:cs="宋体"/>
          <w:color w:val="auto"/>
          <w:highlight w:val="none"/>
        </w:rPr>
        <w:t>利物质条件</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4A06D6D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7"/>
          <w:sz w:val="20"/>
          <w:szCs w:val="20"/>
          <w:highlight w:val="none"/>
          <w:u w:val="single" w:color="auto"/>
        </w:rPr>
      </w:pPr>
      <w:bookmarkStart w:id="695" w:name="_Toc297123520"/>
      <w:bookmarkStart w:id="696" w:name="_Toc318581172"/>
      <w:bookmarkStart w:id="697" w:name="_Toc297216179"/>
      <w:bookmarkStart w:id="698" w:name="_Toc303539129"/>
      <w:bookmarkStart w:id="699" w:name="_Toc300934972"/>
      <w:bookmarkStart w:id="700" w:name="_Toc312678016"/>
      <w:bookmarkStart w:id="701" w:name="_Toc304295550"/>
      <w:r>
        <w:rPr>
          <w:rFonts w:hint="eastAsia" w:ascii="宋体" w:hAnsi="宋体" w:cs="宋体"/>
          <w:color w:val="auto"/>
          <w:szCs w:val="21"/>
          <w:highlight w:val="none"/>
        </w:rPr>
        <w:t>不利物质条件的其他情形和有关约定：</w:t>
      </w:r>
      <w:r>
        <w:rPr>
          <w:rFonts w:hint="eastAsia" w:ascii="宋体" w:hAnsi="宋体" w:eastAsia="宋体" w:cs="宋体"/>
          <w:color w:val="auto"/>
          <w:spacing w:val="7"/>
          <w:sz w:val="20"/>
          <w:szCs w:val="20"/>
          <w:highlight w:val="none"/>
          <w:u w:val="single" w:color="auto"/>
        </w:rPr>
        <w:t xml:space="preserve">  </w:t>
      </w:r>
      <w:r>
        <w:rPr>
          <w:rFonts w:ascii="宋体" w:hAnsi="宋体" w:eastAsia="宋体" w:cs="宋体"/>
          <w:color w:val="auto"/>
          <w:spacing w:val="7"/>
          <w:sz w:val="20"/>
          <w:szCs w:val="20"/>
          <w:highlight w:val="none"/>
          <w:u w:val="single" w:color="auto"/>
        </w:rPr>
        <w:t>一周内非承包人原因，停水、停电、停气造成停工连续超过 8小时；重大设计变更和工程量增加；发包人手续不全致使施工不能正常进行；发包人未能按约定时间支付工程款致使施工不能正常进行的；非承包人原因的政府及发包人有关的停工通知，以上不利物质条件延误工期的相应延长工期，因发包人原因给承包人造成损失的由发包人相应赔偿承包人，属政府和环境等原因的，双方协商处理</w:t>
      </w:r>
      <w:r>
        <w:rPr>
          <w:rFonts w:hint="eastAsia" w:ascii="宋体" w:hAnsi="宋体" w:eastAsia="宋体" w:cs="宋体"/>
          <w:color w:val="auto"/>
          <w:spacing w:val="7"/>
          <w:sz w:val="20"/>
          <w:szCs w:val="20"/>
          <w:highlight w:val="none"/>
          <w:u w:val="single" w:color="auto"/>
        </w:rPr>
        <w:t>。</w:t>
      </w:r>
    </w:p>
    <w:bookmarkEnd w:id="695"/>
    <w:bookmarkEnd w:id="696"/>
    <w:bookmarkEnd w:id="697"/>
    <w:bookmarkEnd w:id="698"/>
    <w:bookmarkEnd w:id="699"/>
    <w:bookmarkEnd w:id="700"/>
    <w:bookmarkEnd w:id="701"/>
    <w:p w14:paraId="02CA012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702" w:name="_Toc497746810"/>
      <w:bookmarkStart w:id="703" w:name="_Toc522201758"/>
      <w:bookmarkStart w:id="704" w:name="_Toc418518375"/>
      <w:bookmarkStart w:id="705" w:name="_Toc389065295"/>
      <w:bookmarkStart w:id="706" w:name="_Toc497747207"/>
      <w:bookmarkStart w:id="707" w:name="_Toc6167"/>
      <w:bookmarkStart w:id="708" w:name="_Toc418751825"/>
      <w:bookmarkStart w:id="709" w:name="_Toc256000208"/>
      <w:bookmarkStart w:id="710" w:name="_Toc418061340"/>
      <w:bookmarkStart w:id="711" w:name="_Toc418518139"/>
      <w:bookmarkStart w:id="712" w:name="_Toc373227729"/>
      <w:bookmarkStart w:id="713" w:name="_Toc403578963"/>
      <w:bookmarkStart w:id="714" w:name="_Toc418752271"/>
      <w:bookmarkStart w:id="715" w:name="_Toc373478376"/>
      <w:r>
        <w:rPr>
          <w:rFonts w:hint="eastAsia" w:ascii="宋体" w:cs="宋体"/>
          <w:color w:val="auto"/>
          <w:highlight w:val="none"/>
        </w:rPr>
        <w:t>7</w:t>
      </w:r>
      <w:bookmarkStart w:id="716" w:name="_Toc297216180"/>
      <w:bookmarkStart w:id="717" w:name="_Toc304295551"/>
      <w:bookmarkStart w:id="718" w:name="_Toc297123521"/>
      <w:bookmarkStart w:id="719" w:name="_Toc312678017"/>
      <w:bookmarkStart w:id="720" w:name="_Toc303539130"/>
      <w:bookmarkStart w:id="721" w:name="_Toc300934973"/>
      <w:r>
        <w:rPr>
          <w:rFonts w:hint="eastAsia" w:ascii="宋体" w:cs="宋体"/>
          <w:color w:val="auto"/>
          <w:highlight w:val="none"/>
        </w:rPr>
        <w:t>.7 异常恶劣的气候条件</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bookmarkEnd w:id="716"/>
    <w:bookmarkEnd w:id="717"/>
    <w:bookmarkEnd w:id="718"/>
    <w:bookmarkEnd w:id="719"/>
    <w:bookmarkEnd w:id="720"/>
    <w:bookmarkEnd w:id="721"/>
    <w:p w14:paraId="04A98E2D">
      <w:pPr>
        <w:pStyle w:val="253"/>
        <w:spacing w:before="264" w:line="228" w:lineRule="auto"/>
        <w:ind w:left="9"/>
        <w:rPr>
          <w:rFonts w:ascii="宋体" w:hAnsi="宋体" w:eastAsia="宋体" w:cs="宋体"/>
          <w:color w:val="auto"/>
          <w:spacing w:val="7"/>
          <w:kern w:val="2"/>
          <w:sz w:val="20"/>
          <w:szCs w:val="20"/>
          <w:highlight w:val="none"/>
          <w:u w:val="single" w:color="auto"/>
          <w:lang w:val="en-US" w:eastAsia="zh-CN" w:bidi="ar-SA"/>
        </w:rPr>
      </w:pPr>
      <w:r>
        <w:rPr>
          <w:rFonts w:hint="eastAsia" w:ascii="宋体" w:hAnsi="宋体" w:cs="宋体"/>
          <w:color w:val="auto"/>
          <w:szCs w:val="21"/>
          <w:highlight w:val="none"/>
        </w:rPr>
        <w:t>发包人和承包人同意以下情形视为异常恶劣的气候条件：</w:t>
      </w:r>
      <w:r>
        <w:rPr>
          <w:rFonts w:hint="eastAsia" w:ascii="宋体" w:hAnsi="宋体" w:cs="宋体"/>
          <w:color w:val="auto"/>
          <w:szCs w:val="21"/>
          <w:highlight w:val="none"/>
          <w:lang w:eastAsia="zh-CN"/>
        </w:rPr>
        <w:t>（</w:t>
      </w:r>
      <w:r>
        <w:rPr>
          <w:rFonts w:ascii="宋体" w:hAnsi="宋体" w:eastAsia="宋体" w:cs="宋体"/>
          <w:color w:val="auto"/>
          <w:spacing w:val="7"/>
          <w:kern w:val="2"/>
          <w:sz w:val="20"/>
          <w:szCs w:val="20"/>
          <w:highlight w:val="none"/>
          <w:u w:val="single" w:color="auto"/>
          <w:lang w:val="en-US" w:eastAsia="zh-CN" w:bidi="ar-SA"/>
        </w:rPr>
        <w:t>1）当地 6 级以上的破坏性地震；（2）暴雨级以上持续 3 天的大雨天； （3）5 年及以上未发生过，持续 2 天的高温天气； （4）5 年及以上未发生过，持续 2 天的低温天气  。</w:t>
      </w:r>
    </w:p>
    <w:p w14:paraId="0F7B5531">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722" w:name="_Toc418751826"/>
      <w:bookmarkStart w:id="723" w:name="_Toc418518376"/>
      <w:bookmarkStart w:id="724" w:name="_Toc418061341"/>
      <w:bookmarkStart w:id="725" w:name="_Toc256000209"/>
      <w:bookmarkStart w:id="726" w:name="_Toc522201759"/>
      <w:bookmarkStart w:id="727" w:name="_Toc389065296"/>
      <w:bookmarkStart w:id="728" w:name="_Toc497746811"/>
      <w:bookmarkStart w:id="729" w:name="_Toc497747208"/>
      <w:bookmarkStart w:id="730" w:name="_Toc373478377"/>
      <w:bookmarkStart w:id="731" w:name="_Toc373227730"/>
      <w:bookmarkStart w:id="732" w:name="_Toc418752272"/>
      <w:bookmarkStart w:id="733" w:name="_Toc418518140"/>
      <w:bookmarkStart w:id="734" w:name="_Toc403578964"/>
      <w:bookmarkStart w:id="735" w:name="_Toc805"/>
      <w:r>
        <w:rPr>
          <w:rFonts w:hint="eastAsia" w:ascii="宋体" w:cs="宋体"/>
          <w:color w:val="auto"/>
          <w:highlight w:val="none"/>
        </w:rPr>
        <w:t>7.</w:t>
      </w:r>
      <w:r>
        <w:rPr>
          <w:rFonts w:hint="eastAsia" w:ascii="宋体" w:cs="宋体"/>
          <w:color w:val="auto"/>
          <w:highlight w:val="none"/>
          <w:lang w:val="en-US" w:eastAsia="zh-CN"/>
        </w:rPr>
        <w:t>8</w:t>
      </w:r>
      <w:r>
        <w:rPr>
          <w:rFonts w:hint="eastAsia" w:ascii="宋体" w:cs="宋体"/>
          <w:color w:val="auto"/>
          <w:highlight w:val="none"/>
        </w:rPr>
        <w:t xml:space="preserve"> 提前竣工</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1B1ADA7E">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提前竣工的奖励：</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7AF045BE">
      <w:pPr>
        <w:pStyle w:val="244"/>
        <w:pageBreakBefore w:val="0"/>
        <w:widowControl w:val="0"/>
        <w:numPr>
          <w:ilvl w:val="0"/>
          <w:numId w:val="29"/>
        </w:numPr>
        <w:kinsoku/>
        <w:wordWrap/>
        <w:overflowPunct/>
        <w:topLinePunct w:val="0"/>
        <w:bidi w:val="0"/>
        <w:snapToGrid/>
        <w:spacing w:line="440" w:lineRule="exact"/>
        <w:textAlignment w:val="auto"/>
        <w:rPr>
          <w:rFonts w:ascii="宋体" w:cs="宋体"/>
          <w:color w:val="auto"/>
          <w:highlight w:val="none"/>
        </w:rPr>
      </w:pPr>
      <w:bookmarkStart w:id="736" w:name="_Toc497746812"/>
      <w:bookmarkStart w:id="737" w:name="_Toc389065297"/>
      <w:bookmarkStart w:id="738" w:name="_Toc256000210"/>
      <w:bookmarkStart w:id="739" w:name="_Toc27964"/>
      <w:bookmarkStart w:id="740" w:name="_Toc522201760"/>
      <w:bookmarkStart w:id="741" w:name="_Toc403578965"/>
      <w:bookmarkStart w:id="742" w:name="_Toc351203640"/>
      <w:bookmarkStart w:id="743" w:name="_Toc373227731"/>
      <w:bookmarkStart w:id="744" w:name="_Toc418061342"/>
      <w:bookmarkStart w:id="745" w:name="_Toc418751827"/>
      <w:bookmarkStart w:id="746" w:name="_Toc418518377"/>
      <w:bookmarkStart w:id="747" w:name="_Toc418752273"/>
      <w:bookmarkStart w:id="748" w:name="_Toc497747209"/>
      <w:bookmarkStart w:id="749" w:name="_Toc373478378"/>
      <w:bookmarkStart w:id="750" w:name="_Toc418518141"/>
      <w:r>
        <w:rPr>
          <w:rFonts w:hint="eastAsia" w:ascii="宋体" w:cs="宋体"/>
          <w:color w:val="auto"/>
          <w:highlight w:val="none"/>
        </w:rPr>
        <w:t>材料与设备</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bookmarkEnd w:id="492"/>
    <w:bookmarkEnd w:id="493"/>
    <w:bookmarkEnd w:id="494"/>
    <w:bookmarkEnd w:id="495"/>
    <w:bookmarkEnd w:id="496"/>
    <w:bookmarkEnd w:id="497"/>
    <w:bookmarkEnd w:id="498"/>
    <w:bookmarkEnd w:id="499"/>
    <w:bookmarkEnd w:id="500"/>
    <w:bookmarkEnd w:id="501"/>
    <w:p w14:paraId="5A3DA15C">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751" w:name="_Toc497747211"/>
      <w:bookmarkStart w:id="752" w:name="_Toc403578967"/>
      <w:bookmarkStart w:id="753" w:name="_Toc418518379"/>
      <w:bookmarkStart w:id="754" w:name="_Toc373478380"/>
      <w:bookmarkStart w:id="755" w:name="_Toc256000212"/>
      <w:bookmarkStart w:id="756" w:name="_Toc418061344"/>
      <w:bookmarkStart w:id="757" w:name="_Toc7440"/>
      <w:bookmarkStart w:id="758" w:name="_Toc389065299"/>
      <w:bookmarkStart w:id="759" w:name="_Toc522201762"/>
      <w:bookmarkStart w:id="760" w:name="_Toc373227733"/>
      <w:bookmarkStart w:id="761" w:name="_Toc418752275"/>
      <w:bookmarkStart w:id="762" w:name="_Toc418518143"/>
      <w:bookmarkStart w:id="763" w:name="_Toc497746814"/>
      <w:bookmarkStart w:id="764" w:name="_Toc418751829"/>
      <w:r>
        <w:rPr>
          <w:rFonts w:hint="eastAsia" w:ascii="宋体" w:cs="宋体"/>
          <w:color w:val="auto"/>
          <w:highlight w:val="none"/>
        </w:rPr>
        <w:t>8</w:t>
      </w:r>
      <w:bookmarkStart w:id="765" w:name="_Toc297048353"/>
      <w:bookmarkStart w:id="766" w:name="_Toc296346668"/>
      <w:bookmarkStart w:id="767" w:name="_Toc303539136"/>
      <w:bookmarkStart w:id="768" w:name="_Toc297123527"/>
      <w:bookmarkStart w:id="769" w:name="_Toc300934979"/>
      <w:bookmarkStart w:id="770" w:name="_Toc292559877"/>
      <w:bookmarkStart w:id="771" w:name="_Toc304295556"/>
      <w:bookmarkStart w:id="772" w:name="_Toc296944506"/>
      <w:bookmarkStart w:id="773" w:name="_Toc312678019"/>
      <w:bookmarkStart w:id="774" w:name="_Toc296891207"/>
      <w:bookmarkStart w:id="775" w:name="_Toc297216186"/>
      <w:bookmarkStart w:id="776" w:name="_Toc296503167"/>
      <w:bookmarkStart w:id="777" w:name="_Toc296890995"/>
      <w:bookmarkStart w:id="778" w:name="_Toc312677493"/>
      <w:bookmarkStart w:id="779" w:name="_Toc292559372"/>
      <w:bookmarkStart w:id="780" w:name="_Toc280868654"/>
      <w:bookmarkStart w:id="781" w:name="_Toc297120467"/>
      <w:bookmarkStart w:id="782" w:name="_Toc296347166"/>
      <w:bookmarkStart w:id="783" w:name="_Toc280868656"/>
      <w:bookmarkStart w:id="784" w:name="_Toc280868655"/>
      <w:bookmarkStart w:id="785" w:name="_Toc267251424"/>
      <w:r>
        <w:rPr>
          <w:rFonts w:hint="eastAsia" w:ascii="宋体" w:cs="宋体"/>
          <w:color w:val="auto"/>
          <w:highlight w:val="none"/>
        </w:rPr>
        <w:t>.4 材料与工程设备的保管与使用</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14:paraId="11226D0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8</w:t>
      </w:r>
      <w:bookmarkStart w:id="786" w:name="_Toc292559373"/>
      <w:bookmarkStart w:id="787" w:name="_Toc292559878"/>
      <w:bookmarkStart w:id="788" w:name="_Toc296890996"/>
      <w:bookmarkStart w:id="789" w:name="_Toc312678020"/>
      <w:bookmarkStart w:id="790" w:name="_Toc296944507"/>
      <w:bookmarkStart w:id="791" w:name="_Toc304295557"/>
      <w:bookmarkStart w:id="792" w:name="_Toc312677494"/>
      <w:bookmarkStart w:id="793" w:name="_Toc296347167"/>
      <w:bookmarkStart w:id="794" w:name="_Toc297120468"/>
      <w:bookmarkStart w:id="795" w:name="_Toc297216187"/>
      <w:bookmarkStart w:id="796" w:name="_Toc296891208"/>
      <w:bookmarkStart w:id="797" w:name="_Toc297123528"/>
      <w:bookmarkStart w:id="798" w:name="_Toc318581173"/>
      <w:bookmarkStart w:id="799" w:name="_Toc296503168"/>
      <w:bookmarkStart w:id="800" w:name="_Toc303539137"/>
      <w:bookmarkStart w:id="801" w:name="_Toc300934980"/>
      <w:bookmarkStart w:id="802" w:name="_Toc297048354"/>
      <w:bookmarkStart w:id="803" w:name="_Toc296346669"/>
      <w:r>
        <w:rPr>
          <w:rFonts w:hint="eastAsia" w:ascii="宋体" w:hAnsi="宋体" w:cs="宋体"/>
          <w:color w:val="auto"/>
          <w:szCs w:val="21"/>
          <w:highlight w:val="none"/>
        </w:rPr>
        <w:t>.4.1发包人供应的材料设备的保管费用的承担：</w:t>
      </w:r>
      <w:r>
        <w:rPr>
          <w:rFonts w:hint="eastAsia" w:ascii="宋体" w:hAnsi="宋体" w:cs="宋体"/>
          <w:color w:val="auto"/>
          <w:szCs w:val="21"/>
          <w:highlight w:val="none"/>
          <w:u w:val="single"/>
        </w:rPr>
        <w:t>发包人承担</w:t>
      </w:r>
      <w:r>
        <w:rPr>
          <w:rFonts w:hint="eastAsia" w:ascii="宋体" w:hAnsi="宋体" w:cs="宋体"/>
          <w:color w:val="auto"/>
          <w:szCs w:val="21"/>
          <w:highlight w:val="none"/>
        </w:rPr>
        <w:t>。</w:t>
      </w:r>
    </w:p>
    <w:bookmarkEnd w:id="786"/>
    <w:bookmarkEnd w:id="787"/>
    <w:p w14:paraId="21944D81">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04" w:name="_Toc373478381"/>
      <w:bookmarkStart w:id="805" w:name="_Toc497746815"/>
      <w:bookmarkStart w:id="806" w:name="_Toc418061345"/>
      <w:bookmarkStart w:id="807" w:name="_Toc418518380"/>
      <w:bookmarkStart w:id="808" w:name="_Toc418751830"/>
      <w:bookmarkStart w:id="809" w:name="_Toc373227734"/>
      <w:bookmarkStart w:id="810" w:name="_Toc418752276"/>
      <w:bookmarkStart w:id="811" w:name="_Toc522201763"/>
      <w:bookmarkStart w:id="812" w:name="_Toc497747212"/>
      <w:bookmarkStart w:id="813" w:name="_Toc418518144"/>
      <w:bookmarkStart w:id="814" w:name="_Toc389065300"/>
      <w:bookmarkStart w:id="815" w:name="_Toc20038"/>
      <w:bookmarkStart w:id="816" w:name="_Toc403578968"/>
      <w:bookmarkStart w:id="817" w:name="_Toc256000213"/>
      <w:r>
        <w:rPr>
          <w:rFonts w:hint="eastAsia" w:ascii="宋体" w:cs="宋体"/>
          <w:color w:val="auto"/>
          <w:highlight w:val="none"/>
        </w:rPr>
        <w:t>8.6 样品</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7BB1CC9A">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8.6.1 样品的报送与封存</w:t>
      </w:r>
    </w:p>
    <w:p w14:paraId="6F681731">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需要承包人报送样品的材料或工程设备，样品的种类、名称、规格、数量要求：</w:t>
      </w:r>
      <w:r>
        <w:rPr>
          <w:rFonts w:hint="eastAsia" w:ascii="宋体" w:hAnsi="宋体" w:cs="宋体"/>
          <w:color w:val="auto"/>
          <w:kern w:val="0"/>
          <w:szCs w:val="21"/>
          <w:highlight w:val="none"/>
          <w:u w:val="single"/>
        </w:rPr>
        <w:t>主材料或工程设备的品牌、规格、型号、颜色、质感等方面的内容，承包人应在计划采购前将材料样品报送监理人，并经发包人确认后方能采购，包括但不限于工程所需使用的主要材料。承包人使用的上述主要材料的品牌应从工程量清单中给定的品牌中选定。承包人因特殊原因需要从工程量清单以外选择品牌时，必须选择相当于或优于工程量清单中参考品牌且需征得发包人书面批准，如发包人与承包人不能达成更改品牌一致意见的，承包人必须从工程量清单中给定的参考品牌中选定材料品牌，否则按不合格材料处理并不予计量计价</w:t>
      </w:r>
      <w:r>
        <w:rPr>
          <w:rFonts w:hint="eastAsia" w:ascii="宋体" w:hAnsi="宋体" w:cs="宋体"/>
          <w:color w:val="auto"/>
          <w:szCs w:val="21"/>
          <w:highlight w:val="none"/>
          <w:u w:val="single"/>
        </w:rPr>
        <w:t>。</w:t>
      </w:r>
    </w:p>
    <w:p w14:paraId="76E3D0BD">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18" w:name="_Toc403578969"/>
      <w:bookmarkStart w:id="819" w:name="_Toc497747213"/>
      <w:bookmarkStart w:id="820" w:name="_Toc418061346"/>
      <w:bookmarkStart w:id="821" w:name="_Toc418752277"/>
      <w:bookmarkStart w:id="822" w:name="_Toc418751831"/>
      <w:bookmarkStart w:id="823" w:name="_Toc418518381"/>
      <w:bookmarkStart w:id="824" w:name="_Toc373478382"/>
      <w:bookmarkStart w:id="825" w:name="_Toc418518145"/>
      <w:bookmarkStart w:id="826" w:name="_Toc373227735"/>
      <w:bookmarkStart w:id="827" w:name="_Toc18416"/>
      <w:bookmarkStart w:id="828" w:name="_Toc256000214"/>
      <w:bookmarkStart w:id="829" w:name="_Toc522201764"/>
      <w:bookmarkStart w:id="830" w:name="_Toc389065301"/>
      <w:bookmarkStart w:id="831" w:name="_Toc497746816"/>
      <w:r>
        <w:rPr>
          <w:rFonts w:hint="eastAsia" w:ascii="宋体" w:cs="宋体"/>
          <w:color w:val="auto"/>
          <w:highlight w:val="none"/>
        </w:rPr>
        <w:t>8.8 施工设备和临时设施</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0AAF970C">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8.8.1 承包人提供的施工设备和临时设施</w:t>
      </w:r>
    </w:p>
    <w:p w14:paraId="63933978">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5。</w:t>
      </w:r>
    </w:p>
    <w:p w14:paraId="7999E244">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关于修建临时设施费用承担的约定：</w:t>
      </w:r>
    </w:p>
    <w:p w14:paraId="17A53EC7">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①承包人的临时用地（含项目部驻地等）租用费（含拆迁补偿）、临时用地的环保、恢复、临时用地的青苗补偿及地面附着物拆除等费用均由承包人负责，以上费用在投标报价中综合考虑。 </w:t>
      </w:r>
    </w:p>
    <w:p w14:paraId="3347274A">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②承包人负责合同实施期间其合同段内临时交通道路和交通设施的修建、维修、养护和交通管理工作，并承担一切费用。 </w:t>
      </w:r>
    </w:p>
    <w:p w14:paraId="7CF3EAF1">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 </w:t>
      </w:r>
    </w:p>
    <w:p w14:paraId="41402AEA">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8.8.2 发包人提供的施工设备和临时设施</w:t>
      </w:r>
    </w:p>
    <w:p w14:paraId="18D4ECCD">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发包人提供的施工设备和临时设施：</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545DC4D4">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发包人提供的施工设备和临时设施的运行、维护、拆除、清运费用的承担人：</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 xml:space="preserve">无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14:paraId="08686525">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832" w:name="_Toc418751832"/>
      <w:bookmarkStart w:id="833" w:name="_Toc373227736"/>
      <w:bookmarkStart w:id="834" w:name="_Toc418061347"/>
      <w:bookmarkStart w:id="835" w:name="_Toc497747214"/>
      <w:bookmarkStart w:id="836" w:name="_Toc3266"/>
      <w:bookmarkStart w:id="837" w:name="_Toc403578970"/>
      <w:bookmarkStart w:id="838" w:name="_Toc351203641"/>
      <w:bookmarkStart w:id="839" w:name="_Toc418752278"/>
      <w:bookmarkStart w:id="840" w:name="_Toc497746817"/>
      <w:bookmarkStart w:id="841" w:name="_Toc373478383"/>
      <w:bookmarkStart w:id="842" w:name="_Toc256000215"/>
      <w:bookmarkStart w:id="843" w:name="_Toc418518382"/>
      <w:bookmarkStart w:id="844" w:name="_Toc389065302"/>
      <w:bookmarkStart w:id="845" w:name="_Toc522201765"/>
      <w:bookmarkStart w:id="846" w:name="_Toc418518146"/>
      <w:r>
        <w:rPr>
          <w:rFonts w:hint="eastAsia" w:ascii="宋体" w:cs="宋体"/>
          <w:color w:val="auto"/>
          <w:highlight w:val="none"/>
        </w:rPr>
        <w:t>9</w:t>
      </w:r>
      <w:bookmarkEnd w:id="783"/>
      <w:bookmarkEnd w:id="784"/>
      <w:bookmarkEnd w:id="785"/>
      <w:bookmarkStart w:id="847" w:name="_Toc297123533"/>
      <w:bookmarkStart w:id="848" w:name="_Toc312677495"/>
      <w:bookmarkStart w:id="849" w:name="_Toc312678021"/>
      <w:bookmarkStart w:id="850" w:name="_Toc303539139"/>
      <w:bookmarkStart w:id="851" w:name="_Toc297216192"/>
      <w:bookmarkStart w:id="852" w:name="_Toc300934982"/>
      <w:bookmarkStart w:id="853" w:name="_Toc304295559"/>
      <w:bookmarkStart w:id="854" w:name="_Toc267251427"/>
      <w:bookmarkStart w:id="855" w:name="_Toc296503173"/>
      <w:bookmarkStart w:id="856" w:name="_Toc296944512"/>
      <w:bookmarkStart w:id="857" w:name="_Toc267251428"/>
      <w:bookmarkStart w:id="858" w:name="_Toc292559883"/>
      <w:bookmarkStart w:id="859" w:name="_Toc296346674"/>
      <w:bookmarkStart w:id="860" w:name="_Toc296891213"/>
      <w:bookmarkStart w:id="861" w:name="_Toc297120473"/>
      <w:bookmarkStart w:id="862" w:name="_Toc297048359"/>
      <w:bookmarkStart w:id="863" w:name="_Toc296347172"/>
      <w:bookmarkStart w:id="864" w:name="_Toc292559378"/>
      <w:bookmarkStart w:id="865" w:name="_Toc296891001"/>
      <w:r>
        <w:rPr>
          <w:rFonts w:hint="eastAsia" w:ascii="宋体" w:cs="宋体"/>
          <w:color w:val="auto"/>
          <w:highlight w:val="none"/>
        </w:rPr>
        <w:t>. 试验与检验</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bookmarkEnd w:id="847"/>
    <w:bookmarkEnd w:id="848"/>
    <w:bookmarkEnd w:id="849"/>
    <w:bookmarkEnd w:id="850"/>
    <w:bookmarkEnd w:id="851"/>
    <w:bookmarkEnd w:id="852"/>
    <w:bookmarkEnd w:id="853"/>
    <w:p w14:paraId="4D59955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66" w:name="_Toc256000216"/>
      <w:bookmarkStart w:id="867" w:name="_Toc418518383"/>
      <w:bookmarkStart w:id="868" w:name="_Toc373227737"/>
      <w:bookmarkStart w:id="869" w:name="_Toc389065303"/>
      <w:bookmarkStart w:id="870" w:name="_Toc522201766"/>
      <w:bookmarkStart w:id="871" w:name="_Toc418752279"/>
      <w:bookmarkStart w:id="872" w:name="_Toc418061348"/>
      <w:bookmarkStart w:id="873" w:name="_Toc23499"/>
      <w:bookmarkStart w:id="874" w:name="_Toc497746818"/>
      <w:bookmarkStart w:id="875" w:name="_Toc403578971"/>
      <w:bookmarkStart w:id="876" w:name="_Toc418751833"/>
      <w:bookmarkStart w:id="877" w:name="_Toc497747215"/>
      <w:bookmarkStart w:id="878" w:name="_Toc373478384"/>
      <w:bookmarkStart w:id="879" w:name="_Toc418518147"/>
      <w:r>
        <w:rPr>
          <w:rFonts w:hint="eastAsia" w:ascii="宋体" w:cs="宋体"/>
          <w:color w:val="auto"/>
          <w:highlight w:val="none"/>
        </w:rPr>
        <w:t>9</w:t>
      </w:r>
      <w:bookmarkStart w:id="880" w:name="_Toc297123534"/>
      <w:bookmarkStart w:id="881" w:name="_Toc300934983"/>
      <w:bookmarkStart w:id="882" w:name="_Toc303539140"/>
      <w:bookmarkStart w:id="883" w:name="_Toc297216193"/>
      <w:bookmarkStart w:id="884" w:name="_Toc304295560"/>
      <w:bookmarkStart w:id="885" w:name="_Toc312678022"/>
      <w:bookmarkStart w:id="886" w:name="_Toc312677496"/>
      <w:r>
        <w:rPr>
          <w:rFonts w:hint="eastAsia" w:ascii="宋体" w:cs="宋体"/>
          <w:color w:val="auto"/>
          <w:highlight w:val="none"/>
        </w:rPr>
        <w:t>.1 试验设备与试验人员</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bookmarkEnd w:id="880"/>
    <w:bookmarkEnd w:id="881"/>
    <w:bookmarkEnd w:id="882"/>
    <w:bookmarkEnd w:id="883"/>
    <w:bookmarkEnd w:id="884"/>
    <w:bookmarkEnd w:id="885"/>
    <w:bookmarkEnd w:id="886"/>
    <w:p w14:paraId="5C7591B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9</w:t>
      </w:r>
      <w:bookmarkStart w:id="887" w:name="_Toc304295561"/>
      <w:bookmarkStart w:id="888" w:name="_Toc300934984"/>
      <w:bookmarkStart w:id="889" w:name="_Toc312677497"/>
      <w:bookmarkStart w:id="890" w:name="_Toc312678023"/>
      <w:bookmarkStart w:id="891" w:name="_Toc297123535"/>
      <w:bookmarkStart w:id="892" w:name="_Toc303539141"/>
      <w:bookmarkStart w:id="893" w:name="_Toc297216194"/>
      <w:bookmarkStart w:id="894" w:name="_Toc318581174"/>
      <w:r>
        <w:rPr>
          <w:rFonts w:hint="eastAsia" w:ascii="宋体" w:hAnsi="宋体" w:cs="宋体"/>
          <w:color w:val="auto"/>
          <w:szCs w:val="21"/>
          <w:highlight w:val="none"/>
        </w:rPr>
        <w:t>.1.2 试验设备</w:t>
      </w:r>
    </w:p>
    <w:bookmarkEnd w:id="887"/>
    <w:bookmarkEnd w:id="888"/>
    <w:bookmarkEnd w:id="889"/>
    <w:bookmarkEnd w:id="890"/>
    <w:bookmarkEnd w:id="891"/>
    <w:bookmarkEnd w:id="892"/>
    <w:bookmarkEnd w:id="893"/>
    <w:p w14:paraId="29B2BB5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895" w:name="_Toc312677498"/>
      <w:bookmarkStart w:id="896" w:name="_Toc297123536"/>
      <w:bookmarkStart w:id="897" w:name="_Toc300934985"/>
      <w:bookmarkStart w:id="898" w:name="_Toc304295562"/>
      <w:bookmarkStart w:id="899" w:name="_Toc297216195"/>
      <w:bookmarkStart w:id="900" w:name="_Toc312678024"/>
      <w:bookmarkStart w:id="901" w:name="_Toc303539142"/>
      <w:r>
        <w:rPr>
          <w:rFonts w:hint="eastAsia" w:ascii="宋体" w:hAnsi="宋体" w:cs="宋体"/>
          <w:color w:val="auto"/>
          <w:szCs w:val="21"/>
          <w:highlight w:val="none"/>
        </w:rPr>
        <w:t>施工现场需要配置的试验场所：</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98A7A1E">
      <w:pPr>
        <w:pStyle w:val="246"/>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施工现场需要配备的试验设备：</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175708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施工现场需要具备的其他试验条件：</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3F4983">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02" w:name="_Toc418518148"/>
      <w:bookmarkStart w:id="903" w:name="_Toc497747216"/>
      <w:bookmarkStart w:id="904" w:name="_Toc403578972"/>
      <w:bookmarkStart w:id="905" w:name="_Toc418518384"/>
      <w:bookmarkStart w:id="906" w:name="_Toc256000217"/>
      <w:bookmarkStart w:id="907" w:name="_Toc418751834"/>
      <w:bookmarkStart w:id="908" w:name="_Toc373227738"/>
      <w:bookmarkStart w:id="909" w:name="_Toc373478385"/>
      <w:bookmarkStart w:id="910" w:name="_Toc15712"/>
      <w:bookmarkStart w:id="911" w:name="_Toc389065304"/>
      <w:bookmarkStart w:id="912" w:name="_Toc418752280"/>
      <w:bookmarkStart w:id="913" w:name="_Toc497746819"/>
      <w:bookmarkStart w:id="914" w:name="_Toc418061349"/>
      <w:bookmarkStart w:id="915" w:name="_Toc522201767"/>
      <w:r>
        <w:rPr>
          <w:rFonts w:hint="eastAsia" w:ascii="宋体" w:cs="宋体"/>
          <w:color w:val="auto"/>
          <w:highlight w:val="none"/>
        </w:rPr>
        <w:t>9.4 现场工艺试验</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Pr>
          <w:rFonts w:hint="eastAsia" w:ascii="宋体" w:cs="宋体"/>
          <w:color w:val="auto"/>
          <w:highlight w:val="none"/>
        </w:rPr>
        <w:t xml:space="preserve"> </w:t>
      </w:r>
    </w:p>
    <w:p w14:paraId="3FFE001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现场工艺试验的有关约定：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rPr>
        <w:t>。</w:t>
      </w:r>
      <w:bookmarkStart w:id="916" w:name="_Toc395382541"/>
      <w:bookmarkStart w:id="917" w:name="_Toc406420990"/>
      <w:bookmarkStart w:id="918" w:name="_Toc406522259"/>
      <w:bookmarkStart w:id="919" w:name="OLE_LINK1"/>
    </w:p>
    <w:p w14:paraId="35EC78BA">
      <w:pPr>
        <w:pStyle w:val="246"/>
        <w:pageBreakBefore w:val="0"/>
        <w:widowControl w:val="0"/>
        <w:kinsoku/>
        <w:wordWrap/>
        <w:overflowPunct/>
        <w:topLinePunct w:val="0"/>
        <w:bidi w:val="0"/>
        <w:snapToGrid/>
        <w:spacing w:line="440" w:lineRule="exact"/>
        <w:ind w:firstLine="422" w:firstLineChars="200"/>
        <w:jc w:val="left"/>
        <w:textAlignment w:val="auto"/>
        <w:rPr>
          <w:rFonts w:ascii="宋体" w:hAnsi="宋体" w:cs="宋体"/>
          <w:b/>
          <w:bCs/>
          <w:color w:val="auto"/>
          <w:szCs w:val="21"/>
          <w:highlight w:val="none"/>
        </w:rPr>
      </w:pPr>
      <w:r>
        <w:rPr>
          <w:rFonts w:hint="eastAsia" w:ascii="宋体" w:hAnsi="宋体" w:cs="宋体"/>
          <w:b/>
          <w:bCs/>
          <w:color w:val="auto"/>
          <w:szCs w:val="21"/>
          <w:highlight w:val="none"/>
        </w:rPr>
        <w:t>9.5 检验费用</w:t>
      </w:r>
      <w:bookmarkEnd w:id="916"/>
      <w:bookmarkEnd w:id="917"/>
      <w:bookmarkEnd w:id="918"/>
    </w:p>
    <w:p w14:paraId="00F4A450">
      <w:pPr>
        <w:pStyle w:val="246"/>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根据《建设工程质量检测管理办法》（建设部令第141号）以及</w:t>
      </w:r>
      <w:r>
        <w:rPr>
          <w:rFonts w:hint="eastAsia" w:ascii="宋体" w:hAnsi="宋体" w:cs="宋体"/>
          <w:bCs/>
          <w:color w:val="auto"/>
          <w:szCs w:val="21"/>
          <w:highlight w:val="none"/>
        </w:rPr>
        <w:t>《广西壮族自治区建设工程质量检测管理规定》（桂建管〔2013〕11号）</w:t>
      </w:r>
      <w:r>
        <w:rPr>
          <w:rFonts w:hint="eastAsia" w:ascii="宋体" w:hAnsi="宋体" w:cs="宋体"/>
          <w:color w:val="auto"/>
          <w:szCs w:val="21"/>
          <w:highlight w:val="none"/>
        </w:rPr>
        <w:t>规定，工程质量检测业务由发包人委托有相应资质的检测机构检测。费用从发包人的项目建设经费中支出并直接支付给检测机构，不计入合同价款内。</w:t>
      </w:r>
      <w:bookmarkEnd w:id="919"/>
    </w:p>
    <w:bookmarkEnd w:id="894"/>
    <w:bookmarkEnd w:id="895"/>
    <w:bookmarkEnd w:id="896"/>
    <w:bookmarkEnd w:id="897"/>
    <w:bookmarkEnd w:id="898"/>
    <w:bookmarkEnd w:id="899"/>
    <w:bookmarkEnd w:id="900"/>
    <w:bookmarkEnd w:id="901"/>
    <w:p w14:paraId="582B59AF">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920" w:name="_Toc256000218"/>
      <w:bookmarkStart w:id="921" w:name="_Toc418518386"/>
      <w:bookmarkStart w:id="922" w:name="_Toc418061351"/>
      <w:bookmarkStart w:id="923" w:name="_Toc351203642"/>
      <w:bookmarkStart w:id="924" w:name="_Toc30465"/>
      <w:bookmarkStart w:id="925" w:name="_Toc403578974"/>
      <w:bookmarkStart w:id="926" w:name="_Toc522201768"/>
      <w:bookmarkStart w:id="927" w:name="_Toc418752282"/>
      <w:bookmarkStart w:id="928" w:name="_Toc497747218"/>
      <w:bookmarkStart w:id="929" w:name="_Toc418518150"/>
      <w:bookmarkStart w:id="930" w:name="_Toc497746821"/>
      <w:bookmarkStart w:id="931" w:name="_Toc373227739"/>
      <w:bookmarkStart w:id="932" w:name="_Toc373478386"/>
      <w:bookmarkStart w:id="933" w:name="_Toc389065305"/>
      <w:bookmarkStart w:id="934" w:name="_Toc418751836"/>
      <w:r>
        <w:rPr>
          <w:rFonts w:hint="eastAsia" w:ascii="宋体" w:cs="宋体"/>
          <w:color w:val="auto"/>
          <w:highlight w:val="none"/>
        </w:rPr>
        <w:t>1</w:t>
      </w:r>
      <w:bookmarkEnd w:id="854"/>
      <w:bookmarkEnd w:id="855"/>
      <w:bookmarkEnd w:id="856"/>
      <w:bookmarkEnd w:id="857"/>
      <w:bookmarkEnd w:id="858"/>
      <w:bookmarkEnd w:id="859"/>
      <w:bookmarkEnd w:id="860"/>
      <w:bookmarkEnd w:id="861"/>
      <w:bookmarkEnd w:id="862"/>
      <w:bookmarkEnd w:id="863"/>
      <w:bookmarkEnd w:id="864"/>
      <w:bookmarkEnd w:id="865"/>
      <w:bookmarkStart w:id="935" w:name="_Toc296944532"/>
      <w:bookmarkStart w:id="936" w:name="_Toc303539146"/>
      <w:bookmarkStart w:id="937" w:name="_Toc297048379"/>
      <w:bookmarkStart w:id="938" w:name="_Toc300934989"/>
      <w:bookmarkStart w:id="939" w:name="_Toc292559398"/>
      <w:bookmarkStart w:id="940" w:name="_Toc297123540"/>
      <w:bookmarkStart w:id="941" w:name="_Toc296347192"/>
      <w:bookmarkStart w:id="942" w:name="_Toc297120493"/>
      <w:bookmarkStart w:id="943" w:name="_Toc297216199"/>
      <w:bookmarkStart w:id="944" w:name="_Toc296346694"/>
      <w:bookmarkStart w:id="945" w:name="_Toc296891021"/>
      <w:bookmarkStart w:id="946" w:name="_Toc292559903"/>
      <w:bookmarkStart w:id="947" w:name="_Toc296891233"/>
      <w:bookmarkStart w:id="948" w:name="_Toc304295566"/>
      <w:bookmarkStart w:id="949" w:name="_Toc296503193"/>
      <w:bookmarkStart w:id="950" w:name="_Toc312678025"/>
      <w:bookmarkStart w:id="951" w:name="_Toc312677499"/>
      <w:bookmarkStart w:id="952" w:name="_Toc267251433"/>
      <w:bookmarkStart w:id="953" w:name="_Toc267251440"/>
      <w:bookmarkStart w:id="954" w:name="_Toc267251437"/>
      <w:bookmarkStart w:id="955" w:name="_Toc267251441"/>
      <w:bookmarkStart w:id="956" w:name="_Toc267251435"/>
      <w:bookmarkStart w:id="957" w:name="_Toc267251439"/>
      <w:bookmarkStart w:id="958" w:name="_Toc267251442"/>
      <w:r>
        <w:rPr>
          <w:rFonts w:hint="eastAsia" w:ascii="宋体" w:cs="宋体"/>
          <w:color w:val="auto"/>
          <w:highlight w:val="none"/>
        </w:rPr>
        <w:t>0. 变更</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bookmarkEnd w:id="950"/>
    <w:bookmarkEnd w:id="951"/>
    <w:p w14:paraId="64D5E88D">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59" w:name="_Toc418518387"/>
      <w:bookmarkStart w:id="960" w:name="_Toc389065306"/>
      <w:bookmarkStart w:id="961" w:name="_Toc497746822"/>
      <w:bookmarkStart w:id="962" w:name="_Toc418061352"/>
      <w:bookmarkStart w:id="963" w:name="_Toc522201769"/>
      <w:bookmarkStart w:id="964" w:name="_Toc418752283"/>
      <w:bookmarkStart w:id="965" w:name="_Toc418518151"/>
      <w:bookmarkStart w:id="966" w:name="_Toc4015"/>
      <w:bookmarkStart w:id="967" w:name="_Toc418751837"/>
      <w:bookmarkStart w:id="968" w:name="_Toc373478387"/>
      <w:bookmarkStart w:id="969" w:name="_Toc256000219"/>
      <w:bookmarkStart w:id="970" w:name="_Toc403578975"/>
      <w:bookmarkStart w:id="971" w:name="_Toc373227740"/>
      <w:bookmarkStart w:id="972" w:name="_Toc497747219"/>
      <w:r>
        <w:rPr>
          <w:rFonts w:hint="eastAsia" w:ascii="宋体" w:cs="宋体"/>
          <w:color w:val="auto"/>
          <w:highlight w:val="none"/>
        </w:rPr>
        <w:t>1</w:t>
      </w:r>
      <w:bookmarkStart w:id="973" w:name="_Toc297123541"/>
      <w:bookmarkStart w:id="974" w:name="_Toc296346695"/>
      <w:bookmarkStart w:id="975" w:name="_Toc304295567"/>
      <w:bookmarkStart w:id="976" w:name="_Toc312677500"/>
      <w:bookmarkStart w:id="977" w:name="_Toc292559399"/>
      <w:bookmarkStart w:id="978" w:name="_Toc303539147"/>
      <w:bookmarkStart w:id="979" w:name="_Toc296347193"/>
      <w:bookmarkStart w:id="980" w:name="_Toc296944533"/>
      <w:bookmarkStart w:id="981" w:name="_Toc296891022"/>
      <w:bookmarkStart w:id="982" w:name="_Toc296503194"/>
      <w:bookmarkStart w:id="983" w:name="_Toc292559904"/>
      <w:bookmarkStart w:id="984" w:name="_Toc296891234"/>
      <w:bookmarkStart w:id="985" w:name="_Toc297048380"/>
      <w:bookmarkStart w:id="986" w:name="_Toc297216200"/>
      <w:bookmarkStart w:id="987" w:name="_Toc297120494"/>
      <w:bookmarkStart w:id="988" w:name="_Toc300934990"/>
      <w:bookmarkStart w:id="989" w:name="_Toc312678026"/>
      <w:r>
        <w:rPr>
          <w:rFonts w:hint="eastAsia" w:ascii="宋体" w:cs="宋体"/>
          <w:color w:val="auto"/>
          <w:highlight w:val="none"/>
        </w:rPr>
        <w:t>0.1 变更的范围</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677EF9E5">
      <w:pPr>
        <w:pStyle w:val="253"/>
        <w:spacing w:before="221" w:line="432" w:lineRule="auto"/>
        <w:ind w:left="32" w:firstLine="399"/>
        <w:rPr>
          <w:color w:val="auto"/>
          <w:sz w:val="20"/>
          <w:szCs w:val="20"/>
          <w:highlight w:val="none"/>
        </w:rPr>
      </w:pPr>
      <w:r>
        <w:rPr>
          <w:rFonts w:hint="eastAsia" w:ascii="宋体" w:hAnsi="宋体" w:cs="宋体"/>
          <w:color w:val="auto"/>
          <w:szCs w:val="21"/>
          <w:highlight w:val="none"/>
        </w:rPr>
        <w:t>关于变更的范围的约定：</w:t>
      </w:r>
      <w:r>
        <w:rPr>
          <w:color w:val="auto"/>
          <w:spacing w:val="11"/>
          <w:sz w:val="20"/>
          <w:szCs w:val="20"/>
          <w:highlight w:val="none"/>
          <w:u w:val="single" w:color="auto"/>
        </w:rPr>
        <w:t>因设计变更或者现场签证导致变更后的预算超过分项预算或者总预算的</w:t>
      </w:r>
      <w:r>
        <w:rPr>
          <w:color w:val="auto"/>
          <w:spacing w:val="-30"/>
          <w:sz w:val="20"/>
          <w:szCs w:val="20"/>
          <w:highlight w:val="none"/>
          <w:u w:val="single" w:color="auto"/>
        </w:rPr>
        <w:t xml:space="preserve"> </w:t>
      </w:r>
      <w:r>
        <w:rPr>
          <w:color w:val="auto"/>
          <w:spacing w:val="11"/>
          <w:sz w:val="20"/>
          <w:szCs w:val="20"/>
          <w:highlight w:val="none"/>
          <w:u w:val="single" w:color="auto"/>
        </w:rPr>
        <w:t>5%</w:t>
      </w:r>
      <w:r>
        <w:rPr>
          <w:color w:val="auto"/>
          <w:spacing w:val="9"/>
          <w:sz w:val="20"/>
          <w:szCs w:val="20"/>
          <w:highlight w:val="none"/>
          <w:u w:val="single" w:color="auto"/>
        </w:rPr>
        <w:t>以上的，须经发包人审核后实施</w:t>
      </w:r>
      <w:r>
        <w:rPr>
          <w:rFonts w:hint="eastAsia" w:ascii="宋体" w:hAnsi="宋体" w:cs="宋体"/>
          <w:color w:val="auto"/>
          <w:szCs w:val="21"/>
          <w:highlight w:val="none"/>
        </w:rPr>
        <w:t>。</w:t>
      </w:r>
      <w:bookmarkStart w:id="990" w:name="_Toc389065307"/>
      <w:bookmarkStart w:id="991" w:name="_Toc395382544"/>
      <w:bookmarkStart w:id="992" w:name="_Toc406522262"/>
      <w:bookmarkStart w:id="993" w:name="_Toc373478388"/>
      <w:bookmarkStart w:id="994" w:name="_Toc373227741"/>
      <w:r>
        <w:rPr>
          <w:color w:val="auto"/>
          <w:spacing w:val="9"/>
          <w:sz w:val="20"/>
          <w:szCs w:val="20"/>
          <w:highlight w:val="none"/>
        </w:rPr>
        <w:t>发包人可</w:t>
      </w:r>
      <w:r>
        <w:rPr>
          <w:color w:val="auto"/>
          <w:spacing w:val="8"/>
          <w:sz w:val="20"/>
          <w:szCs w:val="20"/>
          <w:highlight w:val="none"/>
        </w:rPr>
        <w:t>以取消部分工作内容的施工。</w:t>
      </w:r>
    </w:p>
    <w:p w14:paraId="5CC6E11E">
      <w:pPr>
        <w:pStyle w:val="246"/>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p>
    <w:p w14:paraId="2B19D465">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95" w:name="_Toc4840"/>
      <w:bookmarkStart w:id="996" w:name="_Toc256000220"/>
      <w:r>
        <w:rPr>
          <w:rFonts w:hint="eastAsia" w:ascii="宋体" w:cs="宋体"/>
          <w:color w:val="auto"/>
          <w:highlight w:val="none"/>
        </w:rPr>
        <w:t>10.3 变更程序</w:t>
      </w:r>
      <w:bookmarkEnd w:id="990"/>
      <w:bookmarkEnd w:id="991"/>
      <w:bookmarkEnd w:id="992"/>
      <w:bookmarkEnd w:id="993"/>
      <w:bookmarkEnd w:id="994"/>
      <w:bookmarkEnd w:id="995"/>
      <w:bookmarkEnd w:id="996"/>
    </w:p>
    <w:p w14:paraId="356EBE07">
      <w:pPr>
        <w:pStyle w:val="246"/>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10.3.2 非国有投资项目：</w:t>
      </w:r>
      <w:r>
        <w:rPr>
          <w:color w:val="auto"/>
          <w:spacing w:val="5"/>
          <w:sz w:val="20"/>
          <w:szCs w:val="20"/>
          <w:highlight w:val="none"/>
          <w:u w:val="single" w:color="auto"/>
        </w:rPr>
        <w:t xml:space="preserve">无 </w:t>
      </w:r>
      <w:r>
        <w:rPr>
          <w:rFonts w:hint="eastAsia" w:ascii="宋体" w:hAnsi="宋体" w:cs="宋体"/>
          <w:color w:val="auto"/>
          <w:szCs w:val="21"/>
          <w:highlight w:val="none"/>
        </w:rPr>
        <w:t>。</w:t>
      </w:r>
    </w:p>
    <w:p w14:paraId="2253173D">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97" w:name="_Toc418518389"/>
      <w:bookmarkStart w:id="998" w:name="_Toc497747221"/>
      <w:bookmarkStart w:id="999" w:name="_Toc403578977"/>
      <w:bookmarkStart w:id="1000" w:name="_Toc418061354"/>
      <w:bookmarkStart w:id="1001" w:name="_Toc418752285"/>
      <w:bookmarkStart w:id="1002" w:name="_Toc256000221"/>
      <w:bookmarkStart w:id="1003" w:name="_Toc522201770"/>
      <w:bookmarkStart w:id="1004" w:name="_Toc497746824"/>
      <w:bookmarkStart w:id="1005" w:name="_Toc373478389"/>
      <w:bookmarkStart w:id="1006" w:name="_Toc373227742"/>
      <w:bookmarkStart w:id="1007" w:name="_Toc418518153"/>
      <w:bookmarkStart w:id="1008" w:name="_Toc1952"/>
      <w:bookmarkStart w:id="1009" w:name="_Toc389065308"/>
      <w:bookmarkStart w:id="1010" w:name="_Toc418751839"/>
      <w:r>
        <w:rPr>
          <w:rFonts w:hint="eastAsia" w:ascii="宋体" w:cs="宋体"/>
          <w:color w:val="auto"/>
          <w:highlight w:val="none"/>
        </w:rPr>
        <w:t>10.4 变更估价</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08867C2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10.4.1 变更估价原则</w:t>
      </w:r>
    </w:p>
    <w:p w14:paraId="529C18FB">
      <w:pPr>
        <w:pStyle w:val="246"/>
        <w:pageBreakBefore w:val="0"/>
        <w:widowControl w:val="0"/>
        <w:kinsoku/>
        <w:wordWrap/>
        <w:overflowPunct/>
        <w:topLinePunct w:val="0"/>
        <w:bidi w:val="0"/>
        <w:snapToGrid/>
        <w:spacing w:line="440" w:lineRule="exact"/>
        <w:ind w:firstLine="426"/>
        <w:textAlignment w:val="auto"/>
        <w:rPr>
          <w:rFonts w:hint="eastAsia" w:ascii="宋体" w:hAnsi="宋体" w:cs="宋体"/>
          <w:color w:val="auto"/>
          <w:szCs w:val="21"/>
          <w:highlight w:val="none"/>
        </w:rPr>
      </w:pPr>
      <w:r>
        <w:rPr>
          <w:color w:val="auto"/>
          <w:spacing w:val="9"/>
          <w:sz w:val="20"/>
          <w:szCs w:val="20"/>
          <w:highlight w:val="none"/>
        </w:rPr>
        <w:t>变更估价原则:</w:t>
      </w:r>
      <w:r>
        <w:rPr>
          <w:color w:val="auto"/>
          <w:spacing w:val="9"/>
          <w:sz w:val="20"/>
          <w:szCs w:val="20"/>
          <w:highlight w:val="none"/>
          <w:u w:val="single" w:color="auto"/>
        </w:rPr>
        <w:t>因设计变更、相关签证引起工程项目、工程量任何变化的，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下浮系数计算，其中材料价格按施工期间的《桂林市建设工程造价信息》相应价格信息进行计算；《桂林市建设工程造价信息》没有相应价格信息的按市场价计算；无定额可套的，根据市场价格协商确定综合价格；对于国有资产投资的项目，新增项目的单价必须经发包人委托的第三方审核机构审定</w:t>
      </w:r>
    </w:p>
    <w:p w14:paraId="26F9FC39">
      <w:pPr>
        <w:pStyle w:val="246"/>
        <w:pageBreakBefore w:val="0"/>
        <w:widowControl w:val="0"/>
        <w:kinsoku/>
        <w:wordWrap/>
        <w:overflowPunct/>
        <w:topLinePunct w:val="0"/>
        <w:bidi w:val="0"/>
        <w:snapToGrid/>
        <w:spacing w:line="440" w:lineRule="exact"/>
        <w:ind w:firstLine="426"/>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关于变更估价的约定: </w:t>
      </w:r>
      <w:r>
        <w:rPr>
          <w:color w:val="auto"/>
          <w:spacing w:val="8"/>
          <w:sz w:val="20"/>
          <w:szCs w:val="20"/>
          <w:highlight w:val="none"/>
          <w:u w:val="single" w:color="auto"/>
        </w:rPr>
        <w:t>（1）投标报价中已有适用于变更工程的综合单价，按已有的综合单</w:t>
      </w:r>
      <w:r>
        <w:rPr>
          <w:color w:val="auto"/>
          <w:spacing w:val="7"/>
          <w:sz w:val="20"/>
          <w:szCs w:val="20"/>
          <w:highlight w:val="none"/>
          <w:u w:val="single" w:color="auto"/>
        </w:rPr>
        <w:t>价，综合单价不随工程量的增减而变化，（2）投标报价中有类似变更工程的综合单价，可参照投标报价中类似的综合单价确定（3）投标报价中没有适用或类似于变更工程的综合单价，则有定额的套定额计算，执行本工程编制招标控制价的参考依据，其中材料价格有信息价的按合同该新增子项实施期间《桂林市建设工程造价信息》的平均值计取，无信息价的，按市场价格由发包人、承包人、发包人代表、发包人委托的造价咨询机构、现场监管代表及监理协商确定材料价，不在下浮范围之内；新增结算综合单价=定额计算的综合单价×（中标的投标报价/招标控制价） ，新增项目无定额可套时， 由发包人、承包人驻现场代表及监理三方协商确定包干价，不在下浮范围之内。暂定价调整方法为：暂定材料价格部分仅调整合同实施期间</w:t>
      </w:r>
      <w:r>
        <w:rPr>
          <w:rFonts w:ascii="宋体" w:hAnsi="宋体" w:eastAsia="宋体" w:cs="宋体"/>
          <w:color w:val="auto"/>
          <w:spacing w:val="9"/>
          <w:sz w:val="20"/>
          <w:szCs w:val="20"/>
          <w:highlight w:val="none"/>
          <w:u w:val="single" w:color="auto"/>
        </w:rPr>
        <w:t>材料市场价与暂定价之间的价差并计相应的规费和增值税，投标书中相应的综合单价不再调整。本工程</w:t>
      </w:r>
      <w:r>
        <w:rPr>
          <w:rFonts w:ascii="宋体" w:hAnsi="宋体" w:eastAsia="宋体" w:cs="宋体"/>
          <w:color w:val="auto"/>
          <w:spacing w:val="10"/>
          <w:sz w:val="20"/>
          <w:szCs w:val="20"/>
          <w:highlight w:val="none"/>
          <w:u w:val="single" w:color="auto"/>
        </w:rPr>
        <w:t>终结算经发包人委托的中介机构审定并经甲乙双方签字确认为准</w:t>
      </w:r>
      <w:r>
        <w:rPr>
          <w:rFonts w:hint="eastAsia" w:ascii="宋体" w:hAnsi="宋体" w:cs="宋体"/>
          <w:color w:val="auto"/>
          <w:szCs w:val="21"/>
          <w:highlight w:val="none"/>
          <w:u w:val="single"/>
        </w:rPr>
        <w:t>。</w:t>
      </w:r>
    </w:p>
    <w:p w14:paraId="0F86A3DC">
      <w:pPr>
        <w:pStyle w:val="247"/>
        <w:ind w:left="0" w:leftChars="0" w:firstLine="400" w:firstLineChars="200"/>
        <w:jc w:val="both"/>
        <w:rPr>
          <w:color w:val="auto"/>
          <w:highlight w:val="none"/>
        </w:rPr>
      </w:pPr>
      <w:r>
        <w:rPr>
          <w:color w:val="auto"/>
          <w:highlight w:val="none"/>
        </w:rPr>
        <w:t>无约定的参照我区现行《建设工程工程量清单计价规范》相关规定执行。</w:t>
      </w:r>
    </w:p>
    <w:p w14:paraId="1D9F74C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011" w:name="_Toc418752286"/>
      <w:bookmarkStart w:id="1012" w:name="_Toc418518154"/>
      <w:bookmarkStart w:id="1013" w:name="_Toc418061355"/>
      <w:bookmarkStart w:id="1014" w:name="_Toc418518390"/>
      <w:bookmarkStart w:id="1015" w:name="_Toc15292"/>
      <w:bookmarkStart w:id="1016" w:name="_Toc403578978"/>
      <w:bookmarkStart w:id="1017" w:name="_Toc522201771"/>
      <w:bookmarkStart w:id="1018" w:name="_Toc497746825"/>
      <w:bookmarkStart w:id="1019" w:name="_Toc373227743"/>
      <w:bookmarkStart w:id="1020" w:name="_Toc256000222"/>
      <w:bookmarkStart w:id="1021" w:name="_Toc373478390"/>
      <w:bookmarkStart w:id="1022" w:name="_Toc418751840"/>
      <w:bookmarkStart w:id="1023" w:name="_Toc497747222"/>
      <w:bookmarkStart w:id="1024" w:name="_Toc389065309"/>
      <w:r>
        <w:rPr>
          <w:rFonts w:hint="eastAsia" w:ascii="宋体" w:cs="宋体"/>
          <w:color w:val="auto"/>
          <w:highlight w:val="none"/>
        </w:rPr>
        <w:t>1</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Start w:id="1025" w:name="_Toc296944536"/>
      <w:bookmarkStart w:id="1026" w:name="_Toc296346698"/>
      <w:bookmarkStart w:id="1027" w:name="_Toc292559907"/>
      <w:bookmarkStart w:id="1028" w:name="_Toc296891025"/>
      <w:bookmarkStart w:id="1029" w:name="_Toc297120497"/>
      <w:bookmarkStart w:id="1030" w:name="_Toc296891237"/>
      <w:bookmarkStart w:id="1031" w:name="_Toc296347196"/>
      <w:bookmarkStart w:id="1032" w:name="_Toc292559402"/>
      <w:bookmarkStart w:id="1033" w:name="_Toc296503197"/>
      <w:bookmarkStart w:id="1034" w:name="_Toc303539150"/>
      <w:bookmarkStart w:id="1035" w:name="_Toc300934993"/>
      <w:bookmarkStart w:id="1036" w:name="_Toc297216203"/>
      <w:bookmarkStart w:id="1037" w:name="_Toc297048383"/>
      <w:bookmarkStart w:id="1038" w:name="_Toc297123544"/>
      <w:bookmarkStart w:id="1039" w:name="_Toc312677503"/>
      <w:bookmarkStart w:id="1040" w:name="_Toc312678029"/>
      <w:bookmarkStart w:id="1041" w:name="_Toc304295570"/>
      <w:r>
        <w:rPr>
          <w:rFonts w:hint="eastAsia" w:ascii="宋体" w:cs="宋体"/>
          <w:color w:val="auto"/>
          <w:highlight w:val="none"/>
        </w:rPr>
        <w:t>0.5 承</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Start w:id="1042" w:name="_Toc292559408"/>
      <w:bookmarkStart w:id="1043" w:name="_Toc297123545"/>
      <w:bookmarkStart w:id="1044" w:name="_Toc296503203"/>
      <w:bookmarkStart w:id="1045" w:name="_Toc296944542"/>
      <w:bookmarkStart w:id="1046" w:name="_Toc297048389"/>
      <w:bookmarkStart w:id="1047" w:name="_Toc303539151"/>
      <w:bookmarkStart w:id="1048" w:name="_Toc297216204"/>
      <w:bookmarkStart w:id="1049" w:name="_Toc300934994"/>
      <w:bookmarkStart w:id="1050" w:name="_Toc297120503"/>
      <w:bookmarkStart w:id="1051" w:name="_Toc296347202"/>
      <w:bookmarkStart w:id="1052" w:name="_Toc296891031"/>
      <w:bookmarkStart w:id="1053" w:name="_Toc296346704"/>
      <w:bookmarkStart w:id="1054" w:name="_Toc296891243"/>
      <w:bookmarkStart w:id="1055" w:name="_Toc292559913"/>
      <w:r>
        <w:rPr>
          <w:rFonts w:hint="eastAsia" w:ascii="宋体" w:cs="宋体"/>
          <w:color w:val="auto"/>
          <w:highlight w:val="none"/>
        </w:rPr>
        <w:t>包人的合理化建议</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14:paraId="7C5EBE1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监理人审查承包人合理化建议的期限：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3FE310C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发包人审批承包人合理化建议的期限：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34ABD61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w:t>
      </w:r>
      <w:bookmarkStart w:id="1056" w:name="_Toc296891244"/>
      <w:bookmarkStart w:id="1057" w:name="_Toc304295571"/>
      <w:bookmarkStart w:id="1058" w:name="_Toc297123546"/>
      <w:bookmarkStart w:id="1059" w:name="_Toc292559914"/>
      <w:bookmarkStart w:id="1060" w:name="_Toc296346705"/>
      <w:bookmarkStart w:id="1061" w:name="_Toc296891032"/>
      <w:bookmarkStart w:id="1062" w:name="_Toc296347203"/>
      <w:bookmarkStart w:id="1063" w:name="_Toc297120504"/>
      <w:bookmarkStart w:id="1064" w:name="_Toc292559409"/>
      <w:bookmarkStart w:id="1065" w:name="_Toc312678030"/>
      <w:bookmarkStart w:id="1066" w:name="_Toc318581175"/>
      <w:bookmarkStart w:id="1067" w:name="_Toc296944543"/>
      <w:bookmarkStart w:id="1068" w:name="_Toc297048390"/>
      <w:bookmarkStart w:id="1069" w:name="_Toc312677504"/>
      <w:bookmarkStart w:id="1070" w:name="_Toc303539152"/>
      <w:bookmarkStart w:id="1071" w:name="_Toc300934995"/>
      <w:bookmarkStart w:id="1072" w:name="_Toc297216205"/>
      <w:bookmarkStart w:id="1073" w:name="_Toc296503204"/>
      <w:r>
        <w:rPr>
          <w:rFonts w:hint="eastAsia" w:ascii="宋体" w:hAnsi="宋体" w:cs="宋体"/>
          <w:color w:val="auto"/>
          <w:szCs w:val="21"/>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14:paraId="771D6AE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074" w:name="_Toc418518155"/>
      <w:bookmarkStart w:id="1075" w:name="_Toc82"/>
      <w:bookmarkStart w:id="1076" w:name="_Toc418751841"/>
      <w:bookmarkStart w:id="1077" w:name="_Toc418061356"/>
      <w:bookmarkStart w:id="1078" w:name="_Toc522201772"/>
      <w:bookmarkStart w:id="1079" w:name="_Toc373478391"/>
      <w:bookmarkStart w:id="1080" w:name="_Toc256000223"/>
      <w:bookmarkStart w:id="1081" w:name="_Toc389065310"/>
      <w:bookmarkStart w:id="1082" w:name="_Toc497746826"/>
      <w:bookmarkStart w:id="1083" w:name="_Toc373227744"/>
      <w:bookmarkStart w:id="1084" w:name="_Toc418518391"/>
      <w:bookmarkStart w:id="1085" w:name="_Toc497747223"/>
      <w:bookmarkStart w:id="1086" w:name="_Toc418752287"/>
      <w:bookmarkStart w:id="1087" w:name="_Toc403578979"/>
      <w:r>
        <w:rPr>
          <w:rFonts w:hint="eastAsia" w:ascii="宋体" w:cs="宋体"/>
          <w:color w:val="auto"/>
          <w:highlight w:val="none"/>
        </w:rPr>
        <w:t>1</w:t>
      </w:r>
      <w:bookmarkStart w:id="1088" w:name="_Toc312677507"/>
      <w:bookmarkStart w:id="1089" w:name="_Toc304295574"/>
      <w:bookmarkStart w:id="1090" w:name="_Toc300934997"/>
      <w:bookmarkStart w:id="1091" w:name="_Toc296503199"/>
      <w:bookmarkStart w:id="1092" w:name="_Toc297048385"/>
      <w:bookmarkStart w:id="1093" w:name="_Toc296944538"/>
      <w:bookmarkStart w:id="1094" w:name="_Toc297216207"/>
      <w:bookmarkStart w:id="1095" w:name="_Toc292559404"/>
      <w:bookmarkStart w:id="1096" w:name="_Toc312678033"/>
      <w:bookmarkStart w:id="1097" w:name="_Toc296891239"/>
      <w:bookmarkStart w:id="1098" w:name="_Toc303539154"/>
      <w:bookmarkStart w:id="1099" w:name="_Toc297123548"/>
      <w:bookmarkStart w:id="1100" w:name="_Toc297120499"/>
      <w:bookmarkStart w:id="1101" w:name="_Toc296891027"/>
      <w:bookmarkStart w:id="1102" w:name="_Toc296347198"/>
      <w:bookmarkStart w:id="1103" w:name="_Toc296346700"/>
      <w:bookmarkStart w:id="1104" w:name="_Toc292559909"/>
      <w:r>
        <w:rPr>
          <w:rFonts w:hint="eastAsia" w:ascii="宋体" w:cs="宋体"/>
          <w:color w:val="auto"/>
          <w:highlight w:val="none"/>
        </w:rPr>
        <w:t>0.7 暂估价</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14:paraId="1042DA5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暂</w:t>
      </w:r>
      <w:bookmarkStart w:id="1105" w:name="_Toc312677508"/>
      <w:bookmarkStart w:id="1106" w:name="_Toc312678034"/>
      <w:bookmarkStart w:id="1107" w:name="_Toc318581176"/>
      <w:r>
        <w:rPr>
          <w:rFonts w:hint="eastAsia" w:ascii="宋体" w:hAnsi="宋体" w:cs="宋体"/>
          <w:color w:val="auto"/>
          <w:kern w:val="0"/>
          <w:szCs w:val="21"/>
          <w:highlight w:val="none"/>
        </w:rPr>
        <w:t>估价材料和工程设备的明细详见已标价工程量清单《</w:t>
      </w:r>
      <w:r>
        <w:rPr>
          <w:rFonts w:hint="eastAsia" w:ascii="宋体" w:hAnsi="宋体" w:cs="宋体"/>
          <w:color w:val="auto"/>
          <w:szCs w:val="21"/>
          <w:highlight w:val="none"/>
        </w:rPr>
        <w:t>材料（工程设备）暂估价格及调整表》</w:t>
      </w:r>
      <w:r>
        <w:rPr>
          <w:rFonts w:hint="eastAsia" w:ascii="宋体" w:hAnsi="宋体" w:cs="宋体"/>
          <w:color w:val="auto"/>
          <w:kern w:val="0"/>
          <w:szCs w:val="21"/>
          <w:highlight w:val="none"/>
        </w:rPr>
        <w:t>（表12-2）和《</w:t>
      </w:r>
      <w:r>
        <w:rPr>
          <w:rFonts w:hint="eastAsia" w:ascii="宋体" w:hAnsi="宋体" w:cs="宋体"/>
          <w:color w:val="auto"/>
          <w:szCs w:val="21"/>
          <w:highlight w:val="none"/>
        </w:rPr>
        <w:t>专业工程暂估价表》（</w:t>
      </w:r>
      <w:r>
        <w:rPr>
          <w:rFonts w:hint="eastAsia" w:ascii="宋体" w:hAnsi="宋体" w:cs="宋体"/>
          <w:color w:val="auto"/>
          <w:kern w:val="0"/>
          <w:szCs w:val="21"/>
          <w:highlight w:val="none"/>
        </w:rPr>
        <w:t>表12-3）。</w:t>
      </w:r>
    </w:p>
    <w:bookmarkEnd w:id="1105"/>
    <w:bookmarkEnd w:id="1106"/>
    <w:bookmarkEnd w:id="1107"/>
    <w:p w14:paraId="28C555F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w:t>
      </w:r>
      <w:bookmarkStart w:id="1108" w:name="_Toc318581177"/>
      <w:bookmarkStart w:id="1109" w:name="_Toc312678035"/>
      <w:bookmarkStart w:id="1110" w:name="_Toc312677509"/>
      <w:r>
        <w:rPr>
          <w:rFonts w:hint="eastAsia" w:ascii="宋体" w:hAnsi="宋体" w:cs="宋体"/>
          <w:color w:val="auto"/>
          <w:szCs w:val="21"/>
          <w:highlight w:val="none"/>
        </w:rPr>
        <w:t>0.7.1 依法必须招标的暂估价项目</w:t>
      </w:r>
    </w:p>
    <w:bookmarkEnd w:id="1108"/>
    <w:bookmarkEnd w:id="1109"/>
    <w:bookmarkEnd w:id="1110"/>
    <w:p w14:paraId="1BE588E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对于依法必须招标的暂估价项目的确认和批准采取第</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双方</w:t>
      </w:r>
      <w:r>
        <w:rPr>
          <w:rFonts w:ascii="宋体" w:hAnsi="宋体" w:eastAsia="宋体" w:cs="宋体"/>
          <w:color w:val="auto"/>
          <w:spacing w:val="8"/>
          <w:sz w:val="20"/>
          <w:szCs w:val="20"/>
          <w:highlight w:val="none"/>
          <w:u w:val="single" w:color="auto"/>
        </w:rPr>
        <w:t>协定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方式确定。</w:t>
      </w:r>
    </w:p>
    <w:p w14:paraId="6E5959EE">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10.7.2 不属于依法必须招标的暂估价项目</w:t>
      </w:r>
    </w:p>
    <w:p w14:paraId="306BC0E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对于不属于依法必须招标的暂估价项目的确认和批准采取第</w:t>
      </w:r>
      <w:r>
        <w:rPr>
          <w:rFonts w:ascii="宋体" w:hAnsi="宋体" w:eastAsia="宋体" w:cs="宋体"/>
          <w:color w:val="auto"/>
          <w:spacing w:val="9"/>
          <w:sz w:val="20"/>
          <w:szCs w:val="20"/>
          <w:highlight w:val="none"/>
          <w:u w:val="single" w:color="auto"/>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种方式确定。</w:t>
      </w:r>
    </w:p>
    <w:p w14:paraId="4D7BBAA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kern w:val="0"/>
          <w:szCs w:val="21"/>
          <w:highlight w:val="none"/>
        </w:rPr>
        <w:t>承包人直接实施的暂估价项目</w:t>
      </w:r>
    </w:p>
    <w:p w14:paraId="0A56E33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承包人直接实施的暂估价项目的约定：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按市场价格由发包人、承包人、发包人代表、发包人委托的造价咨询机构、现场监管代表及监理协商确定材料</w:t>
      </w:r>
      <w:r>
        <w:rPr>
          <w:rFonts w:ascii="宋体" w:hAnsi="宋体" w:eastAsia="宋体" w:cs="宋体"/>
          <w:color w:val="auto"/>
          <w:spacing w:val="8"/>
          <w:sz w:val="20"/>
          <w:szCs w:val="20"/>
          <w:highlight w:val="none"/>
          <w:u w:val="single" w:color="auto"/>
        </w:rPr>
        <w:t>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00EA9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111" w:name="_Toc2243"/>
      <w:bookmarkStart w:id="1112" w:name="_Toc497746827"/>
      <w:bookmarkStart w:id="1113" w:name="_Toc418061357"/>
      <w:bookmarkStart w:id="1114" w:name="_Toc522201773"/>
      <w:bookmarkStart w:id="1115" w:name="_Toc389065311"/>
      <w:bookmarkStart w:id="1116" w:name="_Toc418752288"/>
      <w:bookmarkStart w:id="1117" w:name="_Toc373478392"/>
      <w:bookmarkStart w:id="1118" w:name="_Toc403578980"/>
      <w:bookmarkStart w:id="1119" w:name="_Toc373227745"/>
      <w:bookmarkStart w:id="1120" w:name="_Toc497747224"/>
      <w:bookmarkStart w:id="1121" w:name="_Toc418518392"/>
      <w:bookmarkStart w:id="1122" w:name="_Toc418751842"/>
      <w:bookmarkStart w:id="1123" w:name="_Toc256000224"/>
      <w:bookmarkStart w:id="1124" w:name="_Toc418518156"/>
      <w:r>
        <w:rPr>
          <w:rFonts w:hint="eastAsia" w:ascii="宋体" w:cs="宋体"/>
          <w:color w:val="auto"/>
          <w:highlight w:val="none"/>
        </w:rPr>
        <w:t>10.8 暂列金额</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53A787BE">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合同当事人关于暂列金额使用的约定：</w:t>
      </w:r>
      <w:r>
        <w:rPr>
          <w:rFonts w:ascii="宋体" w:hAnsi="宋体" w:eastAsia="宋体" w:cs="宋体"/>
          <w:color w:val="auto"/>
          <w:spacing w:val="9"/>
          <w:sz w:val="20"/>
          <w:szCs w:val="20"/>
          <w:highlight w:val="none"/>
          <w:u w:val="single" w:color="auto"/>
        </w:rPr>
        <w:t>按通用条款</w:t>
      </w:r>
      <w:r>
        <w:rPr>
          <w:rFonts w:ascii="宋体" w:hAnsi="宋体" w:eastAsia="宋体" w:cs="宋体"/>
          <w:color w:val="auto"/>
          <w:spacing w:val="8"/>
          <w:sz w:val="20"/>
          <w:szCs w:val="20"/>
          <w:highlight w:val="none"/>
          <w:u w:val="single" w:color="auto"/>
        </w:rPr>
        <w:t>执行</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56332642">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125" w:name="_Toc16900"/>
      <w:bookmarkStart w:id="1126" w:name="_Toc418752289"/>
      <w:bookmarkStart w:id="1127" w:name="_Toc351203643"/>
      <w:bookmarkStart w:id="1128" w:name="_Toc389065312"/>
      <w:bookmarkStart w:id="1129" w:name="_Toc522201774"/>
      <w:bookmarkStart w:id="1130" w:name="_Toc497747225"/>
      <w:bookmarkStart w:id="1131" w:name="_Toc418751843"/>
      <w:bookmarkStart w:id="1132" w:name="_Toc497746828"/>
      <w:bookmarkStart w:id="1133" w:name="_Toc403578981"/>
      <w:bookmarkStart w:id="1134" w:name="_Toc418518157"/>
      <w:bookmarkStart w:id="1135" w:name="_Toc418518393"/>
      <w:bookmarkStart w:id="1136" w:name="_Toc373227746"/>
      <w:bookmarkStart w:id="1137" w:name="_Toc373478393"/>
      <w:bookmarkStart w:id="1138" w:name="_Toc256000225"/>
      <w:bookmarkStart w:id="1139" w:name="_Toc418061358"/>
      <w:r>
        <w:rPr>
          <w:rFonts w:hint="eastAsia" w:ascii="宋体" w:cs="宋体"/>
          <w:color w:val="auto"/>
          <w:highlight w:val="none"/>
        </w:rPr>
        <w:t>11. 价格调整</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4BB0625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140" w:name="_Toc256000226"/>
      <w:bookmarkStart w:id="1141" w:name="_Toc497747226"/>
      <w:bookmarkStart w:id="1142" w:name="_Toc522201775"/>
      <w:bookmarkStart w:id="1143" w:name="_Toc418061359"/>
      <w:bookmarkStart w:id="1144" w:name="_Toc497746829"/>
      <w:bookmarkStart w:id="1145" w:name="_Toc24306"/>
      <w:bookmarkStart w:id="1146" w:name="_Toc418751844"/>
      <w:bookmarkStart w:id="1147" w:name="_Toc373227747"/>
      <w:bookmarkStart w:id="1148" w:name="_Toc418752290"/>
      <w:bookmarkStart w:id="1149" w:name="_Toc403578982"/>
      <w:bookmarkStart w:id="1150" w:name="_Toc418518394"/>
      <w:bookmarkStart w:id="1151" w:name="_Toc418518158"/>
      <w:bookmarkStart w:id="1152" w:name="_Toc389065313"/>
      <w:bookmarkStart w:id="1153" w:name="_Toc373478394"/>
      <w:bookmarkStart w:id="1154" w:name="_Toc312678039"/>
      <w:bookmarkStart w:id="1155" w:name="_Toc296346702"/>
      <w:bookmarkStart w:id="1156" w:name="_Toc296891029"/>
      <w:bookmarkStart w:id="1157" w:name="_Toc297048387"/>
      <w:bookmarkStart w:id="1158" w:name="_Toc300935000"/>
      <w:bookmarkStart w:id="1159" w:name="_Toc303539157"/>
      <w:bookmarkStart w:id="1160" w:name="_Toc297123550"/>
      <w:bookmarkStart w:id="1161" w:name="_Toc292559406"/>
      <w:bookmarkStart w:id="1162" w:name="_Toc296944540"/>
      <w:bookmarkStart w:id="1163" w:name="_Toc292559911"/>
      <w:bookmarkStart w:id="1164" w:name="_Toc296347200"/>
      <w:bookmarkStart w:id="1165" w:name="_Toc297120501"/>
      <w:bookmarkStart w:id="1166" w:name="_Toc296891241"/>
      <w:bookmarkStart w:id="1167" w:name="_Toc304295577"/>
      <w:bookmarkStart w:id="1168" w:name="_Toc296503201"/>
      <w:bookmarkStart w:id="1169" w:name="_Toc297216209"/>
      <w:r>
        <w:rPr>
          <w:rFonts w:hint="eastAsia" w:ascii="宋体" w:cs="宋体"/>
          <w:color w:val="auto"/>
          <w:highlight w:val="none"/>
        </w:rPr>
        <w:t>11.1 市场价格波动引起的调整</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14:paraId="1137B15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市场价格波动是否调整合同价格的约定：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不调整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952"/>
    <w:bookmarkEnd w:id="953"/>
    <w:bookmarkEnd w:id="954"/>
    <w:bookmarkEnd w:id="955"/>
    <w:bookmarkEnd w:id="956"/>
    <w:bookmarkEnd w:id="957"/>
    <w:p w14:paraId="71B4EE05">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170" w:name="_Toc296944544"/>
      <w:bookmarkStart w:id="1171" w:name="_Toc292559410"/>
      <w:bookmarkStart w:id="1172" w:name="_Toc297048391"/>
      <w:bookmarkStart w:id="1173" w:name="_Toc296891033"/>
      <w:bookmarkStart w:id="1174" w:name="_Toc296347204"/>
      <w:bookmarkStart w:id="1175" w:name="_Toc296891245"/>
      <w:bookmarkStart w:id="1176" w:name="_Toc292559915"/>
      <w:bookmarkStart w:id="1177" w:name="_Toc297120505"/>
      <w:bookmarkStart w:id="1178" w:name="_Toc296503205"/>
      <w:bookmarkStart w:id="1179" w:name="_Toc296346706"/>
      <w:bookmarkStart w:id="1180" w:name="_Toc351203644"/>
      <w:bookmarkStart w:id="1181" w:name="_Toc418518395"/>
      <w:bookmarkStart w:id="1182" w:name="_Toc418518159"/>
      <w:bookmarkStart w:id="1183" w:name="_Toc11465"/>
      <w:bookmarkStart w:id="1184" w:name="_Toc497747227"/>
      <w:bookmarkStart w:id="1185" w:name="_Toc418751845"/>
      <w:bookmarkStart w:id="1186" w:name="_Toc256000227"/>
      <w:bookmarkStart w:id="1187" w:name="_Toc418061360"/>
      <w:bookmarkStart w:id="1188" w:name="_Toc522201776"/>
      <w:bookmarkStart w:id="1189" w:name="_Toc497746830"/>
      <w:bookmarkStart w:id="1190" w:name="_Toc403578983"/>
      <w:bookmarkStart w:id="1191" w:name="_Toc373478395"/>
      <w:bookmarkStart w:id="1192" w:name="_Toc373227748"/>
      <w:bookmarkStart w:id="1193" w:name="_Toc418752291"/>
      <w:bookmarkStart w:id="1194" w:name="_Toc312678040"/>
      <w:bookmarkStart w:id="1195" w:name="_Toc297123552"/>
      <w:bookmarkStart w:id="1196" w:name="_Toc303539159"/>
      <w:bookmarkStart w:id="1197" w:name="_Toc300935002"/>
      <w:bookmarkStart w:id="1198" w:name="_Toc297216211"/>
      <w:bookmarkStart w:id="1199" w:name="_Toc304295579"/>
      <w:r>
        <w:rPr>
          <w:rFonts w:hint="eastAsia" w:ascii="宋体" w:cs="宋体"/>
          <w:color w:val="auto"/>
          <w:highlight w:val="none"/>
        </w:rPr>
        <w:t xml:space="preserve">12. </w:t>
      </w:r>
      <w:bookmarkEnd w:id="1170"/>
      <w:bookmarkEnd w:id="1171"/>
      <w:bookmarkEnd w:id="1172"/>
      <w:bookmarkEnd w:id="1173"/>
      <w:bookmarkEnd w:id="1174"/>
      <w:bookmarkEnd w:id="1175"/>
      <w:bookmarkEnd w:id="1176"/>
      <w:bookmarkEnd w:id="1177"/>
      <w:bookmarkEnd w:id="1178"/>
      <w:bookmarkEnd w:id="1179"/>
      <w:r>
        <w:rPr>
          <w:rFonts w:hint="eastAsia" w:ascii="宋体" w:cs="宋体"/>
          <w:color w:val="auto"/>
          <w:highlight w:val="none"/>
        </w:rPr>
        <w:t>合同价格、计量与支付</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bookmarkEnd w:id="1194"/>
    <w:bookmarkEnd w:id="1195"/>
    <w:bookmarkEnd w:id="1196"/>
    <w:bookmarkEnd w:id="1197"/>
    <w:bookmarkEnd w:id="1198"/>
    <w:bookmarkEnd w:id="1199"/>
    <w:p w14:paraId="57991CD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00" w:name="_Toc267251461"/>
      <w:bookmarkStart w:id="1201" w:name="_Toc292559916"/>
      <w:bookmarkStart w:id="1202" w:name="_Toc292559411"/>
      <w:bookmarkStart w:id="1203" w:name="_Toc296891246"/>
      <w:bookmarkStart w:id="1204" w:name="_Toc296346707"/>
      <w:bookmarkStart w:id="1205" w:name="_Toc296891034"/>
      <w:bookmarkStart w:id="1206" w:name="_Toc296503206"/>
      <w:bookmarkStart w:id="1207" w:name="_Toc296944545"/>
      <w:bookmarkStart w:id="1208" w:name="_Toc297120506"/>
      <w:bookmarkStart w:id="1209" w:name="_Toc296347205"/>
      <w:bookmarkStart w:id="1210" w:name="_Toc297048392"/>
      <w:bookmarkStart w:id="1211" w:name="_Toc522201777"/>
      <w:bookmarkStart w:id="1212" w:name="_Toc389065314"/>
      <w:bookmarkStart w:id="1213" w:name="_Toc418518160"/>
      <w:bookmarkStart w:id="1214" w:name="_Toc373478396"/>
      <w:bookmarkStart w:id="1215" w:name="_Toc418061361"/>
      <w:bookmarkStart w:id="1216" w:name="_Toc373227749"/>
      <w:bookmarkStart w:id="1217" w:name="_Toc497747228"/>
      <w:bookmarkStart w:id="1218" w:name="_Toc418752292"/>
      <w:bookmarkStart w:id="1219" w:name="_Toc6484"/>
      <w:bookmarkStart w:id="1220" w:name="_Toc418751846"/>
      <w:bookmarkStart w:id="1221" w:name="_Toc256000228"/>
      <w:bookmarkStart w:id="1222" w:name="_Toc403578984"/>
      <w:bookmarkStart w:id="1223" w:name="_Toc418518396"/>
      <w:bookmarkStart w:id="1224" w:name="_Toc497746831"/>
      <w:bookmarkStart w:id="1225" w:name="_Toc297123553"/>
      <w:bookmarkStart w:id="1226" w:name="_Toc297216212"/>
      <w:bookmarkStart w:id="1227" w:name="_Toc303539160"/>
      <w:bookmarkStart w:id="1228" w:name="_Toc300935003"/>
      <w:bookmarkStart w:id="1229" w:name="_Toc312678041"/>
      <w:bookmarkStart w:id="1230" w:name="_Toc304295580"/>
      <w:r>
        <w:rPr>
          <w:rFonts w:hint="eastAsia" w:ascii="宋体" w:cs="宋体"/>
          <w:color w:val="auto"/>
          <w:highlight w:val="none"/>
        </w:rPr>
        <w:t>12.1 合</w:t>
      </w:r>
      <w:bookmarkEnd w:id="1200"/>
      <w:bookmarkEnd w:id="1201"/>
      <w:bookmarkEnd w:id="1202"/>
      <w:r>
        <w:rPr>
          <w:rFonts w:hint="eastAsia" w:ascii="宋体" w:cs="宋体"/>
          <w:color w:val="auto"/>
          <w:highlight w:val="none"/>
        </w:rPr>
        <w:t>同价</w:t>
      </w:r>
      <w:bookmarkEnd w:id="1203"/>
      <w:bookmarkEnd w:id="1204"/>
      <w:bookmarkEnd w:id="1205"/>
      <w:bookmarkEnd w:id="1206"/>
      <w:bookmarkEnd w:id="1207"/>
      <w:bookmarkEnd w:id="1208"/>
      <w:bookmarkEnd w:id="1209"/>
      <w:bookmarkEnd w:id="1210"/>
      <w:r>
        <w:rPr>
          <w:rFonts w:hint="eastAsia" w:ascii="宋体" w:cs="宋体"/>
          <w:color w:val="auto"/>
          <w:highlight w:val="none"/>
        </w:rPr>
        <w:t>格形式</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bookmarkEnd w:id="1225"/>
    <w:bookmarkEnd w:id="1226"/>
    <w:bookmarkEnd w:id="1227"/>
    <w:bookmarkEnd w:id="1228"/>
    <w:bookmarkEnd w:id="1229"/>
    <w:bookmarkEnd w:id="1230"/>
    <w:p w14:paraId="5D9F3BC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231" w:name="_Toc373478397"/>
      <w:bookmarkStart w:id="1232" w:name="_Toc373227750"/>
      <w:bookmarkStart w:id="1233" w:name="_Toc389065315"/>
      <w:bookmarkStart w:id="1234" w:name="_Toc304295581"/>
      <w:bookmarkStart w:id="1235" w:name="_Toc312678042"/>
      <w:bookmarkStart w:id="1236" w:name="_Toc297216213"/>
      <w:bookmarkStart w:id="1237" w:name="_Toc300935004"/>
      <w:bookmarkStart w:id="1238" w:name="_Toc297123554"/>
      <w:bookmarkStart w:id="1239" w:name="_Toc303539161"/>
      <w:bookmarkStart w:id="1240" w:name="_Toc296503207"/>
      <w:bookmarkStart w:id="1241" w:name="_Toc296891247"/>
      <w:bookmarkStart w:id="1242" w:name="_Toc296944546"/>
      <w:bookmarkStart w:id="1243" w:name="_Toc292559412"/>
      <w:bookmarkStart w:id="1244" w:name="_Toc296891035"/>
      <w:bookmarkStart w:id="1245" w:name="_Toc296347206"/>
      <w:bookmarkStart w:id="1246" w:name="_Toc297120507"/>
      <w:bookmarkStart w:id="1247" w:name="_Toc292559917"/>
      <w:bookmarkStart w:id="1248" w:name="_Toc297048393"/>
      <w:bookmarkStart w:id="1249" w:name="_Toc296346708"/>
      <w:r>
        <w:rPr>
          <w:rFonts w:hint="eastAsia" w:ascii="宋体" w:hAnsi="宋体" w:cs="宋体"/>
          <w:color w:val="auto"/>
          <w:szCs w:val="21"/>
          <w:highlight w:val="none"/>
        </w:rPr>
        <w:t>（1）单价合同。</w:t>
      </w:r>
    </w:p>
    <w:p w14:paraId="00025EB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本合同价款采用</w:t>
      </w:r>
      <w:r>
        <w:rPr>
          <w:rFonts w:hint="eastAsia" w:ascii="宋体" w:hAnsi="宋体" w:cs="宋体"/>
          <w:color w:val="auto"/>
          <w:szCs w:val="21"/>
          <w:highlight w:val="none"/>
          <w:u w:val="single"/>
        </w:rPr>
        <w:t>固定综合单价方式</w:t>
      </w:r>
      <w:r>
        <w:rPr>
          <w:rFonts w:hint="eastAsia" w:ascii="宋体" w:hAnsi="宋体" w:cs="宋体"/>
          <w:color w:val="auto"/>
          <w:szCs w:val="21"/>
          <w:highlight w:val="none"/>
        </w:rPr>
        <w:t>确定。</w:t>
      </w:r>
    </w:p>
    <w:p w14:paraId="0D6DC9F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综合单价包含的风险范围：</w:t>
      </w:r>
      <w:r>
        <w:rPr>
          <w:rFonts w:ascii="宋体" w:hAnsi="宋体" w:eastAsia="宋体" w:cs="宋体"/>
          <w:color w:val="auto"/>
          <w:spacing w:val="9"/>
          <w:sz w:val="20"/>
          <w:szCs w:val="20"/>
          <w:highlight w:val="none"/>
          <w:u w:val="single" w:color="auto"/>
        </w:rPr>
        <w:t>除工程变更、政策性调整、《承包人提供主要材料和设备一览表》约定的</w:t>
      </w:r>
      <w:r>
        <w:rPr>
          <w:rFonts w:ascii="宋体" w:hAnsi="宋体" w:eastAsia="宋体" w:cs="宋体"/>
          <w:color w:val="auto"/>
          <w:spacing w:val="10"/>
          <w:sz w:val="20"/>
          <w:szCs w:val="20"/>
          <w:highlight w:val="none"/>
          <w:u w:val="single" w:color="auto"/>
        </w:rPr>
        <w:t>材料、设备价格变动风险以外因素</w:t>
      </w:r>
      <w:r>
        <w:rPr>
          <w:rFonts w:hint="eastAsia" w:ascii="宋体" w:hAnsi="宋体" w:cs="宋体"/>
          <w:color w:val="auto"/>
          <w:szCs w:val="21"/>
          <w:highlight w:val="none"/>
          <w:u w:val="single"/>
        </w:rPr>
        <w:t>。</w:t>
      </w:r>
    </w:p>
    <w:p w14:paraId="5F5CA8D6">
      <w:pPr>
        <w:pStyle w:val="254"/>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风险范围以外合同价格的调整方法：</w:t>
      </w:r>
    </w:p>
    <w:p w14:paraId="246097FE">
      <w:pPr>
        <w:pStyle w:val="254"/>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①工程变更：按10.4.1变更估价原则的约定调整。</w:t>
      </w:r>
    </w:p>
    <w:p w14:paraId="55964D15">
      <w:pPr>
        <w:pStyle w:val="254"/>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②政策性调整：按自治区建设行政主管部门颁布的文件执行。</w:t>
      </w:r>
    </w:p>
    <w:p w14:paraId="2094A744">
      <w:pPr>
        <w:pStyle w:val="254"/>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③材料、设备价格变动风险：按11.1的约定调整。</w:t>
      </w:r>
    </w:p>
    <w:p w14:paraId="497F90A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④其它：</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w:t>
      </w:r>
      <w:r>
        <w:rPr>
          <w:rFonts w:ascii="宋体" w:hAnsi="宋体" w:eastAsia="宋体" w:cs="宋体"/>
          <w:color w:val="auto"/>
          <w:spacing w:val="5"/>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FCBC78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（2）总价合同。</w:t>
      </w:r>
    </w:p>
    <w:p w14:paraId="4AC01AF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632DA7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3D143B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8664E4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50" w:name="_Toc418518161"/>
      <w:bookmarkStart w:id="1251" w:name="_Toc418061362"/>
      <w:bookmarkStart w:id="1252" w:name="_Toc418518397"/>
      <w:bookmarkStart w:id="1253" w:name="_Toc522201778"/>
      <w:bookmarkStart w:id="1254" w:name="_Toc256000229"/>
      <w:bookmarkStart w:id="1255" w:name="_Toc497746832"/>
      <w:bookmarkStart w:id="1256" w:name="_Toc418751847"/>
      <w:bookmarkStart w:id="1257" w:name="_Toc418752293"/>
      <w:bookmarkStart w:id="1258" w:name="_Toc17845"/>
      <w:bookmarkStart w:id="1259" w:name="_Toc403578985"/>
      <w:bookmarkStart w:id="1260" w:name="_Toc497747229"/>
      <w:r>
        <w:rPr>
          <w:rFonts w:hint="eastAsia" w:ascii="宋体" w:cs="宋体"/>
          <w:color w:val="auto"/>
          <w:highlight w:val="none"/>
        </w:rPr>
        <w:t>12.2 预付款</w:t>
      </w:r>
      <w:bookmarkEnd w:id="1231"/>
      <w:bookmarkEnd w:id="1232"/>
      <w:bookmarkEnd w:id="1233"/>
      <w:bookmarkEnd w:id="1250"/>
      <w:bookmarkEnd w:id="1251"/>
      <w:bookmarkEnd w:id="1252"/>
      <w:bookmarkEnd w:id="1253"/>
      <w:bookmarkEnd w:id="1254"/>
      <w:bookmarkEnd w:id="1255"/>
      <w:bookmarkEnd w:id="1256"/>
      <w:bookmarkEnd w:id="1257"/>
      <w:bookmarkEnd w:id="1258"/>
      <w:bookmarkEnd w:id="1259"/>
      <w:bookmarkEnd w:id="1260"/>
    </w:p>
    <w:bookmarkEnd w:id="1234"/>
    <w:bookmarkEnd w:id="1235"/>
    <w:bookmarkEnd w:id="1236"/>
    <w:bookmarkEnd w:id="1237"/>
    <w:bookmarkEnd w:id="1238"/>
    <w:bookmarkEnd w:id="1239"/>
    <w:p w14:paraId="5656ACC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12.2.1 预付款的支付</w:t>
      </w:r>
    </w:p>
    <w:p w14:paraId="3B4B634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预付款支付比例或金额：</w:t>
      </w:r>
      <w:r>
        <w:rPr>
          <w:rFonts w:ascii="宋体" w:hAnsi="宋体" w:eastAsia="宋体" w:cs="宋体"/>
          <w:color w:val="auto"/>
          <w:spacing w:val="8"/>
          <w:sz w:val="20"/>
          <w:szCs w:val="20"/>
          <w:highlight w:val="none"/>
          <w:u w:val="single" w:color="auto"/>
        </w:rPr>
        <w:t>无预付款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420CFB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预付款支付期限：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D8ED19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预付款扣回的方式：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19782C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12.2.2 预付款担保</w:t>
      </w:r>
    </w:p>
    <w:p w14:paraId="546D5E6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承包人提交预付款担保的期限：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BBA900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预付款担保的形式为：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737CE1B">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预付款担保格式见合同附件9。</w:t>
      </w:r>
    </w:p>
    <w:bookmarkEnd w:id="1240"/>
    <w:bookmarkEnd w:id="1241"/>
    <w:bookmarkEnd w:id="1242"/>
    <w:bookmarkEnd w:id="1243"/>
    <w:bookmarkEnd w:id="1244"/>
    <w:bookmarkEnd w:id="1245"/>
    <w:bookmarkEnd w:id="1246"/>
    <w:bookmarkEnd w:id="1247"/>
    <w:bookmarkEnd w:id="1248"/>
    <w:bookmarkEnd w:id="1249"/>
    <w:p w14:paraId="17CD67B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61" w:name="_Toc256000230"/>
      <w:bookmarkStart w:id="1262" w:name="_Toc389065316"/>
      <w:bookmarkStart w:id="1263" w:name="_Toc373478398"/>
      <w:bookmarkStart w:id="1264" w:name="_Toc373227751"/>
      <w:bookmarkStart w:id="1265" w:name="_Toc418061363"/>
      <w:bookmarkStart w:id="1266" w:name="_Toc403578986"/>
      <w:bookmarkStart w:id="1267" w:name="_Toc497746833"/>
      <w:bookmarkStart w:id="1268" w:name="_Toc418518162"/>
      <w:bookmarkStart w:id="1269" w:name="_Toc418751848"/>
      <w:bookmarkStart w:id="1270" w:name="_Toc418752294"/>
      <w:bookmarkStart w:id="1271" w:name="_Toc497747230"/>
      <w:bookmarkStart w:id="1272" w:name="_Toc418518398"/>
      <w:bookmarkStart w:id="1273" w:name="_Toc522201779"/>
      <w:bookmarkStart w:id="1274" w:name="_Toc19963"/>
      <w:r>
        <w:rPr>
          <w:rFonts w:hint="eastAsia" w:ascii="宋体" w:cs="宋体"/>
          <w:color w:val="auto"/>
          <w:highlight w:val="none"/>
        </w:rPr>
        <w:t>12.3 计量</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1D8BA50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275" w:name="_Toc373478399"/>
      <w:bookmarkStart w:id="1276" w:name="_Toc497746834"/>
      <w:bookmarkStart w:id="1277" w:name="_Toc418752295"/>
      <w:bookmarkStart w:id="1278" w:name="_Toc418518163"/>
      <w:bookmarkStart w:id="1279" w:name="_Toc418751849"/>
      <w:bookmarkStart w:id="1280" w:name="_Toc389065317"/>
      <w:bookmarkStart w:id="1281" w:name="_Toc418518399"/>
      <w:bookmarkStart w:id="1282" w:name="_Toc403578987"/>
      <w:bookmarkStart w:id="1283" w:name="_Toc418061364"/>
      <w:bookmarkStart w:id="1284" w:name="_Toc497747231"/>
      <w:bookmarkStart w:id="1285" w:name="_Toc373227752"/>
      <w:r>
        <w:rPr>
          <w:rFonts w:hint="eastAsia" w:ascii="宋体" w:hAnsi="宋体" w:cs="宋体"/>
          <w:color w:val="auto"/>
          <w:szCs w:val="21"/>
          <w:highlight w:val="none"/>
        </w:rPr>
        <w:t xml:space="preserve">12.3.1 计量原则 </w:t>
      </w:r>
    </w:p>
    <w:p w14:paraId="41CF8CD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工程量计算规则：</w:t>
      </w:r>
      <w:r>
        <w:rPr>
          <w:rFonts w:hint="eastAsia" w:ascii="宋体" w:hAnsi="宋体" w:cs="宋体"/>
          <w:color w:val="auto"/>
          <w:szCs w:val="21"/>
          <w:highlight w:val="none"/>
          <w:u w:val="single"/>
        </w:rPr>
        <w:t>工程的计量均以《建设工程工程量清单计价规范广西壮族自治区实施细则》 (修订本) (GB50854～50862-2013)及其广西实施细则、本工程补充项目清单为准。</w:t>
      </w:r>
      <w:r>
        <w:rPr>
          <w:rFonts w:hint="eastAsia" w:ascii="宋体" w:hAnsi="宋体" w:cs="宋体"/>
          <w:color w:val="auto"/>
          <w:szCs w:val="21"/>
          <w:highlight w:val="none"/>
        </w:rPr>
        <w:t xml:space="preserve"> </w:t>
      </w:r>
    </w:p>
    <w:p w14:paraId="7138A98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12.3.2 计量周期 </w:t>
      </w:r>
    </w:p>
    <w:p w14:paraId="50034E6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w:t>
      </w:r>
      <w:r>
        <w:rPr>
          <w:rFonts w:ascii="宋体" w:hAnsi="宋体" w:eastAsia="宋体" w:cs="宋体"/>
          <w:color w:val="auto"/>
          <w:spacing w:val="10"/>
          <w:sz w:val="20"/>
          <w:szCs w:val="20"/>
          <w:highlight w:val="none"/>
          <w:u w:val="single" w:color="auto"/>
        </w:rPr>
        <w:t>本合同的计量周期为月，每月</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10"/>
          <w:sz w:val="20"/>
          <w:szCs w:val="20"/>
          <w:highlight w:val="none"/>
          <w:u w:val="single" w:color="auto"/>
        </w:rPr>
        <w:t>25 日为当月计量截止日</w:t>
      </w:r>
      <w:r>
        <w:rPr>
          <w:rFonts w:ascii="宋体" w:hAnsi="宋体" w:eastAsia="宋体" w:cs="宋体"/>
          <w:color w:val="auto"/>
          <w:spacing w:val="9"/>
          <w:sz w:val="20"/>
          <w:szCs w:val="20"/>
          <w:highlight w:val="none"/>
          <w:u w:val="single" w:color="auto"/>
        </w:rPr>
        <w:t>期（不含当日）和下月</w:t>
      </w:r>
      <w:r>
        <w:rPr>
          <w:rFonts w:ascii="宋体" w:hAnsi="宋体" w:eastAsia="宋体" w:cs="宋体"/>
          <w:color w:val="auto"/>
          <w:spacing w:val="10"/>
          <w:sz w:val="20"/>
          <w:szCs w:val="20"/>
          <w:highlight w:val="none"/>
          <w:u w:val="single" w:color="auto"/>
        </w:rPr>
        <w:t>计量起始日期（含当日）</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757B7B6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12.3.3 单价合同的计量 </w:t>
      </w:r>
    </w:p>
    <w:p w14:paraId="26EB4BF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按实际并根据工程量计算规则</w:t>
      </w:r>
      <w:r>
        <w:rPr>
          <w:rFonts w:ascii="宋体" w:hAnsi="宋体" w:eastAsia="宋体" w:cs="宋体"/>
          <w:color w:val="auto"/>
          <w:spacing w:val="8"/>
          <w:sz w:val="20"/>
          <w:szCs w:val="20"/>
          <w:highlight w:val="none"/>
          <w:u w:val="single" w:color="auto"/>
        </w:rPr>
        <w:t xml:space="preserve">计算的完成量 </w:t>
      </w:r>
      <w:r>
        <w:rPr>
          <w:rFonts w:hint="eastAsia" w:ascii="宋体" w:hAnsi="宋体" w:cs="宋体"/>
          <w:color w:val="auto"/>
          <w:szCs w:val="21"/>
          <w:highlight w:val="none"/>
        </w:rPr>
        <w:t xml:space="preserve">。 </w:t>
      </w:r>
    </w:p>
    <w:p w14:paraId="427E15E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12.3.4 总价合同的计量 </w:t>
      </w:r>
    </w:p>
    <w:p w14:paraId="59C2B92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50DF99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12.3.5 总价合同采用支付分解表计量支付的，是否适用第 12.3.4 项〔总价合同的计量〕约定进行计量：</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 xml:space="preserve">。 </w:t>
      </w:r>
    </w:p>
    <w:p w14:paraId="76A28E2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12.3.6 其他价格形式合同的计量 </w:t>
      </w:r>
    </w:p>
    <w:p w14:paraId="70A859E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 xml:space="preserve">。 </w:t>
      </w:r>
    </w:p>
    <w:p w14:paraId="2B91C7D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 工程进度款支付</w:t>
      </w:r>
      <w:bookmarkEnd w:id="1275"/>
      <w:bookmarkEnd w:id="1276"/>
      <w:bookmarkEnd w:id="1277"/>
      <w:bookmarkEnd w:id="1278"/>
      <w:bookmarkEnd w:id="1279"/>
      <w:bookmarkEnd w:id="1280"/>
      <w:bookmarkEnd w:id="1281"/>
      <w:bookmarkEnd w:id="1282"/>
      <w:bookmarkEnd w:id="1283"/>
      <w:bookmarkEnd w:id="1284"/>
      <w:bookmarkEnd w:id="1285"/>
    </w:p>
    <w:p w14:paraId="13F347B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286" w:name="_Toc292559416"/>
      <w:bookmarkStart w:id="1287" w:name="_Toc292559921"/>
      <w:bookmarkStart w:id="1288" w:name="_Toc297216215"/>
      <w:bookmarkStart w:id="1289" w:name="_Toc296891251"/>
      <w:bookmarkStart w:id="1290" w:name="_Toc300935006"/>
      <w:bookmarkStart w:id="1291" w:name="_Toc296944550"/>
      <w:bookmarkStart w:id="1292" w:name="_Toc296347210"/>
      <w:bookmarkStart w:id="1293" w:name="_Toc297048397"/>
      <w:bookmarkStart w:id="1294" w:name="_Toc297120511"/>
      <w:bookmarkStart w:id="1295" w:name="_Toc296346712"/>
      <w:bookmarkStart w:id="1296" w:name="_Toc296503211"/>
      <w:bookmarkStart w:id="1297" w:name="_Toc303539163"/>
      <w:bookmarkStart w:id="1298" w:name="_Toc297123556"/>
      <w:bookmarkStart w:id="1299" w:name="_Toc296891039"/>
      <w:r>
        <w:rPr>
          <w:rFonts w:hint="eastAsia" w:ascii="宋体" w:hAnsi="宋体" w:cs="宋体"/>
          <w:color w:val="auto"/>
          <w:szCs w:val="21"/>
          <w:highlight w:val="none"/>
        </w:rPr>
        <w:t>12.4.1 付款周期</w:t>
      </w:r>
    </w:p>
    <w:p w14:paraId="1CCB5278">
      <w:pPr>
        <w:pStyle w:val="246"/>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工程款支付方式：发包人以银行转账的方式将所有工程款转入承包人在本合同中指定的开户银行及账号内。</w:t>
      </w:r>
    </w:p>
    <w:p w14:paraId="3EC45575">
      <w:pPr>
        <w:pStyle w:val="246"/>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u w:val="single"/>
        </w:rPr>
      </w:pPr>
      <w:r>
        <w:rPr>
          <w:rFonts w:hint="eastAsia" w:ascii="宋体" w:hAnsi="宋体" w:cs="宋体"/>
          <w:b/>
          <w:bCs/>
          <w:color w:val="auto"/>
          <w:szCs w:val="21"/>
          <w:highlight w:val="none"/>
          <w:u w:val="single"/>
        </w:rPr>
        <w:t>关于付款周期的约定：主要材料到场且工程量完工 80%以上(附经业主审定认可的完工工程量清单)</w:t>
      </w:r>
    </w:p>
    <w:p w14:paraId="1318C22A">
      <w:pPr>
        <w:pStyle w:val="246"/>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u w:val="single"/>
        </w:rPr>
      </w:pPr>
      <w:r>
        <w:rPr>
          <w:rFonts w:hint="eastAsia" w:ascii="宋体" w:hAnsi="宋体" w:cs="宋体"/>
          <w:b/>
          <w:bCs/>
          <w:color w:val="auto"/>
          <w:szCs w:val="21"/>
          <w:highlight w:val="none"/>
          <w:u w:val="single"/>
        </w:rPr>
        <w:t>按规定程序付给乙方 60%的合同价款:工程完工后，</w:t>
      </w:r>
      <w:r>
        <w:rPr>
          <w:rFonts w:hint="eastAsia" w:ascii="宋体" w:hAnsi="宋体" w:cs="宋体"/>
          <w:b/>
          <w:bCs/>
          <w:color w:val="auto"/>
          <w:szCs w:val="21"/>
          <w:highlight w:val="none"/>
          <w:u w:val="single"/>
          <w:lang w:val="en-US" w:eastAsia="zh-CN"/>
        </w:rPr>
        <w:t>验收合格，</w:t>
      </w:r>
      <w:r>
        <w:rPr>
          <w:rFonts w:hint="eastAsia" w:ascii="宋体" w:hAnsi="宋体" w:cs="宋体"/>
          <w:b/>
          <w:bCs/>
          <w:color w:val="auto"/>
          <w:szCs w:val="21"/>
          <w:highlight w:val="none"/>
          <w:u w:val="single"/>
        </w:rPr>
        <w:t>按规定程序付至乙方 8</w:t>
      </w:r>
      <w:r>
        <w:rPr>
          <w:rFonts w:hint="eastAsia" w:ascii="宋体" w:hAnsi="宋体" w:cs="宋体"/>
          <w:b/>
          <w:bCs/>
          <w:color w:val="auto"/>
          <w:szCs w:val="21"/>
          <w:highlight w:val="none"/>
          <w:u w:val="single"/>
          <w:lang w:val="en-US" w:eastAsia="zh-CN"/>
        </w:rPr>
        <w:t>0</w:t>
      </w:r>
      <w:r>
        <w:rPr>
          <w:rFonts w:hint="eastAsia" w:ascii="宋体" w:hAnsi="宋体" w:cs="宋体"/>
          <w:b/>
          <w:bCs/>
          <w:color w:val="auto"/>
          <w:szCs w:val="21"/>
          <w:highlight w:val="none"/>
          <w:u w:val="single"/>
        </w:rPr>
        <w:t>%的合同价款；经审核单位审核确认最终造价后，工程款付至工程审核造价的 97%；发包人按工程价款结算总额的3%预留工程质量保修金，待缺陷责任期满后返还。</w:t>
      </w:r>
    </w:p>
    <w:p w14:paraId="693292C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12.4.2 进度付款申请单的编制</w:t>
      </w:r>
    </w:p>
    <w:p w14:paraId="5ADBD95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Cs/>
          <w:color w:val="auto"/>
          <w:szCs w:val="21"/>
          <w:highlight w:val="none"/>
          <w:u w:val="single"/>
        </w:rPr>
      </w:pPr>
      <w:r>
        <w:rPr>
          <w:rFonts w:hint="eastAsia" w:ascii="宋体" w:hAnsi="宋体" w:cs="宋体"/>
          <w:color w:val="auto"/>
          <w:szCs w:val="21"/>
          <w:highlight w:val="none"/>
        </w:rPr>
        <w:t>关于进度付款申请单编制的约定：</w:t>
      </w:r>
      <w:r>
        <w:rPr>
          <w:rFonts w:hint="eastAsia" w:ascii="宋体" w:hAnsi="宋体" w:cs="宋体"/>
          <w:bCs/>
          <w:color w:val="auto"/>
          <w:szCs w:val="21"/>
          <w:highlight w:val="none"/>
          <w:u w:val="single"/>
          <w:lang w:val="en-US" w:eastAsia="zh-CN"/>
        </w:rPr>
        <w:t xml:space="preserve"> </w:t>
      </w:r>
      <w:r>
        <w:rPr>
          <w:rFonts w:ascii="宋体" w:hAnsi="宋体" w:eastAsia="宋体" w:cs="宋体"/>
          <w:color w:val="auto"/>
          <w:spacing w:val="9"/>
          <w:sz w:val="20"/>
          <w:szCs w:val="20"/>
          <w:highlight w:val="none"/>
          <w:u w:val="single" w:color="auto"/>
        </w:rPr>
        <w:t>承包人应在每</w:t>
      </w:r>
      <w:r>
        <w:rPr>
          <w:rFonts w:ascii="宋体" w:hAnsi="宋体" w:eastAsia="宋体" w:cs="宋体"/>
          <w:color w:val="auto"/>
          <w:spacing w:val="8"/>
          <w:sz w:val="20"/>
          <w:szCs w:val="20"/>
          <w:highlight w:val="none"/>
          <w:u w:val="single" w:color="auto"/>
        </w:rPr>
        <w:t>个计量周期到期后的</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7</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天内向发包人提交已完成工程</w:t>
      </w:r>
      <w:r>
        <w:rPr>
          <w:rFonts w:ascii="宋体" w:hAnsi="宋体" w:eastAsia="宋体" w:cs="宋体"/>
          <w:color w:val="auto"/>
          <w:spacing w:val="10"/>
          <w:sz w:val="20"/>
          <w:szCs w:val="20"/>
          <w:highlight w:val="none"/>
          <w:u w:val="single" w:color="auto"/>
        </w:rPr>
        <w:t>进度款支付申请一式四份，详细说明此周期自己认为有权得到的款额，包括分包人已完工程的价款</w:t>
      </w:r>
      <w:r>
        <w:rPr>
          <w:rFonts w:hint="eastAsia" w:ascii="宋体" w:hAnsi="宋体" w:cs="宋体"/>
          <w:bCs/>
          <w:color w:val="auto"/>
          <w:szCs w:val="21"/>
          <w:highlight w:val="none"/>
          <w:u w:val="single"/>
        </w:rPr>
        <w:t>。</w:t>
      </w:r>
    </w:p>
    <w:p w14:paraId="40A017B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Pr>
          <w:rFonts w:hint="eastAsia" w:ascii="宋体" w:hAnsi="宋体" w:cs="宋体"/>
          <w:color w:val="auto"/>
          <w:szCs w:val="21"/>
          <w:highlight w:val="none"/>
        </w:rPr>
        <w:t>2.4.3 进度付款申请单的提交</w:t>
      </w:r>
    </w:p>
    <w:p w14:paraId="5B26928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Cs/>
          <w:color w:val="auto"/>
          <w:szCs w:val="21"/>
          <w:highlight w:val="none"/>
          <w:u w:val="single"/>
        </w:rPr>
      </w:pPr>
      <w:r>
        <w:rPr>
          <w:rFonts w:hint="eastAsia" w:ascii="宋体" w:hAnsi="宋体" w:cs="宋体"/>
          <w:color w:val="auto"/>
          <w:szCs w:val="21"/>
          <w:highlight w:val="none"/>
        </w:rPr>
        <w:t>（1）单价合同进度付款申请单提交的约定：</w:t>
      </w:r>
      <w:r>
        <w:rPr>
          <w:rFonts w:hint="eastAsia" w:ascii="宋体" w:hAnsi="宋体" w:cs="宋体"/>
          <w:bCs/>
          <w:color w:val="auto"/>
          <w:szCs w:val="21"/>
          <w:highlight w:val="none"/>
          <w:u w:val="single"/>
          <w:lang w:val="en-US" w:eastAsia="zh-CN"/>
        </w:rPr>
        <w:t xml:space="preserve"> </w:t>
      </w:r>
      <w:r>
        <w:rPr>
          <w:rFonts w:hint="eastAsia" w:ascii="宋体" w:hAnsi="宋体" w:eastAsia="宋体" w:cs="宋体"/>
          <w:color w:val="auto"/>
          <w:sz w:val="21"/>
          <w:szCs w:val="21"/>
          <w:highlight w:val="none"/>
          <w:u w:val="single"/>
        </w:rPr>
        <w:t>按通用条款执行</w:t>
      </w:r>
      <w:r>
        <w:rPr>
          <w:rFonts w:hint="eastAsia" w:ascii="宋体" w:hAnsi="宋体" w:cs="宋体"/>
          <w:bCs/>
          <w:color w:val="auto"/>
          <w:szCs w:val="21"/>
          <w:highlight w:val="none"/>
          <w:u w:val="single"/>
        </w:rPr>
        <w:t>。</w:t>
      </w:r>
    </w:p>
    <w:p w14:paraId="4A16650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BE2CEF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6E8A09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12.4.4 进度款审核和支付</w:t>
      </w:r>
    </w:p>
    <w:p w14:paraId="3AEB304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（1）监理人审查并报送发包人的期限：</w:t>
      </w:r>
      <w:r>
        <w:rPr>
          <w:rFonts w:ascii="宋体" w:hAnsi="宋体" w:eastAsia="宋体" w:cs="宋体"/>
          <w:color w:val="auto"/>
          <w:spacing w:val="7"/>
          <w:sz w:val="20"/>
          <w:szCs w:val="20"/>
          <w:highlight w:val="none"/>
          <w:u w:val="single" w:color="auto"/>
        </w:rPr>
        <w:t>3</w:t>
      </w:r>
      <w:r>
        <w:rPr>
          <w:rFonts w:ascii="宋体" w:hAnsi="宋体" w:eastAsia="宋体" w:cs="宋体"/>
          <w:color w:val="auto"/>
          <w:spacing w:val="-30"/>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134C3C9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发包人完成审批并签发进度款支付证书的期限：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7"/>
          <w:sz w:val="20"/>
          <w:szCs w:val="20"/>
          <w:highlight w:val="none"/>
          <w:u w:val="single" w:color="auto"/>
        </w:rPr>
        <w:t xml:space="preserve"> </w:t>
      </w:r>
      <w:r>
        <w:rPr>
          <w:rFonts w:ascii="宋体" w:hAnsi="宋体" w:eastAsia="宋体" w:cs="宋体"/>
          <w:color w:val="auto"/>
          <w:spacing w:val="7"/>
          <w:sz w:val="20"/>
          <w:szCs w:val="20"/>
          <w:highlight w:val="none"/>
          <w:u w:val="single" w:color="auto"/>
        </w:rPr>
        <w:t xml:space="preserve">天内 </w:t>
      </w:r>
      <w:r>
        <w:rPr>
          <w:rFonts w:hint="eastAsia" w:ascii="宋体" w:hAnsi="宋体" w:cs="宋体"/>
          <w:color w:val="auto"/>
          <w:szCs w:val="21"/>
          <w:highlight w:val="none"/>
        </w:rPr>
        <w:t>。</w:t>
      </w:r>
    </w:p>
    <w:p w14:paraId="769A9E1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（2）发包人支付进度款的期限：</w:t>
      </w:r>
      <w:r>
        <w:rPr>
          <w:rFonts w:ascii="宋体" w:hAnsi="宋体" w:eastAsia="宋体" w:cs="宋体"/>
          <w:color w:val="auto"/>
          <w:spacing w:val="7"/>
          <w:sz w:val="20"/>
          <w:szCs w:val="20"/>
          <w:highlight w:val="none"/>
          <w:u w:val="single" w:color="auto"/>
        </w:rPr>
        <w:t>承包人提出书面申请后</w:t>
      </w:r>
      <w:r>
        <w:rPr>
          <w:rFonts w:ascii="宋体" w:hAnsi="宋体" w:eastAsia="宋体" w:cs="宋体"/>
          <w:color w:val="auto"/>
          <w:spacing w:val="-8"/>
          <w:sz w:val="20"/>
          <w:szCs w:val="20"/>
          <w:highlight w:val="none"/>
          <w:u w:val="single" w:color="auto"/>
        </w:rPr>
        <w:t xml:space="preserve"> </w:t>
      </w:r>
      <w:r>
        <w:rPr>
          <w:rFonts w:ascii="宋体" w:hAnsi="宋体" w:eastAsia="宋体" w:cs="宋体"/>
          <w:color w:val="auto"/>
          <w:spacing w:val="7"/>
          <w:sz w:val="20"/>
          <w:szCs w:val="20"/>
          <w:highlight w:val="none"/>
          <w:u w:val="single" w:color="auto"/>
        </w:rPr>
        <w:t>10</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天内报送财政部门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B574F15">
      <w:pPr>
        <w:pStyle w:val="246"/>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rPr>
      </w:pPr>
      <w:r>
        <w:rPr>
          <w:rFonts w:hint="eastAsia" w:ascii="宋体" w:hAnsi="宋体" w:cs="宋体"/>
          <w:color w:val="auto"/>
          <w:szCs w:val="21"/>
          <w:highlight w:val="none"/>
        </w:rPr>
        <w:t>发包人逾期支付进度款的违约金的计算方式：</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8AE5E30">
      <w:pPr>
        <w:pStyle w:val="246"/>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rPr>
      </w:pPr>
      <w:r>
        <w:rPr>
          <w:rFonts w:hint="eastAsia" w:ascii="宋体" w:hAnsi="宋体" w:cs="宋体"/>
          <w:color w:val="auto"/>
          <w:szCs w:val="21"/>
          <w:highlight w:val="none"/>
        </w:rPr>
        <w:t>12.4.6 支付分解表的编制</w:t>
      </w:r>
    </w:p>
    <w:p w14:paraId="1245C164">
      <w:pPr>
        <w:pStyle w:val="246"/>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2. 总价合同支付分解表的编制与审批：</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35DB0383">
      <w:pPr>
        <w:pStyle w:val="246"/>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3. 单价合同的总价项目支付分解表的编制与审批：</w:t>
      </w:r>
      <w:r>
        <w:rPr>
          <w:rFonts w:ascii="宋体" w:hAnsi="宋体" w:eastAsia="宋体" w:cs="宋体"/>
          <w:color w:val="auto"/>
          <w:spacing w:val="9"/>
          <w:sz w:val="20"/>
          <w:szCs w:val="20"/>
          <w:highlight w:val="none"/>
          <w:u w:val="single" w:color="auto"/>
        </w:rPr>
        <w:t>按通用条款</w:t>
      </w:r>
      <w:r>
        <w:rPr>
          <w:rFonts w:ascii="宋体" w:hAnsi="宋体" w:eastAsia="宋体" w:cs="宋体"/>
          <w:color w:val="auto"/>
          <w:spacing w:val="8"/>
          <w:sz w:val="20"/>
          <w:szCs w:val="20"/>
          <w:highlight w:val="none"/>
          <w:u w:val="single" w:color="auto"/>
        </w:rPr>
        <w:t>执行</w:t>
      </w:r>
      <w:r>
        <w:rPr>
          <w:rFonts w:hint="eastAsia" w:ascii="宋体" w:hAnsi="宋体" w:cs="宋体"/>
          <w:color w:val="auto"/>
          <w:szCs w:val="21"/>
          <w:highlight w:val="none"/>
          <w:u w:val="single"/>
        </w:rPr>
        <w:t>。</w:t>
      </w:r>
    </w:p>
    <w:bookmarkEnd w:id="958"/>
    <w:p w14:paraId="2DDBBE2E">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300" w:name="_Toc418518400"/>
      <w:bookmarkStart w:id="1301" w:name="_Toc418061365"/>
      <w:bookmarkStart w:id="1302" w:name="_Toc418752296"/>
      <w:bookmarkStart w:id="1303" w:name="_Toc418518164"/>
      <w:bookmarkStart w:id="1304" w:name="_Toc522201780"/>
      <w:bookmarkStart w:id="1305" w:name="_Toc497747232"/>
      <w:bookmarkStart w:id="1306" w:name="_Toc373478400"/>
      <w:bookmarkStart w:id="1307" w:name="_Toc389065318"/>
      <w:bookmarkStart w:id="1308" w:name="_Toc351203645"/>
      <w:bookmarkStart w:id="1309" w:name="_Toc256000231"/>
      <w:bookmarkStart w:id="1310" w:name="_Toc373227753"/>
      <w:bookmarkStart w:id="1311" w:name="_Toc403578988"/>
      <w:bookmarkStart w:id="1312" w:name="_Toc418751850"/>
      <w:bookmarkStart w:id="1313" w:name="_Toc8859"/>
      <w:bookmarkStart w:id="1314" w:name="_Toc497746835"/>
      <w:bookmarkStart w:id="1315" w:name="_Toc297123564"/>
      <w:bookmarkStart w:id="1316" w:name="_Toc296891259"/>
      <w:bookmarkStart w:id="1317" w:name="_Toc296347218"/>
      <w:bookmarkStart w:id="1318" w:name="_Toc296346720"/>
      <w:bookmarkStart w:id="1319" w:name="_Toc296891047"/>
      <w:bookmarkStart w:id="1320" w:name="_Toc292559929"/>
      <w:bookmarkStart w:id="1321" w:name="_Toc297120519"/>
      <w:bookmarkStart w:id="1322" w:name="_Toc297216223"/>
      <w:bookmarkStart w:id="1323" w:name="_Toc292559424"/>
      <w:bookmarkStart w:id="1324" w:name="_Toc312678053"/>
      <w:bookmarkStart w:id="1325" w:name="_Toc303539172"/>
      <w:bookmarkStart w:id="1326" w:name="_Toc304295593"/>
      <w:bookmarkStart w:id="1327" w:name="_Toc297048405"/>
      <w:bookmarkStart w:id="1328" w:name="_Toc296944558"/>
      <w:bookmarkStart w:id="1329" w:name="_Toc296503219"/>
      <w:bookmarkStart w:id="1330" w:name="_Toc300935015"/>
      <w:r>
        <w:rPr>
          <w:rFonts w:hint="eastAsia" w:ascii="宋体" w:cs="宋体"/>
          <w:color w:val="auto"/>
          <w:highlight w:val="none"/>
        </w:rPr>
        <w:t>13. 验收和工程试车</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14:paraId="03699F7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31" w:name="_Toc373227754"/>
      <w:bookmarkStart w:id="1332" w:name="_Toc497747233"/>
      <w:bookmarkStart w:id="1333" w:name="_Toc389065319"/>
      <w:bookmarkStart w:id="1334" w:name="_Toc403578989"/>
      <w:bookmarkStart w:id="1335" w:name="_Toc418752297"/>
      <w:bookmarkStart w:id="1336" w:name="_Toc23379"/>
      <w:bookmarkStart w:id="1337" w:name="_Toc418061366"/>
      <w:bookmarkStart w:id="1338" w:name="_Toc497746836"/>
      <w:bookmarkStart w:id="1339" w:name="_Toc522201781"/>
      <w:bookmarkStart w:id="1340" w:name="_Toc373478401"/>
      <w:bookmarkStart w:id="1341" w:name="_Toc418518165"/>
      <w:bookmarkStart w:id="1342" w:name="_Toc418518401"/>
      <w:bookmarkStart w:id="1343" w:name="_Toc418751851"/>
      <w:bookmarkStart w:id="1344" w:name="_Toc256000232"/>
      <w:r>
        <w:rPr>
          <w:rFonts w:hint="eastAsia" w:ascii="宋体" w:cs="宋体"/>
          <w:color w:val="auto"/>
          <w:highlight w:val="none"/>
        </w:rPr>
        <w:t>13.1 分部分项工程验收</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443A2C1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13.1.2监理人不能按时进行验收时，应提前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02EF275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5DF8353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45" w:name="_Toc373227755"/>
      <w:bookmarkStart w:id="1346" w:name="_Toc497746837"/>
      <w:bookmarkStart w:id="1347" w:name="_Toc418751852"/>
      <w:bookmarkStart w:id="1348" w:name="_Toc418061367"/>
      <w:bookmarkStart w:id="1349" w:name="_Toc389065320"/>
      <w:bookmarkStart w:id="1350" w:name="_Toc373478402"/>
      <w:bookmarkStart w:id="1351" w:name="_Toc522201782"/>
      <w:bookmarkStart w:id="1352" w:name="_Toc418518166"/>
      <w:bookmarkStart w:id="1353" w:name="_Toc403578990"/>
      <w:bookmarkStart w:id="1354" w:name="_Toc418752298"/>
      <w:bookmarkStart w:id="1355" w:name="_Toc20630"/>
      <w:bookmarkStart w:id="1356" w:name="_Toc418518402"/>
      <w:bookmarkStart w:id="1357" w:name="_Toc256000233"/>
      <w:bookmarkStart w:id="1358" w:name="_Toc497747234"/>
      <w:bookmarkStart w:id="1359" w:name="_Toc297123565"/>
      <w:bookmarkStart w:id="1360" w:name="_Toc296347222"/>
      <w:bookmarkStart w:id="1361" w:name="_Toc300935016"/>
      <w:bookmarkStart w:id="1362" w:name="_Toc297216224"/>
      <w:bookmarkStart w:id="1363" w:name="_Toc304295596"/>
      <w:bookmarkStart w:id="1364" w:name="_Toc303539173"/>
      <w:bookmarkStart w:id="1365" w:name="_Toc296891263"/>
      <w:bookmarkStart w:id="1366" w:name="_Toc296944562"/>
      <w:bookmarkStart w:id="1367" w:name="_Toc297120523"/>
      <w:bookmarkStart w:id="1368" w:name="_Toc296346724"/>
      <w:bookmarkStart w:id="1369" w:name="_Toc312678056"/>
      <w:bookmarkStart w:id="1370" w:name="_Toc296503223"/>
      <w:bookmarkStart w:id="1371" w:name="_Toc296891051"/>
      <w:bookmarkStart w:id="1372" w:name="_Toc297048409"/>
      <w:bookmarkStart w:id="1373" w:name="_Toc292559933"/>
      <w:bookmarkStart w:id="1374" w:name="_Toc292559428"/>
      <w:bookmarkStart w:id="1375" w:name="_Toc267251471"/>
      <w:bookmarkStart w:id="1376" w:name="_Toc267251470"/>
      <w:bookmarkStart w:id="1377" w:name="_Toc267251474"/>
      <w:bookmarkStart w:id="1378" w:name="_Toc267251472"/>
      <w:bookmarkStart w:id="1379" w:name="_Toc267251473"/>
      <w:bookmarkStart w:id="1380" w:name="_Toc267251476"/>
      <w:bookmarkStart w:id="1381" w:name="_Toc267251475"/>
      <w:r>
        <w:rPr>
          <w:rFonts w:hint="eastAsia" w:ascii="宋体" w:cs="宋体"/>
          <w:color w:val="auto"/>
          <w:highlight w:val="none"/>
        </w:rPr>
        <w:t>13.2 竣工验收</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14:paraId="5762EC5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382" w:name="_Toc280868704"/>
      <w:bookmarkStart w:id="1383" w:name="_Toc280868705"/>
      <w:bookmarkStart w:id="1384" w:name="_Toc280868706"/>
      <w:bookmarkStart w:id="1385" w:name="_Toc280868707"/>
      <w:bookmarkStart w:id="1386" w:name="_Toc280868708"/>
      <w:bookmarkStart w:id="1387" w:name="_Toc280868709"/>
      <w:r>
        <w:rPr>
          <w:rFonts w:hint="eastAsia" w:ascii="宋体" w:hAnsi="宋体" w:cs="宋体"/>
          <w:color w:val="auto"/>
          <w:szCs w:val="21"/>
          <w:highlight w:val="none"/>
        </w:rPr>
        <w:t>13.2.1竣工验收条件</w:t>
      </w:r>
    </w:p>
    <w:p w14:paraId="318E4C9C">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①工程具备</w:t>
      </w:r>
      <w:r>
        <w:rPr>
          <w:rFonts w:ascii="宋体" w:hAnsi="宋体" w:eastAsia="宋体" w:cs="宋体"/>
          <w:color w:val="auto"/>
          <w:spacing w:val="6"/>
          <w:sz w:val="20"/>
          <w:szCs w:val="20"/>
          <w:highlight w:val="none"/>
          <w:u w:val="single" w:color="auto"/>
        </w:rPr>
        <w:t>竣工验收条件，承包人按工程竣工验收有关规定，</w:t>
      </w:r>
      <w:r>
        <w:rPr>
          <w:rFonts w:ascii="宋体" w:hAnsi="宋体" w:eastAsia="宋体" w:cs="宋体"/>
          <w:color w:val="auto"/>
          <w:sz w:val="20"/>
          <w:szCs w:val="20"/>
          <w:highlight w:val="none"/>
          <w:u w:val="single" w:color="auto"/>
        </w:rPr>
        <w:tab/>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u w:val="single" w:color="auto"/>
        </w:rPr>
        <w:t>向发包人提交符合行业标准归档要求内容装订成册的完整竣工资料及竣工验收报告、工程竣工图；②承包人所提交的竣工资料必须符合《建设工程文件归档整理规范》要求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9EE32CA">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竣工验收资料的份数：</w:t>
      </w:r>
      <w:r>
        <w:rPr>
          <w:rFonts w:ascii="宋体" w:hAnsi="宋体" w:eastAsia="宋体" w:cs="宋体"/>
          <w:color w:val="auto"/>
          <w:spacing w:val="6"/>
          <w:sz w:val="20"/>
          <w:szCs w:val="20"/>
          <w:highlight w:val="none"/>
          <w:u w:val="single" w:color="auto"/>
        </w:rPr>
        <w:t xml:space="preserve"> 4</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6"/>
          <w:sz w:val="20"/>
          <w:szCs w:val="20"/>
          <w:highlight w:val="none"/>
          <w:u w:val="single" w:color="auto"/>
        </w:rPr>
        <w:t xml:space="preserve">份 </w:t>
      </w:r>
      <w:r>
        <w:rPr>
          <w:rFonts w:hint="eastAsia" w:ascii="宋体" w:hAnsi="宋体" w:cs="宋体"/>
          <w:color w:val="auto"/>
          <w:szCs w:val="21"/>
          <w:highlight w:val="none"/>
        </w:rPr>
        <w:t>。</w:t>
      </w:r>
    </w:p>
    <w:p w14:paraId="303D010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bCs/>
          <w:color w:val="auto"/>
          <w:szCs w:val="21"/>
          <w:highlight w:val="none"/>
        </w:rPr>
        <w:t>承包人提供竣工图的约定：</w:t>
      </w:r>
      <w:r>
        <w:rPr>
          <w:rFonts w:ascii="宋体" w:hAnsi="宋体" w:eastAsia="宋体" w:cs="宋体"/>
          <w:color w:val="auto"/>
          <w:spacing w:val="5"/>
          <w:sz w:val="20"/>
          <w:szCs w:val="20"/>
          <w:highlight w:val="none"/>
          <w:u w:val="single" w:color="auto"/>
        </w:rPr>
        <w:t>竣工验收正式通过后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5"/>
          <w:sz w:val="20"/>
          <w:szCs w:val="20"/>
          <w:highlight w:val="none"/>
          <w:u w:val="single" w:color="auto"/>
        </w:rPr>
        <w:t>5</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5"/>
          <w:sz w:val="20"/>
          <w:szCs w:val="20"/>
          <w:highlight w:val="none"/>
          <w:u w:val="single" w:color="auto"/>
        </w:rPr>
        <w:t>天（工程造价在</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500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5"/>
          <w:sz w:val="20"/>
          <w:szCs w:val="20"/>
          <w:highlight w:val="none"/>
          <w:u w:val="single" w:color="auto"/>
        </w:rPr>
        <w:t>万元以下含</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500</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万元）、10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5"/>
          <w:sz w:val="20"/>
          <w:szCs w:val="20"/>
          <w:highlight w:val="none"/>
          <w:u w:val="single" w:color="auto"/>
        </w:rPr>
        <w:t>天</w:t>
      </w:r>
      <w:r>
        <w:rPr>
          <w:rFonts w:ascii="宋体" w:hAnsi="宋体" w:eastAsia="宋体" w:cs="宋体"/>
          <w:color w:val="auto"/>
          <w:sz w:val="20"/>
          <w:szCs w:val="20"/>
          <w:highlight w:val="none"/>
          <w:u w:val="single" w:color="auto"/>
        </w:rPr>
        <w:tab/>
      </w:r>
      <w:r>
        <w:rPr>
          <w:rFonts w:ascii="宋体" w:hAnsi="宋体" w:eastAsia="宋体" w:cs="宋体"/>
          <w:color w:val="auto"/>
          <w:spacing w:val="3"/>
          <w:sz w:val="20"/>
          <w:szCs w:val="20"/>
          <w:highlight w:val="none"/>
          <w:u w:val="single" w:color="auto"/>
        </w:rPr>
        <w:t>（工程造价在</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3"/>
          <w:sz w:val="20"/>
          <w:szCs w:val="20"/>
          <w:highlight w:val="none"/>
          <w:u w:val="single" w:color="auto"/>
        </w:rPr>
        <w:t>500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万元至</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万元之间含</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天（工程造价在</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万元以上</w:t>
      </w:r>
      <w:r>
        <w:rPr>
          <w:rFonts w:ascii="宋体" w:hAnsi="宋体" w:eastAsia="宋体" w:cs="宋体"/>
          <w:color w:val="auto"/>
          <w:spacing w:val="20"/>
          <w:sz w:val="20"/>
          <w:szCs w:val="20"/>
          <w:highlight w:val="none"/>
          <w:u w:val="single" w:color="auto"/>
        </w:rPr>
        <w:t>），</w:t>
      </w:r>
      <w:r>
        <w:rPr>
          <w:rFonts w:ascii="宋体" w:hAnsi="宋体" w:eastAsia="宋体" w:cs="宋体"/>
          <w:color w:val="auto"/>
          <w:spacing w:val="3"/>
          <w:sz w:val="20"/>
          <w:szCs w:val="20"/>
          <w:highlight w:val="none"/>
          <w:u w:val="single" w:color="auto"/>
        </w:rPr>
        <w:t>提供竣工</w:t>
      </w:r>
      <w:r>
        <w:rPr>
          <w:rFonts w:ascii="宋体" w:hAnsi="宋体" w:eastAsia="宋体" w:cs="宋体"/>
          <w:color w:val="auto"/>
          <w:spacing w:val="8"/>
          <w:sz w:val="20"/>
          <w:szCs w:val="20"/>
          <w:highlight w:val="none"/>
          <w:u w:val="single" w:color="auto"/>
        </w:rPr>
        <w:t>图的数量</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8"/>
          <w:sz w:val="20"/>
          <w:szCs w:val="20"/>
          <w:highlight w:val="none"/>
          <w:u w:val="single" w:color="auto"/>
        </w:rPr>
        <w:t>6</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8"/>
          <w:sz w:val="20"/>
          <w:szCs w:val="20"/>
          <w:highlight w:val="none"/>
          <w:u w:val="single" w:color="auto"/>
        </w:rPr>
        <w:t>套</w:t>
      </w:r>
      <w:r>
        <w:rPr>
          <w:rFonts w:hint="eastAsia" w:ascii="宋体" w:hAnsi="宋体" w:cs="宋体"/>
          <w:bCs/>
          <w:color w:val="auto"/>
          <w:szCs w:val="21"/>
          <w:highlight w:val="none"/>
          <w:u w:val="single"/>
        </w:rPr>
        <w:t>。</w:t>
      </w:r>
    </w:p>
    <w:p w14:paraId="261CFFD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13.2.2竣工验收程序</w:t>
      </w:r>
    </w:p>
    <w:bookmarkEnd w:id="1382"/>
    <w:p w14:paraId="3ED1447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关于竣工验收程序的约定：</w:t>
      </w:r>
      <w:r>
        <w:rPr>
          <w:rFonts w:ascii="宋体" w:hAnsi="宋体" w:eastAsia="宋体" w:cs="宋体"/>
          <w:color w:val="auto"/>
          <w:spacing w:val="9"/>
          <w:sz w:val="20"/>
          <w:szCs w:val="20"/>
          <w:highlight w:val="none"/>
          <w:u w:val="single" w:color="auto"/>
        </w:rPr>
        <w:t xml:space="preserve"> 按国家及地方规定和行业规</w:t>
      </w:r>
      <w:r>
        <w:rPr>
          <w:rFonts w:ascii="宋体" w:hAnsi="宋体" w:eastAsia="宋体" w:cs="宋体"/>
          <w:color w:val="auto"/>
          <w:spacing w:val="8"/>
          <w:sz w:val="20"/>
          <w:szCs w:val="20"/>
          <w:highlight w:val="none"/>
          <w:u w:val="single" w:color="auto"/>
        </w:rPr>
        <w:t>范要求</w:t>
      </w:r>
      <w:r>
        <w:rPr>
          <w:rFonts w:hint="eastAsia" w:ascii="宋体" w:hAnsi="宋体" w:cs="宋体"/>
          <w:color w:val="auto"/>
          <w:szCs w:val="21"/>
          <w:highlight w:val="none"/>
          <w:u w:val="single"/>
        </w:rPr>
        <w:t>。</w:t>
      </w:r>
    </w:p>
    <w:p w14:paraId="36956A8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发包人不按照本项约定组织竣工验收、颁发工程接收证书的违约金的计算方法：</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383"/>
    <w:p w14:paraId="428EBDF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13.2.5移交、接收全部与部分工程</w:t>
      </w:r>
    </w:p>
    <w:bookmarkEnd w:id="1384"/>
    <w:p w14:paraId="6F0B66E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承包人向发包人移交工程的期限：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竣工验收后</w:t>
      </w:r>
      <w:r>
        <w:rPr>
          <w:rFonts w:ascii="宋体" w:hAnsi="宋体" w:eastAsia="宋体" w:cs="宋体"/>
          <w:color w:val="auto"/>
          <w:spacing w:val="-20"/>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7"/>
          <w:sz w:val="20"/>
          <w:szCs w:val="20"/>
          <w:highlight w:val="none"/>
          <w:u w:val="single" w:color="auto"/>
        </w:rPr>
        <w:t xml:space="preserve">天内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183970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同专用合同条款</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7.5.2</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bookmarkEnd w:id="1385"/>
    <w:p w14:paraId="008A637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 xml:space="preserve"> </w:t>
      </w:r>
      <w:r>
        <w:rPr>
          <w:rFonts w:ascii="宋体" w:hAnsi="宋体" w:eastAsia="宋体" w:cs="宋体"/>
          <w:color w:val="auto"/>
          <w:spacing w:val="5"/>
          <w:sz w:val="20"/>
          <w:szCs w:val="20"/>
          <w:highlight w:val="none"/>
          <w:u w:val="single" w:color="auto"/>
        </w:rPr>
        <w:t>每拖延一天工期支付给发包人最终结算总价的</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5"/>
          <w:sz w:val="20"/>
          <w:szCs w:val="20"/>
          <w:highlight w:val="none"/>
          <w:u w:val="single" w:color="auto"/>
        </w:rPr>
        <w:t>0.2‰</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u w:val="single" w:color="auto"/>
        </w:rPr>
        <w:t>/天的违约金，违约金最高限额为合同价扣除建安劳</w:t>
      </w:r>
      <w:r>
        <w:rPr>
          <w:rFonts w:ascii="宋体" w:hAnsi="宋体" w:eastAsia="宋体" w:cs="宋体"/>
          <w:color w:val="auto"/>
          <w:spacing w:val="11"/>
          <w:sz w:val="20"/>
          <w:szCs w:val="20"/>
          <w:highlight w:val="none"/>
          <w:u w:val="single" w:color="auto"/>
        </w:rPr>
        <w:t>保费、发包人材料价款、暂估专业工程、暂列金额后</w:t>
      </w:r>
      <w:r>
        <w:rPr>
          <w:rFonts w:ascii="宋体" w:hAnsi="宋体" w:eastAsia="宋体" w:cs="宋体"/>
          <w:color w:val="auto"/>
          <w:spacing w:val="7"/>
          <w:sz w:val="20"/>
          <w:szCs w:val="20"/>
          <w:highlight w:val="none"/>
          <w:u w:val="single" w:color="auto"/>
        </w:rPr>
        <w:t>的</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7"/>
          <w:sz w:val="20"/>
          <w:szCs w:val="20"/>
          <w:highlight w:val="none"/>
          <w:u w:val="single" w:color="auto"/>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1386"/>
    <w:p w14:paraId="5CEE96B5">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88" w:name="_Toc497747236"/>
      <w:bookmarkStart w:id="1389" w:name="_Toc418751854"/>
      <w:bookmarkStart w:id="1390" w:name="_Toc373227757"/>
      <w:bookmarkStart w:id="1391" w:name="_Toc418061369"/>
      <w:bookmarkStart w:id="1392" w:name="_Toc418518404"/>
      <w:bookmarkStart w:id="1393" w:name="_Toc418518168"/>
      <w:bookmarkStart w:id="1394" w:name="_Toc373478404"/>
      <w:bookmarkStart w:id="1395" w:name="_Toc29678"/>
      <w:bookmarkStart w:id="1396" w:name="_Toc389065322"/>
      <w:bookmarkStart w:id="1397" w:name="_Toc497746839"/>
      <w:bookmarkStart w:id="1398" w:name="_Toc403578992"/>
      <w:bookmarkStart w:id="1399" w:name="_Toc418752300"/>
      <w:bookmarkStart w:id="1400" w:name="_Toc256000235"/>
      <w:bookmarkStart w:id="1401" w:name="_Toc522201784"/>
      <w:r>
        <w:rPr>
          <w:rFonts w:hint="eastAsia" w:ascii="宋体" w:cs="宋体"/>
          <w:color w:val="auto"/>
          <w:highlight w:val="none"/>
        </w:rPr>
        <w:t>13.6 竣工退场</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046AADC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13.6.1 竣工退场</w:t>
      </w:r>
    </w:p>
    <w:p w14:paraId="036FA8B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5"/>
          <w:sz w:val="20"/>
          <w:szCs w:val="20"/>
          <w:highlight w:val="none"/>
          <w:u w:val="single"/>
        </w:rPr>
      </w:pPr>
      <w:r>
        <w:rPr>
          <w:rFonts w:hint="eastAsia" w:ascii="宋体" w:hAnsi="宋体" w:cs="宋体"/>
          <w:color w:val="auto"/>
          <w:kern w:val="0"/>
          <w:szCs w:val="21"/>
          <w:highlight w:val="none"/>
        </w:rPr>
        <w:t>承包人完成竣工退场的期限：</w:t>
      </w:r>
      <w:r>
        <w:rPr>
          <w:rFonts w:hint="eastAsia" w:ascii="宋体" w:hAnsi="宋体" w:cs="宋体"/>
          <w:color w:val="auto"/>
          <w:kern w:val="0"/>
          <w:szCs w:val="21"/>
          <w:highlight w:val="none"/>
          <w:u w:val="single"/>
        </w:rPr>
        <w:t>承包人按照通用合同条款约定撤离施工场地（现场）时，监理人和承包</w:t>
      </w:r>
      <w:r>
        <w:rPr>
          <w:rFonts w:hint="eastAsia" w:ascii="宋体" w:hAnsi="宋体" w:cs="宋体"/>
          <w:color w:val="auto"/>
          <w:szCs w:val="21"/>
          <w:highlight w:val="none"/>
          <w:u w:val="single"/>
        </w:rPr>
        <w:t>。</w:t>
      </w:r>
      <w:r>
        <w:rPr>
          <w:rFonts w:ascii="宋体" w:hAnsi="宋体" w:eastAsia="宋体" w:cs="宋体"/>
          <w:color w:val="auto"/>
          <w:spacing w:val="9"/>
          <w:sz w:val="20"/>
          <w:szCs w:val="20"/>
          <w:highlight w:val="none"/>
          <w:u w:val="single"/>
        </w:rPr>
        <w:t>人应当办理永久工程和施工场地移交手续，移交手续以书面方式出具，并分别经过发包人、监理人和承包</w:t>
      </w:r>
      <w:r>
        <w:rPr>
          <w:rFonts w:ascii="宋体" w:hAnsi="宋体" w:eastAsia="宋体" w:cs="宋体"/>
          <w:color w:val="auto"/>
          <w:spacing w:val="5"/>
          <w:sz w:val="20"/>
          <w:szCs w:val="20"/>
          <w:highlight w:val="none"/>
          <w:u w:val="single"/>
        </w:rPr>
        <w:t>人的签认。</w:t>
      </w:r>
    </w:p>
    <w:p w14:paraId="58BF4741">
      <w:pPr>
        <w:pStyle w:val="247"/>
        <w:ind w:left="0" w:leftChars="0" w:firstLine="0" w:firstLineChars="0"/>
        <w:jc w:val="both"/>
        <w:rPr>
          <w:rFonts w:hint="eastAsia" w:ascii="宋体" w:hAnsi="宋体" w:eastAsia="宋体" w:cs="宋体"/>
          <w:color w:val="auto"/>
          <w:spacing w:val="5"/>
          <w:sz w:val="20"/>
          <w:szCs w:val="20"/>
          <w:highlight w:val="none"/>
          <w:u w:val="single"/>
          <w:lang w:val="en-US" w:eastAsia="zh-CN"/>
        </w:rPr>
      </w:pPr>
      <w:r>
        <w:rPr>
          <w:rFonts w:hint="eastAsia" w:ascii="宋体" w:hAnsi="宋体" w:eastAsia="宋体" w:cs="宋体"/>
          <w:color w:val="auto"/>
          <w:spacing w:val="5"/>
          <w:sz w:val="20"/>
          <w:szCs w:val="20"/>
          <w:highlight w:val="none"/>
          <w:lang w:val="en-US" w:eastAsia="zh-CN"/>
        </w:rPr>
        <w:t xml:space="preserve">    缺陷责任期满时，承包人可以继续在施工场地保留的人员和施工设备以及最终撤离的期限：</w:t>
      </w:r>
      <w:r>
        <w:rPr>
          <w:rFonts w:hint="eastAsia" w:ascii="宋体" w:hAnsi="宋体" w:eastAsia="宋体" w:cs="宋体"/>
          <w:color w:val="auto"/>
          <w:spacing w:val="5"/>
          <w:sz w:val="20"/>
          <w:szCs w:val="20"/>
          <w:highlight w:val="none"/>
          <w:u w:val="single"/>
          <w:lang w:val="en-US" w:eastAsia="zh-CN"/>
        </w:rPr>
        <w:t>同通用条款 。</w:t>
      </w:r>
    </w:p>
    <w:p w14:paraId="4A6543B1">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402" w:name="_Toc351203646"/>
      <w:bookmarkStart w:id="1403" w:name="_Toc8351"/>
      <w:bookmarkStart w:id="1404" w:name="_Toc522201785"/>
      <w:bookmarkStart w:id="1405" w:name="_Toc403578993"/>
      <w:bookmarkStart w:id="1406" w:name="_Toc497746840"/>
      <w:bookmarkStart w:id="1407" w:name="_Toc418518405"/>
      <w:bookmarkStart w:id="1408" w:name="_Toc418061370"/>
      <w:bookmarkStart w:id="1409" w:name="_Toc418752301"/>
      <w:bookmarkStart w:id="1410" w:name="_Toc373478405"/>
      <w:bookmarkStart w:id="1411" w:name="_Toc373227758"/>
      <w:bookmarkStart w:id="1412" w:name="_Toc256000236"/>
      <w:bookmarkStart w:id="1413" w:name="_Toc418751855"/>
      <w:bookmarkStart w:id="1414" w:name="_Toc389065323"/>
      <w:bookmarkStart w:id="1415" w:name="_Toc497747237"/>
      <w:bookmarkStart w:id="1416" w:name="_Toc418518169"/>
      <w:r>
        <w:rPr>
          <w:rFonts w:hint="eastAsia" w:ascii="宋体" w:cs="宋体"/>
          <w:color w:val="auto"/>
          <w:highlight w:val="none"/>
        </w:rPr>
        <w:t>14. 竣工结算</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63F082C0">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417" w:name="_Toc5149"/>
      <w:bookmarkStart w:id="1418" w:name="_Toc418061371"/>
      <w:bookmarkStart w:id="1419" w:name="_Toc403578994"/>
      <w:bookmarkStart w:id="1420" w:name="_Toc389065324"/>
      <w:bookmarkStart w:id="1421" w:name="_Toc256000237"/>
      <w:bookmarkStart w:id="1422" w:name="_Toc373227759"/>
      <w:bookmarkStart w:id="1423" w:name="_Toc418518406"/>
      <w:bookmarkStart w:id="1424" w:name="_Toc497746841"/>
      <w:bookmarkStart w:id="1425" w:name="_Toc418751856"/>
      <w:bookmarkStart w:id="1426" w:name="_Toc418752302"/>
      <w:bookmarkStart w:id="1427" w:name="_Toc522201786"/>
      <w:bookmarkStart w:id="1428" w:name="_Toc418518170"/>
      <w:bookmarkStart w:id="1429" w:name="_Toc373478406"/>
      <w:bookmarkStart w:id="1430" w:name="_Toc497747238"/>
      <w:r>
        <w:rPr>
          <w:rFonts w:hint="eastAsia" w:ascii="宋体" w:cs="宋体"/>
          <w:color w:val="auto"/>
          <w:highlight w:val="none"/>
        </w:rPr>
        <w:t>14.1 竣工结算申请</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72302ED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承包人提交竣工结算申请单的期限：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28</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56C648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竣工结算申请单应包括的内容</w:t>
      </w:r>
      <w:r>
        <w:rPr>
          <w:rFonts w:ascii="宋体" w:hAnsi="宋体" w:eastAsia="宋体" w:cs="宋体"/>
          <w:color w:val="auto"/>
          <w:spacing w:val="8"/>
          <w:sz w:val="20"/>
          <w:szCs w:val="20"/>
          <w:highlight w:val="none"/>
          <w:u w:val="single" w:color="auto"/>
        </w:rPr>
        <w:t xml:space="preserve">  已竣工完成的工程量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9B257FC">
      <w:pPr>
        <w:pStyle w:val="244"/>
        <w:pageBreakBefore w:val="0"/>
        <w:widowControl w:val="0"/>
        <w:kinsoku/>
        <w:wordWrap/>
        <w:overflowPunct/>
        <w:topLinePunct w:val="0"/>
        <w:bidi w:val="0"/>
        <w:snapToGrid/>
        <w:spacing w:line="440" w:lineRule="exact"/>
        <w:ind w:firstLine="422" w:firstLineChars="200"/>
        <w:textAlignment w:val="auto"/>
        <w:rPr>
          <w:rFonts w:hint="eastAsia" w:ascii="宋体" w:cs="宋体"/>
          <w:color w:val="auto"/>
          <w:highlight w:val="none"/>
        </w:rPr>
      </w:pPr>
      <w:bookmarkStart w:id="1431" w:name="_Toc373227760"/>
      <w:bookmarkStart w:id="1432" w:name="_Toc389065325"/>
      <w:bookmarkStart w:id="1433" w:name="_Toc18020"/>
      <w:bookmarkStart w:id="1434" w:name="_Toc497747239"/>
      <w:bookmarkStart w:id="1435" w:name="_Toc497746842"/>
      <w:bookmarkStart w:id="1436" w:name="_Toc418752303"/>
      <w:bookmarkStart w:id="1437" w:name="_Toc522201787"/>
      <w:bookmarkStart w:id="1438" w:name="_Toc418061372"/>
      <w:bookmarkStart w:id="1439" w:name="_Toc418518407"/>
      <w:bookmarkStart w:id="1440" w:name="_Toc418518171"/>
      <w:bookmarkStart w:id="1441" w:name="_Toc256000238"/>
      <w:bookmarkStart w:id="1442" w:name="_Toc403578995"/>
      <w:bookmarkStart w:id="1443" w:name="_Toc418751857"/>
      <w:bookmarkStart w:id="1444" w:name="_Toc373478407"/>
      <w:r>
        <w:rPr>
          <w:rFonts w:hint="eastAsia" w:ascii="宋体" w:cs="宋体"/>
          <w:color w:val="auto"/>
          <w:highlight w:val="none"/>
        </w:rPr>
        <w:t>14.2 竣工结算审核</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12B14790">
      <w:pPr>
        <w:spacing w:before="221" w:line="364" w:lineRule="auto"/>
        <w:ind w:left="7" w:right="70" w:firstLine="429"/>
        <w:rPr>
          <w:rFonts w:ascii="宋体" w:hAnsi="宋体" w:eastAsia="宋体" w:cs="宋体"/>
          <w:b w:val="0"/>
          <w:bCs w:val="0"/>
          <w:color w:val="auto"/>
          <w:sz w:val="20"/>
          <w:szCs w:val="20"/>
          <w:highlight w:val="none"/>
        </w:rPr>
      </w:pPr>
      <w:r>
        <w:rPr>
          <w:rFonts w:ascii="宋体" w:hAnsi="宋体" w:eastAsia="宋体" w:cs="宋体"/>
          <w:b w:val="0"/>
          <w:bCs w:val="0"/>
          <w:color w:val="auto"/>
          <w:spacing w:val="9"/>
          <w:sz w:val="20"/>
          <w:szCs w:val="20"/>
          <w:highlight w:val="none"/>
        </w:rPr>
        <w:t>（1）本工程最终竣工结算需报财政部门或审计部门或第三方审定机构审定，承包人所编制的工程竣</w:t>
      </w:r>
      <w:r>
        <w:rPr>
          <w:rFonts w:ascii="宋体" w:hAnsi="宋体" w:eastAsia="宋体" w:cs="宋体"/>
          <w:b w:val="0"/>
          <w:bCs w:val="0"/>
          <w:color w:val="auto"/>
          <w:spacing w:val="7"/>
          <w:sz w:val="20"/>
          <w:szCs w:val="20"/>
          <w:highlight w:val="none"/>
        </w:rPr>
        <w:t>工资料经发包人审核后，送到财政部门或审计部门或第三方审定机构之日起，承包人所遗漏的与工程造价</w:t>
      </w:r>
      <w:r>
        <w:rPr>
          <w:rFonts w:ascii="宋体" w:hAnsi="宋体" w:eastAsia="宋体" w:cs="宋体"/>
          <w:b w:val="0"/>
          <w:bCs w:val="0"/>
          <w:color w:val="auto"/>
          <w:spacing w:val="8"/>
          <w:sz w:val="20"/>
          <w:szCs w:val="20"/>
          <w:highlight w:val="none"/>
        </w:rPr>
        <w:t>有关的资料不再作为结算审核依据，按自动</w:t>
      </w:r>
      <w:r>
        <w:rPr>
          <w:rFonts w:ascii="宋体" w:hAnsi="宋体" w:eastAsia="宋体" w:cs="宋体"/>
          <w:b w:val="0"/>
          <w:bCs w:val="0"/>
          <w:color w:val="auto"/>
          <w:spacing w:val="7"/>
          <w:sz w:val="20"/>
          <w:szCs w:val="20"/>
          <w:highlight w:val="none"/>
        </w:rPr>
        <w:t>放弃处理。</w:t>
      </w:r>
    </w:p>
    <w:p w14:paraId="11AC10A5">
      <w:pPr>
        <w:spacing w:before="223" w:line="363" w:lineRule="auto"/>
        <w:ind w:left="7" w:right="70" w:firstLine="429"/>
        <w:rPr>
          <w:rFonts w:ascii="宋体" w:hAnsi="宋体" w:eastAsia="宋体" w:cs="宋体"/>
          <w:b w:val="0"/>
          <w:bCs w:val="0"/>
          <w:color w:val="auto"/>
          <w:sz w:val="20"/>
          <w:szCs w:val="20"/>
          <w:highlight w:val="none"/>
        </w:rPr>
      </w:pPr>
      <w:r>
        <w:rPr>
          <w:rFonts w:ascii="宋体" w:hAnsi="宋体" w:eastAsia="宋体" w:cs="宋体"/>
          <w:b w:val="0"/>
          <w:bCs w:val="0"/>
          <w:color w:val="auto"/>
          <w:spacing w:val="7"/>
          <w:sz w:val="20"/>
          <w:szCs w:val="20"/>
          <w:highlight w:val="none"/>
        </w:rPr>
        <w:t>（2）如承包人报送的工程结算总价过高，造成该结算审减率超过</w:t>
      </w:r>
      <w:r>
        <w:rPr>
          <w:rFonts w:ascii="宋体" w:hAnsi="宋体" w:eastAsia="宋体" w:cs="宋体"/>
          <w:b w:val="0"/>
          <w:bCs w:val="0"/>
          <w:color w:val="auto"/>
          <w:spacing w:val="-20"/>
          <w:sz w:val="20"/>
          <w:szCs w:val="20"/>
          <w:highlight w:val="none"/>
        </w:rPr>
        <w:t xml:space="preserve"> </w:t>
      </w:r>
      <w:r>
        <w:rPr>
          <w:rFonts w:hint="eastAsia" w:ascii="宋体" w:hAnsi="宋体" w:cs="宋体"/>
          <w:b w:val="0"/>
          <w:bCs w:val="0"/>
          <w:color w:val="auto"/>
          <w:spacing w:val="-20"/>
          <w:sz w:val="20"/>
          <w:szCs w:val="20"/>
          <w:highlight w:val="none"/>
          <w:lang w:val="en-US" w:eastAsia="zh-CN"/>
        </w:rPr>
        <w:t>5</w:t>
      </w:r>
      <w:r>
        <w:rPr>
          <w:rFonts w:ascii="宋体" w:hAnsi="宋体" w:eastAsia="宋体" w:cs="宋体"/>
          <w:b w:val="0"/>
          <w:bCs w:val="0"/>
          <w:color w:val="auto"/>
          <w:spacing w:val="7"/>
          <w:sz w:val="20"/>
          <w:szCs w:val="20"/>
          <w:highlight w:val="none"/>
        </w:rPr>
        <w:t>%以上的，则超出</w:t>
      </w:r>
      <w:r>
        <w:rPr>
          <w:rFonts w:hint="eastAsia" w:ascii="宋体" w:hAnsi="宋体" w:cs="宋体"/>
          <w:b w:val="0"/>
          <w:bCs w:val="0"/>
          <w:color w:val="auto"/>
          <w:spacing w:val="7"/>
          <w:sz w:val="20"/>
          <w:szCs w:val="20"/>
          <w:highlight w:val="none"/>
          <w:lang w:val="en-US" w:eastAsia="zh-CN"/>
        </w:rPr>
        <w:t>5</w:t>
      </w:r>
      <w:r>
        <w:rPr>
          <w:rFonts w:ascii="宋体" w:hAnsi="宋体" w:eastAsia="宋体" w:cs="宋体"/>
          <w:b w:val="0"/>
          <w:bCs w:val="0"/>
          <w:color w:val="auto"/>
          <w:spacing w:val="7"/>
          <w:sz w:val="20"/>
          <w:szCs w:val="20"/>
          <w:highlight w:val="none"/>
        </w:rPr>
        <w:t>%以上部分的审</w:t>
      </w:r>
      <w:r>
        <w:rPr>
          <w:rFonts w:ascii="宋体" w:hAnsi="宋体" w:eastAsia="宋体" w:cs="宋体"/>
          <w:b w:val="0"/>
          <w:bCs w:val="0"/>
          <w:color w:val="auto"/>
          <w:spacing w:val="9"/>
          <w:sz w:val="20"/>
          <w:szCs w:val="20"/>
          <w:highlight w:val="none"/>
        </w:rPr>
        <w:t>核费由承包人承担，费用由发包人从承包人工程结算款中扣除。审减率=（送审造价-审定造价）/送审造</w:t>
      </w:r>
      <w:r>
        <w:rPr>
          <w:rFonts w:ascii="宋体" w:hAnsi="宋体" w:eastAsia="宋体" w:cs="宋体"/>
          <w:b w:val="0"/>
          <w:bCs w:val="0"/>
          <w:color w:val="auto"/>
          <w:spacing w:val="2"/>
          <w:sz w:val="20"/>
          <w:szCs w:val="20"/>
          <w:highlight w:val="none"/>
        </w:rPr>
        <w:t>价*100%。</w:t>
      </w:r>
    </w:p>
    <w:p w14:paraId="4ECF9B89">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445" w:name="_Toc418751858"/>
      <w:bookmarkStart w:id="1446" w:name="_Toc418752304"/>
      <w:bookmarkStart w:id="1447" w:name="_Toc497747240"/>
      <w:bookmarkStart w:id="1448" w:name="_Toc389065326"/>
      <w:bookmarkStart w:id="1449" w:name="_Toc23803"/>
      <w:bookmarkStart w:id="1450" w:name="_Toc522201788"/>
      <w:bookmarkStart w:id="1451" w:name="_Toc418518172"/>
      <w:bookmarkStart w:id="1452" w:name="_Toc373227761"/>
      <w:bookmarkStart w:id="1453" w:name="_Toc418061373"/>
      <w:bookmarkStart w:id="1454" w:name="_Toc418518408"/>
      <w:bookmarkStart w:id="1455" w:name="_Toc373478408"/>
      <w:bookmarkStart w:id="1456" w:name="_Toc497746843"/>
      <w:bookmarkStart w:id="1457" w:name="_Toc403578996"/>
      <w:bookmarkStart w:id="1458" w:name="_Toc256000239"/>
      <w:r>
        <w:rPr>
          <w:rFonts w:hint="eastAsia" w:ascii="宋体" w:cs="宋体"/>
          <w:color w:val="auto"/>
          <w:highlight w:val="none"/>
        </w:rPr>
        <w:t>14.</w:t>
      </w:r>
      <w:r>
        <w:rPr>
          <w:rFonts w:hint="eastAsia" w:ascii="宋体" w:cs="宋体"/>
          <w:color w:val="auto"/>
          <w:highlight w:val="none"/>
          <w:lang w:val="en-US" w:eastAsia="zh-CN"/>
        </w:rPr>
        <w:t>3</w:t>
      </w:r>
      <w:r>
        <w:rPr>
          <w:rFonts w:hint="eastAsia" w:ascii="宋体" w:cs="宋体"/>
          <w:color w:val="auto"/>
          <w:highlight w:val="none"/>
        </w:rPr>
        <w:t xml:space="preserve"> 最终结清</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14:paraId="5CBAEFA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14.4.1 最终结清申请单</w:t>
      </w:r>
    </w:p>
    <w:p w14:paraId="594793F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承包人提交最终结清申请单的份数：</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四份 </w:t>
      </w:r>
      <w:r>
        <w:rPr>
          <w:rFonts w:hint="eastAsia" w:ascii="宋体" w:hAnsi="宋体" w:cs="宋体"/>
          <w:color w:val="auto"/>
          <w:szCs w:val="21"/>
          <w:highlight w:val="none"/>
        </w:rPr>
        <w:t>。</w:t>
      </w:r>
    </w:p>
    <w:bookmarkEnd w:id="1375"/>
    <w:bookmarkEnd w:id="1376"/>
    <w:bookmarkEnd w:id="1377"/>
    <w:bookmarkEnd w:id="1378"/>
    <w:bookmarkEnd w:id="1379"/>
    <w:bookmarkEnd w:id="1380"/>
    <w:bookmarkEnd w:id="1381"/>
    <w:bookmarkEnd w:id="1387"/>
    <w:p w14:paraId="7B5C585A">
      <w:pPr>
        <w:pStyle w:val="244"/>
        <w:pageBreakBefore w:val="0"/>
        <w:widowControl w:val="0"/>
        <w:kinsoku/>
        <w:wordWrap/>
        <w:overflowPunct/>
        <w:topLinePunct w:val="0"/>
        <w:bidi w:val="0"/>
        <w:snapToGrid/>
        <w:spacing w:line="440" w:lineRule="exact"/>
        <w:ind w:firstLine="211" w:firstLineChars="100"/>
        <w:textAlignment w:val="auto"/>
        <w:rPr>
          <w:rFonts w:ascii="宋体" w:cs="宋体"/>
          <w:color w:val="auto"/>
          <w:highlight w:val="none"/>
        </w:rPr>
      </w:pPr>
      <w:bookmarkStart w:id="1459" w:name="_Toc256000240"/>
      <w:bookmarkStart w:id="1460" w:name="_Toc418752305"/>
      <w:bookmarkStart w:id="1461" w:name="_Toc389065327"/>
      <w:bookmarkStart w:id="1462" w:name="_Toc522201789"/>
      <w:bookmarkStart w:id="1463" w:name="_Toc418518173"/>
      <w:bookmarkStart w:id="1464" w:name="_Toc418518409"/>
      <w:bookmarkStart w:id="1465" w:name="_Toc497746844"/>
      <w:bookmarkStart w:id="1466" w:name="_Toc418751859"/>
      <w:bookmarkStart w:id="1467" w:name="_Toc21984"/>
      <w:bookmarkStart w:id="1468" w:name="_Toc373478409"/>
      <w:bookmarkStart w:id="1469" w:name="_Toc497747241"/>
      <w:bookmarkStart w:id="1470" w:name="_Toc373227762"/>
      <w:bookmarkStart w:id="1471" w:name="_Toc403578997"/>
      <w:bookmarkStart w:id="1472" w:name="_Toc418061374"/>
      <w:bookmarkStart w:id="1473" w:name="_Toc351203647"/>
      <w:bookmarkStart w:id="1474" w:name="_Toc267251483"/>
      <w:bookmarkStart w:id="1475" w:name="_Toc267251482"/>
      <w:bookmarkStart w:id="1476" w:name="_Toc267251484"/>
      <w:bookmarkStart w:id="1477" w:name="_Toc267251485"/>
      <w:bookmarkStart w:id="1478" w:name="_Toc267251489"/>
      <w:bookmarkStart w:id="1479" w:name="_Toc267251490"/>
      <w:bookmarkStart w:id="1480" w:name="_Toc267251488"/>
      <w:bookmarkStart w:id="1481" w:name="_Toc267251486"/>
      <w:bookmarkStart w:id="1482" w:name="_Toc267251495"/>
      <w:bookmarkStart w:id="1483" w:name="_Toc267251492"/>
      <w:bookmarkStart w:id="1484" w:name="_Toc267251498"/>
      <w:bookmarkStart w:id="1485" w:name="_Toc267251499"/>
      <w:bookmarkStart w:id="1486" w:name="_Toc267251503"/>
      <w:bookmarkStart w:id="1487" w:name="_Toc267251496"/>
      <w:bookmarkStart w:id="1488" w:name="_Toc267251494"/>
      <w:bookmarkStart w:id="1489" w:name="_Toc267251501"/>
      <w:bookmarkStart w:id="1490" w:name="_Toc267251493"/>
      <w:bookmarkStart w:id="1491" w:name="_Toc267251497"/>
      <w:bookmarkStart w:id="1492" w:name="_Toc267251502"/>
      <w:bookmarkStart w:id="1493" w:name="_Toc267251491"/>
      <w:bookmarkStart w:id="1494" w:name="_Toc267251504"/>
      <w:bookmarkStart w:id="1495" w:name="_Toc267251506"/>
      <w:bookmarkStart w:id="1496" w:name="_Toc267251507"/>
      <w:bookmarkStart w:id="1497" w:name="_Toc267251508"/>
      <w:bookmarkStart w:id="1498" w:name="_Toc267251514"/>
      <w:bookmarkStart w:id="1499" w:name="_Toc267251511"/>
      <w:bookmarkStart w:id="1500" w:name="_Toc267251509"/>
      <w:bookmarkStart w:id="1501" w:name="_Toc267251510"/>
      <w:bookmarkStart w:id="1502" w:name="_Toc267251513"/>
      <w:bookmarkStart w:id="1503" w:name="_Toc267251515"/>
      <w:r>
        <w:rPr>
          <w:rFonts w:hint="eastAsia" w:ascii="宋体" w:cs="宋体"/>
          <w:color w:val="auto"/>
          <w:highlight w:val="none"/>
        </w:rPr>
        <w:t>15. 缺陷责任期与保修</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797A5A2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04" w:name="_Toc373227763"/>
      <w:bookmarkStart w:id="1505" w:name="_Toc373478410"/>
      <w:bookmarkStart w:id="1506" w:name="_Toc522201790"/>
      <w:bookmarkStart w:id="1507" w:name="_Toc497746845"/>
      <w:bookmarkStart w:id="1508" w:name="_Toc418518174"/>
      <w:bookmarkStart w:id="1509" w:name="_Toc418518410"/>
      <w:bookmarkStart w:id="1510" w:name="_Toc418751860"/>
      <w:bookmarkStart w:id="1511" w:name="_Toc389065328"/>
      <w:bookmarkStart w:id="1512" w:name="_Toc418752306"/>
      <w:bookmarkStart w:id="1513" w:name="_Toc256000241"/>
      <w:bookmarkStart w:id="1514" w:name="_Toc9826"/>
      <w:bookmarkStart w:id="1515" w:name="_Toc403578998"/>
      <w:bookmarkStart w:id="1516" w:name="_Toc497747242"/>
      <w:bookmarkStart w:id="1517" w:name="_Toc418061375"/>
      <w:r>
        <w:rPr>
          <w:rFonts w:hint="eastAsia" w:ascii="宋体" w:cs="宋体"/>
          <w:color w:val="auto"/>
          <w:highlight w:val="none"/>
        </w:rPr>
        <w:t>15.2 缺陷责任期</w:t>
      </w:r>
      <w:bookmarkEnd w:id="1474"/>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197718B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rPr>
        <w:t>24个月</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p w14:paraId="2AAB3DE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18" w:name="_Toc256000242"/>
      <w:bookmarkStart w:id="1519" w:name="_Toc418518175"/>
      <w:bookmarkStart w:id="1520" w:name="_Toc418752307"/>
      <w:bookmarkStart w:id="1521" w:name="_Toc522201791"/>
      <w:bookmarkStart w:id="1522" w:name="_Toc373227764"/>
      <w:bookmarkStart w:id="1523" w:name="_Toc373478411"/>
      <w:bookmarkStart w:id="1524" w:name="_Toc28604"/>
      <w:bookmarkStart w:id="1525" w:name="_Toc418751861"/>
      <w:bookmarkStart w:id="1526" w:name="_Toc497747243"/>
      <w:bookmarkStart w:id="1527" w:name="_Toc497746846"/>
      <w:bookmarkStart w:id="1528" w:name="_Toc418061376"/>
      <w:bookmarkStart w:id="1529" w:name="_Toc389065329"/>
      <w:bookmarkStart w:id="1530" w:name="_Toc418518411"/>
      <w:bookmarkStart w:id="1531" w:name="_Toc403578999"/>
      <w:r>
        <w:rPr>
          <w:rFonts w:hint="eastAsia" w:ascii="宋体" w:cs="宋体"/>
          <w:color w:val="auto"/>
          <w:highlight w:val="none"/>
        </w:rPr>
        <w:t>15.3 质量保证金</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4CE9373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color w:val="auto"/>
          <w:spacing w:val="7"/>
          <w:sz w:val="20"/>
          <w:szCs w:val="20"/>
          <w:highlight w:val="none"/>
          <w:u w:val="single" w:color="auto"/>
        </w:rPr>
        <w:t>是</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p w14:paraId="6C2D7FB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14:paraId="4BEB7A0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006E837B">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24ED911F">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bCs/>
          <w:color w:val="auto"/>
          <w:szCs w:val="21"/>
          <w:highlight w:val="none"/>
        </w:rPr>
        <w:t>发包人按工程价款结算总额的</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%预留工程质量保证金，待缺陷责任期满后返还</w:t>
      </w:r>
      <w:r>
        <w:rPr>
          <w:rFonts w:hint="eastAsia" w:ascii="宋体" w:hAnsi="宋体" w:cs="宋体"/>
          <w:color w:val="auto"/>
          <w:kern w:val="0"/>
          <w:szCs w:val="21"/>
          <w:highlight w:val="none"/>
        </w:rPr>
        <w:t>；</w:t>
      </w:r>
    </w:p>
    <w:p w14:paraId="7D35B3CF">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w:t>
      </w:r>
    </w:p>
    <w:p w14:paraId="14A4450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15.3.2 质量保证金的扣留</w:t>
      </w:r>
    </w:p>
    <w:p w14:paraId="0A3D784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4F4FAA9A">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71A78750">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0F3E4E06">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w:t>
      </w:r>
      <w:r>
        <w:rPr>
          <w:color w:val="auto"/>
          <w:spacing w:val="6"/>
          <w:sz w:val="20"/>
          <w:szCs w:val="20"/>
          <w:highlight w:val="none"/>
          <w:u w:val="single" w:color="auto"/>
        </w:rPr>
        <w:t xml:space="preserve"> 无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C9DA9D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szCs w:val="21"/>
          <w:highlight w:val="none"/>
        </w:rPr>
        <w:t>关于质量保证金的补充约定：</w:t>
      </w:r>
      <w:r>
        <w:rPr>
          <w:color w:val="auto"/>
          <w:spacing w:val="9"/>
          <w:sz w:val="20"/>
          <w:szCs w:val="20"/>
          <w:highlight w:val="none"/>
          <w:u w:val="single" w:color="auto"/>
        </w:rPr>
        <w:t>质量保证金分一次返还承包人:发包人在工程竣工验收合格之</w:t>
      </w:r>
      <w:r>
        <w:rPr>
          <w:color w:val="auto"/>
          <w:spacing w:val="8"/>
          <w:sz w:val="20"/>
          <w:szCs w:val="20"/>
          <w:highlight w:val="none"/>
          <w:u w:val="single" w:color="auto"/>
        </w:rPr>
        <w:t>日起满两年后承包人提出申请</w:t>
      </w:r>
      <w:r>
        <w:rPr>
          <w:color w:val="auto"/>
          <w:spacing w:val="-33"/>
          <w:sz w:val="20"/>
          <w:szCs w:val="20"/>
          <w:highlight w:val="none"/>
          <w:u w:val="single" w:color="auto"/>
        </w:rPr>
        <w:t xml:space="preserve"> </w:t>
      </w:r>
      <w:r>
        <w:rPr>
          <w:color w:val="auto"/>
          <w:spacing w:val="8"/>
          <w:sz w:val="20"/>
          <w:szCs w:val="20"/>
          <w:highlight w:val="none"/>
          <w:u w:val="single" w:color="auto"/>
        </w:rPr>
        <w:t>将保修金返回给承包人（无息）。质量保证金的返还，并不能免除承包人按照合同约定应承担的质量保修责</w:t>
      </w:r>
      <w:r>
        <w:rPr>
          <w:color w:val="auto"/>
          <w:spacing w:val="10"/>
          <w:sz w:val="20"/>
          <w:szCs w:val="20"/>
          <w:highlight w:val="none"/>
          <w:u w:val="single" w:color="auto"/>
        </w:rPr>
        <w:t>任和应履行的质量保修义务</w:t>
      </w:r>
      <w:r>
        <w:rPr>
          <w:rFonts w:hint="eastAsia" w:ascii="宋体" w:hAnsi="宋体" w:cs="宋体"/>
          <w:color w:val="auto"/>
          <w:kern w:val="0"/>
          <w:szCs w:val="21"/>
          <w:highlight w:val="none"/>
          <w:u w:val="single"/>
        </w:rPr>
        <w:t>。</w:t>
      </w:r>
    </w:p>
    <w:bookmarkEnd w:id="1475"/>
    <w:bookmarkEnd w:id="1476"/>
    <w:p w14:paraId="03EEEB1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32" w:name="_Toc403579000"/>
      <w:bookmarkStart w:id="1533" w:name="_Toc497747244"/>
      <w:bookmarkStart w:id="1534" w:name="_Toc418518412"/>
      <w:bookmarkStart w:id="1535" w:name="_Toc373227765"/>
      <w:bookmarkStart w:id="1536" w:name="_Toc522201792"/>
      <w:bookmarkStart w:id="1537" w:name="_Toc24000"/>
      <w:bookmarkStart w:id="1538" w:name="_Toc418518176"/>
      <w:bookmarkStart w:id="1539" w:name="_Toc256000243"/>
      <w:bookmarkStart w:id="1540" w:name="_Toc418752308"/>
      <w:bookmarkStart w:id="1541" w:name="_Toc497746847"/>
      <w:bookmarkStart w:id="1542" w:name="_Toc389065330"/>
      <w:bookmarkStart w:id="1543" w:name="_Toc373478412"/>
      <w:bookmarkStart w:id="1544" w:name="_Toc418061377"/>
      <w:bookmarkStart w:id="1545" w:name="_Toc418751862"/>
      <w:r>
        <w:rPr>
          <w:rFonts w:hint="eastAsia" w:ascii="宋体" w:cs="宋体"/>
          <w:color w:val="auto"/>
          <w:highlight w:val="none"/>
        </w:rPr>
        <w:t>15.4 保修</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bookmarkEnd w:id="1477"/>
    <w:p w14:paraId="36E618B4">
      <w:pPr>
        <w:pStyle w:val="246"/>
        <w:pageBreakBefore w:val="0"/>
        <w:widowControl w:val="0"/>
        <w:kinsoku/>
        <w:wordWrap/>
        <w:overflowPunct/>
        <w:topLinePunct w:val="0"/>
        <w:bidi w:val="0"/>
        <w:snapToGrid/>
        <w:spacing w:line="440" w:lineRule="exact"/>
        <w:ind w:firstLine="409" w:firstLineChars="195"/>
        <w:jc w:val="left"/>
        <w:textAlignment w:val="auto"/>
        <w:rPr>
          <w:rFonts w:ascii="宋体" w:hAnsi="宋体" w:cs="宋体"/>
          <w:color w:val="auto"/>
          <w:szCs w:val="21"/>
          <w:highlight w:val="none"/>
        </w:rPr>
      </w:pPr>
      <w:r>
        <w:rPr>
          <w:rFonts w:hint="eastAsia" w:ascii="宋体" w:hAnsi="宋体" w:cs="宋体"/>
          <w:color w:val="auto"/>
          <w:szCs w:val="21"/>
          <w:highlight w:val="none"/>
        </w:rPr>
        <w:t>15.4.1 保修责任</w:t>
      </w:r>
    </w:p>
    <w:p w14:paraId="7E6AFFB5">
      <w:pPr>
        <w:pStyle w:val="246"/>
        <w:pageBreakBefore w:val="0"/>
        <w:widowControl w:val="0"/>
        <w:kinsoku/>
        <w:wordWrap/>
        <w:overflowPunct/>
        <w:topLinePunct w:val="0"/>
        <w:bidi w:val="0"/>
        <w:snapToGrid/>
        <w:spacing w:line="440" w:lineRule="exact"/>
        <w:ind w:firstLine="409" w:firstLineChars="195"/>
        <w:jc w:val="left"/>
        <w:textAlignment w:val="auto"/>
        <w:rPr>
          <w:rFonts w:ascii="Times New Roman" w:hAnsi="Times New Roman" w:eastAsia="宋体" w:cs="Times New Roman"/>
          <w:color w:val="auto"/>
          <w:spacing w:val="8"/>
          <w:sz w:val="20"/>
          <w:szCs w:val="20"/>
          <w:highlight w:val="none"/>
          <w:u w:val="single" w:color="auto"/>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w:t>
      </w:r>
      <w:r>
        <w:rPr>
          <w:rFonts w:hint="eastAsia" w:ascii="Times New Roman" w:hAnsi="Times New Roman" w:eastAsia="宋体" w:cs="Times New Roman"/>
          <w:color w:val="auto"/>
          <w:spacing w:val="8"/>
          <w:sz w:val="20"/>
          <w:szCs w:val="20"/>
          <w:highlight w:val="none"/>
          <w:u w:val="single" w:color="auto"/>
        </w:rPr>
        <w:t xml:space="preserve"> </w:t>
      </w:r>
      <w:r>
        <w:rPr>
          <w:rFonts w:ascii="Times New Roman" w:hAnsi="Times New Roman" w:eastAsia="宋体" w:cs="Times New Roman"/>
          <w:color w:val="auto"/>
          <w:spacing w:val="8"/>
          <w:sz w:val="20"/>
          <w:szCs w:val="20"/>
          <w:highlight w:val="none"/>
          <w:u w:val="single" w:color="auto"/>
        </w:rPr>
        <w:t>（1）地基基础工程和主体结构工程为设计文件规定的该工程合理使用年限；（2）屋面防水工程、有防水要求的卫生间、房间和外墙面的防渗漏为 5 年；（3）装修工程为 2 年；（4） 电气管线、给排水管道、设备安装工程为 2 年；（5）供热与供冷系统为 2 个采暖期、供冷期；（6）给排水设施、道路等配套工程为 2 年</w:t>
      </w:r>
      <w:r>
        <w:rPr>
          <w:rFonts w:hint="eastAsia" w:ascii="Times New Roman" w:hAnsi="Times New Roman" w:eastAsia="宋体" w:cs="Times New Roman"/>
          <w:color w:val="auto"/>
          <w:spacing w:val="8"/>
          <w:sz w:val="20"/>
          <w:szCs w:val="20"/>
          <w:highlight w:val="none"/>
          <w:u w:val="single" w:color="auto"/>
        </w:rPr>
        <w:t>。</w:t>
      </w:r>
    </w:p>
    <w:p w14:paraId="2F295C79">
      <w:pPr>
        <w:pStyle w:val="246"/>
        <w:pageBreakBefore w:val="0"/>
        <w:widowControl w:val="0"/>
        <w:kinsoku/>
        <w:wordWrap/>
        <w:overflowPunct/>
        <w:topLinePunct w:val="0"/>
        <w:bidi w:val="0"/>
        <w:snapToGrid/>
        <w:spacing w:line="440" w:lineRule="exact"/>
        <w:ind w:firstLine="409" w:firstLineChars="195"/>
        <w:jc w:val="left"/>
        <w:textAlignment w:val="auto"/>
        <w:rPr>
          <w:rFonts w:ascii="宋体" w:hAnsi="宋体" w:cs="宋体"/>
          <w:color w:val="auto"/>
          <w:szCs w:val="21"/>
          <w:highlight w:val="none"/>
        </w:rPr>
      </w:pPr>
      <w:r>
        <w:rPr>
          <w:rFonts w:hint="eastAsia" w:ascii="宋体" w:hAnsi="宋体" w:cs="宋体"/>
          <w:color w:val="auto"/>
          <w:szCs w:val="21"/>
          <w:highlight w:val="none"/>
        </w:rPr>
        <w:t>15.4.3 修复通知</w:t>
      </w:r>
    </w:p>
    <w:p w14:paraId="4068C07E">
      <w:pPr>
        <w:pStyle w:val="246"/>
        <w:pageBreakBefore w:val="0"/>
        <w:widowControl w:val="0"/>
        <w:kinsoku/>
        <w:wordWrap/>
        <w:overflowPunct/>
        <w:topLinePunct w:val="0"/>
        <w:bidi w:val="0"/>
        <w:snapToGrid/>
        <w:spacing w:line="440" w:lineRule="exact"/>
        <w:ind w:firstLine="409" w:firstLineChars="195"/>
        <w:jc w:val="left"/>
        <w:textAlignment w:val="auto"/>
        <w:rPr>
          <w:rFonts w:ascii="Times New Roman" w:hAnsi="Times New Roman" w:eastAsia="宋体" w:cs="Times New Roman"/>
          <w:color w:val="auto"/>
          <w:spacing w:val="8"/>
          <w:sz w:val="20"/>
          <w:szCs w:val="20"/>
          <w:highlight w:val="none"/>
          <w:u w:val="single" w:color="auto"/>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 xml:space="preserve"> </w:t>
      </w:r>
      <w:r>
        <w:rPr>
          <w:rFonts w:ascii="Times New Roman" w:hAnsi="Times New Roman" w:eastAsia="宋体" w:cs="Times New Roman"/>
          <w:color w:val="auto"/>
          <w:spacing w:val="8"/>
          <w:sz w:val="20"/>
          <w:szCs w:val="20"/>
          <w:highlight w:val="none"/>
          <w:u w:val="single" w:color="auto"/>
        </w:rPr>
        <w:t>1、属于保修范围、 内容的项目，承包人应当在接到保修通知之日起 7 天内派人保修。承包人不在约定期限内派人保修的，发包人可以委托他人修理。2、发生紧急抢修事故的，承包人在接到事故通知后，应当立即到达事故现场抢修。3、对于涉及结构安全的质量问题，应当按照《建设工程质量管理条例》的规定，立即向当地行政主管部门报告，采取安全防范措施； 由原设计单位或者具有相应资质等级的设计单位提出保修方案，承包人实施保修。4、质量保修完成后， 由发包人组织验收。5、保修费用由造成质量缺陷的责任方承担</w:t>
      </w:r>
      <w:r>
        <w:rPr>
          <w:rFonts w:hint="eastAsia" w:ascii="Times New Roman" w:hAnsi="Times New Roman" w:eastAsia="宋体" w:cs="Times New Roman"/>
          <w:color w:val="auto"/>
          <w:spacing w:val="8"/>
          <w:sz w:val="20"/>
          <w:szCs w:val="20"/>
          <w:highlight w:val="none"/>
          <w:u w:val="single" w:color="auto"/>
        </w:rPr>
        <w:t xml:space="preserve"> 。</w:t>
      </w:r>
    </w:p>
    <w:bookmarkEnd w:id="1478"/>
    <w:bookmarkEnd w:id="1479"/>
    <w:bookmarkEnd w:id="1480"/>
    <w:bookmarkEnd w:id="1481"/>
    <w:p w14:paraId="3A772E0B">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546" w:name="_Toc522201793"/>
      <w:bookmarkStart w:id="1547" w:name="_Toc497746848"/>
      <w:bookmarkStart w:id="1548" w:name="_Toc418518413"/>
      <w:bookmarkStart w:id="1549" w:name="_Toc256000244"/>
      <w:bookmarkStart w:id="1550" w:name="_Toc418752309"/>
      <w:bookmarkStart w:id="1551" w:name="_Toc418751863"/>
      <w:bookmarkStart w:id="1552" w:name="_Toc403579001"/>
      <w:bookmarkStart w:id="1553" w:name="_Toc351203648"/>
      <w:bookmarkStart w:id="1554" w:name="_Toc418518177"/>
      <w:bookmarkStart w:id="1555" w:name="_Toc418061378"/>
      <w:bookmarkStart w:id="1556" w:name="_Toc1387"/>
      <w:bookmarkStart w:id="1557" w:name="_Toc389065331"/>
      <w:bookmarkStart w:id="1558" w:name="_Toc373478413"/>
      <w:bookmarkStart w:id="1559" w:name="_Toc497747245"/>
      <w:bookmarkStart w:id="1560" w:name="_Toc373227766"/>
      <w:bookmarkStart w:id="1561" w:name="_Toc280868717"/>
      <w:bookmarkStart w:id="1562" w:name="_Toc280868718"/>
      <w:r>
        <w:rPr>
          <w:rFonts w:hint="eastAsia" w:ascii="宋体" w:cs="宋体"/>
          <w:color w:val="auto"/>
          <w:highlight w:val="none"/>
        </w:rPr>
        <w:t>16. 违约</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3455989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63" w:name="_Toc403579002"/>
      <w:bookmarkStart w:id="1564" w:name="_Toc373478414"/>
      <w:bookmarkStart w:id="1565" w:name="_Toc497746849"/>
      <w:bookmarkStart w:id="1566" w:name="_Toc2421"/>
      <w:bookmarkStart w:id="1567" w:name="_Toc373227767"/>
      <w:bookmarkStart w:id="1568" w:name="_Toc256000245"/>
      <w:bookmarkStart w:id="1569" w:name="_Toc418518178"/>
      <w:bookmarkStart w:id="1570" w:name="_Toc522201794"/>
      <w:bookmarkStart w:id="1571" w:name="_Toc418518414"/>
      <w:bookmarkStart w:id="1572" w:name="_Toc418751864"/>
      <w:bookmarkStart w:id="1573" w:name="_Toc418752310"/>
      <w:bookmarkStart w:id="1574" w:name="_Toc418061379"/>
      <w:bookmarkStart w:id="1575" w:name="_Toc389065332"/>
      <w:bookmarkStart w:id="1576" w:name="_Toc497747246"/>
      <w:r>
        <w:rPr>
          <w:rFonts w:hint="eastAsia" w:ascii="宋体" w:cs="宋体"/>
          <w:color w:val="auto"/>
          <w:highlight w:val="none"/>
        </w:rPr>
        <w:t>16.1 发包人违约</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2816F94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16.1.1发包人违约的情形</w:t>
      </w:r>
    </w:p>
    <w:p w14:paraId="13CDB3A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6260AE4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16.1.2 发包人违约的责任</w:t>
      </w:r>
    </w:p>
    <w:p w14:paraId="1D5F12F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511BCE0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工期相应顺延</w:t>
      </w:r>
      <w:r>
        <w:rPr>
          <w:rFonts w:hint="eastAsia" w:ascii="宋体" w:hAnsi="宋体" w:cs="宋体"/>
          <w:color w:val="auto"/>
          <w:kern w:val="0"/>
          <w:szCs w:val="21"/>
          <w:highlight w:val="none"/>
        </w:rPr>
        <w:t>。</w:t>
      </w:r>
    </w:p>
    <w:p w14:paraId="02A8B6F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4C0BEB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47E537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0540BD0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（5）因发包人违反合同约定造成暂停施工的违约责任：</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0302ACE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2C13AB8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D4730B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16.1.3 因发包人违约解除合同</w:t>
      </w:r>
    </w:p>
    <w:p w14:paraId="2F3AC33E">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天后发包人仍不纠正其违约行为并致使合同目的不能实现的，承包人有权解除合同。</w:t>
      </w:r>
    </w:p>
    <w:p w14:paraId="691A2CC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77" w:name="_Toc403579003"/>
      <w:bookmarkStart w:id="1578" w:name="_Toc522201795"/>
      <w:bookmarkStart w:id="1579" w:name="_Toc497747247"/>
      <w:bookmarkStart w:id="1580" w:name="_Toc497746850"/>
      <w:bookmarkStart w:id="1581" w:name="_Toc23457"/>
      <w:bookmarkStart w:id="1582" w:name="_Toc418751865"/>
      <w:bookmarkStart w:id="1583" w:name="_Toc373478415"/>
      <w:bookmarkStart w:id="1584" w:name="_Toc418061380"/>
      <w:bookmarkStart w:id="1585" w:name="_Toc373227768"/>
      <w:bookmarkStart w:id="1586" w:name="_Toc418518415"/>
      <w:bookmarkStart w:id="1587" w:name="_Toc256000246"/>
      <w:bookmarkStart w:id="1588" w:name="_Toc389065333"/>
      <w:bookmarkStart w:id="1589" w:name="_Toc418752311"/>
      <w:bookmarkStart w:id="1590" w:name="_Toc418518179"/>
      <w:r>
        <w:rPr>
          <w:rFonts w:hint="eastAsia" w:ascii="宋体" w:cs="宋体"/>
          <w:color w:val="auto"/>
          <w:highlight w:val="none"/>
        </w:rPr>
        <w:t>16.2 承包人违约</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6DED292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16.2.1 承包人违约的情形</w:t>
      </w:r>
    </w:p>
    <w:p w14:paraId="6DFA3DE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承包人违约的其他情形：</w:t>
      </w:r>
      <w:r>
        <w:rPr>
          <w:rFonts w:ascii="宋体" w:hAnsi="宋体" w:eastAsia="宋体" w:cs="宋体"/>
          <w:color w:val="auto"/>
          <w:spacing w:val="8"/>
          <w:sz w:val="20"/>
          <w:szCs w:val="20"/>
          <w:highlight w:val="none"/>
          <w:u w:val="single" w:color="auto"/>
        </w:rPr>
        <w:t>同通用条款以及专用条</w:t>
      </w:r>
      <w:r>
        <w:rPr>
          <w:rFonts w:ascii="宋体" w:hAnsi="宋体" w:eastAsia="宋体" w:cs="宋体"/>
          <w:color w:val="auto"/>
          <w:spacing w:val="7"/>
          <w:sz w:val="20"/>
          <w:szCs w:val="20"/>
          <w:highlight w:val="none"/>
          <w:u w:val="single" w:color="auto"/>
        </w:rPr>
        <w:t>款约定的情形</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D1BCD1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5799AA1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承包人违约责任的承担方式和计算方法：</w:t>
      </w:r>
    </w:p>
    <w:p w14:paraId="1F5B114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（1）承包人未按本合同通用条款第一款第 16.2.1（2）、（3）项内容完成的，承包人无条件返工处理，直到达到工程质量要求并承担相关的费用；若未能发包人规定的时间内完成返工，发包人有权不予支付返工部分的工程款，并且另行委托他人进行返工。如返工产生的费用超过发包人扣减承包人工程款的，承包人应承担发包人为返工该部分工程产生的实际费用。</w:t>
      </w:r>
    </w:p>
    <w:p w14:paraId="681F591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（2）承包人存在本合同通用条款第一款第 16.2.1（6）项情形的，或经监理人检验返工修复质量不合格承包人拒绝再次返工的，发包人将不返还承包人所有的质量保修金。发包人有权另行委托他人进行返工。如返工产生的费用超过质量保修数额的，承包人应承担发包人为返工该部分工程产生的实际费用。</w:t>
      </w:r>
    </w:p>
    <w:p w14:paraId="6D16506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eastAsia="宋体" w:cs="宋体"/>
          <w:color w:val="auto"/>
          <w:spacing w:val="8"/>
          <w:sz w:val="20"/>
          <w:szCs w:val="20"/>
          <w:highlight w:val="none"/>
        </w:rPr>
        <w:t>承包人存在本专用合同条款第</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3.2、3.3</w:t>
      </w:r>
      <w:r>
        <w:rPr>
          <w:rFonts w:ascii="宋体" w:hAnsi="宋体" w:eastAsia="宋体" w:cs="宋体"/>
          <w:color w:val="auto"/>
          <w:spacing w:val="-39"/>
          <w:sz w:val="20"/>
          <w:szCs w:val="20"/>
          <w:highlight w:val="none"/>
        </w:rPr>
        <w:t xml:space="preserve"> </w:t>
      </w:r>
      <w:r>
        <w:rPr>
          <w:rFonts w:ascii="宋体" w:hAnsi="宋体" w:eastAsia="宋体" w:cs="宋体"/>
          <w:color w:val="auto"/>
          <w:spacing w:val="8"/>
          <w:sz w:val="20"/>
          <w:szCs w:val="20"/>
          <w:highlight w:val="none"/>
        </w:rPr>
        <w:t>条违约责任的、发包人将扣除承包人的违约金</w:t>
      </w:r>
      <w:r>
        <w:rPr>
          <w:rFonts w:hint="eastAsia" w:ascii="宋体" w:hAnsi="宋体" w:cs="宋体"/>
          <w:color w:val="auto"/>
          <w:kern w:val="0"/>
          <w:szCs w:val="21"/>
          <w:highlight w:val="none"/>
        </w:rPr>
        <w:t>。</w:t>
      </w:r>
    </w:p>
    <w:p w14:paraId="7D49162B">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16.2.3 因承包人违约解除合同</w:t>
      </w:r>
    </w:p>
    <w:p w14:paraId="1BF9C0E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lang w:val="en-US" w:eastAsia="zh-CN"/>
        </w:rPr>
        <w:t>承</w:t>
      </w:r>
      <w:r>
        <w:rPr>
          <w:rFonts w:ascii="宋体" w:hAnsi="宋体" w:eastAsia="宋体" w:cs="宋体"/>
          <w:color w:val="auto"/>
          <w:spacing w:val="9"/>
          <w:sz w:val="20"/>
          <w:szCs w:val="20"/>
          <w:highlight w:val="none"/>
          <w:u w:val="single" w:color="auto"/>
        </w:rPr>
        <w:t>包人有违反以下情况之一的，发包人有权解除合同；1）承</w:t>
      </w:r>
      <w:r>
        <w:rPr>
          <w:rFonts w:ascii="宋体" w:hAnsi="宋体" w:eastAsia="宋体" w:cs="宋体"/>
          <w:color w:val="auto"/>
          <w:spacing w:val="14"/>
          <w:sz w:val="20"/>
          <w:szCs w:val="20"/>
          <w:highlight w:val="none"/>
          <w:u w:val="single" w:color="auto"/>
        </w:rPr>
        <w:t>包人无正当理由不按开工通知的要求及时进场组织施工和不按签订协议书的时间定的进度计划有效地开</w:t>
      </w:r>
      <w:r>
        <w:rPr>
          <w:rFonts w:ascii="宋体" w:hAnsi="宋体" w:eastAsia="宋体" w:cs="宋体"/>
          <w:color w:val="auto"/>
          <w:spacing w:val="8"/>
          <w:sz w:val="20"/>
          <w:szCs w:val="20"/>
          <w:highlight w:val="none"/>
          <w:u w:val="single" w:color="auto"/>
        </w:rPr>
        <w:t>展施工准备，造成延期开工超过</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8"/>
          <w:sz w:val="20"/>
          <w:szCs w:val="20"/>
          <w:highlight w:val="none"/>
          <w:u w:val="single" w:color="auto"/>
        </w:rPr>
        <w:t>30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天的；2）承包人违反本合同通用条款第</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8"/>
          <w:sz w:val="20"/>
          <w:szCs w:val="20"/>
          <w:highlight w:val="none"/>
          <w:u w:val="single" w:color="auto"/>
        </w:rPr>
        <w:t>3</w:t>
      </w:r>
      <w:r>
        <w:rPr>
          <w:rFonts w:ascii="宋体" w:hAnsi="宋体" w:eastAsia="宋体" w:cs="宋体"/>
          <w:color w:val="auto"/>
          <w:spacing w:val="7"/>
          <w:sz w:val="20"/>
          <w:szCs w:val="20"/>
          <w:highlight w:val="none"/>
          <w:u w:val="single" w:color="auto"/>
        </w:rPr>
        <w:t>.5</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条规定私自将合同或合同</w:t>
      </w:r>
      <w:r>
        <w:rPr>
          <w:rFonts w:ascii="宋体" w:hAnsi="宋体" w:eastAsia="宋体" w:cs="宋体"/>
          <w:color w:val="auto"/>
          <w:spacing w:val="12"/>
          <w:sz w:val="20"/>
          <w:szCs w:val="20"/>
          <w:highlight w:val="none"/>
          <w:u w:val="single" w:color="auto"/>
        </w:rPr>
        <w:t>的任何部分或任何权利转移给其他人，或私自将工程</w:t>
      </w:r>
      <w:r>
        <w:rPr>
          <w:rFonts w:ascii="宋体" w:hAnsi="宋体" w:eastAsia="宋体" w:cs="宋体"/>
          <w:color w:val="auto"/>
          <w:spacing w:val="11"/>
          <w:sz w:val="20"/>
          <w:szCs w:val="20"/>
          <w:highlight w:val="none"/>
          <w:u w:val="single" w:color="auto"/>
        </w:rPr>
        <w:t>或工程的一部分分包出去的。3）未经监理人批准，</w:t>
      </w:r>
      <w:r>
        <w:rPr>
          <w:rFonts w:ascii="宋体" w:hAnsi="宋体" w:eastAsia="宋体" w:cs="宋体"/>
          <w:color w:val="auto"/>
          <w:spacing w:val="9"/>
          <w:sz w:val="20"/>
          <w:szCs w:val="20"/>
          <w:highlight w:val="none"/>
          <w:u w:val="single" w:color="auto"/>
        </w:rPr>
        <w:t>承包人私自将已按投标文件承诺进入工地现场的工程施工设备、材料等调离施工现场的</w:t>
      </w:r>
      <w:r>
        <w:rPr>
          <w:rFonts w:hint="eastAsia" w:ascii="宋体" w:hAnsi="宋体" w:cs="宋体"/>
          <w:color w:val="auto"/>
          <w:kern w:val="0"/>
          <w:szCs w:val="21"/>
          <w:highlight w:val="none"/>
        </w:rPr>
        <w:t>。</w:t>
      </w:r>
    </w:p>
    <w:p w14:paraId="3DB707F1">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w:t>
      </w:r>
      <w:r>
        <w:rPr>
          <w:rFonts w:ascii="宋体" w:hAnsi="宋体" w:eastAsia="宋体" w:cs="宋体"/>
          <w:color w:val="auto"/>
          <w:spacing w:val="7"/>
          <w:sz w:val="20"/>
          <w:szCs w:val="20"/>
          <w:highlight w:val="none"/>
          <w:u w:val="single" w:color="auto"/>
        </w:rPr>
        <w:t xml:space="preserve"> 承包人承担</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5C0BBB9">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591" w:name="_Toc418518180"/>
      <w:bookmarkStart w:id="1592" w:name="_Toc373478416"/>
      <w:bookmarkStart w:id="1593" w:name="_Toc418518416"/>
      <w:bookmarkStart w:id="1594" w:name="_Toc403579004"/>
      <w:bookmarkStart w:id="1595" w:name="_Toc351203649"/>
      <w:bookmarkStart w:id="1596" w:name="_Toc256000247"/>
      <w:bookmarkStart w:id="1597" w:name="_Toc418061381"/>
      <w:bookmarkStart w:id="1598" w:name="_Toc7156"/>
      <w:bookmarkStart w:id="1599" w:name="_Toc389065334"/>
      <w:bookmarkStart w:id="1600" w:name="_Toc497746851"/>
      <w:bookmarkStart w:id="1601" w:name="_Toc373227769"/>
      <w:bookmarkStart w:id="1602" w:name="_Toc418752312"/>
      <w:bookmarkStart w:id="1603" w:name="_Toc522201796"/>
      <w:bookmarkStart w:id="1604" w:name="_Toc497747248"/>
      <w:bookmarkStart w:id="1605" w:name="_Toc418751866"/>
      <w:r>
        <w:rPr>
          <w:rFonts w:hint="eastAsia" w:ascii="宋体" w:cs="宋体"/>
          <w:color w:val="auto"/>
          <w:highlight w:val="none"/>
        </w:rPr>
        <w:t>17. 不可抗力</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rPr>
          <w:rFonts w:hint="eastAsia" w:ascii="宋体" w:cs="宋体"/>
          <w:color w:val="auto"/>
          <w:highlight w:val="none"/>
        </w:rPr>
        <w:t xml:space="preserve"> </w:t>
      </w:r>
      <w:bookmarkEnd w:id="1561"/>
    </w:p>
    <w:p w14:paraId="54D73AA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06" w:name="_Toc373478417"/>
      <w:bookmarkStart w:id="1607" w:name="_Toc256000248"/>
      <w:bookmarkStart w:id="1608" w:name="_Toc373227770"/>
      <w:bookmarkStart w:id="1609" w:name="_Toc389065335"/>
      <w:bookmarkStart w:id="1610" w:name="_Toc418518417"/>
      <w:bookmarkStart w:id="1611" w:name="_Toc497746852"/>
      <w:bookmarkStart w:id="1612" w:name="_Toc418518181"/>
      <w:bookmarkStart w:id="1613" w:name="_Toc418751867"/>
      <w:bookmarkStart w:id="1614" w:name="_Toc522201797"/>
      <w:bookmarkStart w:id="1615" w:name="_Toc418061382"/>
      <w:bookmarkStart w:id="1616" w:name="_Toc403579005"/>
      <w:bookmarkStart w:id="1617" w:name="_Toc359"/>
      <w:bookmarkStart w:id="1618" w:name="_Toc497747249"/>
      <w:bookmarkStart w:id="1619" w:name="_Toc418752313"/>
      <w:r>
        <w:rPr>
          <w:rFonts w:hint="eastAsia" w:ascii="宋体" w:cs="宋体"/>
          <w:color w:val="auto"/>
          <w:highlight w:val="none"/>
        </w:rPr>
        <w:t>17.1 不可抗力的确认</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0EC351B4">
      <w:pPr>
        <w:pStyle w:val="246"/>
        <w:pageBreakBefore w:val="0"/>
        <w:widowControl w:val="0"/>
        <w:kinsoku/>
        <w:wordWrap/>
        <w:overflowPunct/>
        <w:topLinePunct w:val="0"/>
        <w:bidi w:val="0"/>
        <w:snapToGrid/>
        <w:spacing w:line="440" w:lineRule="exact"/>
        <w:ind w:firstLine="420" w:firstLineChars="200"/>
        <w:textAlignment w:val="auto"/>
        <w:rPr>
          <w:rFonts w:ascii="宋体" w:hAnsi="宋体" w:eastAsia="宋体" w:cs="宋体"/>
          <w:color w:val="auto"/>
          <w:spacing w:val="7"/>
          <w:sz w:val="20"/>
          <w:szCs w:val="20"/>
          <w:highlight w:val="none"/>
          <w:u w:val="single" w:color="auto"/>
        </w:rPr>
      </w:pPr>
      <w:r>
        <w:rPr>
          <w:rFonts w:hint="eastAsia" w:ascii="宋体" w:hAnsi="宋体" w:cs="宋体"/>
          <w:color w:val="auto"/>
          <w:szCs w:val="21"/>
          <w:highlight w:val="none"/>
        </w:rPr>
        <w:t>除通用合同条款约定的不可抗力事件之外，视为不可抗力的其他情形：</w:t>
      </w:r>
      <w:r>
        <w:rPr>
          <w:rFonts w:ascii="宋体" w:hAnsi="宋体" w:eastAsia="宋体" w:cs="宋体"/>
          <w:color w:val="auto"/>
          <w:spacing w:val="7"/>
          <w:sz w:val="20"/>
          <w:szCs w:val="20"/>
          <w:highlight w:val="none"/>
          <w:u w:val="single" w:color="auto"/>
        </w:rPr>
        <w:t>（1）恐怖主义、动乱、空中飞行整体坠落；（2）非发包人、承包人责任造成的爆炸、停工、火灾；（3）当地气象部门规定的情形； （4）当地地震部门规定的情形；（5）当地卫生部门规定的情形；（6）当地政府相关部门提供的对不可抗力的证明材料</w:t>
      </w:r>
      <w:r>
        <w:rPr>
          <w:rFonts w:hint="eastAsia" w:ascii="宋体" w:hAnsi="宋体" w:eastAsia="宋体" w:cs="宋体"/>
          <w:color w:val="auto"/>
          <w:spacing w:val="7"/>
          <w:sz w:val="20"/>
          <w:szCs w:val="20"/>
          <w:highlight w:val="none"/>
          <w:u w:val="single" w:color="auto"/>
        </w:rPr>
        <w:t>。</w:t>
      </w:r>
    </w:p>
    <w:p w14:paraId="7D6129AF">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20" w:name="_Toc373478418"/>
      <w:bookmarkStart w:id="1621" w:name="_Toc418751868"/>
      <w:bookmarkStart w:id="1622" w:name="_Toc389065336"/>
      <w:bookmarkStart w:id="1623" w:name="_Toc497747250"/>
      <w:bookmarkStart w:id="1624" w:name="_Toc403579006"/>
      <w:bookmarkStart w:id="1625" w:name="_Toc418518182"/>
      <w:bookmarkStart w:id="1626" w:name="_Toc418752314"/>
      <w:bookmarkStart w:id="1627" w:name="_Toc418061383"/>
      <w:bookmarkStart w:id="1628" w:name="_Toc15605"/>
      <w:bookmarkStart w:id="1629" w:name="_Toc256000249"/>
      <w:bookmarkStart w:id="1630" w:name="_Toc373227771"/>
      <w:bookmarkStart w:id="1631" w:name="_Toc522201798"/>
      <w:bookmarkStart w:id="1632" w:name="_Toc418518418"/>
      <w:bookmarkStart w:id="1633" w:name="_Toc497746853"/>
      <w:r>
        <w:rPr>
          <w:rFonts w:hint="eastAsia" w:ascii="宋体" w:cs="宋体"/>
          <w:color w:val="auto"/>
          <w:highlight w:val="none"/>
        </w:rPr>
        <w:t>17.4 因不可抗力解除合同</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14:paraId="4F9B811E">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合同解除后，发包人应在商定或确定发包人应支付款项后</w:t>
      </w:r>
      <w:r>
        <w:rPr>
          <w:rFonts w:ascii="宋体" w:hAnsi="宋体" w:eastAsia="宋体" w:cs="宋体"/>
          <w:color w:val="auto"/>
          <w:spacing w:val="7"/>
          <w:sz w:val="20"/>
          <w:szCs w:val="20"/>
          <w:highlight w:val="none"/>
          <w:u w:val="single" w:color="auto"/>
        </w:rPr>
        <w:t xml:space="preserve"> 承包人提出书面申请</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7"/>
          <w:sz w:val="20"/>
          <w:szCs w:val="20"/>
          <w:highlight w:val="none"/>
          <w:u w:val="single" w:color="auto"/>
        </w:rPr>
        <w:t>1</w:t>
      </w:r>
      <w:r>
        <w:rPr>
          <w:rFonts w:ascii="宋体" w:hAnsi="宋体" w:eastAsia="宋体" w:cs="宋体"/>
          <w:color w:val="auto"/>
          <w:spacing w:val="6"/>
          <w:sz w:val="20"/>
          <w:szCs w:val="20"/>
          <w:highlight w:val="none"/>
          <w:u w:val="single" w:color="auto"/>
        </w:rPr>
        <w:t>4</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天内完成款项的支付。</w:t>
      </w:r>
    </w:p>
    <w:p w14:paraId="6EB1D4EA">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634" w:name="_Toc26890"/>
      <w:bookmarkStart w:id="1635" w:name="_Toc497747251"/>
      <w:bookmarkStart w:id="1636" w:name="_Toc389065337"/>
      <w:bookmarkStart w:id="1637" w:name="_Toc403579007"/>
      <w:bookmarkStart w:id="1638" w:name="_Toc418518183"/>
      <w:bookmarkStart w:id="1639" w:name="_Toc351203650"/>
      <w:bookmarkStart w:id="1640" w:name="_Toc418751869"/>
      <w:bookmarkStart w:id="1641" w:name="_Toc418061384"/>
      <w:bookmarkStart w:id="1642" w:name="_Toc418518419"/>
      <w:bookmarkStart w:id="1643" w:name="_Toc522201799"/>
      <w:bookmarkStart w:id="1644" w:name="_Toc497746854"/>
      <w:bookmarkStart w:id="1645" w:name="_Toc373478419"/>
      <w:bookmarkStart w:id="1646" w:name="_Toc256000250"/>
      <w:bookmarkStart w:id="1647" w:name="_Toc373227772"/>
      <w:bookmarkStart w:id="1648" w:name="_Toc418752315"/>
      <w:r>
        <w:rPr>
          <w:rFonts w:hint="eastAsia" w:ascii="宋体" w:cs="宋体"/>
          <w:color w:val="auto"/>
          <w:highlight w:val="none"/>
        </w:rPr>
        <w:t>18. 保险</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bookmarkEnd w:id="1562"/>
    <w:p w14:paraId="6A4E1F0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49" w:name="_Toc373227773"/>
      <w:bookmarkStart w:id="1650" w:name="_Toc256000251"/>
      <w:bookmarkStart w:id="1651" w:name="_Toc522201800"/>
      <w:bookmarkStart w:id="1652" w:name="_Toc418752316"/>
      <w:bookmarkStart w:id="1653" w:name="_Toc497746855"/>
      <w:bookmarkStart w:id="1654" w:name="_Toc389065338"/>
      <w:bookmarkStart w:id="1655" w:name="_Toc8512"/>
      <w:bookmarkStart w:id="1656" w:name="_Toc418518184"/>
      <w:bookmarkStart w:id="1657" w:name="_Toc373478420"/>
      <w:bookmarkStart w:id="1658" w:name="_Toc418518420"/>
      <w:bookmarkStart w:id="1659" w:name="_Toc403579008"/>
      <w:bookmarkStart w:id="1660" w:name="_Toc418751870"/>
      <w:bookmarkStart w:id="1661" w:name="_Toc418061385"/>
      <w:bookmarkStart w:id="1662" w:name="_Toc497747252"/>
      <w:r>
        <w:rPr>
          <w:rFonts w:hint="eastAsia" w:ascii="宋体" w:cs="宋体"/>
          <w:color w:val="auto"/>
          <w:highlight w:val="none"/>
        </w:rPr>
        <w:t>18.1 工程保险</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526E4E0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关于工程保险的特别约定：</w:t>
      </w:r>
      <w:r>
        <w:rPr>
          <w:rFonts w:ascii="宋体" w:hAnsi="宋体" w:eastAsia="宋体" w:cs="宋体"/>
          <w:color w:val="auto"/>
          <w:spacing w:val="7"/>
          <w:sz w:val="20"/>
          <w:szCs w:val="20"/>
          <w:highlight w:val="none"/>
          <w:u w:val="single" w:color="auto"/>
        </w:rPr>
        <w:t xml:space="preserve">无 </w:t>
      </w:r>
      <w:r>
        <w:rPr>
          <w:rFonts w:hint="eastAsia" w:ascii="宋体" w:hAnsi="宋体" w:cs="宋体"/>
          <w:color w:val="auto"/>
          <w:kern w:val="0"/>
          <w:szCs w:val="21"/>
          <w:highlight w:val="none"/>
        </w:rPr>
        <w:t>。</w:t>
      </w:r>
    </w:p>
    <w:p w14:paraId="1490411F">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63" w:name="_Toc418518185"/>
      <w:bookmarkStart w:id="1664" w:name="_Toc418751871"/>
      <w:bookmarkStart w:id="1665" w:name="_Toc389065339"/>
      <w:bookmarkStart w:id="1666" w:name="_Toc522201801"/>
      <w:bookmarkStart w:id="1667" w:name="_Toc31022"/>
      <w:bookmarkStart w:id="1668" w:name="_Toc497746856"/>
      <w:bookmarkStart w:id="1669" w:name="_Toc373478421"/>
      <w:bookmarkStart w:id="1670" w:name="_Toc403579009"/>
      <w:bookmarkStart w:id="1671" w:name="_Toc418061386"/>
      <w:bookmarkStart w:id="1672" w:name="_Toc256000252"/>
      <w:bookmarkStart w:id="1673" w:name="_Toc418518421"/>
      <w:bookmarkStart w:id="1674" w:name="_Toc418752317"/>
      <w:bookmarkStart w:id="1675" w:name="_Toc373227774"/>
      <w:bookmarkStart w:id="1676" w:name="_Toc497747253"/>
      <w:r>
        <w:rPr>
          <w:rFonts w:hint="eastAsia" w:ascii="宋体" w:cs="宋体"/>
          <w:color w:val="auto"/>
          <w:highlight w:val="none"/>
        </w:rPr>
        <w:t>18.3 其他保险</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42FA541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关于其他保险的约定：</w:t>
      </w:r>
      <w:r>
        <w:rPr>
          <w:rFonts w:ascii="宋体" w:hAnsi="宋体" w:eastAsia="宋体" w:cs="宋体"/>
          <w:color w:val="auto"/>
          <w:spacing w:val="8"/>
          <w:sz w:val="20"/>
          <w:szCs w:val="20"/>
          <w:highlight w:val="none"/>
          <w:u w:val="single" w:color="auto"/>
        </w:rPr>
        <w:t>承包人根据市建协字【2009】3</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号文须缴纳建筑意外伤害保险费</w:t>
      </w:r>
      <w:r>
        <w:rPr>
          <w:rFonts w:hint="eastAsia" w:ascii="宋体" w:hAnsi="宋体" w:cs="宋体"/>
          <w:bCs/>
          <w:color w:val="auto"/>
          <w:szCs w:val="21"/>
          <w:highlight w:val="none"/>
        </w:rPr>
        <w:t>。</w:t>
      </w:r>
    </w:p>
    <w:p w14:paraId="67FC745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同通用条款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8F9AE3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77" w:name="_Toc418751872"/>
      <w:bookmarkStart w:id="1678" w:name="_Toc418518422"/>
      <w:bookmarkStart w:id="1679" w:name="_Toc373478422"/>
      <w:bookmarkStart w:id="1680" w:name="_Toc418518186"/>
      <w:bookmarkStart w:id="1681" w:name="_Toc256000253"/>
      <w:bookmarkStart w:id="1682" w:name="_Toc389065340"/>
      <w:bookmarkStart w:id="1683" w:name="_Toc497747254"/>
      <w:bookmarkStart w:id="1684" w:name="_Toc418752318"/>
      <w:bookmarkStart w:id="1685" w:name="_Toc403579010"/>
      <w:bookmarkStart w:id="1686" w:name="_Toc497746857"/>
      <w:bookmarkStart w:id="1687" w:name="_Toc418061387"/>
      <w:bookmarkStart w:id="1688" w:name="_Toc373227775"/>
      <w:bookmarkStart w:id="1689" w:name="_Toc522201802"/>
      <w:bookmarkStart w:id="1690" w:name="_Toc3550"/>
      <w:r>
        <w:rPr>
          <w:rFonts w:hint="eastAsia" w:ascii="宋体" w:cs="宋体"/>
          <w:color w:val="auto"/>
          <w:highlight w:val="none"/>
        </w:rPr>
        <w:t>18.7 通知义务</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1DFEAA8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关于变更保险合同时的通知义务的约定：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同通用条款</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bookmarkEnd w:id="1482"/>
    <w:bookmarkEnd w:id="1483"/>
    <w:bookmarkEnd w:id="1484"/>
    <w:bookmarkEnd w:id="1485"/>
    <w:bookmarkEnd w:id="1486"/>
    <w:bookmarkEnd w:id="1487"/>
    <w:bookmarkEnd w:id="1488"/>
    <w:bookmarkEnd w:id="1489"/>
    <w:bookmarkEnd w:id="1490"/>
    <w:bookmarkEnd w:id="1491"/>
    <w:bookmarkEnd w:id="1492"/>
    <w:bookmarkEnd w:id="1493"/>
    <w:p w14:paraId="0F59173D">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691" w:name="_Toc389065341"/>
      <w:bookmarkStart w:id="1692" w:name="_Toc522201803"/>
      <w:bookmarkStart w:id="1693" w:name="_Toc24527"/>
      <w:bookmarkStart w:id="1694" w:name="_Toc418518187"/>
      <w:bookmarkStart w:id="1695" w:name="_Toc373227776"/>
      <w:bookmarkStart w:id="1696" w:name="_Toc418752319"/>
      <w:bookmarkStart w:id="1697" w:name="_Toc418751873"/>
      <w:bookmarkStart w:id="1698" w:name="_Toc418518423"/>
      <w:bookmarkStart w:id="1699" w:name="_Toc351203651"/>
      <w:bookmarkStart w:id="1700" w:name="_Toc256000254"/>
      <w:bookmarkStart w:id="1701" w:name="_Toc373478423"/>
      <w:bookmarkStart w:id="1702" w:name="_Toc418061388"/>
      <w:bookmarkStart w:id="1703" w:name="_Toc497746858"/>
      <w:bookmarkStart w:id="1704" w:name="_Toc497747255"/>
      <w:bookmarkStart w:id="1705" w:name="_Toc403579011"/>
      <w:r>
        <w:rPr>
          <w:rFonts w:hint="eastAsia" w:ascii="宋体" w:cs="宋体"/>
          <w:color w:val="auto"/>
          <w:highlight w:val="none"/>
        </w:rPr>
        <w:t>20. 争议解决</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bookmarkEnd w:id="1494"/>
    <w:bookmarkEnd w:id="1495"/>
    <w:p w14:paraId="774EB2B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06" w:name="_Toc403579012"/>
      <w:bookmarkStart w:id="1707" w:name="_Toc418518424"/>
      <w:bookmarkStart w:id="1708" w:name="_Toc389065342"/>
      <w:bookmarkStart w:id="1709" w:name="_Toc373478424"/>
      <w:bookmarkStart w:id="1710" w:name="_Toc497746859"/>
      <w:bookmarkStart w:id="1711" w:name="_Toc522201804"/>
      <w:bookmarkStart w:id="1712" w:name="_Toc418061389"/>
      <w:bookmarkStart w:id="1713" w:name="_Toc418751874"/>
      <w:bookmarkStart w:id="1714" w:name="_Toc256000255"/>
      <w:bookmarkStart w:id="1715" w:name="_Toc418752320"/>
      <w:bookmarkStart w:id="1716" w:name="_Toc497747256"/>
      <w:bookmarkStart w:id="1717" w:name="_Toc373227777"/>
      <w:bookmarkStart w:id="1718" w:name="_Toc418518188"/>
      <w:bookmarkStart w:id="1719" w:name="_Toc18860"/>
      <w:r>
        <w:rPr>
          <w:rFonts w:hint="eastAsia" w:ascii="宋体" w:cs="宋体"/>
          <w:color w:val="auto"/>
          <w:highlight w:val="none"/>
        </w:rPr>
        <w:t>20.3 争</w:t>
      </w:r>
      <w:bookmarkEnd w:id="1496"/>
      <w:r>
        <w:rPr>
          <w:rFonts w:hint="eastAsia" w:ascii="宋体" w:cs="宋体"/>
          <w:color w:val="auto"/>
          <w:highlight w:val="none"/>
        </w:rPr>
        <w:t>议评审</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2E4E18C2">
      <w:pPr>
        <w:pStyle w:val="246"/>
        <w:pageBreakBefore w:val="0"/>
        <w:widowControl w:val="0"/>
        <w:kinsoku/>
        <w:wordWrap/>
        <w:overflowPunct/>
        <w:topLinePunct w:val="0"/>
        <w:bidi w:val="0"/>
        <w:snapToGrid/>
        <w:spacing w:line="440" w:lineRule="exact"/>
        <w:ind w:left="170" w:leftChars="71" w:firstLine="315" w:firstLineChars="1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否</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802476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6C9C3F0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CFB3E2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B50301E">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BD6499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DBD36E">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20.3.2 争议评审小组的决定</w:t>
      </w:r>
    </w:p>
    <w:p w14:paraId="409F6F9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1DF0D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20" w:name="_Toc389065343"/>
      <w:bookmarkStart w:id="1721" w:name="_Toc418752321"/>
      <w:bookmarkStart w:id="1722" w:name="_Toc256000256"/>
      <w:bookmarkStart w:id="1723" w:name="_Toc497747257"/>
      <w:bookmarkStart w:id="1724" w:name="_Toc418751875"/>
      <w:bookmarkStart w:id="1725" w:name="_Toc522201805"/>
      <w:bookmarkStart w:id="1726" w:name="_Toc373227778"/>
      <w:bookmarkStart w:id="1727" w:name="_Toc32246"/>
      <w:bookmarkStart w:id="1728" w:name="_Toc418061390"/>
      <w:bookmarkStart w:id="1729" w:name="_Toc373478425"/>
      <w:bookmarkStart w:id="1730" w:name="_Toc418518189"/>
      <w:bookmarkStart w:id="1731" w:name="_Toc418518425"/>
      <w:bookmarkStart w:id="1732" w:name="_Toc403579013"/>
      <w:bookmarkStart w:id="1733" w:name="_Toc497746860"/>
      <w:r>
        <w:rPr>
          <w:rFonts w:hint="eastAsia" w:ascii="宋体" w:cs="宋体"/>
          <w:color w:val="auto"/>
          <w:highlight w:val="none"/>
        </w:rPr>
        <w:t>20.4 仲裁或诉讼</w:t>
      </w:r>
      <w:bookmarkEnd w:id="1497"/>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39CCB06D">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261EEA8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（1）提请</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桂林市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仲裁委员会按照该会仲裁规则进行仲裁，仲裁裁决是终局的，对合同双方均有约束力。</w:t>
      </w:r>
    </w:p>
    <w:p w14:paraId="3C60712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项目所在地   </w:t>
      </w:r>
      <w:r>
        <w:rPr>
          <w:rFonts w:hint="eastAsia" w:ascii="宋体" w:hAnsi="宋体" w:cs="宋体"/>
          <w:color w:val="auto"/>
          <w:szCs w:val="21"/>
          <w:highlight w:val="none"/>
        </w:rPr>
        <w:t>人民法院起诉。</w:t>
      </w:r>
      <w:bookmarkEnd w:id="1498"/>
      <w:bookmarkEnd w:id="1499"/>
      <w:bookmarkEnd w:id="1500"/>
      <w:bookmarkEnd w:id="1501"/>
      <w:bookmarkEnd w:id="1502"/>
      <w:bookmarkEnd w:id="1503"/>
    </w:p>
    <w:p w14:paraId="07F84429">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734" w:name="_Toc6307"/>
      <w:bookmarkStart w:id="1735" w:name="_Toc497746861"/>
      <w:bookmarkStart w:id="1736" w:name="_Toc373478426"/>
      <w:bookmarkStart w:id="1737" w:name="_Toc256000257"/>
      <w:bookmarkStart w:id="1738" w:name="_Toc373227779"/>
      <w:bookmarkStart w:id="1739" w:name="_Toc522201806"/>
      <w:bookmarkStart w:id="1740" w:name="_Toc395382582"/>
      <w:bookmarkStart w:id="1741" w:name="_Toc497747258"/>
      <w:bookmarkStart w:id="1742" w:name="_Toc389065344"/>
      <w:r>
        <w:rPr>
          <w:rFonts w:hint="eastAsia" w:ascii="宋体" w:cs="宋体"/>
          <w:color w:val="auto"/>
          <w:highlight w:val="none"/>
        </w:rPr>
        <w:t>21. 补充条款</w:t>
      </w:r>
      <w:bookmarkEnd w:id="1734"/>
      <w:bookmarkEnd w:id="1735"/>
      <w:bookmarkEnd w:id="1736"/>
      <w:bookmarkEnd w:id="1737"/>
      <w:bookmarkEnd w:id="1738"/>
      <w:bookmarkEnd w:id="1739"/>
      <w:bookmarkEnd w:id="1740"/>
      <w:bookmarkEnd w:id="1741"/>
      <w:bookmarkEnd w:id="1742"/>
    </w:p>
    <w:bookmarkEnd w:id="145"/>
    <w:p w14:paraId="11075677">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21.1 承包人必须在竣工验收前 7 日内提供齐全的散装水泥、多孔砖、砼砌块等材料发票复印件（原件备查，发票中工程量与投标清单一致）；提供桂林市建设行业农民工工资保障金退款相关资料，以便发包人到有关部门办理退款手续。否则，发包人有权按有关部门收缴标准及数额在承包人工程尾款中扣罚。</w:t>
      </w:r>
    </w:p>
    <w:p w14:paraId="7EC50B71">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21.2 承包人应积极提供有关承包人应提供的资料， 以配合发包人办理施工许可证（如需）。</w:t>
      </w:r>
    </w:p>
    <w:p w14:paraId="7F09047A">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 xml:space="preserve">21.3 按时支付农民工工资，发包人支付到合同价的 </w:t>
      </w:r>
      <w:r>
        <w:rPr>
          <w:rFonts w:hint="eastAsia" w:ascii="宋体" w:hAnsi="宋体" w:cs="宋体"/>
          <w:color w:val="auto"/>
          <w:kern w:val="0"/>
          <w:szCs w:val="21"/>
          <w:highlight w:val="none"/>
          <w:lang w:val="en-US" w:eastAsia="zh-CN"/>
        </w:rPr>
        <w:t>6</w:t>
      </w:r>
      <w:r>
        <w:rPr>
          <w:rFonts w:ascii="宋体" w:hAnsi="宋体" w:cs="宋体"/>
          <w:color w:val="auto"/>
          <w:kern w:val="0"/>
          <w:szCs w:val="21"/>
          <w:highlight w:val="none"/>
        </w:rPr>
        <w:t>0%时，承包人应支付完农民工工资，否则发包人有权不支付剩余工程款。</w:t>
      </w:r>
    </w:p>
    <w:p w14:paraId="5CFF0A3B">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21.4 本工程必须是承包人独立完成，不得转包。如经发现转包，甲方有权终止合同，另行选择施工队伍</w:t>
      </w:r>
    </w:p>
    <w:p w14:paraId="492A3311">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21.5 工程变更、工程签证、隐蔽工程验收等所发生的工程量、综合单价、合价的确认步骤如下：（1）</w:t>
      </w:r>
    </w:p>
    <w:p w14:paraId="68327F86">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承包人提出；（2）现场监理工程师认可；（3）发包人派驻现场工程师（含发包人建房代表、造价咨询机构）认可；（4）发包人审核。</w:t>
      </w:r>
    </w:p>
    <w:p w14:paraId="7129EDEC">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21.6 承包人购买建筑材料时：（1）承包人按图纸要求提出材料的名称、规格、品种、质量鉴定书、单价及样品；如果图纸中没有技术要求及规格的应在图纸会审中或采购材料前由监理、发包人确认后方可采购； （2）如发包人认为需要更换或明确材料的，双方应做好记录，如该采购的材料与预算控制价所采</w:t>
      </w:r>
    </w:p>
    <w:p w14:paraId="1D7A40C2">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sectPr>
          <w:headerReference r:id="rId28" w:type="default"/>
          <w:footerReference r:id="rId29" w:type="default"/>
          <w:pgSz w:w="11906" w:h="16839"/>
          <w:pgMar w:top="1091" w:right="1047" w:bottom="1156" w:left="1134" w:header="1076" w:footer="994" w:gutter="0"/>
          <w:pgNumType w:fmt="decimal"/>
          <w:cols w:space="720" w:num="1"/>
        </w:sectPr>
      </w:pPr>
    </w:p>
    <w:p w14:paraId="0FA1EBEC">
      <w:pPr>
        <w:pStyle w:val="246"/>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宋体"/>
          <w:color w:val="auto"/>
          <w:kern w:val="0"/>
          <w:szCs w:val="21"/>
          <w:highlight w:val="none"/>
        </w:rPr>
      </w:pPr>
      <w:r>
        <w:rPr>
          <w:rFonts w:ascii="宋体" w:hAnsi="宋体" w:cs="宋体"/>
          <w:color w:val="auto"/>
          <w:kern w:val="0"/>
          <w:szCs w:val="21"/>
          <w:highlight w:val="none"/>
        </w:rPr>
        <w:t>用的材料存在价差的，应及时报告发包人。（3） 由发包人审定后方作为今后结算依据。</w:t>
      </w:r>
    </w:p>
    <w:p w14:paraId="716A023F">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21.7 工程进度款拨付时间的约定：（1）承包人完成至工程节点后，由承包人提出拨款申请；（2）由监理、发包人认可；（3） 由发包人委托的、造价咨询机构审核后拨付至承包人的单位账户。</w:t>
      </w:r>
    </w:p>
    <w:p w14:paraId="3242D249">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21.8 承包人对安全负总责任，应认真贯彻市建规字[2007]131 号文、市建规[2008]224，对《安全文明施工》的有关规定。</w:t>
      </w:r>
    </w:p>
    <w:p w14:paraId="4B9EF2E3">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21.9 承包人配合竣工资料归档、协调验收及收尾工程，并配合按照建设行政主管部门和（或）行业管理机构的规定，收集、整理、立卷、归档工程资料，并协助发包人按规定时间向建设行政主管部门或者行政管理机构移交规定的工程档案；配合完成竣工备案及行业项目综合验收。不及时整理移交竣工资料以及不配合各项验收工作的，不予进行结算及支付结算款。</w:t>
      </w:r>
    </w:p>
    <w:p w14:paraId="54531457">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21.10 若在施工期间遇有政策性调整按相关规定执行。</w:t>
      </w:r>
    </w:p>
    <w:p w14:paraId="79AD5776">
      <w:pPr>
        <w:pStyle w:val="247"/>
        <w:ind w:left="63" w:right="63"/>
        <w:rPr>
          <w:color w:val="auto"/>
          <w:highlight w:val="none"/>
        </w:rPr>
      </w:pPr>
    </w:p>
    <w:p w14:paraId="3E5CAB14">
      <w:pPr>
        <w:pStyle w:val="247"/>
        <w:ind w:left="63" w:right="63"/>
        <w:rPr>
          <w:color w:val="auto"/>
          <w:highlight w:val="none"/>
        </w:rPr>
      </w:pPr>
    </w:p>
    <w:p w14:paraId="2BB0E04C">
      <w:pPr>
        <w:pStyle w:val="247"/>
        <w:ind w:left="63" w:right="63"/>
        <w:rPr>
          <w:color w:val="auto"/>
          <w:highlight w:val="none"/>
        </w:rPr>
      </w:pPr>
    </w:p>
    <w:p w14:paraId="4BB36B72">
      <w:pPr>
        <w:spacing w:line="36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附件</w:t>
      </w:r>
    </w:p>
    <w:p w14:paraId="75156E63">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协议书附件：</w:t>
      </w:r>
    </w:p>
    <w:p w14:paraId="6066EF4E">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1：承包人承揽工程项目一览表</w:t>
      </w:r>
    </w:p>
    <w:p w14:paraId="64FC3B62">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专用合同条款附件：</w:t>
      </w:r>
    </w:p>
    <w:p w14:paraId="4371AB84">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2：发包人供应材料设备一览表</w:t>
      </w:r>
    </w:p>
    <w:p w14:paraId="38187C5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3：工程质量保修书</w:t>
      </w:r>
    </w:p>
    <w:p w14:paraId="6F157EAE">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附件4：主要建设工程文件目录</w:t>
      </w:r>
    </w:p>
    <w:p w14:paraId="22D59E83">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5：承包人用于本工程施工的机械设备表</w:t>
      </w:r>
    </w:p>
    <w:p w14:paraId="4B1D44BA">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6：承包人主要施工管理人员表</w:t>
      </w:r>
    </w:p>
    <w:p w14:paraId="2532486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7：分包人主要施工管理人员表</w:t>
      </w:r>
    </w:p>
    <w:p w14:paraId="3B7B9A5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8：履约保证金格式</w:t>
      </w:r>
    </w:p>
    <w:p w14:paraId="4F8811E2">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9：预付款担保格式</w:t>
      </w:r>
    </w:p>
    <w:p w14:paraId="51325930">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10：支付担保格式</w:t>
      </w:r>
    </w:p>
    <w:p w14:paraId="622BEE5D">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11：暂估价一览表</w:t>
      </w:r>
    </w:p>
    <w:p w14:paraId="782A9E28">
      <w:pPr>
        <w:pStyle w:val="18"/>
        <w:rPr>
          <w:rFonts w:hint="eastAsia" w:ascii="宋体" w:hAnsi="宋体" w:cs="宋体"/>
          <w:color w:val="auto"/>
          <w:szCs w:val="21"/>
          <w:highlight w:val="none"/>
        </w:rPr>
      </w:pPr>
    </w:p>
    <w:p w14:paraId="256FDFAE">
      <w:pPr>
        <w:pStyle w:val="18"/>
        <w:rPr>
          <w:rFonts w:ascii="宋体" w:hAnsi="宋体" w:cs="宋体"/>
          <w:color w:val="auto"/>
          <w:szCs w:val="21"/>
          <w:highlight w:val="none"/>
        </w:rPr>
        <w:sectPr>
          <w:footerReference r:id="rId32" w:type="first"/>
          <w:headerReference r:id="rId30" w:type="default"/>
          <w:footerReference r:id="rId31" w:type="default"/>
          <w:pgSz w:w="11906" w:h="16838"/>
          <w:pgMar w:top="1418" w:right="1115" w:bottom="1418" w:left="1131"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252DBE10">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附件1：</w:t>
      </w:r>
    </w:p>
    <w:p w14:paraId="6620171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承包人承揽工程项目一览表</w:t>
      </w:r>
    </w:p>
    <w:tbl>
      <w:tblPr>
        <w:tblStyle w:val="46"/>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5A45D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58DC248C">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单位工程名称</w:t>
            </w:r>
          </w:p>
        </w:tc>
        <w:tc>
          <w:tcPr>
            <w:tcW w:w="1843" w:type="dxa"/>
            <w:tcBorders>
              <w:top w:val="single" w:color="auto" w:sz="12" w:space="0"/>
              <w:bottom w:val="double" w:color="auto" w:sz="6" w:space="0"/>
            </w:tcBorders>
            <w:noWrap w:val="0"/>
            <w:vAlign w:val="center"/>
          </w:tcPr>
          <w:p w14:paraId="37F23D1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建设规模</w:t>
            </w:r>
          </w:p>
        </w:tc>
        <w:tc>
          <w:tcPr>
            <w:tcW w:w="1417" w:type="dxa"/>
            <w:tcBorders>
              <w:top w:val="single" w:color="auto" w:sz="12" w:space="0"/>
              <w:bottom w:val="double" w:color="auto" w:sz="6" w:space="0"/>
            </w:tcBorders>
            <w:noWrap w:val="0"/>
            <w:vAlign w:val="center"/>
          </w:tcPr>
          <w:p w14:paraId="0A5E037E">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建筑面积(平方米)</w:t>
            </w:r>
          </w:p>
        </w:tc>
        <w:tc>
          <w:tcPr>
            <w:tcW w:w="2126" w:type="dxa"/>
            <w:tcBorders>
              <w:top w:val="single" w:color="auto" w:sz="12" w:space="0"/>
              <w:bottom w:val="double" w:color="auto" w:sz="6" w:space="0"/>
            </w:tcBorders>
            <w:noWrap w:val="0"/>
            <w:vAlign w:val="center"/>
          </w:tcPr>
          <w:p w14:paraId="08E0AD49">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结构形式</w:t>
            </w:r>
          </w:p>
        </w:tc>
        <w:tc>
          <w:tcPr>
            <w:tcW w:w="850" w:type="dxa"/>
            <w:tcBorders>
              <w:top w:val="single" w:color="auto" w:sz="12" w:space="0"/>
              <w:bottom w:val="double" w:color="auto" w:sz="6" w:space="0"/>
            </w:tcBorders>
            <w:noWrap w:val="0"/>
            <w:vAlign w:val="center"/>
          </w:tcPr>
          <w:p w14:paraId="3D5F836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层数</w:t>
            </w:r>
          </w:p>
        </w:tc>
        <w:tc>
          <w:tcPr>
            <w:tcW w:w="1560" w:type="dxa"/>
            <w:tcBorders>
              <w:top w:val="single" w:color="auto" w:sz="12" w:space="0"/>
              <w:bottom w:val="double" w:color="auto" w:sz="6" w:space="0"/>
            </w:tcBorders>
            <w:noWrap w:val="0"/>
            <w:vAlign w:val="center"/>
          </w:tcPr>
          <w:p w14:paraId="3FF33CAB">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2126" w:type="dxa"/>
            <w:tcBorders>
              <w:top w:val="single" w:color="auto" w:sz="12" w:space="0"/>
              <w:bottom w:val="double" w:color="auto" w:sz="6" w:space="0"/>
            </w:tcBorders>
            <w:noWrap w:val="0"/>
            <w:vAlign w:val="center"/>
          </w:tcPr>
          <w:p w14:paraId="745C805A">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设备安装内容</w:t>
            </w:r>
          </w:p>
        </w:tc>
        <w:tc>
          <w:tcPr>
            <w:tcW w:w="1417" w:type="dxa"/>
            <w:tcBorders>
              <w:top w:val="single" w:color="auto" w:sz="12" w:space="0"/>
              <w:bottom w:val="double" w:color="auto" w:sz="6" w:space="0"/>
            </w:tcBorders>
            <w:noWrap w:val="0"/>
            <w:vAlign w:val="center"/>
          </w:tcPr>
          <w:p w14:paraId="771C298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合同价格（元）</w:t>
            </w:r>
          </w:p>
        </w:tc>
        <w:tc>
          <w:tcPr>
            <w:tcW w:w="851" w:type="dxa"/>
            <w:tcBorders>
              <w:top w:val="single" w:color="auto" w:sz="12" w:space="0"/>
              <w:bottom w:val="double" w:color="auto" w:sz="6" w:space="0"/>
            </w:tcBorders>
            <w:noWrap w:val="0"/>
            <w:vAlign w:val="center"/>
          </w:tcPr>
          <w:p w14:paraId="752C6C1A">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开工日期</w:t>
            </w:r>
          </w:p>
        </w:tc>
        <w:tc>
          <w:tcPr>
            <w:tcW w:w="850" w:type="dxa"/>
            <w:tcBorders>
              <w:top w:val="single" w:color="auto" w:sz="12" w:space="0"/>
              <w:bottom w:val="double" w:color="auto" w:sz="6" w:space="0"/>
            </w:tcBorders>
            <w:noWrap w:val="0"/>
            <w:vAlign w:val="center"/>
          </w:tcPr>
          <w:p w14:paraId="21FDC938">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竣工日期</w:t>
            </w:r>
          </w:p>
        </w:tc>
      </w:tr>
      <w:tr w14:paraId="2DDB8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4437388">
            <w:pPr>
              <w:pStyle w:val="18"/>
              <w:keepNext/>
              <w:spacing w:after="0" w:line="360" w:lineRule="exact"/>
              <w:rPr>
                <w:rFonts w:hint="eastAsia" w:ascii="宋体" w:hAnsi="宋体" w:cs="宋体"/>
                <w:color w:val="auto"/>
                <w:szCs w:val="21"/>
                <w:highlight w:val="none"/>
              </w:rPr>
            </w:pPr>
          </w:p>
        </w:tc>
        <w:tc>
          <w:tcPr>
            <w:tcW w:w="1843" w:type="dxa"/>
            <w:tcBorders>
              <w:top w:val="double" w:color="auto" w:sz="6" w:space="0"/>
              <w:bottom w:val="single" w:color="auto" w:sz="6" w:space="0"/>
            </w:tcBorders>
            <w:noWrap w:val="0"/>
            <w:vAlign w:val="center"/>
          </w:tcPr>
          <w:p w14:paraId="4C7D126A">
            <w:pPr>
              <w:pStyle w:val="18"/>
              <w:keepNext/>
              <w:spacing w:after="0" w:line="360" w:lineRule="exact"/>
              <w:rPr>
                <w:rFonts w:hint="eastAsia" w:ascii="宋体" w:hAnsi="宋体" w:cs="宋体"/>
                <w:color w:val="auto"/>
                <w:szCs w:val="21"/>
                <w:highlight w:val="none"/>
              </w:rPr>
            </w:pPr>
          </w:p>
        </w:tc>
        <w:tc>
          <w:tcPr>
            <w:tcW w:w="1417" w:type="dxa"/>
            <w:tcBorders>
              <w:top w:val="double" w:color="auto" w:sz="6" w:space="0"/>
              <w:bottom w:val="single" w:color="auto" w:sz="6" w:space="0"/>
            </w:tcBorders>
            <w:noWrap w:val="0"/>
            <w:vAlign w:val="center"/>
          </w:tcPr>
          <w:p w14:paraId="27813CFC">
            <w:pPr>
              <w:pStyle w:val="18"/>
              <w:keepNext/>
              <w:spacing w:after="0" w:line="360" w:lineRule="exact"/>
              <w:rPr>
                <w:rFonts w:hint="eastAsia" w:ascii="宋体" w:hAnsi="宋体" w:cs="宋体"/>
                <w:color w:val="auto"/>
                <w:szCs w:val="21"/>
                <w:highlight w:val="none"/>
              </w:rPr>
            </w:pPr>
          </w:p>
        </w:tc>
        <w:tc>
          <w:tcPr>
            <w:tcW w:w="2126" w:type="dxa"/>
            <w:tcBorders>
              <w:top w:val="double" w:color="auto" w:sz="6" w:space="0"/>
              <w:bottom w:val="single" w:color="auto" w:sz="6" w:space="0"/>
            </w:tcBorders>
            <w:noWrap w:val="0"/>
            <w:vAlign w:val="center"/>
          </w:tcPr>
          <w:p w14:paraId="1CE58011">
            <w:pPr>
              <w:pStyle w:val="18"/>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42D7CD1B">
            <w:pPr>
              <w:pStyle w:val="18"/>
              <w:keepNext/>
              <w:spacing w:after="0" w:line="360" w:lineRule="exact"/>
              <w:rPr>
                <w:rFonts w:hint="eastAsia" w:ascii="宋体" w:hAnsi="宋体" w:cs="宋体"/>
                <w:color w:val="auto"/>
                <w:szCs w:val="21"/>
                <w:highlight w:val="none"/>
              </w:rPr>
            </w:pPr>
          </w:p>
        </w:tc>
        <w:tc>
          <w:tcPr>
            <w:tcW w:w="1560" w:type="dxa"/>
            <w:tcBorders>
              <w:top w:val="double" w:color="auto" w:sz="6" w:space="0"/>
              <w:bottom w:val="single" w:color="auto" w:sz="6" w:space="0"/>
            </w:tcBorders>
            <w:noWrap w:val="0"/>
            <w:vAlign w:val="center"/>
          </w:tcPr>
          <w:p w14:paraId="15DC22B8">
            <w:pPr>
              <w:pStyle w:val="18"/>
              <w:keepNext/>
              <w:spacing w:after="0" w:line="360" w:lineRule="exact"/>
              <w:rPr>
                <w:rFonts w:hint="eastAsia" w:ascii="宋体" w:hAnsi="宋体" w:cs="宋体"/>
                <w:color w:val="auto"/>
                <w:szCs w:val="21"/>
                <w:highlight w:val="none"/>
              </w:rPr>
            </w:pPr>
          </w:p>
        </w:tc>
        <w:tc>
          <w:tcPr>
            <w:tcW w:w="2126" w:type="dxa"/>
            <w:tcBorders>
              <w:top w:val="double" w:color="auto" w:sz="6" w:space="0"/>
              <w:bottom w:val="single" w:color="auto" w:sz="6" w:space="0"/>
            </w:tcBorders>
            <w:noWrap w:val="0"/>
            <w:vAlign w:val="center"/>
          </w:tcPr>
          <w:p w14:paraId="2BBE3530">
            <w:pPr>
              <w:pStyle w:val="18"/>
              <w:keepNext/>
              <w:spacing w:after="0" w:line="360" w:lineRule="exact"/>
              <w:rPr>
                <w:rFonts w:hint="eastAsia" w:ascii="宋体" w:hAnsi="宋体" w:cs="宋体"/>
                <w:color w:val="auto"/>
                <w:szCs w:val="21"/>
                <w:highlight w:val="none"/>
              </w:rPr>
            </w:pPr>
          </w:p>
        </w:tc>
        <w:tc>
          <w:tcPr>
            <w:tcW w:w="1417" w:type="dxa"/>
            <w:tcBorders>
              <w:top w:val="double" w:color="auto" w:sz="6" w:space="0"/>
              <w:bottom w:val="single" w:color="auto" w:sz="6" w:space="0"/>
            </w:tcBorders>
            <w:noWrap w:val="0"/>
            <w:vAlign w:val="center"/>
          </w:tcPr>
          <w:p w14:paraId="77B49B36">
            <w:pPr>
              <w:pStyle w:val="18"/>
              <w:keepNext/>
              <w:spacing w:after="0" w:line="360" w:lineRule="exact"/>
              <w:rPr>
                <w:rFonts w:hint="eastAsia" w:ascii="宋体" w:hAnsi="宋体" w:cs="宋体"/>
                <w:color w:val="auto"/>
                <w:szCs w:val="21"/>
                <w:highlight w:val="none"/>
              </w:rPr>
            </w:pPr>
          </w:p>
        </w:tc>
        <w:tc>
          <w:tcPr>
            <w:tcW w:w="851" w:type="dxa"/>
            <w:tcBorders>
              <w:top w:val="double" w:color="auto" w:sz="6" w:space="0"/>
              <w:bottom w:val="single" w:color="auto" w:sz="6" w:space="0"/>
            </w:tcBorders>
            <w:noWrap w:val="0"/>
            <w:vAlign w:val="center"/>
          </w:tcPr>
          <w:p w14:paraId="7C5C7CB3">
            <w:pPr>
              <w:pStyle w:val="18"/>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2398626C">
            <w:pPr>
              <w:pStyle w:val="18"/>
              <w:keepNext/>
              <w:spacing w:after="0" w:line="360" w:lineRule="exact"/>
              <w:rPr>
                <w:rFonts w:hint="eastAsia" w:ascii="宋体" w:hAnsi="宋体" w:cs="宋体"/>
                <w:color w:val="auto"/>
                <w:szCs w:val="21"/>
                <w:highlight w:val="none"/>
              </w:rPr>
            </w:pPr>
          </w:p>
        </w:tc>
      </w:tr>
      <w:tr w14:paraId="0CD85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6D1ED45">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0A2A850">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202709F">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504AB1DB">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D5E722B">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6DFE6E73">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3908869">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7918889">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5926B344">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C60ED36">
            <w:pPr>
              <w:pStyle w:val="18"/>
              <w:keepNext/>
              <w:spacing w:after="0" w:line="360" w:lineRule="exact"/>
              <w:rPr>
                <w:rFonts w:hint="eastAsia" w:ascii="宋体" w:hAnsi="宋体" w:cs="宋体"/>
                <w:color w:val="auto"/>
                <w:szCs w:val="21"/>
                <w:highlight w:val="none"/>
              </w:rPr>
            </w:pPr>
          </w:p>
        </w:tc>
      </w:tr>
      <w:tr w14:paraId="2C674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31FE20F">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41CCEEE">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5D9C800">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28B36D46">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2C1943C8">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501BC079">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59C8450">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598FB293">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1533346C">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A02EB54">
            <w:pPr>
              <w:pStyle w:val="18"/>
              <w:keepNext/>
              <w:spacing w:after="0" w:line="360" w:lineRule="exact"/>
              <w:rPr>
                <w:rFonts w:hint="eastAsia" w:ascii="宋体" w:hAnsi="宋体" w:cs="宋体"/>
                <w:color w:val="auto"/>
                <w:szCs w:val="21"/>
                <w:highlight w:val="none"/>
              </w:rPr>
            </w:pPr>
          </w:p>
        </w:tc>
      </w:tr>
      <w:tr w14:paraId="62989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83B5355">
            <w:pPr>
              <w:pStyle w:val="18"/>
              <w:keepNext/>
              <w:spacing w:after="0" w:line="360" w:lineRule="exact"/>
              <w:rPr>
                <w:rFonts w:hint="eastAsia" w:ascii="宋体" w:hAnsi="宋体" w:cs="宋体"/>
                <w:color w:val="auto"/>
                <w:szCs w:val="21"/>
                <w:highlight w:val="none"/>
              </w:rPr>
            </w:pPr>
          </w:p>
        </w:tc>
        <w:tc>
          <w:tcPr>
            <w:tcW w:w="1843" w:type="dxa"/>
            <w:noWrap w:val="0"/>
            <w:vAlign w:val="center"/>
          </w:tcPr>
          <w:p w14:paraId="4524DBA8">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11EDBA39">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2E1B0EA0">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3F649AC1">
            <w:pPr>
              <w:pStyle w:val="18"/>
              <w:keepNext/>
              <w:spacing w:after="0" w:line="360" w:lineRule="exact"/>
              <w:rPr>
                <w:rFonts w:hint="eastAsia" w:ascii="宋体" w:hAnsi="宋体" w:cs="宋体"/>
                <w:color w:val="auto"/>
                <w:szCs w:val="21"/>
                <w:highlight w:val="none"/>
              </w:rPr>
            </w:pPr>
          </w:p>
        </w:tc>
        <w:tc>
          <w:tcPr>
            <w:tcW w:w="1560" w:type="dxa"/>
            <w:noWrap w:val="0"/>
            <w:vAlign w:val="center"/>
          </w:tcPr>
          <w:p w14:paraId="52F071A3">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14105E67">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793FCFA9">
            <w:pPr>
              <w:pStyle w:val="18"/>
              <w:keepNext/>
              <w:spacing w:after="0" w:line="360" w:lineRule="exact"/>
              <w:rPr>
                <w:rFonts w:hint="eastAsia" w:ascii="宋体" w:hAnsi="宋体" w:cs="宋体"/>
                <w:color w:val="auto"/>
                <w:szCs w:val="21"/>
                <w:highlight w:val="none"/>
              </w:rPr>
            </w:pPr>
          </w:p>
        </w:tc>
        <w:tc>
          <w:tcPr>
            <w:tcW w:w="851" w:type="dxa"/>
            <w:noWrap w:val="0"/>
            <w:vAlign w:val="center"/>
          </w:tcPr>
          <w:p w14:paraId="5DCDD42B">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0D64F8AB">
            <w:pPr>
              <w:pStyle w:val="18"/>
              <w:keepNext/>
              <w:spacing w:after="0" w:line="360" w:lineRule="exact"/>
              <w:rPr>
                <w:rFonts w:hint="eastAsia" w:ascii="宋体" w:hAnsi="宋体" w:cs="宋体"/>
                <w:color w:val="auto"/>
                <w:szCs w:val="21"/>
                <w:highlight w:val="none"/>
              </w:rPr>
            </w:pPr>
          </w:p>
        </w:tc>
      </w:tr>
      <w:tr w14:paraId="68DF5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B8707CD">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64D85191">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39675A04">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0AE57D46">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0A366FF">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3A5381DD">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4FD20670">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7459CFC0">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133AEFE2">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2F44172">
            <w:pPr>
              <w:pStyle w:val="18"/>
              <w:keepNext/>
              <w:spacing w:after="0" w:line="360" w:lineRule="exact"/>
              <w:rPr>
                <w:rFonts w:hint="eastAsia" w:ascii="宋体" w:hAnsi="宋体" w:cs="宋体"/>
                <w:color w:val="auto"/>
                <w:szCs w:val="21"/>
                <w:highlight w:val="none"/>
              </w:rPr>
            </w:pPr>
          </w:p>
        </w:tc>
      </w:tr>
      <w:tr w14:paraId="3115F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6E374AF8">
            <w:pPr>
              <w:pStyle w:val="18"/>
              <w:keepNext/>
              <w:spacing w:after="0" w:line="360" w:lineRule="exact"/>
              <w:rPr>
                <w:rFonts w:hint="eastAsia" w:ascii="宋体" w:hAnsi="宋体" w:cs="宋体"/>
                <w:color w:val="auto"/>
                <w:szCs w:val="21"/>
                <w:highlight w:val="none"/>
              </w:rPr>
            </w:pPr>
          </w:p>
        </w:tc>
        <w:tc>
          <w:tcPr>
            <w:tcW w:w="1843" w:type="dxa"/>
            <w:noWrap w:val="0"/>
            <w:vAlign w:val="center"/>
          </w:tcPr>
          <w:p w14:paraId="35522D34">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6C2D693C">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053BA603">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16912312">
            <w:pPr>
              <w:pStyle w:val="18"/>
              <w:keepNext/>
              <w:spacing w:after="0" w:line="360" w:lineRule="exact"/>
              <w:rPr>
                <w:rFonts w:hint="eastAsia" w:ascii="宋体" w:hAnsi="宋体" w:cs="宋体"/>
                <w:color w:val="auto"/>
                <w:szCs w:val="21"/>
                <w:highlight w:val="none"/>
              </w:rPr>
            </w:pPr>
          </w:p>
        </w:tc>
        <w:tc>
          <w:tcPr>
            <w:tcW w:w="1560" w:type="dxa"/>
            <w:noWrap w:val="0"/>
            <w:vAlign w:val="center"/>
          </w:tcPr>
          <w:p w14:paraId="7C0452E4">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13BDB27B">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4558F5A3">
            <w:pPr>
              <w:pStyle w:val="18"/>
              <w:keepNext/>
              <w:spacing w:after="0" w:line="360" w:lineRule="exact"/>
              <w:rPr>
                <w:rFonts w:hint="eastAsia" w:ascii="宋体" w:hAnsi="宋体" w:cs="宋体"/>
                <w:color w:val="auto"/>
                <w:szCs w:val="21"/>
                <w:highlight w:val="none"/>
              </w:rPr>
            </w:pPr>
          </w:p>
        </w:tc>
        <w:tc>
          <w:tcPr>
            <w:tcW w:w="851" w:type="dxa"/>
            <w:noWrap w:val="0"/>
            <w:vAlign w:val="center"/>
          </w:tcPr>
          <w:p w14:paraId="359225C1">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7562486F">
            <w:pPr>
              <w:pStyle w:val="18"/>
              <w:keepNext/>
              <w:spacing w:after="0" w:line="360" w:lineRule="exact"/>
              <w:rPr>
                <w:rFonts w:hint="eastAsia" w:ascii="宋体" w:hAnsi="宋体" w:cs="宋体"/>
                <w:color w:val="auto"/>
                <w:szCs w:val="21"/>
                <w:highlight w:val="none"/>
              </w:rPr>
            </w:pPr>
          </w:p>
        </w:tc>
      </w:tr>
      <w:tr w14:paraId="658D0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B6A7312">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CE31E82">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C264DB5">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CAA48EB">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DF75AEF">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13E1D8DE">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6E40985">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5683CEF8">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03578F2A">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79EC9B42">
            <w:pPr>
              <w:pStyle w:val="18"/>
              <w:keepNext/>
              <w:spacing w:after="0" w:line="360" w:lineRule="exact"/>
              <w:rPr>
                <w:rFonts w:hint="eastAsia" w:ascii="宋体" w:hAnsi="宋体" w:cs="宋体"/>
                <w:color w:val="auto"/>
                <w:szCs w:val="21"/>
                <w:highlight w:val="none"/>
              </w:rPr>
            </w:pPr>
          </w:p>
        </w:tc>
      </w:tr>
      <w:tr w14:paraId="539A9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8FFC2D8">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1EE065B2">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57E1422">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5E68161">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A32D678">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63D0D215">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692FDC9">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D88700C">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46C6BFC1">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411A5B5">
            <w:pPr>
              <w:pStyle w:val="18"/>
              <w:keepNext/>
              <w:spacing w:after="0" w:line="360" w:lineRule="exact"/>
              <w:rPr>
                <w:rFonts w:hint="eastAsia" w:ascii="宋体" w:hAnsi="宋体" w:cs="宋体"/>
                <w:color w:val="auto"/>
                <w:szCs w:val="21"/>
                <w:highlight w:val="none"/>
              </w:rPr>
            </w:pPr>
          </w:p>
        </w:tc>
      </w:tr>
      <w:tr w14:paraId="7F43B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5CAFEA8D">
            <w:pPr>
              <w:pStyle w:val="18"/>
              <w:keepNext/>
              <w:spacing w:after="0" w:line="360" w:lineRule="exact"/>
              <w:rPr>
                <w:rFonts w:hint="eastAsia" w:ascii="宋体" w:hAnsi="宋体" w:cs="宋体"/>
                <w:color w:val="auto"/>
                <w:szCs w:val="21"/>
                <w:highlight w:val="none"/>
              </w:rPr>
            </w:pPr>
          </w:p>
        </w:tc>
        <w:tc>
          <w:tcPr>
            <w:tcW w:w="1843" w:type="dxa"/>
            <w:noWrap w:val="0"/>
            <w:vAlign w:val="center"/>
          </w:tcPr>
          <w:p w14:paraId="57B9FCA5">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0372C70C">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7C991506">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15F28339">
            <w:pPr>
              <w:pStyle w:val="18"/>
              <w:keepNext/>
              <w:spacing w:after="0" w:line="360" w:lineRule="exact"/>
              <w:rPr>
                <w:rFonts w:hint="eastAsia" w:ascii="宋体" w:hAnsi="宋体" w:cs="宋体"/>
                <w:color w:val="auto"/>
                <w:szCs w:val="21"/>
                <w:highlight w:val="none"/>
              </w:rPr>
            </w:pPr>
          </w:p>
        </w:tc>
        <w:tc>
          <w:tcPr>
            <w:tcW w:w="1560" w:type="dxa"/>
            <w:noWrap w:val="0"/>
            <w:vAlign w:val="center"/>
          </w:tcPr>
          <w:p w14:paraId="37E6BF19">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6128ABC2">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0B24F453">
            <w:pPr>
              <w:pStyle w:val="18"/>
              <w:keepNext/>
              <w:spacing w:after="0" w:line="360" w:lineRule="exact"/>
              <w:rPr>
                <w:rFonts w:hint="eastAsia" w:ascii="宋体" w:hAnsi="宋体" w:cs="宋体"/>
                <w:color w:val="auto"/>
                <w:szCs w:val="21"/>
                <w:highlight w:val="none"/>
              </w:rPr>
            </w:pPr>
          </w:p>
        </w:tc>
        <w:tc>
          <w:tcPr>
            <w:tcW w:w="851" w:type="dxa"/>
            <w:noWrap w:val="0"/>
            <w:vAlign w:val="center"/>
          </w:tcPr>
          <w:p w14:paraId="0E875074">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2CDD5DC2">
            <w:pPr>
              <w:pStyle w:val="18"/>
              <w:keepNext/>
              <w:spacing w:after="0" w:line="360" w:lineRule="exact"/>
              <w:rPr>
                <w:rFonts w:hint="eastAsia" w:ascii="宋体" w:hAnsi="宋体" w:cs="宋体"/>
                <w:color w:val="auto"/>
                <w:szCs w:val="21"/>
                <w:highlight w:val="none"/>
              </w:rPr>
            </w:pPr>
          </w:p>
        </w:tc>
      </w:tr>
      <w:tr w14:paraId="11EED9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E9FC88F">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219AEF3">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3BA55D41">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AF970F5">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5BEB923">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744A13B2">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B6110DC">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6CC7ECD5">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0B4BB6A1">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F26F27D">
            <w:pPr>
              <w:pStyle w:val="18"/>
              <w:keepNext/>
              <w:spacing w:after="0" w:line="360" w:lineRule="exact"/>
              <w:rPr>
                <w:rFonts w:hint="eastAsia" w:ascii="宋体" w:hAnsi="宋体" w:cs="宋体"/>
                <w:color w:val="auto"/>
                <w:szCs w:val="21"/>
                <w:highlight w:val="none"/>
              </w:rPr>
            </w:pPr>
          </w:p>
        </w:tc>
      </w:tr>
      <w:tr w14:paraId="3F6D5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39CE641">
            <w:pPr>
              <w:pStyle w:val="18"/>
              <w:keepNext/>
              <w:spacing w:after="0" w:line="360" w:lineRule="exact"/>
              <w:rPr>
                <w:rFonts w:hint="eastAsia" w:ascii="宋体" w:hAnsi="宋体" w:cs="宋体"/>
                <w:color w:val="auto"/>
                <w:szCs w:val="21"/>
                <w:highlight w:val="none"/>
              </w:rPr>
            </w:pPr>
          </w:p>
        </w:tc>
        <w:tc>
          <w:tcPr>
            <w:tcW w:w="1843" w:type="dxa"/>
            <w:noWrap w:val="0"/>
            <w:vAlign w:val="center"/>
          </w:tcPr>
          <w:p w14:paraId="62D2DDD4">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21B06E97">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55A15932">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5A8A88F6">
            <w:pPr>
              <w:pStyle w:val="18"/>
              <w:keepNext/>
              <w:spacing w:after="0" w:line="360" w:lineRule="exact"/>
              <w:rPr>
                <w:rFonts w:hint="eastAsia" w:ascii="宋体" w:hAnsi="宋体" w:cs="宋体"/>
                <w:color w:val="auto"/>
                <w:szCs w:val="21"/>
                <w:highlight w:val="none"/>
              </w:rPr>
            </w:pPr>
          </w:p>
        </w:tc>
        <w:tc>
          <w:tcPr>
            <w:tcW w:w="1560" w:type="dxa"/>
            <w:noWrap w:val="0"/>
            <w:vAlign w:val="center"/>
          </w:tcPr>
          <w:p w14:paraId="00D80EAA">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6A627C31">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0471646F">
            <w:pPr>
              <w:pStyle w:val="18"/>
              <w:keepNext/>
              <w:spacing w:after="0" w:line="360" w:lineRule="exact"/>
              <w:rPr>
                <w:rFonts w:hint="eastAsia" w:ascii="宋体" w:hAnsi="宋体" w:cs="宋体"/>
                <w:color w:val="auto"/>
                <w:szCs w:val="21"/>
                <w:highlight w:val="none"/>
              </w:rPr>
            </w:pPr>
          </w:p>
        </w:tc>
        <w:tc>
          <w:tcPr>
            <w:tcW w:w="851" w:type="dxa"/>
            <w:noWrap w:val="0"/>
            <w:vAlign w:val="center"/>
          </w:tcPr>
          <w:p w14:paraId="3BCFAAE1">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6C33D9E1">
            <w:pPr>
              <w:pStyle w:val="18"/>
              <w:keepNext/>
              <w:spacing w:after="0" w:line="360" w:lineRule="exact"/>
              <w:rPr>
                <w:rFonts w:hint="eastAsia" w:ascii="宋体" w:hAnsi="宋体" w:cs="宋体"/>
                <w:color w:val="auto"/>
                <w:szCs w:val="21"/>
                <w:highlight w:val="none"/>
              </w:rPr>
            </w:pPr>
          </w:p>
        </w:tc>
      </w:tr>
    </w:tbl>
    <w:p w14:paraId="5B5A484E">
      <w:pPr>
        <w:spacing w:line="360" w:lineRule="exact"/>
        <w:rPr>
          <w:rFonts w:hint="eastAsia" w:ascii="宋体" w:hAnsi="宋体" w:cs="宋体"/>
          <w:b/>
          <w:color w:val="auto"/>
          <w:szCs w:val="21"/>
          <w:highlight w:val="none"/>
        </w:rPr>
        <w:sectPr>
          <w:pgSz w:w="16838" w:h="11906" w:orient="landscape"/>
          <w:pgMar w:top="1554" w:right="1418" w:bottom="1531" w:left="1418" w:header="851" w:footer="992" w:gutter="0"/>
          <w:pgBorders>
            <w:top w:val="none" w:sz="0" w:space="0"/>
            <w:left w:val="none" w:sz="0" w:space="0"/>
            <w:bottom w:val="none" w:sz="0" w:space="0"/>
            <w:right w:val="none" w:sz="0" w:space="0"/>
          </w:pgBorders>
          <w:pgNumType w:fmt="decimal"/>
          <w:cols w:space="720" w:num="1"/>
          <w:titlePg/>
          <w:docGrid w:type="linesAndChars" w:linePitch="312" w:charSpace="0"/>
        </w:sectPr>
      </w:pPr>
    </w:p>
    <w:p w14:paraId="737B8E4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附件2：</w:t>
      </w:r>
    </w:p>
    <w:p w14:paraId="1FF1E7D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发包人供应材料设备一览表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14:paraId="341DA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0" w:hRule="atLeast"/>
          <w:jc w:val="center"/>
        </w:trPr>
        <w:tc>
          <w:tcPr>
            <w:tcW w:w="402" w:type="dxa"/>
            <w:tcBorders>
              <w:top w:val="single" w:color="auto" w:sz="12" w:space="0"/>
              <w:bottom w:val="double" w:color="auto" w:sz="6" w:space="0"/>
            </w:tcBorders>
            <w:noWrap w:val="0"/>
            <w:vAlign w:val="center"/>
          </w:tcPr>
          <w:p w14:paraId="59D9EA95">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099" w:type="dxa"/>
            <w:tcBorders>
              <w:top w:val="single" w:color="auto" w:sz="12" w:space="0"/>
              <w:bottom w:val="double" w:color="auto" w:sz="6" w:space="0"/>
            </w:tcBorders>
            <w:noWrap w:val="0"/>
            <w:vAlign w:val="center"/>
          </w:tcPr>
          <w:p w14:paraId="52E234DE">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材料、</w:t>
            </w:r>
          </w:p>
          <w:p w14:paraId="57C49ED9">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设备品种</w:t>
            </w:r>
          </w:p>
        </w:tc>
        <w:tc>
          <w:tcPr>
            <w:tcW w:w="1134" w:type="dxa"/>
            <w:tcBorders>
              <w:top w:val="single" w:color="auto" w:sz="12" w:space="0"/>
              <w:bottom w:val="double" w:color="auto" w:sz="6" w:space="0"/>
            </w:tcBorders>
            <w:noWrap w:val="0"/>
            <w:vAlign w:val="center"/>
          </w:tcPr>
          <w:p w14:paraId="592586DE">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620" w:type="dxa"/>
            <w:tcBorders>
              <w:top w:val="single" w:color="auto" w:sz="12" w:space="0"/>
              <w:bottom w:val="double" w:color="auto" w:sz="6" w:space="0"/>
            </w:tcBorders>
            <w:noWrap w:val="0"/>
            <w:vAlign w:val="center"/>
          </w:tcPr>
          <w:p w14:paraId="68D1699E">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690" w:type="dxa"/>
            <w:tcBorders>
              <w:top w:val="single" w:color="auto" w:sz="12" w:space="0"/>
              <w:bottom w:val="double" w:color="auto" w:sz="6" w:space="0"/>
            </w:tcBorders>
            <w:noWrap w:val="0"/>
            <w:vAlign w:val="center"/>
          </w:tcPr>
          <w:p w14:paraId="0DE1AF55">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044" w:type="dxa"/>
            <w:tcBorders>
              <w:top w:val="single" w:color="auto" w:sz="12" w:space="0"/>
              <w:bottom w:val="double" w:color="auto" w:sz="6" w:space="0"/>
            </w:tcBorders>
            <w:noWrap w:val="0"/>
            <w:vAlign w:val="center"/>
          </w:tcPr>
          <w:p w14:paraId="0DF7657D">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719" w:type="dxa"/>
            <w:tcBorders>
              <w:top w:val="single" w:color="auto" w:sz="12" w:space="0"/>
              <w:bottom w:val="double" w:color="auto" w:sz="6" w:space="0"/>
            </w:tcBorders>
            <w:noWrap w:val="0"/>
            <w:vAlign w:val="center"/>
          </w:tcPr>
          <w:p w14:paraId="61BC8DF0">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质量等级</w:t>
            </w:r>
          </w:p>
        </w:tc>
        <w:tc>
          <w:tcPr>
            <w:tcW w:w="716" w:type="dxa"/>
            <w:tcBorders>
              <w:top w:val="single" w:color="auto" w:sz="12" w:space="0"/>
              <w:bottom w:val="double" w:color="auto" w:sz="6" w:space="0"/>
            </w:tcBorders>
            <w:noWrap w:val="0"/>
            <w:vAlign w:val="center"/>
          </w:tcPr>
          <w:p w14:paraId="689E2C82">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供应时间</w:t>
            </w:r>
          </w:p>
        </w:tc>
        <w:tc>
          <w:tcPr>
            <w:tcW w:w="1487" w:type="dxa"/>
            <w:tcBorders>
              <w:top w:val="single" w:color="auto" w:sz="12" w:space="0"/>
              <w:bottom w:val="double" w:color="auto" w:sz="6" w:space="0"/>
            </w:tcBorders>
            <w:noWrap w:val="0"/>
            <w:vAlign w:val="center"/>
          </w:tcPr>
          <w:p w14:paraId="331C04C1">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送达地点</w:t>
            </w:r>
          </w:p>
        </w:tc>
        <w:tc>
          <w:tcPr>
            <w:tcW w:w="783" w:type="dxa"/>
            <w:tcBorders>
              <w:top w:val="single" w:color="auto" w:sz="12" w:space="0"/>
              <w:bottom w:val="double" w:color="auto" w:sz="6" w:space="0"/>
            </w:tcBorders>
            <w:noWrap w:val="0"/>
            <w:vAlign w:val="center"/>
          </w:tcPr>
          <w:p w14:paraId="46496737">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62B0D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noWrap w:val="0"/>
            <w:vAlign w:val="center"/>
          </w:tcPr>
          <w:p w14:paraId="4532B184">
            <w:pPr>
              <w:pStyle w:val="18"/>
              <w:keepNext/>
              <w:spacing w:after="0" w:line="360" w:lineRule="exact"/>
              <w:rPr>
                <w:rFonts w:hint="eastAsia" w:ascii="宋体" w:hAnsi="宋体" w:cs="宋体"/>
                <w:color w:val="auto"/>
                <w:szCs w:val="21"/>
                <w:highlight w:val="none"/>
              </w:rPr>
            </w:pPr>
          </w:p>
        </w:tc>
        <w:tc>
          <w:tcPr>
            <w:tcW w:w="1099" w:type="dxa"/>
            <w:tcBorders>
              <w:top w:val="double" w:color="auto" w:sz="6" w:space="0"/>
              <w:bottom w:val="single" w:color="auto" w:sz="6" w:space="0"/>
            </w:tcBorders>
            <w:noWrap w:val="0"/>
            <w:vAlign w:val="center"/>
          </w:tcPr>
          <w:p w14:paraId="3CCD0AA6">
            <w:pPr>
              <w:pStyle w:val="18"/>
              <w:keepNext/>
              <w:spacing w:after="0" w:line="360" w:lineRule="exact"/>
              <w:rPr>
                <w:rFonts w:hint="eastAsia" w:ascii="宋体" w:hAnsi="宋体" w:cs="宋体"/>
                <w:color w:val="auto"/>
                <w:szCs w:val="21"/>
                <w:highlight w:val="none"/>
              </w:rPr>
            </w:pPr>
          </w:p>
        </w:tc>
        <w:tc>
          <w:tcPr>
            <w:tcW w:w="1134" w:type="dxa"/>
            <w:tcBorders>
              <w:top w:val="double" w:color="auto" w:sz="6" w:space="0"/>
              <w:bottom w:val="single" w:color="auto" w:sz="6" w:space="0"/>
            </w:tcBorders>
            <w:noWrap w:val="0"/>
            <w:vAlign w:val="center"/>
          </w:tcPr>
          <w:p w14:paraId="77A89946">
            <w:pPr>
              <w:pStyle w:val="18"/>
              <w:keepNext/>
              <w:spacing w:after="0" w:line="360" w:lineRule="exact"/>
              <w:rPr>
                <w:rFonts w:hint="eastAsia" w:ascii="宋体" w:hAnsi="宋体" w:cs="宋体"/>
                <w:color w:val="auto"/>
                <w:szCs w:val="21"/>
                <w:highlight w:val="none"/>
              </w:rPr>
            </w:pPr>
          </w:p>
        </w:tc>
        <w:tc>
          <w:tcPr>
            <w:tcW w:w="620" w:type="dxa"/>
            <w:tcBorders>
              <w:top w:val="double" w:color="auto" w:sz="6" w:space="0"/>
              <w:bottom w:val="single" w:color="auto" w:sz="6" w:space="0"/>
            </w:tcBorders>
            <w:noWrap w:val="0"/>
            <w:vAlign w:val="center"/>
          </w:tcPr>
          <w:p w14:paraId="185B0A38">
            <w:pPr>
              <w:pStyle w:val="18"/>
              <w:keepNext/>
              <w:spacing w:after="0" w:line="360" w:lineRule="exact"/>
              <w:rPr>
                <w:rFonts w:hint="eastAsia" w:ascii="宋体" w:hAnsi="宋体" w:cs="宋体"/>
                <w:color w:val="auto"/>
                <w:szCs w:val="21"/>
                <w:highlight w:val="none"/>
              </w:rPr>
            </w:pPr>
          </w:p>
        </w:tc>
        <w:tc>
          <w:tcPr>
            <w:tcW w:w="690" w:type="dxa"/>
            <w:tcBorders>
              <w:top w:val="double" w:color="auto" w:sz="6" w:space="0"/>
              <w:bottom w:val="single" w:color="auto" w:sz="6" w:space="0"/>
            </w:tcBorders>
            <w:noWrap w:val="0"/>
            <w:vAlign w:val="center"/>
          </w:tcPr>
          <w:p w14:paraId="2B744AFF">
            <w:pPr>
              <w:pStyle w:val="18"/>
              <w:keepNext/>
              <w:spacing w:after="0" w:line="360" w:lineRule="exact"/>
              <w:rPr>
                <w:rFonts w:hint="eastAsia" w:ascii="宋体" w:hAnsi="宋体" w:cs="宋体"/>
                <w:color w:val="auto"/>
                <w:szCs w:val="21"/>
                <w:highlight w:val="none"/>
              </w:rPr>
            </w:pPr>
          </w:p>
        </w:tc>
        <w:tc>
          <w:tcPr>
            <w:tcW w:w="1044" w:type="dxa"/>
            <w:tcBorders>
              <w:top w:val="double" w:color="auto" w:sz="6" w:space="0"/>
              <w:bottom w:val="single" w:color="auto" w:sz="6" w:space="0"/>
            </w:tcBorders>
            <w:noWrap w:val="0"/>
            <w:vAlign w:val="center"/>
          </w:tcPr>
          <w:p w14:paraId="30B76CE3">
            <w:pPr>
              <w:pStyle w:val="18"/>
              <w:keepNext/>
              <w:spacing w:after="0" w:line="360" w:lineRule="exact"/>
              <w:rPr>
                <w:rFonts w:hint="eastAsia" w:ascii="宋体" w:hAnsi="宋体" w:cs="宋体"/>
                <w:color w:val="auto"/>
                <w:szCs w:val="21"/>
                <w:highlight w:val="none"/>
              </w:rPr>
            </w:pPr>
          </w:p>
        </w:tc>
        <w:tc>
          <w:tcPr>
            <w:tcW w:w="719" w:type="dxa"/>
            <w:tcBorders>
              <w:top w:val="double" w:color="auto" w:sz="6" w:space="0"/>
              <w:bottom w:val="single" w:color="auto" w:sz="6" w:space="0"/>
            </w:tcBorders>
            <w:noWrap w:val="0"/>
            <w:vAlign w:val="center"/>
          </w:tcPr>
          <w:p w14:paraId="35DF2E04">
            <w:pPr>
              <w:pStyle w:val="18"/>
              <w:keepNext/>
              <w:spacing w:after="0" w:line="360" w:lineRule="exact"/>
              <w:rPr>
                <w:rFonts w:hint="eastAsia" w:ascii="宋体" w:hAnsi="宋体" w:cs="宋体"/>
                <w:color w:val="auto"/>
                <w:szCs w:val="21"/>
                <w:highlight w:val="none"/>
              </w:rPr>
            </w:pPr>
          </w:p>
        </w:tc>
        <w:tc>
          <w:tcPr>
            <w:tcW w:w="716" w:type="dxa"/>
            <w:tcBorders>
              <w:top w:val="double" w:color="auto" w:sz="6" w:space="0"/>
              <w:bottom w:val="single" w:color="auto" w:sz="6" w:space="0"/>
            </w:tcBorders>
            <w:noWrap w:val="0"/>
            <w:vAlign w:val="center"/>
          </w:tcPr>
          <w:p w14:paraId="64EFC0BA">
            <w:pPr>
              <w:pStyle w:val="18"/>
              <w:keepNext/>
              <w:spacing w:after="0" w:line="360" w:lineRule="exact"/>
              <w:rPr>
                <w:rFonts w:hint="eastAsia" w:ascii="宋体" w:hAnsi="宋体" w:cs="宋体"/>
                <w:color w:val="auto"/>
                <w:szCs w:val="21"/>
                <w:highlight w:val="none"/>
              </w:rPr>
            </w:pPr>
          </w:p>
        </w:tc>
        <w:tc>
          <w:tcPr>
            <w:tcW w:w="1487" w:type="dxa"/>
            <w:tcBorders>
              <w:top w:val="double" w:color="auto" w:sz="6" w:space="0"/>
              <w:bottom w:val="single" w:color="auto" w:sz="6" w:space="0"/>
            </w:tcBorders>
            <w:noWrap w:val="0"/>
            <w:vAlign w:val="center"/>
          </w:tcPr>
          <w:p w14:paraId="19721896">
            <w:pPr>
              <w:pStyle w:val="18"/>
              <w:keepNext/>
              <w:spacing w:after="0" w:line="360" w:lineRule="exact"/>
              <w:rPr>
                <w:rFonts w:hint="eastAsia" w:ascii="宋体" w:hAnsi="宋体" w:cs="宋体"/>
                <w:color w:val="auto"/>
                <w:szCs w:val="21"/>
                <w:highlight w:val="none"/>
              </w:rPr>
            </w:pPr>
          </w:p>
        </w:tc>
        <w:tc>
          <w:tcPr>
            <w:tcW w:w="783" w:type="dxa"/>
            <w:tcBorders>
              <w:top w:val="double" w:color="auto" w:sz="6" w:space="0"/>
              <w:bottom w:val="single" w:color="auto" w:sz="6" w:space="0"/>
            </w:tcBorders>
            <w:noWrap w:val="0"/>
            <w:vAlign w:val="center"/>
          </w:tcPr>
          <w:p w14:paraId="162542D6">
            <w:pPr>
              <w:pStyle w:val="18"/>
              <w:keepNext/>
              <w:spacing w:after="0" w:line="360" w:lineRule="exact"/>
              <w:rPr>
                <w:rFonts w:hint="eastAsia" w:ascii="宋体" w:hAnsi="宋体" w:cs="宋体"/>
                <w:color w:val="auto"/>
                <w:szCs w:val="21"/>
                <w:highlight w:val="none"/>
              </w:rPr>
            </w:pPr>
          </w:p>
        </w:tc>
      </w:tr>
      <w:tr w14:paraId="020C4F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noWrap w:val="0"/>
            <w:vAlign w:val="center"/>
          </w:tcPr>
          <w:p w14:paraId="1E91EEB6">
            <w:pPr>
              <w:pStyle w:val="18"/>
              <w:keepNext/>
              <w:spacing w:after="0" w:line="360" w:lineRule="exact"/>
              <w:rPr>
                <w:rFonts w:hint="eastAsia" w:ascii="宋体" w:hAnsi="宋体" w:cs="宋体"/>
                <w:color w:val="auto"/>
                <w:szCs w:val="21"/>
                <w:highlight w:val="none"/>
              </w:rPr>
            </w:pPr>
          </w:p>
        </w:tc>
        <w:tc>
          <w:tcPr>
            <w:tcW w:w="1099" w:type="dxa"/>
            <w:tcBorders>
              <w:top w:val="nil"/>
            </w:tcBorders>
            <w:noWrap w:val="0"/>
            <w:vAlign w:val="center"/>
          </w:tcPr>
          <w:p w14:paraId="6BB6EE16">
            <w:pPr>
              <w:pStyle w:val="18"/>
              <w:keepNext/>
              <w:spacing w:after="0" w:line="360" w:lineRule="exact"/>
              <w:rPr>
                <w:rFonts w:hint="eastAsia" w:ascii="宋体" w:hAnsi="宋体" w:cs="宋体"/>
                <w:color w:val="auto"/>
                <w:szCs w:val="21"/>
                <w:highlight w:val="none"/>
              </w:rPr>
            </w:pPr>
          </w:p>
        </w:tc>
        <w:tc>
          <w:tcPr>
            <w:tcW w:w="1134" w:type="dxa"/>
            <w:tcBorders>
              <w:top w:val="nil"/>
            </w:tcBorders>
            <w:noWrap w:val="0"/>
            <w:vAlign w:val="center"/>
          </w:tcPr>
          <w:p w14:paraId="71E97B28">
            <w:pPr>
              <w:pStyle w:val="18"/>
              <w:keepNext/>
              <w:spacing w:after="0" w:line="360" w:lineRule="exact"/>
              <w:rPr>
                <w:rFonts w:hint="eastAsia" w:ascii="宋体" w:hAnsi="宋体" w:cs="宋体"/>
                <w:color w:val="auto"/>
                <w:szCs w:val="21"/>
                <w:highlight w:val="none"/>
              </w:rPr>
            </w:pPr>
          </w:p>
        </w:tc>
        <w:tc>
          <w:tcPr>
            <w:tcW w:w="620" w:type="dxa"/>
            <w:tcBorders>
              <w:top w:val="nil"/>
            </w:tcBorders>
            <w:noWrap w:val="0"/>
            <w:vAlign w:val="center"/>
          </w:tcPr>
          <w:p w14:paraId="3F33B9C9">
            <w:pPr>
              <w:pStyle w:val="18"/>
              <w:keepNext/>
              <w:spacing w:after="0" w:line="360" w:lineRule="exact"/>
              <w:rPr>
                <w:rFonts w:hint="eastAsia" w:ascii="宋体" w:hAnsi="宋体" w:cs="宋体"/>
                <w:color w:val="auto"/>
                <w:szCs w:val="21"/>
                <w:highlight w:val="none"/>
              </w:rPr>
            </w:pPr>
          </w:p>
        </w:tc>
        <w:tc>
          <w:tcPr>
            <w:tcW w:w="690" w:type="dxa"/>
            <w:tcBorders>
              <w:top w:val="nil"/>
            </w:tcBorders>
            <w:noWrap w:val="0"/>
            <w:vAlign w:val="center"/>
          </w:tcPr>
          <w:p w14:paraId="4DDF105F">
            <w:pPr>
              <w:pStyle w:val="18"/>
              <w:keepNext/>
              <w:spacing w:after="0" w:line="360" w:lineRule="exact"/>
              <w:rPr>
                <w:rFonts w:hint="eastAsia" w:ascii="宋体" w:hAnsi="宋体" w:cs="宋体"/>
                <w:color w:val="auto"/>
                <w:szCs w:val="21"/>
                <w:highlight w:val="none"/>
              </w:rPr>
            </w:pPr>
          </w:p>
        </w:tc>
        <w:tc>
          <w:tcPr>
            <w:tcW w:w="1044" w:type="dxa"/>
            <w:tcBorders>
              <w:top w:val="nil"/>
            </w:tcBorders>
            <w:noWrap w:val="0"/>
            <w:vAlign w:val="center"/>
          </w:tcPr>
          <w:p w14:paraId="5273EA5B">
            <w:pPr>
              <w:pStyle w:val="18"/>
              <w:keepNext/>
              <w:spacing w:after="0" w:line="360" w:lineRule="exact"/>
              <w:rPr>
                <w:rFonts w:hint="eastAsia" w:ascii="宋体" w:hAnsi="宋体" w:cs="宋体"/>
                <w:color w:val="auto"/>
                <w:szCs w:val="21"/>
                <w:highlight w:val="none"/>
              </w:rPr>
            </w:pPr>
          </w:p>
        </w:tc>
        <w:tc>
          <w:tcPr>
            <w:tcW w:w="719" w:type="dxa"/>
            <w:tcBorders>
              <w:top w:val="nil"/>
            </w:tcBorders>
            <w:noWrap w:val="0"/>
            <w:vAlign w:val="center"/>
          </w:tcPr>
          <w:p w14:paraId="28B73E40">
            <w:pPr>
              <w:pStyle w:val="18"/>
              <w:keepNext/>
              <w:spacing w:after="0" w:line="360" w:lineRule="exact"/>
              <w:rPr>
                <w:rFonts w:hint="eastAsia" w:ascii="宋体" w:hAnsi="宋体" w:cs="宋体"/>
                <w:color w:val="auto"/>
                <w:szCs w:val="21"/>
                <w:highlight w:val="none"/>
              </w:rPr>
            </w:pPr>
          </w:p>
        </w:tc>
        <w:tc>
          <w:tcPr>
            <w:tcW w:w="716" w:type="dxa"/>
            <w:tcBorders>
              <w:top w:val="nil"/>
            </w:tcBorders>
            <w:noWrap w:val="0"/>
            <w:vAlign w:val="center"/>
          </w:tcPr>
          <w:p w14:paraId="7C32C07C">
            <w:pPr>
              <w:pStyle w:val="18"/>
              <w:keepNext/>
              <w:spacing w:after="0" w:line="360" w:lineRule="exact"/>
              <w:rPr>
                <w:rFonts w:hint="eastAsia" w:ascii="宋体" w:hAnsi="宋体" w:cs="宋体"/>
                <w:color w:val="auto"/>
                <w:szCs w:val="21"/>
                <w:highlight w:val="none"/>
              </w:rPr>
            </w:pPr>
          </w:p>
        </w:tc>
        <w:tc>
          <w:tcPr>
            <w:tcW w:w="1487" w:type="dxa"/>
            <w:tcBorders>
              <w:top w:val="nil"/>
            </w:tcBorders>
            <w:noWrap w:val="0"/>
            <w:vAlign w:val="center"/>
          </w:tcPr>
          <w:p w14:paraId="474B8103">
            <w:pPr>
              <w:pStyle w:val="18"/>
              <w:keepNext/>
              <w:spacing w:after="0" w:line="360" w:lineRule="exact"/>
              <w:rPr>
                <w:rFonts w:hint="eastAsia" w:ascii="宋体" w:hAnsi="宋体" w:cs="宋体"/>
                <w:color w:val="auto"/>
                <w:szCs w:val="21"/>
                <w:highlight w:val="none"/>
              </w:rPr>
            </w:pPr>
          </w:p>
        </w:tc>
        <w:tc>
          <w:tcPr>
            <w:tcW w:w="783" w:type="dxa"/>
            <w:tcBorders>
              <w:top w:val="nil"/>
            </w:tcBorders>
            <w:noWrap w:val="0"/>
            <w:vAlign w:val="center"/>
          </w:tcPr>
          <w:p w14:paraId="084AF7BB">
            <w:pPr>
              <w:pStyle w:val="18"/>
              <w:keepNext/>
              <w:spacing w:after="0" w:line="360" w:lineRule="exact"/>
              <w:rPr>
                <w:rFonts w:hint="eastAsia" w:ascii="宋体" w:hAnsi="宋体" w:cs="宋体"/>
                <w:color w:val="auto"/>
                <w:szCs w:val="21"/>
                <w:highlight w:val="none"/>
              </w:rPr>
            </w:pPr>
          </w:p>
        </w:tc>
      </w:tr>
      <w:tr w14:paraId="3EEB7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B4D4498">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35EBAE20">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5D98CC34">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25D49E1B">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4AB10BDD">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3D3C1BDB">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3CF8BF75">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1561A94D">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7F3630F4">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436BDC0F">
            <w:pPr>
              <w:pStyle w:val="18"/>
              <w:keepNext/>
              <w:spacing w:after="0" w:line="360" w:lineRule="exact"/>
              <w:rPr>
                <w:rFonts w:hint="eastAsia" w:ascii="宋体" w:hAnsi="宋体" w:cs="宋体"/>
                <w:color w:val="auto"/>
                <w:szCs w:val="21"/>
                <w:highlight w:val="none"/>
              </w:rPr>
            </w:pPr>
          </w:p>
        </w:tc>
      </w:tr>
      <w:tr w14:paraId="19FA0A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1D6405D3">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20206A74">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3B2D8D81">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63BE4E10">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28B01410">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2EFEB78C">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656DA556">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614F39EA">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21626AB0">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24622B55">
            <w:pPr>
              <w:pStyle w:val="18"/>
              <w:keepNext/>
              <w:spacing w:after="0" w:line="360" w:lineRule="exact"/>
              <w:rPr>
                <w:rFonts w:hint="eastAsia" w:ascii="宋体" w:hAnsi="宋体" w:cs="宋体"/>
                <w:color w:val="auto"/>
                <w:szCs w:val="21"/>
                <w:highlight w:val="none"/>
              </w:rPr>
            </w:pPr>
          </w:p>
        </w:tc>
      </w:tr>
      <w:tr w14:paraId="2990B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8EA6E2C">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59C2886B">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11013BFC">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05415C36">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28BE3D0D">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5416E717">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5A93BF16">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19674FE4">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5138FB8E">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32FB733C">
            <w:pPr>
              <w:pStyle w:val="18"/>
              <w:keepNext/>
              <w:spacing w:after="0" w:line="360" w:lineRule="exact"/>
              <w:rPr>
                <w:rFonts w:hint="eastAsia" w:ascii="宋体" w:hAnsi="宋体" w:cs="宋体"/>
                <w:color w:val="auto"/>
                <w:szCs w:val="21"/>
                <w:highlight w:val="none"/>
              </w:rPr>
            </w:pPr>
          </w:p>
        </w:tc>
      </w:tr>
      <w:tr w14:paraId="40FC5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0C531B9">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01019596">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5433870A">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1CD39FA7">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634D31F2">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38D2E00E">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7E6894A3">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17C37BD0">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3F4E525B">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1F0B09D9">
            <w:pPr>
              <w:pStyle w:val="18"/>
              <w:keepNext/>
              <w:spacing w:after="0" w:line="360" w:lineRule="exact"/>
              <w:rPr>
                <w:rFonts w:hint="eastAsia" w:ascii="宋体" w:hAnsi="宋体" w:cs="宋体"/>
                <w:color w:val="auto"/>
                <w:szCs w:val="21"/>
                <w:highlight w:val="none"/>
              </w:rPr>
            </w:pPr>
          </w:p>
        </w:tc>
      </w:tr>
      <w:tr w14:paraId="70A69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0FE2578D">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36E1A408">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0DB4A0A3">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30CF9BFC">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5D219983">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58E7A027">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4859DAA5">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77203902">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206BEBE3">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335251CA">
            <w:pPr>
              <w:pStyle w:val="18"/>
              <w:keepNext/>
              <w:spacing w:after="0" w:line="360" w:lineRule="exact"/>
              <w:rPr>
                <w:rFonts w:hint="eastAsia" w:ascii="宋体" w:hAnsi="宋体" w:cs="宋体"/>
                <w:color w:val="auto"/>
                <w:szCs w:val="21"/>
                <w:highlight w:val="none"/>
              </w:rPr>
            </w:pPr>
          </w:p>
        </w:tc>
      </w:tr>
      <w:tr w14:paraId="57DA7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63DFF23D">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552664A1">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4EABE548">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6F5516CB">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037EFBF0">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168626C4">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1D13C6A2">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291A2D51">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65BEF94F">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748DF3C2">
            <w:pPr>
              <w:pStyle w:val="18"/>
              <w:keepNext/>
              <w:spacing w:after="0" w:line="360" w:lineRule="exact"/>
              <w:rPr>
                <w:rFonts w:hint="eastAsia" w:ascii="宋体" w:hAnsi="宋体" w:cs="宋体"/>
                <w:color w:val="auto"/>
                <w:szCs w:val="21"/>
                <w:highlight w:val="none"/>
              </w:rPr>
            </w:pPr>
          </w:p>
        </w:tc>
      </w:tr>
      <w:tr w14:paraId="270EFE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60B01AA">
            <w:pPr>
              <w:spacing w:line="360" w:lineRule="exact"/>
              <w:jc w:val="center"/>
              <w:rPr>
                <w:rFonts w:hint="eastAsia" w:ascii="宋体" w:hAnsi="宋体" w:cs="宋体"/>
                <w:color w:val="auto"/>
                <w:szCs w:val="21"/>
                <w:highlight w:val="none"/>
              </w:rPr>
            </w:pPr>
          </w:p>
        </w:tc>
        <w:tc>
          <w:tcPr>
            <w:tcW w:w="1099" w:type="dxa"/>
            <w:noWrap w:val="0"/>
            <w:vAlign w:val="center"/>
          </w:tcPr>
          <w:p w14:paraId="070DD7C7">
            <w:pPr>
              <w:spacing w:line="360" w:lineRule="exact"/>
              <w:jc w:val="center"/>
              <w:rPr>
                <w:rFonts w:hint="eastAsia" w:ascii="宋体" w:hAnsi="宋体" w:cs="宋体"/>
                <w:color w:val="auto"/>
                <w:szCs w:val="21"/>
                <w:highlight w:val="none"/>
              </w:rPr>
            </w:pPr>
          </w:p>
        </w:tc>
        <w:tc>
          <w:tcPr>
            <w:tcW w:w="1134" w:type="dxa"/>
            <w:noWrap w:val="0"/>
            <w:vAlign w:val="center"/>
          </w:tcPr>
          <w:p w14:paraId="35E7E42D">
            <w:pPr>
              <w:spacing w:line="360" w:lineRule="exact"/>
              <w:jc w:val="center"/>
              <w:rPr>
                <w:rFonts w:hint="eastAsia" w:ascii="宋体" w:hAnsi="宋体" w:cs="宋体"/>
                <w:color w:val="auto"/>
                <w:szCs w:val="21"/>
                <w:highlight w:val="none"/>
              </w:rPr>
            </w:pPr>
          </w:p>
        </w:tc>
        <w:tc>
          <w:tcPr>
            <w:tcW w:w="620" w:type="dxa"/>
            <w:noWrap w:val="0"/>
            <w:vAlign w:val="center"/>
          </w:tcPr>
          <w:p w14:paraId="11FCCDED">
            <w:pPr>
              <w:spacing w:line="360" w:lineRule="exact"/>
              <w:jc w:val="center"/>
              <w:rPr>
                <w:rFonts w:hint="eastAsia" w:ascii="宋体" w:hAnsi="宋体" w:cs="宋体"/>
                <w:color w:val="auto"/>
                <w:szCs w:val="21"/>
                <w:highlight w:val="none"/>
              </w:rPr>
            </w:pPr>
          </w:p>
        </w:tc>
        <w:tc>
          <w:tcPr>
            <w:tcW w:w="690" w:type="dxa"/>
            <w:noWrap w:val="0"/>
            <w:vAlign w:val="center"/>
          </w:tcPr>
          <w:p w14:paraId="30DD054E">
            <w:pPr>
              <w:spacing w:line="360" w:lineRule="exact"/>
              <w:jc w:val="center"/>
              <w:rPr>
                <w:rFonts w:hint="eastAsia" w:ascii="宋体" w:hAnsi="宋体" w:cs="宋体"/>
                <w:color w:val="auto"/>
                <w:szCs w:val="21"/>
                <w:highlight w:val="none"/>
              </w:rPr>
            </w:pPr>
          </w:p>
        </w:tc>
        <w:tc>
          <w:tcPr>
            <w:tcW w:w="1044" w:type="dxa"/>
            <w:noWrap w:val="0"/>
            <w:vAlign w:val="center"/>
          </w:tcPr>
          <w:p w14:paraId="0A54773C">
            <w:pPr>
              <w:spacing w:line="360" w:lineRule="exact"/>
              <w:jc w:val="center"/>
              <w:rPr>
                <w:rFonts w:hint="eastAsia" w:ascii="宋体" w:hAnsi="宋体" w:cs="宋体"/>
                <w:color w:val="auto"/>
                <w:szCs w:val="21"/>
                <w:highlight w:val="none"/>
              </w:rPr>
            </w:pPr>
          </w:p>
        </w:tc>
        <w:tc>
          <w:tcPr>
            <w:tcW w:w="719" w:type="dxa"/>
            <w:noWrap w:val="0"/>
            <w:vAlign w:val="center"/>
          </w:tcPr>
          <w:p w14:paraId="0CE18DB4">
            <w:pPr>
              <w:spacing w:line="360" w:lineRule="exact"/>
              <w:jc w:val="center"/>
              <w:rPr>
                <w:rFonts w:hint="eastAsia" w:ascii="宋体" w:hAnsi="宋体" w:cs="宋体"/>
                <w:color w:val="auto"/>
                <w:szCs w:val="21"/>
                <w:highlight w:val="none"/>
              </w:rPr>
            </w:pPr>
          </w:p>
        </w:tc>
        <w:tc>
          <w:tcPr>
            <w:tcW w:w="716" w:type="dxa"/>
            <w:noWrap w:val="0"/>
            <w:vAlign w:val="center"/>
          </w:tcPr>
          <w:p w14:paraId="357CC701">
            <w:pPr>
              <w:spacing w:line="360" w:lineRule="exact"/>
              <w:jc w:val="center"/>
              <w:rPr>
                <w:rFonts w:hint="eastAsia" w:ascii="宋体" w:hAnsi="宋体" w:cs="宋体"/>
                <w:color w:val="auto"/>
                <w:szCs w:val="21"/>
                <w:highlight w:val="none"/>
              </w:rPr>
            </w:pPr>
          </w:p>
        </w:tc>
        <w:tc>
          <w:tcPr>
            <w:tcW w:w="1487" w:type="dxa"/>
            <w:noWrap w:val="0"/>
            <w:vAlign w:val="center"/>
          </w:tcPr>
          <w:p w14:paraId="169C6A06">
            <w:pPr>
              <w:spacing w:line="360" w:lineRule="exact"/>
              <w:jc w:val="center"/>
              <w:rPr>
                <w:rFonts w:hint="eastAsia" w:ascii="宋体" w:hAnsi="宋体" w:cs="宋体"/>
                <w:color w:val="auto"/>
                <w:szCs w:val="21"/>
                <w:highlight w:val="none"/>
              </w:rPr>
            </w:pPr>
          </w:p>
        </w:tc>
        <w:tc>
          <w:tcPr>
            <w:tcW w:w="783" w:type="dxa"/>
            <w:noWrap w:val="0"/>
            <w:vAlign w:val="center"/>
          </w:tcPr>
          <w:p w14:paraId="36256C87">
            <w:pPr>
              <w:spacing w:line="360" w:lineRule="exact"/>
              <w:jc w:val="center"/>
              <w:rPr>
                <w:rFonts w:hint="eastAsia" w:ascii="宋体" w:hAnsi="宋体" w:cs="宋体"/>
                <w:color w:val="auto"/>
                <w:szCs w:val="21"/>
                <w:highlight w:val="none"/>
              </w:rPr>
            </w:pPr>
          </w:p>
        </w:tc>
      </w:tr>
      <w:tr w14:paraId="31E19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1FB4025C">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743EEBCA">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6CAE1B80">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324A18A3">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478F5963">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64C52477">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7BA9CFC6">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51663E71">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57F7AFB5">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07204C63">
            <w:pPr>
              <w:pStyle w:val="18"/>
              <w:keepNext/>
              <w:spacing w:after="0" w:line="360" w:lineRule="exact"/>
              <w:rPr>
                <w:rFonts w:hint="eastAsia" w:ascii="宋体" w:hAnsi="宋体" w:cs="宋体"/>
                <w:color w:val="auto"/>
                <w:szCs w:val="21"/>
                <w:highlight w:val="none"/>
              </w:rPr>
            </w:pPr>
          </w:p>
        </w:tc>
      </w:tr>
      <w:tr w14:paraId="0AF1E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6BCAF44">
            <w:pPr>
              <w:spacing w:line="360" w:lineRule="exact"/>
              <w:jc w:val="center"/>
              <w:rPr>
                <w:rFonts w:hint="eastAsia" w:ascii="宋体" w:hAnsi="宋体" w:cs="宋体"/>
                <w:color w:val="auto"/>
                <w:szCs w:val="21"/>
                <w:highlight w:val="none"/>
              </w:rPr>
            </w:pPr>
          </w:p>
        </w:tc>
        <w:tc>
          <w:tcPr>
            <w:tcW w:w="1099" w:type="dxa"/>
            <w:noWrap w:val="0"/>
            <w:vAlign w:val="center"/>
          </w:tcPr>
          <w:p w14:paraId="74AB0844">
            <w:pPr>
              <w:spacing w:line="360" w:lineRule="exact"/>
              <w:jc w:val="center"/>
              <w:rPr>
                <w:rFonts w:hint="eastAsia" w:ascii="宋体" w:hAnsi="宋体" w:cs="宋体"/>
                <w:color w:val="auto"/>
                <w:szCs w:val="21"/>
                <w:highlight w:val="none"/>
              </w:rPr>
            </w:pPr>
          </w:p>
        </w:tc>
        <w:tc>
          <w:tcPr>
            <w:tcW w:w="1134" w:type="dxa"/>
            <w:noWrap w:val="0"/>
            <w:vAlign w:val="center"/>
          </w:tcPr>
          <w:p w14:paraId="4CEDA96F">
            <w:pPr>
              <w:spacing w:line="360" w:lineRule="exact"/>
              <w:jc w:val="center"/>
              <w:rPr>
                <w:rFonts w:hint="eastAsia" w:ascii="宋体" w:hAnsi="宋体" w:cs="宋体"/>
                <w:color w:val="auto"/>
                <w:szCs w:val="21"/>
                <w:highlight w:val="none"/>
              </w:rPr>
            </w:pPr>
          </w:p>
        </w:tc>
        <w:tc>
          <w:tcPr>
            <w:tcW w:w="620" w:type="dxa"/>
            <w:noWrap w:val="0"/>
            <w:vAlign w:val="center"/>
          </w:tcPr>
          <w:p w14:paraId="021C3D87">
            <w:pPr>
              <w:spacing w:line="360" w:lineRule="exact"/>
              <w:jc w:val="center"/>
              <w:rPr>
                <w:rFonts w:hint="eastAsia" w:ascii="宋体" w:hAnsi="宋体" w:cs="宋体"/>
                <w:color w:val="auto"/>
                <w:szCs w:val="21"/>
                <w:highlight w:val="none"/>
              </w:rPr>
            </w:pPr>
          </w:p>
        </w:tc>
        <w:tc>
          <w:tcPr>
            <w:tcW w:w="690" w:type="dxa"/>
            <w:noWrap w:val="0"/>
            <w:vAlign w:val="center"/>
          </w:tcPr>
          <w:p w14:paraId="5680A39C">
            <w:pPr>
              <w:spacing w:line="360" w:lineRule="exact"/>
              <w:jc w:val="center"/>
              <w:rPr>
                <w:rFonts w:hint="eastAsia" w:ascii="宋体" w:hAnsi="宋体" w:cs="宋体"/>
                <w:color w:val="auto"/>
                <w:szCs w:val="21"/>
                <w:highlight w:val="none"/>
              </w:rPr>
            </w:pPr>
          </w:p>
        </w:tc>
        <w:tc>
          <w:tcPr>
            <w:tcW w:w="1044" w:type="dxa"/>
            <w:noWrap w:val="0"/>
            <w:vAlign w:val="center"/>
          </w:tcPr>
          <w:p w14:paraId="3607380A">
            <w:pPr>
              <w:spacing w:line="360" w:lineRule="exact"/>
              <w:jc w:val="center"/>
              <w:rPr>
                <w:rFonts w:hint="eastAsia" w:ascii="宋体" w:hAnsi="宋体" w:cs="宋体"/>
                <w:color w:val="auto"/>
                <w:szCs w:val="21"/>
                <w:highlight w:val="none"/>
              </w:rPr>
            </w:pPr>
          </w:p>
        </w:tc>
        <w:tc>
          <w:tcPr>
            <w:tcW w:w="719" w:type="dxa"/>
            <w:noWrap w:val="0"/>
            <w:vAlign w:val="center"/>
          </w:tcPr>
          <w:p w14:paraId="52A29FEE">
            <w:pPr>
              <w:spacing w:line="360" w:lineRule="exact"/>
              <w:jc w:val="center"/>
              <w:rPr>
                <w:rFonts w:hint="eastAsia" w:ascii="宋体" w:hAnsi="宋体" w:cs="宋体"/>
                <w:color w:val="auto"/>
                <w:szCs w:val="21"/>
                <w:highlight w:val="none"/>
              </w:rPr>
            </w:pPr>
          </w:p>
        </w:tc>
        <w:tc>
          <w:tcPr>
            <w:tcW w:w="716" w:type="dxa"/>
            <w:noWrap w:val="0"/>
            <w:vAlign w:val="center"/>
          </w:tcPr>
          <w:p w14:paraId="11F6DFEE">
            <w:pPr>
              <w:spacing w:line="360" w:lineRule="exact"/>
              <w:jc w:val="center"/>
              <w:rPr>
                <w:rFonts w:hint="eastAsia" w:ascii="宋体" w:hAnsi="宋体" w:cs="宋体"/>
                <w:color w:val="auto"/>
                <w:szCs w:val="21"/>
                <w:highlight w:val="none"/>
              </w:rPr>
            </w:pPr>
          </w:p>
        </w:tc>
        <w:tc>
          <w:tcPr>
            <w:tcW w:w="1487" w:type="dxa"/>
            <w:noWrap w:val="0"/>
            <w:vAlign w:val="center"/>
          </w:tcPr>
          <w:p w14:paraId="3F5B8AA7">
            <w:pPr>
              <w:spacing w:line="360" w:lineRule="exact"/>
              <w:jc w:val="center"/>
              <w:rPr>
                <w:rFonts w:hint="eastAsia" w:ascii="宋体" w:hAnsi="宋体" w:cs="宋体"/>
                <w:color w:val="auto"/>
                <w:szCs w:val="21"/>
                <w:highlight w:val="none"/>
              </w:rPr>
            </w:pPr>
          </w:p>
        </w:tc>
        <w:tc>
          <w:tcPr>
            <w:tcW w:w="783" w:type="dxa"/>
            <w:noWrap w:val="0"/>
            <w:vAlign w:val="center"/>
          </w:tcPr>
          <w:p w14:paraId="11102681">
            <w:pPr>
              <w:spacing w:line="360" w:lineRule="exact"/>
              <w:jc w:val="center"/>
              <w:rPr>
                <w:rFonts w:hint="eastAsia" w:ascii="宋体" w:hAnsi="宋体" w:cs="宋体"/>
                <w:color w:val="auto"/>
                <w:szCs w:val="21"/>
                <w:highlight w:val="none"/>
              </w:rPr>
            </w:pPr>
          </w:p>
        </w:tc>
      </w:tr>
      <w:tr w14:paraId="3E4C7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2A244E2">
            <w:pPr>
              <w:spacing w:line="360" w:lineRule="exact"/>
              <w:jc w:val="center"/>
              <w:rPr>
                <w:rFonts w:hint="eastAsia" w:ascii="宋体" w:hAnsi="宋体" w:cs="宋体"/>
                <w:color w:val="auto"/>
                <w:szCs w:val="21"/>
                <w:highlight w:val="none"/>
              </w:rPr>
            </w:pPr>
          </w:p>
        </w:tc>
        <w:tc>
          <w:tcPr>
            <w:tcW w:w="1099" w:type="dxa"/>
            <w:noWrap w:val="0"/>
            <w:vAlign w:val="center"/>
          </w:tcPr>
          <w:p w14:paraId="4575F162">
            <w:pPr>
              <w:spacing w:line="360" w:lineRule="exact"/>
              <w:jc w:val="center"/>
              <w:rPr>
                <w:rFonts w:hint="eastAsia" w:ascii="宋体" w:hAnsi="宋体" w:cs="宋体"/>
                <w:color w:val="auto"/>
                <w:szCs w:val="21"/>
                <w:highlight w:val="none"/>
              </w:rPr>
            </w:pPr>
          </w:p>
        </w:tc>
        <w:tc>
          <w:tcPr>
            <w:tcW w:w="1134" w:type="dxa"/>
            <w:noWrap w:val="0"/>
            <w:vAlign w:val="center"/>
          </w:tcPr>
          <w:p w14:paraId="7263A92A">
            <w:pPr>
              <w:spacing w:line="360" w:lineRule="exact"/>
              <w:jc w:val="center"/>
              <w:rPr>
                <w:rFonts w:hint="eastAsia" w:ascii="宋体" w:hAnsi="宋体" w:cs="宋体"/>
                <w:color w:val="auto"/>
                <w:szCs w:val="21"/>
                <w:highlight w:val="none"/>
              </w:rPr>
            </w:pPr>
          </w:p>
        </w:tc>
        <w:tc>
          <w:tcPr>
            <w:tcW w:w="620" w:type="dxa"/>
            <w:noWrap w:val="0"/>
            <w:vAlign w:val="center"/>
          </w:tcPr>
          <w:p w14:paraId="3A0C68B9">
            <w:pPr>
              <w:spacing w:line="360" w:lineRule="exact"/>
              <w:jc w:val="center"/>
              <w:rPr>
                <w:rFonts w:hint="eastAsia" w:ascii="宋体" w:hAnsi="宋体" w:cs="宋体"/>
                <w:color w:val="auto"/>
                <w:szCs w:val="21"/>
                <w:highlight w:val="none"/>
              </w:rPr>
            </w:pPr>
          </w:p>
        </w:tc>
        <w:tc>
          <w:tcPr>
            <w:tcW w:w="690" w:type="dxa"/>
            <w:noWrap w:val="0"/>
            <w:vAlign w:val="center"/>
          </w:tcPr>
          <w:p w14:paraId="24ED68CF">
            <w:pPr>
              <w:spacing w:line="360" w:lineRule="exact"/>
              <w:jc w:val="center"/>
              <w:rPr>
                <w:rFonts w:hint="eastAsia" w:ascii="宋体" w:hAnsi="宋体" w:cs="宋体"/>
                <w:color w:val="auto"/>
                <w:szCs w:val="21"/>
                <w:highlight w:val="none"/>
              </w:rPr>
            </w:pPr>
          </w:p>
        </w:tc>
        <w:tc>
          <w:tcPr>
            <w:tcW w:w="1044" w:type="dxa"/>
            <w:noWrap w:val="0"/>
            <w:vAlign w:val="center"/>
          </w:tcPr>
          <w:p w14:paraId="213DD24A">
            <w:pPr>
              <w:spacing w:line="360" w:lineRule="exact"/>
              <w:jc w:val="center"/>
              <w:rPr>
                <w:rFonts w:hint="eastAsia" w:ascii="宋体" w:hAnsi="宋体" w:cs="宋体"/>
                <w:color w:val="auto"/>
                <w:szCs w:val="21"/>
                <w:highlight w:val="none"/>
              </w:rPr>
            </w:pPr>
          </w:p>
        </w:tc>
        <w:tc>
          <w:tcPr>
            <w:tcW w:w="719" w:type="dxa"/>
            <w:noWrap w:val="0"/>
            <w:vAlign w:val="center"/>
          </w:tcPr>
          <w:p w14:paraId="7753BE13">
            <w:pPr>
              <w:spacing w:line="360" w:lineRule="exact"/>
              <w:jc w:val="center"/>
              <w:rPr>
                <w:rFonts w:hint="eastAsia" w:ascii="宋体" w:hAnsi="宋体" w:cs="宋体"/>
                <w:color w:val="auto"/>
                <w:szCs w:val="21"/>
                <w:highlight w:val="none"/>
              </w:rPr>
            </w:pPr>
          </w:p>
        </w:tc>
        <w:tc>
          <w:tcPr>
            <w:tcW w:w="716" w:type="dxa"/>
            <w:noWrap w:val="0"/>
            <w:vAlign w:val="center"/>
          </w:tcPr>
          <w:p w14:paraId="33550879">
            <w:pPr>
              <w:spacing w:line="360" w:lineRule="exact"/>
              <w:jc w:val="center"/>
              <w:rPr>
                <w:rFonts w:hint="eastAsia" w:ascii="宋体" w:hAnsi="宋体" w:cs="宋体"/>
                <w:color w:val="auto"/>
                <w:szCs w:val="21"/>
                <w:highlight w:val="none"/>
              </w:rPr>
            </w:pPr>
          </w:p>
        </w:tc>
        <w:tc>
          <w:tcPr>
            <w:tcW w:w="1487" w:type="dxa"/>
            <w:noWrap w:val="0"/>
            <w:vAlign w:val="center"/>
          </w:tcPr>
          <w:p w14:paraId="1C2F2204">
            <w:pPr>
              <w:spacing w:line="360" w:lineRule="exact"/>
              <w:jc w:val="center"/>
              <w:rPr>
                <w:rFonts w:hint="eastAsia" w:ascii="宋体" w:hAnsi="宋体" w:cs="宋体"/>
                <w:color w:val="auto"/>
                <w:szCs w:val="21"/>
                <w:highlight w:val="none"/>
              </w:rPr>
            </w:pPr>
          </w:p>
        </w:tc>
        <w:tc>
          <w:tcPr>
            <w:tcW w:w="783" w:type="dxa"/>
            <w:noWrap w:val="0"/>
            <w:vAlign w:val="center"/>
          </w:tcPr>
          <w:p w14:paraId="7A5FE0BC">
            <w:pPr>
              <w:spacing w:line="360" w:lineRule="exact"/>
              <w:jc w:val="center"/>
              <w:rPr>
                <w:rFonts w:hint="eastAsia" w:ascii="宋体" w:hAnsi="宋体" w:cs="宋体"/>
                <w:color w:val="auto"/>
                <w:szCs w:val="21"/>
                <w:highlight w:val="none"/>
              </w:rPr>
            </w:pPr>
          </w:p>
        </w:tc>
      </w:tr>
      <w:tr w14:paraId="33909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D682A8B">
            <w:pPr>
              <w:spacing w:line="360" w:lineRule="exact"/>
              <w:jc w:val="center"/>
              <w:rPr>
                <w:rFonts w:hint="eastAsia" w:ascii="宋体" w:hAnsi="宋体" w:cs="宋体"/>
                <w:color w:val="auto"/>
                <w:szCs w:val="21"/>
                <w:highlight w:val="none"/>
              </w:rPr>
            </w:pPr>
          </w:p>
        </w:tc>
        <w:tc>
          <w:tcPr>
            <w:tcW w:w="1099" w:type="dxa"/>
            <w:noWrap w:val="0"/>
            <w:vAlign w:val="center"/>
          </w:tcPr>
          <w:p w14:paraId="6D701A2E">
            <w:pPr>
              <w:spacing w:line="360" w:lineRule="exact"/>
              <w:jc w:val="center"/>
              <w:rPr>
                <w:rFonts w:hint="eastAsia" w:ascii="宋体" w:hAnsi="宋体" w:cs="宋体"/>
                <w:color w:val="auto"/>
                <w:szCs w:val="21"/>
                <w:highlight w:val="none"/>
              </w:rPr>
            </w:pPr>
          </w:p>
        </w:tc>
        <w:tc>
          <w:tcPr>
            <w:tcW w:w="1134" w:type="dxa"/>
            <w:noWrap w:val="0"/>
            <w:vAlign w:val="center"/>
          </w:tcPr>
          <w:p w14:paraId="5248A6BC">
            <w:pPr>
              <w:spacing w:line="360" w:lineRule="exact"/>
              <w:jc w:val="center"/>
              <w:rPr>
                <w:rFonts w:hint="eastAsia" w:ascii="宋体" w:hAnsi="宋体" w:cs="宋体"/>
                <w:color w:val="auto"/>
                <w:szCs w:val="21"/>
                <w:highlight w:val="none"/>
              </w:rPr>
            </w:pPr>
          </w:p>
        </w:tc>
        <w:tc>
          <w:tcPr>
            <w:tcW w:w="620" w:type="dxa"/>
            <w:noWrap w:val="0"/>
            <w:vAlign w:val="center"/>
          </w:tcPr>
          <w:p w14:paraId="27E3C7CD">
            <w:pPr>
              <w:spacing w:line="360" w:lineRule="exact"/>
              <w:jc w:val="center"/>
              <w:rPr>
                <w:rFonts w:hint="eastAsia" w:ascii="宋体" w:hAnsi="宋体" w:cs="宋体"/>
                <w:color w:val="auto"/>
                <w:szCs w:val="21"/>
                <w:highlight w:val="none"/>
              </w:rPr>
            </w:pPr>
          </w:p>
        </w:tc>
        <w:tc>
          <w:tcPr>
            <w:tcW w:w="690" w:type="dxa"/>
            <w:noWrap w:val="0"/>
            <w:vAlign w:val="center"/>
          </w:tcPr>
          <w:p w14:paraId="7EEA2EE3">
            <w:pPr>
              <w:spacing w:line="360" w:lineRule="exact"/>
              <w:jc w:val="center"/>
              <w:rPr>
                <w:rFonts w:hint="eastAsia" w:ascii="宋体" w:hAnsi="宋体" w:cs="宋体"/>
                <w:color w:val="auto"/>
                <w:szCs w:val="21"/>
                <w:highlight w:val="none"/>
              </w:rPr>
            </w:pPr>
          </w:p>
        </w:tc>
        <w:tc>
          <w:tcPr>
            <w:tcW w:w="1044" w:type="dxa"/>
            <w:noWrap w:val="0"/>
            <w:vAlign w:val="center"/>
          </w:tcPr>
          <w:p w14:paraId="4CEE1A43">
            <w:pPr>
              <w:spacing w:line="360" w:lineRule="exact"/>
              <w:jc w:val="center"/>
              <w:rPr>
                <w:rFonts w:hint="eastAsia" w:ascii="宋体" w:hAnsi="宋体" w:cs="宋体"/>
                <w:color w:val="auto"/>
                <w:szCs w:val="21"/>
                <w:highlight w:val="none"/>
              </w:rPr>
            </w:pPr>
          </w:p>
        </w:tc>
        <w:tc>
          <w:tcPr>
            <w:tcW w:w="719" w:type="dxa"/>
            <w:noWrap w:val="0"/>
            <w:vAlign w:val="center"/>
          </w:tcPr>
          <w:p w14:paraId="1524B07F">
            <w:pPr>
              <w:spacing w:line="360" w:lineRule="exact"/>
              <w:jc w:val="center"/>
              <w:rPr>
                <w:rFonts w:hint="eastAsia" w:ascii="宋体" w:hAnsi="宋体" w:cs="宋体"/>
                <w:color w:val="auto"/>
                <w:szCs w:val="21"/>
                <w:highlight w:val="none"/>
              </w:rPr>
            </w:pPr>
          </w:p>
        </w:tc>
        <w:tc>
          <w:tcPr>
            <w:tcW w:w="716" w:type="dxa"/>
            <w:noWrap w:val="0"/>
            <w:vAlign w:val="center"/>
          </w:tcPr>
          <w:p w14:paraId="1027A783">
            <w:pPr>
              <w:spacing w:line="360" w:lineRule="exact"/>
              <w:jc w:val="center"/>
              <w:rPr>
                <w:rFonts w:hint="eastAsia" w:ascii="宋体" w:hAnsi="宋体" w:cs="宋体"/>
                <w:color w:val="auto"/>
                <w:szCs w:val="21"/>
                <w:highlight w:val="none"/>
              </w:rPr>
            </w:pPr>
          </w:p>
        </w:tc>
        <w:tc>
          <w:tcPr>
            <w:tcW w:w="1487" w:type="dxa"/>
            <w:noWrap w:val="0"/>
            <w:vAlign w:val="center"/>
          </w:tcPr>
          <w:p w14:paraId="628DB204">
            <w:pPr>
              <w:spacing w:line="360" w:lineRule="exact"/>
              <w:jc w:val="center"/>
              <w:rPr>
                <w:rFonts w:hint="eastAsia" w:ascii="宋体" w:hAnsi="宋体" w:cs="宋体"/>
                <w:color w:val="auto"/>
                <w:szCs w:val="21"/>
                <w:highlight w:val="none"/>
              </w:rPr>
            </w:pPr>
          </w:p>
        </w:tc>
        <w:tc>
          <w:tcPr>
            <w:tcW w:w="783" w:type="dxa"/>
            <w:noWrap w:val="0"/>
            <w:vAlign w:val="center"/>
          </w:tcPr>
          <w:p w14:paraId="12B95C3F">
            <w:pPr>
              <w:spacing w:line="360" w:lineRule="exact"/>
              <w:jc w:val="center"/>
              <w:rPr>
                <w:rFonts w:hint="eastAsia" w:ascii="宋体" w:hAnsi="宋体" w:cs="宋体"/>
                <w:color w:val="auto"/>
                <w:szCs w:val="21"/>
                <w:highlight w:val="none"/>
              </w:rPr>
            </w:pPr>
          </w:p>
        </w:tc>
      </w:tr>
      <w:tr w14:paraId="539EA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F1DA964">
            <w:pPr>
              <w:spacing w:line="360" w:lineRule="exact"/>
              <w:jc w:val="center"/>
              <w:rPr>
                <w:rFonts w:hint="eastAsia" w:ascii="宋体" w:hAnsi="宋体" w:cs="宋体"/>
                <w:color w:val="auto"/>
                <w:szCs w:val="21"/>
                <w:highlight w:val="none"/>
              </w:rPr>
            </w:pPr>
          </w:p>
        </w:tc>
        <w:tc>
          <w:tcPr>
            <w:tcW w:w="1099" w:type="dxa"/>
            <w:noWrap w:val="0"/>
            <w:vAlign w:val="center"/>
          </w:tcPr>
          <w:p w14:paraId="6EBA62CD">
            <w:pPr>
              <w:spacing w:line="360" w:lineRule="exact"/>
              <w:jc w:val="center"/>
              <w:rPr>
                <w:rFonts w:hint="eastAsia" w:ascii="宋体" w:hAnsi="宋体" w:cs="宋体"/>
                <w:color w:val="auto"/>
                <w:szCs w:val="21"/>
                <w:highlight w:val="none"/>
              </w:rPr>
            </w:pPr>
          </w:p>
        </w:tc>
        <w:tc>
          <w:tcPr>
            <w:tcW w:w="1134" w:type="dxa"/>
            <w:noWrap w:val="0"/>
            <w:vAlign w:val="center"/>
          </w:tcPr>
          <w:p w14:paraId="6BBCF434">
            <w:pPr>
              <w:spacing w:line="360" w:lineRule="exact"/>
              <w:jc w:val="center"/>
              <w:rPr>
                <w:rFonts w:hint="eastAsia" w:ascii="宋体" w:hAnsi="宋体" w:cs="宋体"/>
                <w:color w:val="auto"/>
                <w:szCs w:val="21"/>
                <w:highlight w:val="none"/>
              </w:rPr>
            </w:pPr>
          </w:p>
        </w:tc>
        <w:tc>
          <w:tcPr>
            <w:tcW w:w="620" w:type="dxa"/>
            <w:noWrap w:val="0"/>
            <w:vAlign w:val="center"/>
          </w:tcPr>
          <w:p w14:paraId="2774E328">
            <w:pPr>
              <w:spacing w:line="360" w:lineRule="exact"/>
              <w:jc w:val="center"/>
              <w:rPr>
                <w:rFonts w:hint="eastAsia" w:ascii="宋体" w:hAnsi="宋体" w:cs="宋体"/>
                <w:color w:val="auto"/>
                <w:szCs w:val="21"/>
                <w:highlight w:val="none"/>
              </w:rPr>
            </w:pPr>
          </w:p>
        </w:tc>
        <w:tc>
          <w:tcPr>
            <w:tcW w:w="690" w:type="dxa"/>
            <w:noWrap w:val="0"/>
            <w:vAlign w:val="center"/>
          </w:tcPr>
          <w:p w14:paraId="33887E4B">
            <w:pPr>
              <w:spacing w:line="360" w:lineRule="exact"/>
              <w:jc w:val="center"/>
              <w:rPr>
                <w:rFonts w:hint="eastAsia" w:ascii="宋体" w:hAnsi="宋体" w:cs="宋体"/>
                <w:color w:val="auto"/>
                <w:szCs w:val="21"/>
                <w:highlight w:val="none"/>
              </w:rPr>
            </w:pPr>
          </w:p>
        </w:tc>
        <w:tc>
          <w:tcPr>
            <w:tcW w:w="1044" w:type="dxa"/>
            <w:noWrap w:val="0"/>
            <w:vAlign w:val="center"/>
          </w:tcPr>
          <w:p w14:paraId="100A4468">
            <w:pPr>
              <w:spacing w:line="360" w:lineRule="exact"/>
              <w:jc w:val="center"/>
              <w:rPr>
                <w:rFonts w:hint="eastAsia" w:ascii="宋体" w:hAnsi="宋体" w:cs="宋体"/>
                <w:color w:val="auto"/>
                <w:szCs w:val="21"/>
                <w:highlight w:val="none"/>
              </w:rPr>
            </w:pPr>
          </w:p>
        </w:tc>
        <w:tc>
          <w:tcPr>
            <w:tcW w:w="719" w:type="dxa"/>
            <w:noWrap w:val="0"/>
            <w:vAlign w:val="center"/>
          </w:tcPr>
          <w:p w14:paraId="7E5B1B71">
            <w:pPr>
              <w:spacing w:line="360" w:lineRule="exact"/>
              <w:jc w:val="center"/>
              <w:rPr>
                <w:rFonts w:hint="eastAsia" w:ascii="宋体" w:hAnsi="宋体" w:cs="宋体"/>
                <w:color w:val="auto"/>
                <w:szCs w:val="21"/>
                <w:highlight w:val="none"/>
              </w:rPr>
            </w:pPr>
          </w:p>
        </w:tc>
        <w:tc>
          <w:tcPr>
            <w:tcW w:w="716" w:type="dxa"/>
            <w:noWrap w:val="0"/>
            <w:vAlign w:val="center"/>
          </w:tcPr>
          <w:p w14:paraId="09CAE206">
            <w:pPr>
              <w:spacing w:line="360" w:lineRule="exact"/>
              <w:jc w:val="center"/>
              <w:rPr>
                <w:rFonts w:hint="eastAsia" w:ascii="宋体" w:hAnsi="宋体" w:cs="宋体"/>
                <w:color w:val="auto"/>
                <w:szCs w:val="21"/>
                <w:highlight w:val="none"/>
              </w:rPr>
            </w:pPr>
          </w:p>
        </w:tc>
        <w:tc>
          <w:tcPr>
            <w:tcW w:w="1487" w:type="dxa"/>
            <w:noWrap w:val="0"/>
            <w:vAlign w:val="center"/>
          </w:tcPr>
          <w:p w14:paraId="6EB4DDA3">
            <w:pPr>
              <w:spacing w:line="360" w:lineRule="exact"/>
              <w:jc w:val="center"/>
              <w:rPr>
                <w:rFonts w:hint="eastAsia" w:ascii="宋体" w:hAnsi="宋体" w:cs="宋体"/>
                <w:color w:val="auto"/>
                <w:szCs w:val="21"/>
                <w:highlight w:val="none"/>
              </w:rPr>
            </w:pPr>
          </w:p>
        </w:tc>
        <w:tc>
          <w:tcPr>
            <w:tcW w:w="783" w:type="dxa"/>
            <w:noWrap w:val="0"/>
            <w:vAlign w:val="center"/>
          </w:tcPr>
          <w:p w14:paraId="68C1DC23">
            <w:pPr>
              <w:spacing w:line="360" w:lineRule="exact"/>
              <w:jc w:val="center"/>
              <w:rPr>
                <w:rFonts w:hint="eastAsia" w:ascii="宋体" w:hAnsi="宋体" w:cs="宋体"/>
                <w:color w:val="auto"/>
                <w:szCs w:val="21"/>
                <w:highlight w:val="none"/>
              </w:rPr>
            </w:pPr>
          </w:p>
        </w:tc>
      </w:tr>
      <w:tr w14:paraId="60E04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5E7B4253">
            <w:pPr>
              <w:spacing w:line="360" w:lineRule="exact"/>
              <w:jc w:val="center"/>
              <w:rPr>
                <w:rFonts w:hint="eastAsia" w:ascii="宋体" w:hAnsi="宋体" w:cs="宋体"/>
                <w:color w:val="auto"/>
                <w:szCs w:val="21"/>
                <w:highlight w:val="none"/>
              </w:rPr>
            </w:pPr>
          </w:p>
        </w:tc>
        <w:tc>
          <w:tcPr>
            <w:tcW w:w="1099" w:type="dxa"/>
            <w:noWrap w:val="0"/>
            <w:vAlign w:val="center"/>
          </w:tcPr>
          <w:p w14:paraId="28D4439A">
            <w:pPr>
              <w:spacing w:line="360" w:lineRule="exact"/>
              <w:jc w:val="center"/>
              <w:rPr>
                <w:rFonts w:hint="eastAsia" w:ascii="宋体" w:hAnsi="宋体" w:cs="宋体"/>
                <w:color w:val="auto"/>
                <w:szCs w:val="21"/>
                <w:highlight w:val="none"/>
              </w:rPr>
            </w:pPr>
          </w:p>
        </w:tc>
        <w:tc>
          <w:tcPr>
            <w:tcW w:w="1134" w:type="dxa"/>
            <w:noWrap w:val="0"/>
            <w:vAlign w:val="center"/>
          </w:tcPr>
          <w:p w14:paraId="718B0543">
            <w:pPr>
              <w:spacing w:line="360" w:lineRule="exact"/>
              <w:jc w:val="center"/>
              <w:rPr>
                <w:rFonts w:hint="eastAsia" w:ascii="宋体" w:hAnsi="宋体" w:cs="宋体"/>
                <w:color w:val="auto"/>
                <w:szCs w:val="21"/>
                <w:highlight w:val="none"/>
              </w:rPr>
            </w:pPr>
          </w:p>
        </w:tc>
        <w:tc>
          <w:tcPr>
            <w:tcW w:w="620" w:type="dxa"/>
            <w:noWrap w:val="0"/>
            <w:vAlign w:val="center"/>
          </w:tcPr>
          <w:p w14:paraId="2910EB92">
            <w:pPr>
              <w:spacing w:line="360" w:lineRule="exact"/>
              <w:jc w:val="center"/>
              <w:rPr>
                <w:rFonts w:hint="eastAsia" w:ascii="宋体" w:hAnsi="宋体" w:cs="宋体"/>
                <w:color w:val="auto"/>
                <w:szCs w:val="21"/>
                <w:highlight w:val="none"/>
              </w:rPr>
            </w:pPr>
          </w:p>
        </w:tc>
        <w:tc>
          <w:tcPr>
            <w:tcW w:w="690" w:type="dxa"/>
            <w:noWrap w:val="0"/>
            <w:vAlign w:val="center"/>
          </w:tcPr>
          <w:p w14:paraId="58974602">
            <w:pPr>
              <w:spacing w:line="360" w:lineRule="exact"/>
              <w:jc w:val="center"/>
              <w:rPr>
                <w:rFonts w:hint="eastAsia" w:ascii="宋体" w:hAnsi="宋体" w:cs="宋体"/>
                <w:color w:val="auto"/>
                <w:szCs w:val="21"/>
                <w:highlight w:val="none"/>
              </w:rPr>
            </w:pPr>
          </w:p>
        </w:tc>
        <w:tc>
          <w:tcPr>
            <w:tcW w:w="1044" w:type="dxa"/>
            <w:noWrap w:val="0"/>
            <w:vAlign w:val="center"/>
          </w:tcPr>
          <w:p w14:paraId="7D388486">
            <w:pPr>
              <w:spacing w:line="360" w:lineRule="exact"/>
              <w:jc w:val="center"/>
              <w:rPr>
                <w:rFonts w:hint="eastAsia" w:ascii="宋体" w:hAnsi="宋体" w:cs="宋体"/>
                <w:color w:val="auto"/>
                <w:szCs w:val="21"/>
                <w:highlight w:val="none"/>
              </w:rPr>
            </w:pPr>
          </w:p>
        </w:tc>
        <w:tc>
          <w:tcPr>
            <w:tcW w:w="719" w:type="dxa"/>
            <w:noWrap w:val="0"/>
            <w:vAlign w:val="center"/>
          </w:tcPr>
          <w:p w14:paraId="4BB6DFAE">
            <w:pPr>
              <w:spacing w:line="360" w:lineRule="exact"/>
              <w:jc w:val="center"/>
              <w:rPr>
                <w:rFonts w:hint="eastAsia" w:ascii="宋体" w:hAnsi="宋体" w:cs="宋体"/>
                <w:color w:val="auto"/>
                <w:szCs w:val="21"/>
                <w:highlight w:val="none"/>
              </w:rPr>
            </w:pPr>
          </w:p>
        </w:tc>
        <w:tc>
          <w:tcPr>
            <w:tcW w:w="716" w:type="dxa"/>
            <w:noWrap w:val="0"/>
            <w:vAlign w:val="center"/>
          </w:tcPr>
          <w:p w14:paraId="414394EA">
            <w:pPr>
              <w:spacing w:line="360" w:lineRule="exact"/>
              <w:jc w:val="center"/>
              <w:rPr>
                <w:rFonts w:hint="eastAsia" w:ascii="宋体" w:hAnsi="宋体" w:cs="宋体"/>
                <w:color w:val="auto"/>
                <w:szCs w:val="21"/>
                <w:highlight w:val="none"/>
              </w:rPr>
            </w:pPr>
          </w:p>
        </w:tc>
        <w:tc>
          <w:tcPr>
            <w:tcW w:w="1487" w:type="dxa"/>
            <w:noWrap w:val="0"/>
            <w:vAlign w:val="center"/>
          </w:tcPr>
          <w:p w14:paraId="268A6AB7">
            <w:pPr>
              <w:spacing w:line="360" w:lineRule="exact"/>
              <w:jc w:val="center"/>
              <w:rPr>
                <w:rFonts w:hint="eastAsia" w:ascii="宋体" w:hAnsi="宋体" w:cs="宋体"/>
                <w:color w:val="auto"/>
                <w:szCs w:val="21"/>
                <w:highlight w:val="none"/>
              </w:rPr>
            </w:pPr>
          </w:p>
        </w:tc>
        <w:tc>
          <w:tcPr>
            <w:tcW w:w="783" w:type="dxa"/>
            <w:noWrap w:val="0"/>
            <w:vAlign w:val="center"/>
          </w:tcPr>
          <w:p w14:paraId="5FF11280">
            <w:pPr>
              <w:spacing w:line="360" w:lineRule="exact"/>
              <w:jc w:val="center"/>
              <w:rPr>
                <w:rFonts w:hint="eastAsia" w:ascii="宋体" w:hAnsi="宋体" w:cs="宋体"/>
                <w:color w:val="auto"/>
                <w:szCs w:val="21"/>
                <w:highlight w:val="none"/>
              </w:rPr>
            </w:pPr>
          </w:p>
        </w:tc>
      </w:tr>
      <w:tr w14:paraId="418E7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B2E1EAD">
            <w:pPr>
              <w:spacing w:line="360" w:lineRule="exact"/>
              <w:jc w:val="center"/>
              <w:rPr>
                <w:rFonts w:hint="eastAsia" w:ascii="宋体" w:hAnsi="宋体" w:cs="宋体"/>
                <w:color w:val="auto"/>
                <w:szCs w:val="21"/>
                <w:highlight w:val="none"/>
              </w:rPr>
            </w:pPr>
          </w:p>
        </w:tc>
        <w:tc>
          <w:tcPr>
            <w:tcW w:w="1099" w:type="dxa"/>
            <w:noWrap w:val="0"/>
            <w:vAlign w:val="center"/>
          </w:tcPr>
          <w:p w14:paraId="1C290F9C">
            <w:pPr>
              <w:spacing w:line="360" w:lineRule="exact"/>
              <w:jc w:val="center"/>
              <w:rPr>
                <w:rFonts w:hint="eastAsia" w:ascii="宋体" w:hAnsi="宋体" w:cs="宋体"/>
                <w:color w:val="auto"/>
                <w:szCs w:val="21"/>
                <w:highlight w:val="none"/>
              </w:rPr>
            </w:pPr>
          </w:p>
        </w:tc>
        <w:tc>
          <w:tcPr>
            <w:tcW w:w="1134" w:type="dxa"/>
            <w:noWrap w:val="0"/>
            <w:vAlign w:val="center"/>
          </w:tcPr>
          <w:p w14:paraId="10464F5C">
            <w:pPr>
              <w:spacing w:line="360" w:lineRule="exact"/>
              <w:jc w:val="center"/>
              <w:rPr>
                <w:rFonts w:hint="eastAsia" w:ascii="宋体" w:hAnsi="宋体" w:cs="宋体"/>
                <w:color w:val="auto"/>
                <w:szCs w:val="21"/>
                <w:highlight w:val="none"/>
              </w:rPr>
            </w:pPr>
          </w:p>
        </w:tc>
        <w:tc>
          <w:tcPr>
            <w:tcW w:w="620" w:type="dxa"/>
            <w:noWrap w:val="0"/>
            <w:vAlign w:val="center"/>
          </w:tcPr>
          <w:p w14:paraId="7438AA5E">
            <w:pPr>
              <w:spacing w:line="360" w:lineRule="exact"/>
              <w:jc w:val="center"/>
              <w:rPr>
                <w:rFonts w:hint="eastAsia" w:ascii="宋体" w:hAnsi="宋体" w:cs="宋体"/>
                <w:color w:val="auto"/>
                <w:szCs w:val="21"/>
                <w:highlight w:val="none"/>
              </w:rPr>
            </w:pPr>
          </w:p>
        </w:tc>
        <w:tc>
          <w:tcPr>
            <w:tcW w:w="690" w:type="dxa"/>
            <w:noWrap w:val="0"/>
            <w:vAlign w:val="center"/>
          </w:tcPr>
          <w:p w14:paraId="6619CB10">
            <w:pPr>
              <w:spacing w:line="360" w:lineRule="exact"/>
              <w:jc w:val="center"/>
              <w:rPr>
                <w:rFonts w:hint="eastAsia" w:ascii="宋体" w:hAnsi="宋体" w:cs="宋体"/>
                <w:color w:val="auto"/>
                <w:szCs w:val="21"/>
                <w:highlight w:val="none"/>
              </w:rPr>
            </w:pPr>
          </w:p>
        </w:tc>
        <w:tc>
          <w:tcPr>
            <w:tcW w:w="1044" w:type="dxa"/>
            <w:noWrap w:val="0"/>
            <w:vAlign w:val="center"/>
          </w:tcPr>
          <w:p w14:paraId="2C108247">
            <w:pPr>
              <w:spacing w:line="360" w:lineRule="exact"/>
              <w:jc w:val="center"/>
              <w:rPr>
                <w:rFonts w:hint="eastAsia" w:ascii="宋体" w:hAnsi="宋体" w:cs="宋体"/>
                <w:color w:val="auto"/>
                <w:szCs w:val="21"/>
                <w:highlight w:val="none"/>
              </w:rPr>
            </w:pPr>
          </w:p>
        </w:tc>
        <w:tc>
          <w:tcPr>
            <w:tcW w:w="719" w:type="dxa"/>
            <w:noWrap w:val="0"/>
            <w:vAlign w:val="center"/>
          </w:tcPr>
          <w:p w14:paraId="6D4EA70D">
            <w:pPr>
              <w:spacing w:line="360" w:lineRule="exact"/>
              <w:jc w:val="center"/>
              <w:rPr>
                <w:rFonts w:hint="eastAsia" w:ascii="宋体" w:hAnsi="宋体" w:cs="宋体"/>
                <w:color w:val="auto"/>
                <w:szCs w:val="21"/>
                <w:highlight w:val="none"/>
              </w:rPr>
            </w:pPr>
          </w:p>
        </w:tc>
        <w:tc>
          <w:tcPr>
            <w:tcW w:w="716" w:type="dxa"/>
            <w:noWrap w:val="0"/>
            <w:vAlign w:val="center"/>
          </w:tcPr>
          <w:p w14:paraId="7675DDA6">
            <w:pPr>
              <w:spacing w:line="360" w:lineRule="exact"/>
              <w:jc w:val="center"/>
              <w:rPr>
                <w:rFonts w:hint="eastAsia" w:ascii="宋体" w:hAnsi="宋体" w:cs="宋体"/>
                <w:color w:val="auto"/>
                <w:szCs w:val="21"/>
                <w:highlight w:val="none"/>
              </w:rPr>
            </w:pPr>
          </w:p>
        </w:tc>
        <w:tc>
          <w:tcPr>
            <w:tcW w:w="1487" w:type="dxa"/>
            <w:noWrap w:val="0"/>
            <w:vAlign w:val="center"/>
          </w:tcPr>
          <w:p w14:paraId="3A1D76D3">
            <w:pPr>
              <w:spacing w:line="360" w:lineRule="exact"/>
              <w:jc w:val="center"/>
              <w:rPr>
                <w:rFonts w:hint="eastAsia" w:ascii="宋体" w:hAnsi="宋体" w:cs="宋体"/>
                <w:color w:val="auto"/>
                <w:szCs w:val="21"/>
                <w:highlight w:val="none"/>
              </w:rPr>
            </w:pPr>
          </w:p>
        </w:tc>
        <w:tc>
          <w:tcPr>
            <w:tcW w:w="783" w:type="dxa"/>
            <w:noWrap w:val="0"/>
            <w:vAlign w:val="center"/>
          </w:tcPr>
          <w:p w14:paraId="19736F90">
            <w:pPr>
              <w:spacing w:line="360" w:lineRule="exact"/>
              <w:jc w:val="center"/>
              <w:rPr>
                <w:rFonts w:hint="eastAsia" w:ascii="宋体" w:hAnsi="宋体" w:cs="宋体"/>
                <w:color w:val="auto"/>
                <w:szCs w:val="21"/>
                <w:highlight w:val="none"/>
              </w:rPr>
            </w:pPr>
          </w:p>
        </w:tc>
      </w:tr>
      <w:tr w14:paraId="1A12F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295F2854">
            <w:pPr>
              <w:spacing w:line="360" w:lineRule="exact"/>
              <w:jc w:val="center"/>
              <w:rPr>
                <w:rFonts w:hint="eastAsia" w:ascii="宋体" w:hAnsi="宋体" w:cs="宋体"/>
                <w:color w:val="auto"/>
                <w:szCs w:val="21"/>
                <w:highlight w:val="none"/>
              </w:rPr>
            </w:pPr>
          </w:p>
        </w:tc>
        <w:tc>
          <w:tcPr>
            <w:tcW w:w="1099" w:type="dxa"/>
            <w:noWrap w:val="0"/>
            <w:vAlign w:val="center"/>
          </w:tcPr>
          <w:p w14:paraId="23B96A43">
            <w:pPr>
              <w:spacing w:line="360" w:lineRule="exact"/>
              <w:jc w:val="center"/>
              <w:rPr>
                <w:rFonts w:hint="eastAsia" w:ascii="宋体" w:hAnsi="宋体" w:cs="宋体"/>
                <w:color w:val="auto"/>
                <w:szCs w:val="21"/>
                <w:highlight w:val="none"/>
              </w:rPr>
            </w:pPr>
          </w:p>
        </w:tc>
        <w:tc>
          <w:tcPr>
            <w:tcW w:w="1134" w:type="dxa"/>
            <w:noWrap w:val="0"/>
            <w:vAlign w:val="center"/>
          </w:tcPr>
          <w:p w14:paraId="70B82317">
            <w:pPr>
              <w:spacing w:line="360" w:lineRule="exact"/>
              <w:jc w:val="center"/>
              <w:rPr>
                <w:rFonts w:hint="eastAsia" w:ascii="宋体" w:hAnsi="宋体" w:cs="宋体"/>
                <w:color w:val="auto"/>
                <w:szCs w:val="21"/>
                <w:highlight w:val="none"/>
              </w:rPr>
            </w:pPr>
          </w:p>
        </w:tc>
        <w:tc>
          <w:tcPr>
            <w:tcW w:w="620" w:type="dxa"/>
            <w:noWrap w:val="0"/>
            <w:vAlign w:val="center"/>
          </w:tcPr>
          <w:p w14:paraId="39B19145">
            <w:pPr>
              <w:spacing w:line="360" w:lineRule="exact"/>
              <w:jc w:val="center"/>
              <w:rPr>
                <w:rFonts w:hint="eastAsia" w:ascii="宋体" w:hAnsi="宋体" w:cs="宋体"/>
                <w:color w:val="auto"/>
                <w:szCs w:val="21"/>
                <w:highlight w:val="none"/>
              </w:rPr>
            </w:pPr>
          </w:p>
        </w:tc>
        <w:tc>
          <w:tcPr>
            <w:tcW w:w="690" w:type="dxa"/>
            <w:noWrap w:val="0"/>
            <w:vAlign w:val="center"/>
          </w:tcPr>
          <w:p w14:paraId="6675E371">
            <w:pPr>
              <w:spacing w:line="360" w:lineRule="exact"/>
              <w:jc w:val="center"/>
              <w:rPr>
                <w:rFonts w:hint="eastAsia" w:ascii="宋体" w:hAnsi="宋体" w:cs="宋体"/>
                <w:color w:val="auto"/>
                <w:szCs w:val="21"/>
                <w:highlight w:val="none"/>
              </w:rPr>
            </w:pPr>
          </w:p>
        </w:tc>
        <w:tc>
          <w:tcPr>
            <w:tcW w:w="1044" w:type="dxa"/>
            <w:noWrap w:val="0"/>
            <w:vAlign w:val="center"/>
          </w:tcPr>
          <w:p w14:paraId="3DF13261">
            <w:pPr>
              <w:spacing w:line="360" w:lineRule="exact"/>
              <w:jc w:val="center"/>
              <w:rPr>
                <w:rFonts w:hint="eastAsia" w:ascii="宋体" w:hAnsi="宋体" w:cs="宋体"/>
                <w:color w:val="auto"/>
                <w:szCs w:val="21"/>
                <w:highlight w:val="none"/>
              </w:rPr>
            </w:pPr>
          </w:p>
        </w:tc>
        <w:tc>
          <w:tcPr>
            <w:tcW w:w="719" w:type="dxa"/>
            <w:noWrap w:val="0"/>
            <w:vAlign w:val="center"/>
          </w:tcPr>
          <w:p w14:paraId="600DBFD8">
            <w:pPr>
              <w:spacing w:line="360" w:lineRule="exact"/>
              <w:jc w:val="center"/>
              <w:rPr>
                <w:rFonts w:hint="eastAsia" w:ascii="宋体" w:hAnsi="宋体" w:cs="宋体"/>
                <w:color w:val="auto"/>
                <w:szCs w:val="21"/>
                <w:highlight w:val="none"/>
              </w:rPr>
            </w:pPr>
          </w:p>
        </w:tc>
        <w:tc>
          <w:tcPr>
            <w:tcW w:w="716" w:type="dxa"/>
            <w:noWrap w:val="0"/>
            <w:vAlign w:val="center"/>
          </w:tcPr>
          <w:p w14:paraId="6237DD5C">
            <w:pPr>
              <w:spacing w:line="360" w:lineRule="exact"/>
              <w:jc w:val="center"/>
              <w:rPr>
                <w:rFonts w:hint="eastAsia" w:ascii="宋体" w:hAnsi="宋体" w:cs="宋体"/>
                <w:color w:val="auto"/>
                <w:szCs w:val="21"/>
                <w:highlight w:val="none"/>
              </w:rPr>
            </w:pPr>
          </w:p>
        </w:tc>
        <w:tc>
          <w:tcPr>
            <w:tcW w:w="1487" w:type="dxa"/>
            <w:noWrap w:val="0"/>
            <w:vAlign w:val="center"/>
          </w:tcPr>
          <w:p w14:paraId="32334554">
            <w:pPr>
              <w:spacing w:line="360" w:lineRule="exact"/>
              <w:jc w:val="center"/>
              <w:rPr>
                <w:rFonts w:hint="eastAsia" w:ascii="宋体" w:hAnsi="宋体" w:cs="宋体"/>
                <w:color w:val="auto"/>
                <w:szCs w:val="21"/>
                <w:highlight w:val="none"/>
              </w:rPr>
            </w:pPr>
          </w:p>
        </w:tc>
        <w:tc>
          <w:tcPr>
            <w:tcW w:w="783" w:type="dxa"/>
            <w:noWrap w:val="0"/>
            <w:vAlign w:val="center"/>
          </w:tcPr>
          <w:p w14:paraId="098C9CA4">
            <w:pPr>
              <w:spacing w:line="360" w:lineRule="exact"/>
              <w:jc w:val="center"/>
              <w:rPr>
                <w:rFonts w:hint="eastAsia" w:ascii="宋体" w:hAnsi="宋体" w:cs="宋体"/>
                <w:color w:val="auto"/>
                <w:szCs w:val="21"/>
                <w:highlight w:val="none"/>
              </w:rPr>
            </w:pPr>
          </w:p>
        </w:tc>
      </w:tr>
      <w:tr w14:paraId="6A2CD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944802A">
            <w:pPr>
              <w:spacing w:line="360" w:lineRule="exact"/>
              <w:jc w:val="center"/>
              <w:rPr>
                <w:rFonts w:hint="eastAsia" w:ascii="宋体" w:hAnsi="宋体" w:cs="宋体"/>
                <w:color w:val="auto"/>
                <w:szCs w:val="21"/>
                <w:highlight w:val="none"/>
              </w:rPr>
            </w:pPr>
          </w:p>
        </w:tc>
        <w:tc>
          <w:tcPr>
            <w:tcW w:w="1099" w:type="dxa"/>
            <w:noWrap w:val="0"/>
            <w:vAlign w:val="center"/>
          </w:tcPr>
          <w:p w14:paraId="65F71D40">
            <w:pPr>
              <w:spacing w:line="360" w:lineRule="exact"/>
              <w:jc w:val="center"/>
              <w:rPr>
                <w:rFonts w:hint="eastAsia" w:ascii="宋体" w:hAnsi="宋体" w:cs="宋体"/>
                <w:color w:val="auto"/>
                <w:szCs w:val="21"/>
                <w:highlight w:val="none"/>
              </w:rPr>
            </w:pPr>
          </w:p>
        </w:tc>
        <w:tc>
          <w:tcPr>
            <w:tcW w:w="1134" w:type="dxa"/>
            <w:noWrap w:val="0"/>
            <w:vAlign w:val="center"/>
          </w:tcPr>
          <w:p w14:paraId="75123C5A">
            <w:pPr>
              <w:spacing w:line="360" w:lineRule="exact"/>
              <w:jc w:val="center"/>
              <w:rPr>
                <w:rFonts w:hint="eastAsia" w:ascii="宋体" w:hAnsi="宋体" w:cs="宋体"/>
                <w:color w:val="auto"/>
                <w:szCs w:val="21"/>
                <w:highlight w:val="none"/>
              </w:rPr>
            </w:pPr>
          </w:p>
        </w:tc>
        <w:tc>
          <w:tcPr>
            <w:tcW w:w="620" w:type="dxa"/>
            <w:noWrap w:val="0"/>
            <w:vAlign w:val="center"/>
          </w:tcPr>
          <w:p w14:paraId="6A3711B7">
            <w:pPr>
              <w:spacing w:line="360" w:lineRule="exact"/>
              <w:jc w:val="center"/>
              <w:rPr>
                <w:rFonts w:hint="eastAsia" w:ascii="宋体" w:hAnsi="宋体" w:cs="宋体"/>
                <w:color w:val="auto"/>
                <w:szCs w:val="21"/>
                <w:highlight w:val="none"/>
              </w:rPr>
            </w:pPr>
          </w:p>
        </w:tc>
        <w:tc>
          <w:tcPr>
            <w:tcW w:w="690" w:type="dxa"/>
            <w:noWrap w:val="0"/>
            <w:vAlign w:val="center"/>
          </w:tcPr>
          <w:p w14:paraId="09AABFFB">
            <w:pPr>
              <w:spacing w:line="360" w:lineRule="exact"/>
              <w:jc w:val="center"/>
              <w:rPr>
                <w:rFonts w:hint="eastAsia" w:ascii="宋体" w:hAnsi="宋体" w:cs="宋体"/>
                <w:color w:val="auto"/>
                <w:szCs w:val="21"/>
                <w:highlight w:val="none"/>
              </w:rPr>
            </w:pPr>
          </w:p>
        </w:tc>
        <w:tc>
          <w:tcPr>
            <w:tcW w:w="1044" w:type="dxa"/>
            <w:noWrap w:val="0"/>
            <w:vAlign w:val="center"/>
          </w:tcPr>
          <w:p w14:paraId="3CCFD319">
            <w:pPr>
              <w:spacing w:line="360" w:lineRule="exact"/>
              <w:jc w:val="center"/>
              <w:rPr>
                <w:rFonts w:hint="eastAsia" w:ascii="宋体" w:hAnsi="宋体" w:cs="宋体"/>
                <w:color w:val="auto"/>
                <w:szCs w:val="21"/>
                <w:highlight w:val="none"/>
              </w:rPr>
            </w:pPr>
          </w:p>
        </w:tc>
        <w:tc>
          <w:tcPr>
            <w:tcW w:w="719" w:type="dxa"/>
            <w:noWrap w:val="0"/>
            <w:vAlign w:val="center"/>
          </w:tcPr>
          <w:p w14:paraId="2E9D6EE3">
            <w:pPr>
              <w:spacing w:line="360" w:lineRule="exact"/>
              <w:jc w:val="center"/>
              <w:rPr>
                <w:rFonts w:hint="eastAsia" w:ascii="宋体" w:hAnsi="宋体" w:cs="宋体"/>
                <w:color w:val="auto"/>
                <w:szCs w:val="21"/>
                <w:highlight w:val="none"/>
              </w:rPr>
            </w:pPr>
          </w:p>
        </w:tc>
        <w:tc>
          <w:tcPr>
            <w:tcW w:w="716" w:type="dxa"/>
            <w:noWrap w:val="0"/>
            <w:vAlign w:val="center"/>
          </w:tcPr>
          <w:p w14:paraId="61EBF27D">
            <w:pPr>
              <w:spacing w:line="360" w:lineRule="exact"/>
              <w:jc w:val="center"/>
              <w:rPr>
                <w:rFonts w:hint="eastAsia" w:ascii="宋体" w:hAnsi="宋体" w:cs="宋体"/>
                <w:color w:val="auto"/>
                <w:szCs w:val="21"/>
                <w:highlight w:val="none"/>
              </w:rPr>
            </w:pPr>
          </w:p>
        </w:tc>
        <w:tc>
          <w:tcPr>
            <w:tcW w:w="1487" w:type="dxa"/>
            <w:noWrap w:val="0"/>
            <w:vAlign w:val="center"/>
          </w:tcPr>
          <w:p w14:paraId="442CA59E">
            <w:pPr>
              <w:spacing w:line="360" w:lineRule="exact"/>
              <w:jc w:val="center"/>
              <w:rPr>
                <w:rFonts w:hint="eastAsia" w:ascii="宋体" w:hAnsi="宋体" w:cs="宋体"/>
                <w:color w:val="auto"/>
                <w:szCs w:val="21"/>
                <w:highlight w:val="none"/>
              </w:rPr>
            </w:pPr>
          </w:p>
        </w:tc>
        <w:tc>
          <w:tcPr>
            <w:tcW w:w="783" w:type="dxa"/>
            <w:noWrap w:val="0"/>
            <w:vAlign w:val="center"/>
          </w:tcPr>
          <w:p w14:paraId="3DACAD78">
            <w:pPr>
              <w:spacing w:line="360" w:lineRule="exact"/>
              <w:jc w:val="center"/>
              <w:rPr>
                <w:rFonts w:hint="eastAsia" w:ascii="宋体" w:hAnsi="宋体" w:cs="宋体"/>
                <w:color w:val="auto"/>
                <w:szCs w:val="21"/>
                <w:highlight w:val="none"/>
              </w:rPr>
            </w:pPr>
          </w:p>
        </w:tc>
      </w:tr>
    </w:tbl>
    <w:p w14:paraId="16135C13">
      <w:pPr>
        <w:spacing w:line="360" w:lineRule="exact"/>
        <w:rPr>
          <w:rFonts w:hint="eastAsia" w:ascii="宋体" w:hAnsi="宋体" w:cs="宋体"/>
          <w:color w:val="auto"/>
          <w:szCs w:val="21"/>
          <w:highlight w:val="none"/>
        </w:rPr>
      </w:pPr>
    </w:p>
    <w:p w14:paraId="1CC959F0">
      <w:pPr>
        <w:spacing w:line="360" w:lineRule="exact"/>
        <w:rPr>
          <w:rFonts w:hint="eastAsia" w:ascii="宋体" w:hAnsi="宋体" w:cs="宋体"/>
          <w:color w:val="auto"/>
          <w:szCs w:val="21"/>
          <w:highlight w:val="none"/>
        </w:rPr>
      </w:pPr>
    </w:p>
    <w:p w14:paraId="4C5566A2">
      <w:pPr>
        <w:spacing w:line="360" w:lineRule="exact"/>
        <w:rPr>
          <w:rFonts w:hint="eastAsia" w:ascii="宋体" w:hAnsi="宋体" w:cs="宋体"/>
          <w:color w:val="auto"/>
          <w:szCs w:val="21"/>
          <w:highlight w:val="none"/>
        </w:rPr>
      </w:pPr>
    </w:p>
    <w:p w14:paraId="48ACC7E8">
      <w:pPr>
        <w:spacing w:line="360" w:lineRule="exact"/>
        <w:rPr>
          <w:rFonts w:hint="eastAsia" w:ascii="宋体" w:hAnsi="宋体" w:cs="宋体"/>
          <w:color w:val="auto"/>
          <w:szCs w:val="21"/>
          <w:highlight w:val="none"/>
        </w:rPr>
      </w:pPr>
    </w:p>
    <w:p w14:paraId="65527F21">
      <w:pPr>
        <w:spacing w:line="360" w:lineRule="exact"/>
        <w:rPr>
          <w:rFonts w:hint="eastAsia" w:ascii="宋体" w:hAnsi="宋体" w:cs="宋体"/>
          <w:color w:val="auto"/>
          <w:szCs w:val="21"/>
          <w:highlight w:val="none"/>
        </w:rPr>
      </w:pPr>
    </w:p>
    <w:p w14:paraId="2D5AA66C">
      <w:pPr>
        <w:spacing w:line="360" w:lineRule="exact"/>
        <w:rPr>
          <w:color w:val="auto"/>
          <w:sz w:val="30"/>
          <w:szCs w:val="30"/>
          <w:highlight w:val="none"/>
        </w:rPr>
      </w:pPr>
      <w:r>
        <w:rPr>
          <w:rFonts w:hint="eastAsia" w:ascii="宋体" w:hAnsi="宋体" w:cs="宋体"/>
          <w:color w:val="auto"/>
          <w:szCs w:val="21"/>
          <w:highlight w:val="none"/>
        </w:rPr>
        <w:t xml:space="preserve">附件3：    </w:t>
      </w:r>
    </w:p>
    <w:p w14:paraId="6E8F0A9F">
      <w:pPr>
        <w:pStyle w:val="246"/>
        <w:jc w:val="center"/>
        <w:rPr>
          <w:color w:val="auto"/>
          <w:highlight w:val="none"/>
        </w:rPr>
      </w:pPr>
      <w:r>
        <w:rPr>
          <w:rFonts w:ascii="宋体" w:hAnsi="宋体"/>
          <w:color w:val="auto"/>
          <w:sz w:val="28"/>
          <w:szCs w:val="28"/>
          <w:highlight w:val="none"/>
        </w:rPr>
        <w:t>工程质量保修书</w:t>
      </w:r>
    </w:p>
    <w:p w14:paraId="56BF4C70">
      <w:pPr>
        <w:pStyle w:val="251"/>
        <w:spacing w:line="320" w:lineRule="exact"/>
        <w:ind w:firstLine="0" w:firstLineChars="0"/>
        <w:rPr>
          <w:rFonts w:ascii="宋体" w:hAnsi="宋体" w:cs="宋体"/>
          <w:color w:val="auto"/>
          <w:highlight w:val="none"/>
        </w:rPr>
      </w:pPr>
      <w:r>
        <w:rPr>
          <w:rFonts w:hint="eastAsia" w:ascii="宋体" w:hAnsi="宋体" w:cs="宋体"/>
          <w:color w:val="auto"/>
          <w:highlight w:val="none"/>
        </w:rPr>
        <w:t>发包人（全称）：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2582760">
      <w:pPr>
        <w:pStyle w:val="251"/>
        <w:spacing w:line="320" w:lineRule="exact"/>
        <w:ind w:firstLine="0" w:firstLineChars="0"/>
        <w:rPr>
          <w:rFonts w:ascii="宋体" w:hAnsi="宋体" w:cs="宋体"/>
          <w:color w:val="auto"/>
          <w:highlight w:val="none"/>
        </w:rPr>
      </w:pP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1050925</wp:posOffset>
                </wp:positionH>
                <wp:positionV relativeFrom="paragraph">
                  <wp:posOffset>197485</wp:posOffset>
                </wp:positionV>
                <wp:extent cx="762000" cy="0"/>
                <wp:effectExtent l="0" t="4445" r="0" b="5080"/>
                <wp:wrapNone/>
                <wp:docPr id="15" name="直接连接符 15"/>
                <wp:cNvGraphicFramePr/>
                <a:graphic xmlns:a="http://schemas.openxmlformats.org/drawingml/2006/main">
                  <a:graphicData uri="http://schemas.microsoft.com/office/word/2010/wordprocessingShape">
                    <wps:wsp>
                      <wps:cNvCnPr/>
                      <wps:spPr>
                        <a:xfrm>
                          <a:off x="1951355" y="2867025"/>
                          <a:ext cx="762000"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2.75pt;margin-top:15.55pt;height:0pt;width:60pt;z-index:251665408;mso-width-relative:page;mso-height-relative:page;" filled="f" stroked="t" coordsize="21600,21600" o:gfxdata="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5r23J1wAA&#10;AAkBAAAPAAAAAAAAAAEAIAAAACIAAABkcnMvZG93bnJldi54bWxQSwECFAAUAAAACACHTuJAcSf9&#10;muYBAACnAwAADgAAAAAAAAABACAAAAAmAQAAZHJzL2Uyb0RvYy54bWxQSwUGAAAAAAYABgBZAQAA&#10;fgUAAAAA&#10;">
                <v:fill on="f" focussize="0,0"/>
                <v:stroke weight="0.25pt" color="#000000 [3213]" joinstyle="round"/>
                <v:imagedata o:title=""/>
                <o:lock v:ext="edit" aspectratio="f"/>
              </v:line>
            </w:pict>
          </mc:Fallback>
        </mc:AlternateContent>
      </w:r>
      <w:r>
        <w:rPr>
          <w:rFonts w:hint="eastAsia" w:ascii="宋体" w:hAnsi="宋体" w:eastAsia="宋体" w:cs="宋体"/>
          <w:color w:val="auto"/>
          <w:highlight w:val="none"/>
        </w:rPr>
        <w:t>承包人（全称）：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eastAsia="宋体" w:cs="宋体"/>
          <w:color w:val="auto"/>
          <w:highlight w:val="none"/>
        </w:rPr>
        <w:t xml:space="preserve">            </w:t>
      </w:r>
    </w:p>
    <w:p w14:paraId="7797B47A">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为保证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工程</w:t>
      </w:r>
      <w:r>
        <w:rPr>
          <w:rFonts w:hint="eastAsia" w:ascii="宋体" w:hAnsi="宋体" w:cs="宋体"/>
          <w:color w:val="auto"/>
          <w:szCs w:val="21"/>
          <w:highlight w:val="none"/>
        </w:rPr>
        <w:t>在合理使用期限内正常使用，经发包人、承包人协商一致签订本工程质量保修书。承包人在质量保修期内按照有关管理规定及双方约定承担工程质量保修责任。</w:t>
      </w:r>
    </w:p>
    <w:p w14:paraId="1C5B0030">
      <w:pPr>
        <w:pStyle w:val="255"/>
        <w:spacing w:line="400" w:lineRule="exact"/>
        <w:ind w:firstLine="420" w:firstLineChars="200"/>
        <w:outlineLvl w:val="0"/>
        <w:rPr>
          <w:rFonts w:ascii="宋体" w:hAnsi="宋体" w:cs="宋体"/>
          <w:color w:val="auto"/>
          <w:szCs w:val="21"/>
          <w:highlight w:val="none"/>
        </w:rPr>
      </w:pPr>
      <w:bookmarkStart w:id="1743" w:name="_Toc14956"/>
      <w:bookmarkStart w:id="1744" w:name="_Toc522201808"/>
      <w:r>
        <w:rPr>
          <w:rFonts w:hint="eastAsia" w:ascii="宋体" w:hAnsi="宋体" w:cs="宋体"/>
          <w:color w:val="auto"/>
          <w:szCs w:val="21"/>
          <w:highlight w:val="none"/>
        </w:rPr>
        <w:t>一、工程保修范围和内容</w:t>
      </w:r>
      <w:bookmarkEnd w:id="1743"/>
      <w:bookmarkEnd w:id="1744"/>
    </w:p>
    <w:p w14:paraId="703C1153">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highlight w:val="none"/>
        </w:rPr>
        <w:t>质量保修范围为施工图纸所包括的工程内容，</w:t>
      </w:r>
      <w:r>
        <w:rPr>
          <w:rFonts w:hint="eastAsia" w:ascii="宋体" w:hAnsi="宋体" w:cs="宋体"/>
          <w:color w:val="auto"/>
          <w:szCs w:val="21"/>
          <w:highlight w:val="none"/>
        </w:rPr>
        <w:t>具体质量保修内容双方约定如下：</w:t>
      </w:r>
      <w:r>
        <w:rPr>
          <w:rFonts w:hint="eastAsia" w:ascii="宋体" w:hAnsi="宋体" w:cs="宋体"/>
          <w:color w:val="auto"/>
          <w:szCs w:val="21"/>
          <w:highlight w:val="none"/>
          <w:u w:val="single"/>
        </w:rPr>
        <w:t xml:space="preserve"> 承</w:t>
      </w:r>
      <w:r>
        <w:rPr>
          <w:rFonts w:ascii="宋体" w:hAnsi="宋体" w:eastAsia="宋体" w:cs="宋体"/>
          <w:color w:val="auto"/>
          <w:sz w:val="20"/>
          <w:szCs w:val="20"/>
          <w:highlight w:val="none"/>
          <w:u w:val="single" w:color="auto"/>
        </w:rPr>
        <w:t>施</w:t>
      </w:r>
      <w:r>
        <w:rPr>
          <w:rFonts w:ascii="宋体" w:hAnsi="宋体" w:eastAsia="宋体" w:cs="宋体"/>
          <w:color w:val="auto"/>
          <w:spacing w:val="-44"/>
          <w:sz w:val="20"/>
          <w:szCs w:val="20"/>
          <w:highlight w:val="none"/>
          <w:u w:val="single" w:color="auto"/>
        </w:rPr>
        <w:t xml:space="preserve"> </w:t>
      </w:r>
      <w:r>
        <w:rPr>
          <w:rFonts w:ascii="宋体" w:hAnsi="宋体" w:eastAsia="宋体" w:cs="宋体"/>
          <w:color w:val="auto"/>
          <w:sz w:val="20"/>
          <w:szCs w:val="20"/>
          <w:highlight w:val="none"/>
          <w:u w:val="single" w:color="auto"/>
        </w:rPr>
        <w:t>工</w:t>
      </w:r>
      <w:r>
        <w:rPr>
          <w:rFonts w:ascii="宋体" w:hAnsi="宋体" w:eastAsia="宋体" w:cs="宋体"/>
          <w:color w:val="auto"/>
          <w:spacing w:val="-42"/>
          <w:sz w:val="20"/>
          <w:szCs w:val="20"/>
          <w:highlight w:val="none"/>
          <w:u w:val="single" w:color="auto"/>
        </w:rPr>
        <w:t xml:space="preserve"> </w:t>
      </w:r>
      <w:r>
        <w:rPr>
          <w:rFonts w:ascii="宋体" w:hAnsi="宋体" w:eastAsia="宋体" w:cs="宋体"/>
          <w:color w:val="auto"/>
          <w:sz w:val="20"/>
          <w:szCs w:val="20"/>
          <w:highlight w:val="none"/>
          <w:u w:val="single" w:color="auto"/>
        </w:rPr>
        <w:t>范</w:t>
      </w:r>
      <w:r>
        <w:rPr>
          <w:rFonts w:ascii="宋体" w:hAnsi="宋体" w:eastAsia="宋体" w:cs="宋体"/>
          <w:color w:val="auto"/>
          <w:spacing w:val="-30"/>
          <w:sz w:val="20"/>
          <w:szCs w:val="20"/>
          <w:highlight w:val="none"/>
          <w:u w:val="single" w:color="auto"/>
        </w:rPr>
        <w:t xml:space="preserve"> </w:t>
      </w:r>
      <w:r>
        <w:rPr>
          <w:rFonts w:ascii="宋体" w:hAnsi="宋体" w:eastAsia="宋体" w:cs="宋体"/>
          <w:color w:val="auto"/>
          <w:sz w:val="20"/>
          <w:szCs w:val="20"/>
          <w:highlight w:val="none"/>
          <w:u w:val="single" w:color="auto"/>
        </w:rPr>
        <w:t>围</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1"/>
          <w:sz w:val="20"/>
          <w:szCs w:val="20"/>
          <w:highlight w:val="none"/>
          <w:u w:val="single" w:color="auto"/>
        </w:rPr>
        <w:t>内</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及</w:t>
      </w:r>
      <w:r>
        <w:rPr>
          <w:rFonts w:ascii="宋体" w:hAnsi="宋体" w:eastAsia="宋体" w:cs="宋体"/>
          <w:color w:val="auto"/>
          <w:spacing w:val="-43"/>
          <w:sz w:val="20"/>
          <w:szCs w:val="20"/>
          <w:highlight w:val="none"/>
          <w:u w:val="single" w:color="auto"/>
        </w:rPr>
        <w:t xml:space="preserve"> </w:t>
      </w:r>
      <w:r>
        <w:rPr>
          <w:rFonts w:ascii="宋体" w:hAnsi="宋体" w:eastAsia="宋体" w:cs="宋体"/>
          <w:color w:val="auto"/>
          <w:spacing w:val="-1"/>
          <w:sz w:val="20"/>
          <w:szCs w:val="20"/>
          <w:highlight w:val="none"/>
          <w:u w:val="single" w:color="auto"/>
        </w:rPr>
        <w:t>设</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计</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变</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更</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1"/>
          <w:sz w:val="20"/>
          <w:szCs w:val="20"/>
          <w:highlight w:val="none"/>
          <w:u w:val="single" w:color="auto"/>
        </w:rPr>
        <w:t>、签</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证</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包</w:t>
      </w:r>
      <w:r>
        <w:rPr>
          <w:rFonts w:ascii="宋体" w:hAnsi="宋体" w:eastAsia="宋体" w:cs="宋体"/>
          <w:color w:val="auto"/>
          <w:spacing w:val="-49"/>
          <w:sz w:val="20"/>
          <w:szCs w:val="20"/>
          <w:highlight w:val="none"/>
          <w:u w:val="single" w:color="auto"/>
        </w:rPr>
        <w:t xml:space="preserve"> </w:t>
      </w:r>
      <w:r>
        <w:rPr>
          <w:rFonts w:ascii="宋体" w:hAnsi="宋体" w:eastAsia="宋体" w:cs="宋体"/>
          <w:color w:val="auto"/>
          <w:spacing w:val="-1"/>
          <w:sz w:val="20"/>
          <w:szCs w:val="20"/>
          <w:highlight w:val="none"/>
          <w:u w:val="single" w:color="auto"/>
        </w:rPr>
        <w:t>含</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1"/>
          <w:sz w:val="20"/>
          <w:szCs w:val="20"/>
          <w:highlight w:val="none"/>
          <w:u w:val="single" w:color="auto"/>
        </w:rPr>
        <w:t>的</w:t>
      </w:r>
      <w:r>
        <w:rPr>
          <w:rFonts w:ascii="宋体" w:hAnsi="宋体" w:eastAsia="宋体" w:cs="宋体"/>
          <w:color w:val="auto"/>
          <w:spacing w:val="-44"/>
          <w:sz w:val="20"/>
          <w:szCs w:val="20"/>
          <w:highlight w:val="none"/>
          <w:u w:val="single" w:color="auto"/>
        </w:rPr>
        <w:t xml:space="preserve"> </w:t>
      </w:r>
      <w:r>
        <w:rPr>
          <w:rFonts w:ascii="宋体" w:hAnsi="宋体" w:eastAsia="宋体" w:cs="宋体"/>
          <w:color w:val="auto"/>
          <w:spacing w:val="-1"/>
          <w:sz w:val="20"/>
          <w:szCs w:val="20"/>
          <w:highlight w:val="none"/>
          <w:u w:val="single" w:color="auto"/>
        </w:rPr>
        <w:t>工</w:t>
      </w:r>
      <w:r>
        <w:rPr>
          <w:rFonts w:ascii="宋体" w:hAnsi="宋体" w:eastAsia="宋体" w:cs="宋体"/>
          <w:color w:val="auto"/>
          <w:spacing w:val="-48"/>
          <w:sz w:val="20"/>
          <w:szCs w:val="20"/>
          <w:highlight w:val="none"/>
          <w:u w:val="single" w:color="auto"/>
        </w:rPr>
        <w:t xml:space="preserve"> </w:t>
      </w:r>
      <w:r>
        <w:rPr>
          <w:rFonts w:ascii="宋体" w:hAnsi="宋体" w:eastAsia="宋体" w:cs="宋体"/>
          <w:color w:val="auto"/>
          <w:spacing w:val="-1"/>
          <w:sz w:val="20"/>
          <w:szCs w:val="20"/>
          <w:highlight w:val="none"/>
          <w:u w:val="single" w:color="auto"/>
        </w:rPr>
        <w:t>程</w:t>
      </w:r>
      <w:r>
        <w:rPr>
          <w:rFonts w:ascii="宋体" w:hAnsi="宋体" w:eastAsia="宋体" w:cs="宋体"/>
          <w:color w:val="auto"/>
          <w:spacing w:val="-43"/>
          <w:sz w:val="20"/>
          <w:szCs w:val="20"/>
          <w:highlight w:val="none"/>
          <w:u w:val="single" w:color="auto"/>
        </w:rPr>
        <w:t xml:space="preserve"> </w:t>
      </w:r>
      <w:r>
        <w:rPr>
          <w:rFonts w:ascii="宋体" w:hAnsi="宋体" w:eastAsia="宋体" w:cs="宋体"/>
          <w:color w:val="auto"/>
          <w:spacing w:val="-1"/>
          <w:sz w:val="20"/>
          <w:szCs w:val="20"/>
          <w:highlight w:val="none"/>
          <w:u w:val="single" w:color="auto"/>
        </w:rPr>
        <w:t>项 目（ 含</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承</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包</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人</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采</w:t>
      </w:r>
      <w:r>
        <w:rPr>
          <w:rFonts w:ascii="宋体" w:hAnsi="宋体" w:eastAsia="宋体" w:cs="宋体"/>
          <w:color w:val="auto"/>
          <w:spacing w:val="22"/>
          <w:sz w:val="20"/>
          <w:szCs w:val="20"/>
          <w:highlight w:val="none"/>
          <w:u w:val="single" w:color="auto"/>
        </w:rPr>
        <w:t>购的设备</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22"/>
          <w:sz w:val="20"/>
          <w:szCs w:val="20"/>
          <w:highlight w:val="none"/>
          <w:u w:val="single" w:color="auto"/>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6203C3">
      <w:pPr>
        <w:pStyle w:val="255"/>
        <w:spacing w:line="400" w:lineRule="exact"/>
        <w:ind w:firstLine="420" w:firstLineChars="200"/>
        <w:outlineLvl w:val="0"/>
        <w:rPr>
          <w:rFonts w:ascii="宋体" w:hAnsi="宋体" w:cs="宋体"/>
          <w:color w:val="auto"/>
          <w:szCs w:val="21"/>
          <w:highlight w:val="none"/>
        </w:rPr>
      </w:pPr>
      <w:bookmarkStart w:id="1745" w:name="_Toc30296"/>
      <w:bookmarkStart w:id="1746" w:name="_Toc522201809"/>
      <w:r>
        <w:rPr>
          <w:rFonts w:hint="eastAsia" w:ascii="宋体" w:hAnsi="宋体" w:cs="宋体"/>
          <w:color w:val="auto"/>
          <w:szCs w:val="21"/>
          <w:highlight w:val="none"/>
        </w:rPr>
        <w:t>二、质量保修期</w:t>
      </w:r>
      <w:bookmarkEnd w:id="1745"/>
      <w:bookmarkEnd w:id="1746"/>
    </w:p>
    <w:p w14:paraId="21C9FB29">
      <w:pPr>
        <w:pStyle w:val="256"/>
        <w:spacing w:line="360" w:lineRule="auto"/>
        <w:ind w:firstLine="540"/>
        <w:rPr>
          <w:rFonts w:hint="eastAsia" w:ascii="宋体" w:hAnsi="宋体" w:cs="宋体"/>
          <w:color w:val="auto"/>
          <w:highlight w:val="none"/>
        </w:rPr>
      </w:pPr>
      <w:r>
        <w:rPr>
          <w:rFonts w:hint="eastAsia" w:ascii="宋体" w:hAnsi="宋体" w:cs="宋体"/>
          <w:color w:val="auto"/>
          <w:highlight w:val="none"/>
        </w:rPr>
        <w:t>质量保修期从工程实际竣工验收通过之日算起。分单项竣工验收的工程，按单项工程分别计算质量保修期。</w:t>
      </w:r>
    </w:p>
    <w:p w14:paraId="46098738">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5341B438">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1．桥梁工程为</w:t>
      </w:r>
      <w:r>
        <w:rPr>
          <w:rFonts w:hint="eastAsia" w:ascii="宋体" w:hAnsi="宋体" w:cs="宋体"/>
          <w:color w:val="auto"/>
          <w:szCs w:val="21"/>
          <w:highlight w:val="none"/>
          <w:u w:val="single"/>
        </w:rPr>
        <w:t xml:space="preserve"> </w:t>
      </w:r>
      <w:r>
        <w:rPr>
          <w:rFonts w:hint="eastAsia" w:ascii="宋体" w:hAnsi="宋体" w:cs="宋体"/>
          <w:color w:val="auto"/>
          <w:highlight w:val="none"/>
          <w:u w:val="single"/>
        </w:rPr>
        <w:t>桥梁隧道主体结构工程为设计文件规定的合理使用年限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（建议桥梁隧道主体结构工程为设计文件规定的合理使用年限）；</w:t>
      </w:r>
    </w:p>
    <w:p w14:paraId="783C4763">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2．道路工程为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年（建议路基、路面、桥面为2年）；</w:t>
      </w:r>
    </w:p>
    <w:p w14:paraId="45FE9F5D">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3．排水（雨水）工程为</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年（建议道路工程中的排水工程为3年）；</w:t>
      </w:r>
    </w:p>
    <w:p w14:paraId="73E300E0">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 xml:space="preserve">4．绿化工程为 </w:t>
      </w:r>
      <w:r>
        <w:rPr>
          <w:rFonts w:hint="eastAsia" w:ascii="宋体" w:hAnsi="宋体" w:cs="宋体"/>
          <w:color w:val="auto"/>
          <w:szCs w:val="21"/>
          <w:highlight w:val="none"/>
          <w:u w:val="single"/>
        </w:rPr>
        <w:t>单位工程竣工验收合格后1年</w:t>
      </w:r>
      <w:r>
        <w:rPr>
          <w:rFonts w:hint="eastAsia" w:ascii="宋体" w:hAnsi="宋体" w:cs="宋体"/>
          <w:color w:val="auto"/>
          <w:szCs w:val="21"/>
          <w:highlight w:val="none"/>
        </w:rPr>
        <w:t>；</w:t>
      </w:r>
    </w:p>
    <w:p w14:paraId="43A9A500">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5. 地下防水工程为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年（建议为5年）；</w:t>
      </w:r>
    </w:p>
    <w:p w14:paraId="282E4334">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6．其他附属工程为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p w14:paraId="08CE54EA">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7．其他项目保修期限约定如下：</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质量保修规范按行业规范执行，如国家有新规定，则按新规定执行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E33B941">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质量保修期自工程竣工验收合格之日起计算。 </w:t>
      </w:r>
    </w:p>
    <w:p w14:paraId="1483F66A">
      <w:pPr>
        <w:pStyle w:val="255"/>
        <w:spacing w:line="400" w:lineRule="exact"/>
        <w:ind w:firstLine="420" w:firstLineChars="200"/>
        <w:outlineLvl w:val="0"/>
        <w:rPr>
          <w:rFonts w:ascii="宋体" w:hAnsi="宋体" w:cs="宋体"/>
          <w:color w:val="auto"/>
          <w:szCs w:val="21"/>
          <w:highlight w:val="none"/>
        </w:rPr>
      </w:pPr>
      <w:bookmarkStart w:id="1747" w:name="_Toc15025"/>
      <w:r>
        <w:rPr>
          <w:rFonts w:hint="eastAsia" w:ascii="宋体" w:hAnsi="宋体" w:cs="宋体"/>
          <w:color w:val="auto"/>
          <w:szCs w:val="21"/>
          <w:highlight w:val="none"/>
        </w:rPr>
        <w:t>三、缺陷责任期</w:t>
      </w:r>
      <w:bookmarkEnd w:id="1747"/>
    </w:p>
    <w:p w14:paraId="103E9DC7">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工程缺陷责任期为 24个月，缺陷责任期自工程竣工验收合格之日起计算。缺陷责任期终止后，发包人应退还质量保证金。</w:t>
      </w:r>
    </w:p>
    <w:p w14:paraId="23DADFB0">
      <w:pPr>
        <w:pStyle w:val="255"/>
        <w:spacing w:line="400" w:lineRule="exact"/>
        <w:ind w:firstLine="420" w:firstLineChars="200"/>
        <w:outlineLvl w:val="0"/>
        <w:rPr>
          <w:rFonts w:ascii="宋体" w:hAnsi="宋体" w:cs="宋体"/>
          <w:color w:val="auto"/>
          <w:szCs w:val="21"/>
          <w:highlight w:val="none"/>
        </w:rPr>
      </w:pPr>
      <w:bookmarkStart w:id="1748" w:name="_Toc12669"/>
      <w:r>
        <w:rPr>
          <w:rFonts w:hint="eastAsia" w:ascii="宋体" w:hAnsi="宋体" w:cs="宋体"/>
          <w:color w:val="auto"/>
          <w:szCs w:val="21"/>
          <w:highlight w:val="none"/>
        </w:rPr>
        <w:t>四、质量保修责任</w:t>
      </w:r>
      <w:bookmarkEnd w:id="1748"/>
    </w:p>
    <w:p w14:paraId="1B25FFA1">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天内派人保修。承包人不在约定期限内派人保修的，发包人可以委托他人修理，修理费用从质量保证金内扣除。</w:t>
      </w:r>
    </w:p>
    <w:p w14:paraId="02CFF00D">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17C17973">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A3F84F3">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21771290">
      <w:pPr>
        <w:pStyle w:val="255"/>
        <w:spacing w:line="400" w:lineRule="exact"/>
        <w:ind w:firstLine="420" w:firstLineChars="200"/>
        <w:outlineLvl w:val="0"/>
        <w:rPr>
          <w:rFonts w:ascii="宋体" w:hAnsi="宋体" w:cs="宋体"/>
          <w:color w:val="auto"/>
          <w:szCs w:val="21"/>
          <w:highlight w:val="none"/>
        </w:rPr>
      </w:pPr>
      <w:bookmarkStart w:id="1749" w:name="_Toc15618"/>
      <w:r>
        <w:rPr>
          <w:rFonts w:hint="eastAsia" w:ascii="宋体" w:hAnsi="宋体" w:cs="宋体"/>
          <w:color w:val="auto"/>
          <w:szCs w:val="21"/>
          <w:highlight w:val="none"/>
        </w:rPr>
        <w:t>五、保修费用</w:t>
      </w:r>
      <w:bookmarkEnd w:id="1749"/>
    </w:p>
    <w:p w14:paraId="048F2FB7">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253C0339">
      <w:pPr>
        <w:pStyle w:val="251"/>
        <w:numPr>
          <w:ilvl w:val="0"/>
          <w:numId w:val="30"/>
        </w:numPr>
        <w:spacing w:line="400" w:lineRule="exact"/>
        <w:rPr>
          <w:rFonts w:ascii="宋体" w:hAnsi="宋体" w:cs="宋体"/>
          <w:color w:val="auto"/>
          <w:highlight w:val="none"/>
          <w:u w:val="single"/>
        </w:rPr>
      </w:pPr>
      <w:r>
        <w:rPr>
          <w:rFonts w:hint="eastAsia" w:ascii="宋体" w:hAnsi="宋体" w:cs="宋体"/>
          <w:color w:val="auto"/>
          <w:highlight w:val="none"/>
        </w:rPr>
        <w:t>双方约定的其他工程质量保修事项：</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w:t>
      </w:r>
    </w:p>
    <w:p w14:paraId="1EB07644">
      <w:pPr>
        <w:pStyle w:val="246"/>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57CDFC85">
      <w:pPr>
        <w:pStyle w:val="246"/>
        <w:spacing w:line="320" w:lineRule="exact"/>
        <w:ind w:firstLine="420" w:firstLineChars="200"/>
        <w:rPr>
          <w:rFonts w:ascii="宋体" w:hAnsi="宋体" w:cs="宋体"/>
          <w:color w:val="auto"/>
          <w:szCs w:val="21"/>
          <w:highlight w:val="none"/>
        </w:rPr>
      </w:pPr>
    </w:p>
    <w:p w14:paraId="2C53D97F">
      <w:pPr>
        <w:pStyle w:val="247"/>
        <w:ind w:left="63" w:right="63"/>
        <w:rPr>
          <w:rFonts w:hint="eastAsia"/>
          <w:color w:val="auto"/>
          <w:highlight w:val="none"/>
          <w:lang w:val="en-US"/>
        </w:rPr>
      </w:pPr>
    </w:p>
    <w:p w14:paraId="52544666">
      <w:pPr>
        <w:pStyle w:val="251"/>
        <w:spacing w:line="320" w:lineRule="exact"/>
        <w:ind w:firstLine="0" w:firstLineChars="0"/>
        <w:rPr>
          <w:rFonts w:ascii="宋体" w:hAnsi="宋体" w:cs="宋体"/>
          <w:color w:val="auto"/>
          <w:highlight w:val="none"/>
          <w:u w:val="single"/>
        </w:rPr>
      </w:pPr>
      <w:r>
        <w:rPr>
          <w:rFonts w:hint="eastAsia" w:ascii="宋体" w:hAnsi="宋体" w:cs="宋体"/>
          <w:color w:val="auto"/>
          <w:highlight w:val="none"/>
        </w:rPr>
        <w:t>发包人(公章)：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承包人(公章)：</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5A9DAA0E">
      <w:pPr>
        <w:pStyle w:val="251"/>
        <w:spacing w:line="320" w:lineRule="exact"/>
        <w:ind w:firstLine="0" w:firstLineChars="0"/>
        <w:rPr>
          <w:rFonts w:ascii="宋体" w:hAnsi="宋体" w:cs="宋体"/>
          <w:color w:val="auto"/>
          <w:highlight w:val="none"/>
        </w:rPr>
      </w:pPr>
      <w:r>
        <w:rPr>
          <w:rFonts w:hint="eastAsia" w:ascii="宋体" w:hAnsi="宋体" w:cs="宋体"/>
          <w:color w:val="auto"/>
          <w:highlight w:val="none"/>
        </w:rPr>
        <w:t xml:space="preserve"> </w:t>
      </w:r>
    </w:p>
    <w:p w14:paraId="0525492A">
      <w:pPr>
        <w:pStyle w:val="251"/>
        <w:spacing w:line="320" w:lineRule="exact"/>
        <w:ind w:firstLine="0" w:firstLineChars="0"/>
        <w:rPr>
          <w:rFonts w:hint="default" w:ascii="宋体" w:hAnsi="宋体" w:eastAsia="宋体" w:cs="宋体"/>
          <w:color w:val="auto"/>
          <w:highlight w:val="none"/>
          <w:lang w:val="en-US" w:eastAsia="zh-CN"/>
        </w:rPr>
      </w:pPr>
      <w:r>
        <w:rPr>
          <w:rFonts w:hint="eastAsia" w:ascii="宋体" w:hAnsi="宋体" w:cs="宋体"/>
          <w:color w:val="auto"/>
          <w:highlight w:val="none"/>
        </w:rPr>
        <w:t>地  址：</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地  址：</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p>
    <w:p w14:paraId="223229B3">
      <w:pPr>
        <w:pStyle w:val="251"/>
        <w:spacing w:line="320" w:lineRule="exact"/>
        <w:ind w:firstLine="0" w:firstLineChars="0"/>
        <w:rPr>
          <w:rFonts w:hint="eastAsia" w:ascii="宋体" w:hAnsi="宋体" w:cs="宋体"/>
          <w:color w:val="auto"/>
          <w:highlight w:val="none"/>
        </w:rPr>
      </w:pPr>
      <w:r>
        <w:rPr>
          <w:rFonts w:hint="eastAsia" w:ascii="宋体" w:hAnsi="宋体" w:cs="宋体"/>
          <w:color w:val="auto"/>
          <w:highlight w:val="none"/>
        </w:rPr>
        <w:t>法定代表人或委托代理人                        法定代表人或委托代理人</w:t>
      </w:r>
    </w:p>
    <w:p w14:paraId="247AB3FA">
      <w:pPr>
        <w:pStyle w:val="251"/>
        <w:spacing w:line="320" w:lineRule="exact"/>
        <w:ind w:firstLine="0" w:firstLineChars="0"/>
        <w:rPr>
          <w:rFonts w:hint="eastAsia" w:ascii="宋体" w:hAnsi="宋体" w:cs="宋体"/>
          <w:color w:val="auto"/>
          <w:highlight w:val="none"/>
        </w:rPr>
      </w:pPr>
      <w:r>
        <w:rPr>
          <w:rFonts w:hint="eastAsia" w:ascii="宋体" w:hAnsi="宋体" w:cs="宋体"/>
          <w:color w:val="auto"/>
          <w:highlight w:val="none"/>
        </w:rPr>
        <w:t>(签字或盖章)：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(签字或盖章)：</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4FF2C29D">
      <w:pPr>
        <w:pStyle w:val="251"/>
        <w:spacing w:line="320" w:lineRule="exact"/>
        <w:ind w:firstLine="0" w:firstLineChars="0"/>
        <w:rPr>
          <w:rFonts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  话：</w:t>
      </w:r>
      <w:r>
        <w:rPr>
          <w:rFonts w:hint="eastAsia" w:ascii="宋体" w:hAnsi="宋体" w:cs="宋体"/>
          <w:color w:val="auto"/>
          <w:highlight w:val="none"/>
          <w:u w:val="single"/>
        </w:rPr>
        <w:t></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w:t>
      </w:r>
    </w:p>
    <w:p w14:paraId="076718E2">
      <w:pPr>
        <w:spacing w:line="360" w:lineRule="exact"/>
        <w:rPr>
          <w:rFonts w:hint="eastAsia" w:ascii="宋体" w:hAnsi="宋体" w:cs="宋体"/>
          <w:color w:val="auto"/>
          <w:szCs w:val="21"/>
          <w:highlight w:val="none"/>
        </w:rPr>
      </w:pPr>
    </w:p>
    <w:p w14:paraId="6E571E4C">
      <w:pPr>
        <w:spacing w:line="360" w:lineRule="exact"/>
        <w:rPr>
          <w:rFonts w:hint="eastAsia" w:ascii="宋体" w:hAnsi="宋体" w:cs="宋体"/>
          <w:color w:val="auto"/>
          <w:szCs w:val="21"/>
          <w:highlight w:val="none"/>
        </w:rPr>
      </w:pPr>
      <w:r>
        <w:rPr>
          <w:rFonts w:hint="eastAsia" w:ascii="宋体" w:hAnsi="宋体" w:cs="宋体"/>
          <w:b/>
          <w:color w:val="auto"/>
          <w:szCs w:val="21"/>
          <w:highlight w:val="none"/>
        </w:rPr>
        <w:br w:type="page"/>
      </w:r>
      <w:r>
        <w:rPr>
          <w:rFonts w:hint="eastAsia" w:ascii="宋体" w:hAnsi="宋体" w:cs="宋体"/>
          <w:color w:val="auto"/>
          <w:szCs w:val="21"/>
          <w:highlight w:val="none"/>
        </w:rPr>
        <w:t>附件4：</w:t>
      </w:r>
    </w:p>
    <w:p w14:paraId="78AE674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主要建设工程文件目录</w:t>
      </w:r>
    </w:p>
    <w:p w14:paraId="4D33611E">
      <w:pPr>
        <w:spacing w:line="360" w:lineRule="exact"/>
        <w:rPr>
          <w:rFonts w:hint="eastAsia" w:ascii="宋体" w:hAnsi="宋体" w:cs="宋体"/>
          <w:color w:val="auto"/>
          <w:szCs w:val="21"/>
          <w:highlight w:val="none"/>
        </w:rPr>
      </w:pPr>
    </w:p>
    <w:tbl>
      <w:tblPr>
        <w:tblStyle w:val="46"/>
        <w:tblpPr w:leftFromText="180" w:rightFromText="180" w:vertAnchor="text" w:horzAnchor="page" w:tblpX="1430" w:tblpY="1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3296C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0"/>
            <w:vAlign w:val="center"/>
          </w:tcPr>
          <w:p w14:paraId="7F560164">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文件名称</w:t>
            </w:r>
          </w:p>
        </w:tc>
        <w:tc>
          <w:tcPr>
            <w:tcW w:w="1067" w:type="dxa"/>
            <w:tcBorders>
              <w:top w:val="single" w:color="auto" w:sz="12" w:space="0"/>
              <w:bottom w:val="double" w:color="auto" w:sz="6" w:space="0"/>
            </w:tcBorders>
            <w:noWrap w:val="0"/>
            <w:vAlign w:val="center"/>
          </w:tcPr>
          <w:p w14:paraId="0B44723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套数</w:t>
            </w:r>
          </w:p>
        </w:tc>
        <w:tc>
          <w:tcPr>
            <w:tcW w:w="1450" w:type="dxa"/>
            <w:tcBorders>
              <w:top w:val="single" w:color="auto" w:sz="12" w:space="0"/>
              <w:bottom w:val="double" w:color="auto" w:sz="6" w:space="0"/>
            </w:tcBorders>
            <w:noWrap w:val="0"/>
            <w:vAlign w:val="center"/>
          </w:tcPr>
          <w:p w14:paraId="31D58BE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费用（元）</w:t>
            </w:r>
          </w:p>
        </w:tc>
        <w:tc>
          <w:tcPr>
            <w:tcW w:w="1243" w:type="dxa"/>
            <w:tcBorders>
              <w:top w:val="single" w:color="auto" w:sz="12" w:space="0"/>
              <w:bottom w:val="double" w:color="auto" w:sz="6" w:space="0"/>
            </w:tcBorders>
            <w:noWrap w:val="0"/>
            <w:vAlign w:val="center"/>
          </w:tcPr>
          <w:p w14:paraId="1D5CC09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w:t>
            </w:r>
          </w:p>
        </w:tc>
        <w:tc>
          <w:tcPr>
            <w:tcW w:w="1450" w:type="dxa"/>
            <w:tcBorders>
              <w:top w:val="single" w:color="auto" w:sz="12" w:space="0"/>
              <w:bottom w:val="double" w:color="auto" w:sz="6" w:space="0"/>
            </w:tcBorders>
            <w:noWrap w:val="0"/>
            <w:vAlign w:val="top"/>
          </w:tcPr>
          <w:p w14:paraId="405CF13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移交时间</w:t>
            </w:r>
          </w:p>
        </w:tc>
        <w:tc>
          <w:tcPr>
            <w:tcW w:w="1564" w:type="dxa"/>
            <w:tcBorders>
              <w:top w:val="single" w:color="auto" w:sz="12" w:space="0"/>
              <w:bottom w:val="double" w:color="auto" w:sz="6" w:space="0"/>
            </w:tcBorders>
            <w:noWrap w:val="0"/>
            <w:vAlign w:val="top"/>
          </w:tcPr>
          <w:p w14:paraId="3B1588E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责任人</w:t>
            </w:r>
          </w:p>
        </w:tc>
      </w:tr>
      <w:tr w14:paraId="31CB2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noWrap w:val="0"/>
            <w:vAlign w:val="center"/>
          </w:tcPr>
          <w:p w14:paraId="643BB17B">
            <w:pPr>
              <w:pStyle w:val="18"/>
              <w:keepNext/>
              <w:spacing w:after="0" w:line="360" w:lineRule="exact"/>
              <w:rPr>
                <w:rFonts w:hint="eastAsia" w:ascii="宋体" w:hAnsi="宋体" w:cs="宋体"/>
                <w:color w:val="auto"/>
                <w:szCs w:val="21"/>
                <w:highlight w:val="none"/>
              </w:rPr>
            </w:pPr>
          </w:p>
        </w:tc>
        <w:tc>
          <w:tcPr>
            <w:tcW w:w="1067" w:type="dxa"/>
            <w:tcBorders>
              <w:top w:val="double" w:color="auto" w:sz="6" w:space="0"/>
              <w:bottom w:val="single" w:color="auto" w:sz="6" w:space="0"/>
            </w:tcBorders>
            <w:noWrap w:val="0"/>
            <w:vAlign w:val="center"/>
          </w:tcPr>
          <w:p w14:paraId="785AD185">
            <w:pPr>
              <w:pStyle w:val="18"/>
              <w:keepNext/>
              <w:spacing w:after="0" w:line="360" w:lineRule="exact"/>
              <w:rPr>
                <w:rFonts w:hint="eastAsia" w:ascii="宋体" w:hAnsi="宋体" w:cs="宋体"/>
                <w:color w:val="auto"/>
                <w:szCs w:val="21"/>
                <w:highlight w:val="none"/>
              </w:rPr>
            </w:pPr>
          </w:p>
        </w:tc>
        <w:tc>
          <w:tcPr>
            <w:tcW w:w="1450" w:type="dxa"/>
            <w:tcBorders>
              <w:top w:val="double" w:color="auto" w:sz="6" w:space="0"/>
              <w:bottom w:val="single" w:color="auto" w:sz="6" w:space="0"/>
            </w:tcBorders>
            <w:noWrap w:val="0"/>
            <w:vAlign w:val="center"/>
          </w:tcPr>
          <w:p w14:paraId="72ABC7BD">
            <w:pPr>
              <w:pStyle w:val="18"/>
              <w:keepNext/>
              <w:spacing w:after="0" w:line="360" w:lineRule="exact"/>
              <w:rPr>
                <w:rFonts w:hint="eastAsia" w:ascii="宋体" w:hAnsi="宋体" w:cs="宋体"/>
                <w:color w:val="auto"/>
                <w:szCs w:val="21"/>
                <w:highlight w:val="none"/>
              </w:rPr>
            </w:pPr>
          </w:p>
        </w:tc>
        <w:tc>
          <w:tcPr>
            <w:tcW w:w="1243" w:type="dxa"/>
            <w:tcBorders>
              <w:top w:val="double" w:color="auto" w:sz="6" w:space="0"/>
              <w:bottom w:val="single" w:color="auto" w:sz="6" w:space="0"/>
            </w:tcBorders>
            <w:noWrap w:val="0"/>
            <w:vAlign w:val="center"/>
          </w:tcPr>
          <w:p w14:paraId="7011814E">
            <w:pPr>
              <w:pStyle w:val="18"/>
              <w:keepNext/>
              <w:spacing w:after="0" w:line="360" w:lineRule="exact"/>
              <w:rPr>
                <w:rFonts w:hint="eastAsia" w:ascii="宋体" w:hAnsi="宋体" w:cs="宋体"/>
                <w:color w:val="auto"/>
                <w:szCs w:val="21"/>
                <w:highlight w:val="none"/>
              </w:rPr>
            </w:pPr>
          </w:p>
        </w:tc>
        <w:tc>
          <w:tcPr>
            <w:tcW w:w="1450" w:type="dxa"/>
            <w:tcBorders>
              <w:top w:val="double" w:color="auto" w:sz="6" w:space="0"/>
              <w:bottom w:val="single" w:color="auto" w:sz="6" w:space="0"/>
            </w:tcBorders>
            <w:noWrap w:val="0"/>
            <w:vAlign w:val="center"/>
          </w:tcPr>
          <w:p w14:paraId="490B797D">
            <w:pPr>
              <w:pStyle w:val="18"/>
              <w:keepNext/>
              <w:spacing w:after="0" w:line="360" w:lineRule="exact"/>
              <w:rPr>
                <w:rFonts w:hint="eastAsia" w:ascii="宋体" w:hAnsi="宋体" w:cs="宋体"/>
                <w:color w:val="auto"/>
                <w:szCs w:val="21"/>
                <w:highlight w:val="none"/>
              </w:rPr>
            </w:pPr>
          </w:p>
        </w:tc>
        <w:tc>
          <w:tcPr>
            <w:tcW w:w="1564" w:type="dxa"/>
            <w:tcBorders>
              <w:top w:val="double" w:color="auto" w:sz="6" w:space="0"/>
              <w:bottom w:val="single" w:color="auto" w:sz="6" w:space="0"/>
            </w:tcBorders>
            <w:noWrap w:val="0"/>
            <w:vAlign w:val="center"/>
          </w:tcPr>
          <w:p w14:paraId="33290081">
            <w:pPr>
              <w:pStyle w:val="18"/>
              <w:keepNext/>
              <w:spacing w:after="0" w:line="360" w:lineRule="exact"/>
              <w:rPr>
                <w:rFonts w:hint="eastAsia" w:ascii="宋体" w:hAnsi="宋体" w:cs="宋体"/>
                <w:color w:val="auto"/>
                <w:szCs w:val="21"/>
                <w:highlight w:val="none"/>
              </w:rPr>
            </w:pPr>
          </w:p>
        </w:tc>
      </w:tr>
      <w:tr w14:paraId="71982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0"/>
            <w:vAlign w:val="center"/>
          </w:tcPr>
          <w:p w14:paraId="4122A9D6">
            <w:pPr>
              <w:pStyle w:val="18"/>
              <w:keepNext/>
              <w:spacing w:after="0" w:line="360" w:lineRule="exact"/>
              <w:rPr>
                <w:rFonts w:hint="eastAsia" w:ascii="宋体" w:hAnsi="宋体" w:cs="宋体"/>
                <w:color w:val="auto"/>
                <w:szCs w:val="21"/>
                <w:highlight w:val="none"/>
              </w:rPr>
            </w:pPr>
          </w:p>
        </w:tc>
        <w:tc>
          <w:tcPr>
            <w:tcW w:w="1067" w:type="dxa"/>
            <w:tcBorders>
              <w:top w:val="nil"/>
            </w:tcBorders>
            <w:noWrap w:val="0"/>
            <w:vAlign w:val="center"/>
          </w:tcPr>
          <w:p w14:paraId="4D6CCC25">
            <w:pPr>
              <w:pStyle w:val="18"/>
              <w:keepNext/>
              <w:spacing w:after="0" w:line="360" w:lineRule="exact"/>
              <w:rPr>
                <w:rFonts w:hint="eastAsia" w:ascii="宋体" w:hAnsi="宋体" w:cs="宋体"/>
                <w:color w:val="auto"/>
                <w:szCs w:val="21"/>
                <w:highlight w:val="none"/>
              </w:rPr>
            </w:pPr>
          </w:p>
        </w:tc>
        <w:tc>
          <w:tcPr>
            <w:tcW w:w="1450" w:type="dxa"/>
            <w:tcBorders>
              <w:top w:val="nil"/>
            </w:tcBorders>
            <w:noWrap w:val="0"/>
            <w:vAlign w:val="center"/>
          </w:tcPr>
          <w:p w14:paraId="75127EDA">
            <w:pPr>
              <w:pStyle w:val="18"/>
              <w:keepNext/>
              <w:spacing w:after="0" w:line="360" w:lineRule="exact"/>
              <w:rPr>
                <w:rFonts w:hint="eastAsia" w:ascii="宋体" w:hAnsi="宋体" w:cs="宋体"/>
                <w:color w:val="auto"/>
                <w:szCs w:val="21"/>
                <w:highlight w:val="none"/>
              </w:rPr>
            </w:pPr>
          </w:p>
        </w:tc>
        <w:tc>
          <w:tcPr>
            <w:tcW w:w="1243" w:type="dxa"/>
            <w:tcBorders>
              <w:top w:val="nil"/>
            </w:tcBorders>
            <w:noWrap w:val="0"/>
            <w:vAlign w:val="center"/>
          </w:tcPr>
          <w:p w14:paraId="195C2941">
            <w:pPr>
              <w:pStyle w:val="18"/>
              <w:keepNext/>
              <w:spacing w:after="0" w:line="360" w:lineRule="exact"/>
              <w:rPr>
                <w:rFonts w:hint="eastAsia" w:ascii="宋体" w:hAnsi="宋体" w:cs="宋体"/>
                <w:color w:val="auto"/>
                <w:szCs w:val="21"/>
                <w:highlight w:val="none"/>
              </w:rPr>
            </w:pPr>
          </w:p>
        </w:tc>
        <w:tc>
          <w:tcPr>
            <w:tcW w:w="1450" w:type="dxa"/>
            <w:tcBorders>
              <w:top w:val="nil"/>
            </w:tcBorders>
            <w:noWrap w:val="0"/>
            <w:vAlign w:val="center"/>
          </w:tcPr>
          <w:p w14:paraId="408A2402">
            <w:pPr>
              <w:pStyle w:val="18"/>
              <w:keepNext/>
              <w:spacing w:after="0" w:line="360" w:lineRule="exact"/>
              <w:rPr>
                <w:rFonts w:hint="eastAsia" w:ascii="宋体" w:hAnsi="宋体" w:cs="宋体"/>
                <w:color w:val="auto"/>
                <w:szCs w:val="21"/>
                <w:highlight w:val="none"/>
              </w:rPr>
            </w:pPr>
          </w:p>
        </w:tc>
        <w:tc>
          <w:tcPr>
            <w:tcW w:w="1564" w:type="dxa"/>
            <w:tcBorders>
              <w:top w:val="nil"/>
            </w:tcBorders>
            <w:noWrap w:val="0"/>
            <w:vAlign w:val="center"/>
          </w:tcPr>
          <w:p w14:paraId="6074BC81">
            <w:pPr>
              <w:pStyle w:val="18"/>
              <w:keepNext/>
              <w:spacing w:after="0" w:line="360" w:lineRule="exact"/>
              <w:rPr>
                <w:rFonts w:hint="eastAsia" w:ascii="宋体" w:hAnsi="宋体" w:cs="宋体"/>
                <w:color w:val="auto"/>
                <w:szCs w:val="21"/>
                <w:highlight w:val="none"/>
              </w:rPr>
            </w:pPr>
          </w:p>
        </w:tc>
      </w:tr>
      <w:tr w14:paraId="77C2E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3F4D3D26">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2240A7A1">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20E24627">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53F528C6">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2726F0FE">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07EE93CC">
            <w:pPr>
              <w:pStyle w:val="18"/>
              <w:keepNext/>
              <w:spacing w:after="0" w:line="360" w:lineRule="exact"/>
              <w:rPr>
                <w:rFonts w:hint="eastAsia" w:ascii="宋体" w:hAnsi="宋体" w:cs="宋体"/>
                <w:color w:val="auto"/>
                <w:szCs w:val="21"/>
                <w:highlight w:val="none"/>
              </w:rPr>
            </w:pPr>
          </w:p>
        </w:tc>
      </w:tr>
      <w:tr w14:paraId="4061C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5128C24E">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4588C2E0">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5A5F3AA6">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5EDC0F70">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2B4DF623">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2ADFDD35">
            <w:pPr>
              <w:pStyle w:val="18"/>
              <w:keepNext/>
              <w:spacing w:after="0" w:line="360" w:lineRule="exact"/>
              <w:rPr>
                <w:rFonts w:hint="eastAsia" w:ascii="宋体" w:hAnsi="宋体" w:cs="宋体"/>
                <w:color w:val="auto"/>
                <w:szCs w:val="21"/>
                <w:highlight w:val="none"/>
              </w:rPr>
            </w:pPr>
          </w:p>
        </w:tc>
      </w:tr>
      <w:tr w14:paraId="009F5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6E806405">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0AAC9183">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0C906D5B">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5C6D62AA">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1499582C">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448C86B0">
            <w:pPr>
              <w:pStyle w:val="18"/>
              <w:keepNext/>
              <w:spacing w:after="0" w:line="360" w:lineRule="exact"/>
              <w:rPr>
                <w:rFonts w:hint="eastAsia" w:ascii="宋体" w:hAnsi="宋体" w:cs="宋体"/>
                <w:color w:val="auto"/>
                <w:szCs w:val="21"/>
                <w:highlight w:val="none"/>
              </w:rPr>
            </w:pPr>
          </w:p>
        </w:tc>
      </w:tr>
      <w:tr w14:paraId="42DA0B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0C9DBB23">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1AFAFDCF">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3B30F1D3">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38F9F1C4">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418F8462">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3A3FAFBE">
            <w:pPr>
              <w:pStyle w:val="18"/>
              <w:keepNext/>
              <w:spacing w:after="0" w:line="360" w:lineRule="exact"/>
              <w:rPr>
                <w:rFonts w:hint="eastAsia" w:ascii="宋体" w:hAnsi="宋体" w:cs="宋体"/>
                <w:color w:val="auto"/>
                <w:szCs w:val="21"/>
                <w:highlight w:val="none"/>
              </w:rPr>
            </w:pPr>
          </w:p>
        </w:tc>
      </w:tr>
      <w:tr w14:paraId="7699C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16B4670F">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458C3290">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627264A1">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74122BA5">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484A6166">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5BCDE6C8">
            <w:pPr>
              <w:pStyle w:val="18"/>
              <w:keepNext/>
              <w:spacing w:after="0" w:line="360" w:lineRule="exact"/>
              <w:rPr>
                <w:rFonts w:hint="eastAsia" w:ascii="宋体" w:hAnsi="宋体" w:cs="宋体"/>
                <w:color w:val="auto"/>
                <w:szCs w:val="21"/>
                <w:highlight w:val="none"/>
              </w:rPr>
            </w:pPr>
          </w:p>
        </w:tc>
      </w:tr>
      <w:tr w14:paraId="0F0421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5FDE1A2A">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281B7BFE">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519C48F6">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0D78BFEA">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598E0889">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795E2E0A">
            <w:pPr>
              <w:pStyle w:val="18"/>
              <w:keepNext/>
              <w:spacing w:after="0" w:line="360" w:lineRule="exact"/>
              <w:rPr>
                <w:rFonts w:hint="eastAsia" w:ascii="宋体" w:hAnsi="宋体" w:cs="宋体"/>
                <w:color w:val="auto"/>
                <w:szCs w:val="21"/>
                <w:highlight w:val="none"/>
              </w:rPr>
            </w:pPr>
          </w:p>
        </w:tc>
      </w:tr>
      <w:tr w14:paraId="20FBF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D09FAE4">
            <w:pPr>
              <w:spacing w:line="360" w:lineRule="exact"/>
              <w:rPr>
                <w:rFonts w:hint="eastAsia" w:ascii="宋体" w:hAnsi="宋体" w:cs="宋体"/>
                <w:color w:val="auto"/>
                <w:szCs w:val="21"/>
                <w:highlight w:val="none"/>
              </w:rPr>
            </w:pPr>
          </w:p>
        </w:tc>
        <w:tc>
          <w:tcPr>
            <w:tcW w:w="1067" w:type="dxa"/>
            <w:noWrap w:val="0"/>
            <w:vAlign w:val="top"/>
          </w:tcPr>
          <w:p w14:paraId="71AB4E53">
            <w:pPr>
              <w:spacing w:line="360" w:lineRule="exact"/>
              <w:rPr>
                <w:rFonts w:hint="eastAsia" w:ascii="宋体" w:hAnsi="宋体" w:cs="宋体"/>
                <w:color w:val="auto"/>
                <w:szCs w:val="21"/>
                <w:highlight w:val="none"/>
              </w:rPr>
            </w:pPr>
          </w:p>
        </w:tc>
        <w:tc>
          <w:tcPr>
            <w:tcW w:w="1450" w:type="dxa"/>
            <w:noWrap w:val="0"/>
            <w:vAlign w:val="top"/>
          </w:tcPr>
          <w:p w14:paraId="40AF4CEF">
            <w:pPr>
              <w:spacing w:line="360" w:lineRule="exact"/>
              <w:rPr>
                <w:rFonts w:hint="eastAsia" w:ascii="宋体" w:hAnsi="宋体" w:cs="宋体"/>
                <w:color w:val="auto"/>
                <w:szCs w:val="21"/>
                <w:highlight w:val="none"/>
              </w:rPr>
            </w:pPr>
          </w:p>
        </w:tc>
        <w:tc>
          <w:tcPr>
            <w:tcW w:w="1243" w:type="dxa"/>
            <w:noWrap w:val="0"/>
            <w:vAlign w:val="top"/>
          </w:tcPr>
          <w:p w14:paraId="172D4428">
            <w:pPr>
              <w:spacing w:line="360" w:lineRule="exact"/>
              <w:rPr>
                <w:rFonts w:hint="eastAsia" w:ascii="宋体" w:hAnsi="宋体" w:cs="宋体"/>
                <w:color w:val="auto"/>
                <w:szCs w:val="21"/>
                <w:highlight w:val="none"/>
              </w:rPr>
            </w:pPr>
          </w:p>
        </w:tc>
        <w:tc>
          <w:tcPr>
            <w:tcW w:w="1450" w:type="dxa"/>
            <w:noWrap w:val="0"/>
            <w:vAlign w:val="top"/>
          </w:tcPr>
          <w:p w14:paraId="4D551A4F">
            <w:pPr>
              <w:spacing w:line="360" w:lineRule="exact"/>
              <w:rPr>
                <w:rFonts w:hint="eastAsia" w:ascii="宋体" w:hAnsi="宋体" w:cs="宋体"/>
                <w:color w:val="auto"/>
                <w:szCs w:val="21"/>
                <w:highlight w:val="none"/>
              </w:rPr>
            </w:pPr>
          </w:p>
        </w:tc>
        <w:tc>
          <w:tcPr>
            <w:tcW w:w="1564" w:type="dxa"/>
            <w:noWrap w:val="0"/>
            <w:vAlign w:val="top"/>
          </w:tcPr>
          <w:p w14:paraId="59A0D4EC">
            <w:pPr>
              <w:spacing w:line="360" w:lineRule="exact"/>
              <w:rPr>
                <w:rFonts w:hint="eastAsia" w:ascii="宋体" w:hAnsi="宋体" w:cs="宋体"/>
                <w:color w:val="auto"/>
                <w:szCs w:val="21"/>
                <w:highlight w:val="none"/>
              </w:rPr>
            </w:pPr>
          </w:p>
        </w:tc>
      </w:tr>
      <w:tr w14:paraId="1370B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464FE4D7">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7945E525">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0A331890">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3C603806">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5AD42B1E">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7DECF6FB">
            <w:pPr>
              <w:pStyle w:val="18"/>
              <w:keepNext/>
              <w:spacing w:after="0" w:line="360" w:lineRule="exact"/>
              <w:rPr>
                <w:rFonts w:hint="eastAsia" w:ascii="宋体" w:hAnsi="宋体" w:cs="宋体"/>
                <w:color w:val="auto"/>
                <w:szCs w:val="21"/>
                <w:highlight w:val="none"/>
              </w:rPr>
            </w:pPr>
          </w:p>
        </w:tc>
      </w:tr>
      <w:tr w14:paraId="2CBA9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66905CF4">
            <w:pPr>
              <w:spacing w:line="360" w:lineRule="exact"/>
              <w:rPr>
                <w:rFonts w:hint="eastAsia" w:ascii="宋体" w:hAnsi="宋体" w:cs="宋体"/>
                <w:color w:val="auto"/>
                <w:szCs w:val="21"/>
                <w:highlight w:val="none"/>
              </w:rPr>
            </w:pPr>
          </w:p>
        </w:tc>
        <w:tc>
          <w:tcPr>
            <w:tcW w:w="1067" w:type="dxa"/>
            <w:noWrap w:val="0"/>
            <w:vAlign w:val="top"/>
          </w:tcPr>
          <w:p w14:paraId="33A5EB5C">
            <w:pPr>
              <w:spacing w:line="360" w:lineRule="exact"/>
              <w:rPr>
                <w:rFonts w:hint="eastAsia" w:ascii="宋体" w:hAnsi="宋体" w:cs="宋体"/>
                <w:color w:val="auto"/>
                <w:szCs w:val="21"/>
                <w:highlight w:val="none"/>
              </w:rPr>
            </w:pPr>
          </w:p>
        </w:tc>
        <w:tc>
          <w:tcPr>
            <w:tcW w:w="1450" w:type="dxa"/>
            <w:noWrap w:val="0"/>
            <w:vAlign w:val="top"/>
          </w:tcPr>
          <w:p w14:paraId="2F5753A7">
            <w:pPr>
              <w:spacing w:line="360" w:lineRule="exact"/>
              <w:rPr>
                <w:rFonts w:hint="eastAsia" w:ascii="宋体" w:hAnsi="宋体" w:cs="宋体"/>
                <w:color w:val="auto"/>
                <w:szCs w:val="21"/>
                <w:highlight w:val="none"/>
              </w:rPr>
            </w:pPr>
          </w:p>
        </w:tc>
        <w:tc>
          <w:tcPr>
            <w:tcW w:w="1243" w:type="dxa"/>
            <w:noWrap w:val="0"/>
            <w:vAlign w:val="top"/>
          </w:tcPr>
          <w:p w14:paraId="51E54CB3">
            <w:pPr>
              <w:spacing w:line="360" w:lineRule="exact"/>
              <w:rPr>
                <w:rFonts w:hint="eastAsia" w:ascii="宋体" w:hAnsi="宋体" w:cs="宋体"/>
                <w:color w:val="auto"/>
                <w:szCs w:val="21"/>
                <w:highlight w:val="none"/>
              </w:rPr>
            </w:pPr>
          </w:p>
        </w:tc>
        <w:tc>
          <w:tcPr>
            <w:tcW w:w="1450" w:type="dxa"/>
            <w:noWrap w:val="0"/>
            <w:vAlign w:val="top"/>
          </w:tcPr>
          <w:p w14:paraId="08A119F2">
            <w:pPr>
              <w:spacing w:line="360" w:lineRule="exact"/>
              <w:rPr>
                <w:rFonts w:hint="eastAsia" w:ascii="宋体" w:hAnsi="宋体" w:cs="宋体"/>
                <w:color w:val="auto"/>
                <w:szCs w:val="21"/>
                <w:highlight w:val="none"/>
              </w:rPr>
            </w:pPr>
          </w:p>
        </w:tc>
        <w:tc>
          <w:tcPr>
            <w:tcW w:w="1564" w:type="dxa"/>
            <w:noWrap w:val="0"/>
            <w:vAlign w:val="top"/>
          </w:tcPr>
          <w:p w14:paraId="74A02CC1">
            <w:pPr>
              <w:spacing w:line="360" w:lineRule="exact"/>
              <w:rPr>
                <w:rFonts w:hint="eastAsia" w:ascii="宋体" w:hAnsi="宋体" w:cs="宋体"/>
                <w:color w:val="auto"/>
                <w:szCs w:val="21"/>
                <w:highlight w:val="none"/>
              </w:rPr>
            </w:pPr>
          </w:p>
        </w:tc>
      </w:tr>
      <w:tr w14:paraId="46CE55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0742E7B">
            <w:pPr>
              <w:spacing w:line="360" w:lineRule="exact"/>
              <w:rPr>
                <w:rFonts w:hint="eastAsia" w:ascii="宋体" w:hAnsi="宋体" w:cs="宋体"/>
                <w:color w:val="auto"/>
                <w:szCs w:val="21"/>
                <w:highlight w:val="none"/>
              </w:rPr>
            </w:pPr>
          </w:p>
        </w:tc>
        <w:tc>
          <w:tcPr>
            <w:tcW w:w="1067" w:type="dxa"/>
            <w:noWrap w:val="0"/>
            <w:vAlign w:val="top"/>
          </w:tcPr>
          <w:p w14:paraId="67DE5F32">
            <w:pPr>
              <w:spacing w:line="360" w:lineRule="exact"/>
              <w:rPr>
                <w:rFonts w:hint="eastAsia" w:ascii="宋体" w:hAnsi="宋体" w:cs="宋体"/>
                <w:color w:val="auto"/>
                <w:szCs w:val="21"/>
                <w:highlight w:val="none"/>
              </w:rPr>
            </w:pPr>
          </w:p>
        </w:tc>
        <w:tc>
          <w:tcPr>
            <w:tcW w:w="1450" w:type="dxa"/>
            <w:noWrap w:val="0"/>
            <w:vAlign w:val="top"/>
          </w:tcPr>
          <w:p w14:paraId="5B8F2485">
            <w:pPr>
              <w:spacing w:line="360" w:lineRule="exact"/>
              <w:rPr>
                <w:rFonts w:hint="eastAsia" w:ascii="宋体" w:hAnsi="宋体" w:cs="宋体"/>
                <w:color w:val="auto"/>
                <w:szCs w:val="21"/>
                <w:highlight w:val="none"/>
              </w:rPr>
            </w:pPr>
          </w:p>
        </w:tc>
        <w:tc>
          <w:tcPr>
            <w:tcW w:w="1243" w:type="dxa"/>
            <w:noWrap w:val="0"/>
            <w:vAlign w:val="top"/>
          </w:tcPr>
          <w:p w14:paraId="74EFCBE0">
            <w:pPr>
              <w:spacing w:line="360" w:lineRule="exact"/>
              <w:rPr>
                <w:rFonts w:hint="eastAsia" w:ascii="宋体" w:hAnsi="宋体" w:cs="宋体"/>
                <w:color w:val="auto"/>
                <w:szCs w:val="21"/>
                <w:highlight w:val="none"/>
              </w:rPr>
            </w:pPr>
          </w:p>
        </w:tc>
        <w:tc>
          <w:tcPr>
            <w:tcW w:w="1450" w:type="dxa"/>
            <w:noWrap w:val="0"/>
            <w:vAlign w:val="top"/>
          </w:tcPr>
          <w:p w14:paraId="135CD20A">
            <w:pPr>
              <w:spacing w:line="360" w:lineRule="exact"/>
              <w:rPr>
                <w:rFonts w:hint="eastAsia" w:ascii="宋体" w:hAnsi="宋体" w:cs="宋体"/>
                <w:color w:val="auto"/>
                <w:szCs w:val="21"/>
                <w:highlight w:val="none"/>
              </w:rPr>
            </w:pPr>
          </w:p>
        </w:tc>
        <w:tc>
          <w:tcPr>
            <w:tcW w:w="1564" w:type="dxa"/>
            <w:noWrap w:val="0"/>
            <w:vAlign w:val="top"/>
          </w:tcPr>
          <w:p w14:paraId="790B60EB">
            <w:pPr>
              <w:spacing w:line="360" w:lineRule="exact"/>
              <w:rPr>
                <w:rFonts w:hint="eastAsia" w:ascii="宋体" w:hAnsi="宋体" w:cs="宋体"/>
                <w:color w:val="auto"/>
                <w:szCs w:val="21"/>
                <w:highlight w:val="none"/>
              </w:rPr>
            </w:pPr>
          </w:p>
        </w:tc>
      </w:tr>
      <w:tr w14:paraId="3402A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59032BD">
            <w:pPr>
              <w:spacing w:line="360" w:lineRule="exact"/>
              <w:rPr>
                <w:rFonts w:hint="eastAsia" w:ascii="宋体" w:hAnsi="宋体" w:cs="宋体"/>
                <w:color w:val="auto"/>
                <w:szCs w:val="21"/>
                <w:highlight w:val="none"/>
              </w:rPr>
            </w:pPr>
          </w:p>
        </w:tc>
        <w:tc>
          <w:tcPr>
            <w:tcW w:w="1067" w:type="dxa"/>
            <w:noWrap w:val="0"/>
            <w:vAlign w:val="top"/>
          </w:tcPr>
          <w:p w14:paraId="69747289">
            <w:pPr>
              <w:spacing w:line="360" w:lineRule="exact"/>
              <w:rPr>
                <w:rFonts w:hint="eastAsia" w:ascii="宋体" w:hAnsi="宋体" w:cs="宋体"/>
                <w:color w:val="auto"/>
                <w:szCs w:val="21"/>
                <w:highlight w:val="none"/>
              </w:rPr>
            </w:pPr>
          </w:p>
        </w:tc>
        <w:tc>
          <w:tcPr>
            <w:tcW w:w="1450" w:type="dxa"/>
            <w:noWrap w:val="0"/>
            <w:vAlign w:val="top"/>
          </w:tcPr>
          <w:p w14:paraId="0E2F7369">
            <w:pPr>
              <w:spacing w:line="360" w:lineRule="exact"/>
              <w:rPr>
                <w:rFonts w:hint="eastAsia" w:ascii="宋体" w:hAnsi="宋体" w:cs="宋体"/>
                <w:color w:val="auto"/>
                <w:szCs w:val="21"/>
                <w:highlight w:val="none"/>
              </w:rPr>
            </w:pPr>
          </w:p>
        </w:tc>
        <w:tc>
          <w:tcPr>
            <w:tcW w:w="1243" w:type="dxa"/>
            <w:noWrap w:val="0"/>
            <w:vAlign w:val="top"/>
          </w:tcPr>
          <w:p w14:paraId="0FE5E34E">
            <w:pPr>
              <w:spacing w:line="360" w:lineRule="exact"/>
              <w:rPr>
                <w:rFonts w:hint="eastAsia" w:ascii="宋体" w:hAnsi="宋体" w:cs="宋体"/>
                <w:color w:val="auto"/>
                <w:szCs w:val="21"/>
                <w:highlight w:val="none"/>
              </w:rPr>
            </w:pPr>
          </w:p>
        </w:tc>
        <w:tc>
          <w:tcPr>
            <w:tcW w:w="1450" w:type="dxa"/>
            <w:noWrap w:val="0"/>
            <w:vAlign w:val="top"/>
          </w:tcPr>
          <w:p w14:paraId="2A5F7C84">
            <w:pPr>
              <w:spacing w:line="360" w:lineRule="exact"/>
              <w:rPr>
                <w:rFonts w:hint="eastAsia" w:ascii="宋体" w:hAnsi="宋体" w:cs="宋体"/>
                <w:color w:val="auto"/>
                <w:szCs w:val="21"/>
                <w:highlight w:val="none"/>
              </w:rPr>
            </w:pPr>
          </w:p>
        </w:tc>
        <w:tc>
          <w:tcPr>
            <w:tcW w:w="1564" w:type="dxa"/>
            <w:noWrap w:val="0"/>
            <w:vAlign w:val="top"/>
          </w:tcPr>
          <w:p w14:paraId="356F40BC">
            <w:pPr>
              <w:spacing w:line="360" w:lineRule="exact"/>
              <w:rPr>
                <w:rFonts w:hint="eastAsia" w:ascii="宋体" w:hAnsi="宋体" w:cs="宋体"/>
                <w:color w:val="auto"/>
                <w:szCs w:val="21"/>
                <w:highlight w:val="none"/>
              </w:rPr>
            </w:pPr>
          </w:p>
        </w:tc>
      </w:tr>
      <w:tr w14:paraId="50E23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292A85A6">
            <w:pPr>
              <w:spacing w:line="360" w:lineRule="exact"/>
              <w:rPr>
                <w:rFonts w:hint="eastAsia" w:ascii="宋体" w:hAnsi="宋体" w:cs="宋体"/>
                <w:color w:val="auto"/>
                <w:szCs w:val="21"/>
                <w:highlight w:val="none"/>
              </w:rPr>
            </w:pPr>
          </w:p>
        </w:tc>
        <w:tc>
          <w:tcPr>
            <w:tcW w:w="1067" w:type="dxa"/>
            <w:noWrap w:val="0"/>
            <w:vAlign w:val="top"/>
          </w:tcPr>
          <w:p w14:paraId="1FC09A0E">
            <w:pPr>
              <w:spacing w:line="360" w:lineRule="exact"/>
              <w:rPr>
                <w:rFonts w:hint="eastAsia" w:ascii="宋体" w:hAnsi="宋体" w:cs="宋体"/>
                <w:color w:val="auto"/>
                <w:szCs w:val="21"/>
                <w:highlight w:val="none"/>
              </w:rPr>
            </w:pPr>
          </w:p>
        </w:tc>
        <w:tc>
          <w:tcPr>
            <w:tcW w:w="1450" w:type="dxa"/>
            <w:noWrap w:val="0"/>
            <w:vAlign w:val="top"/>
          </w:tcPr>
          <w:p w14:paraId="64EABE9A">
            <w:pPr>
              <w:spacing w:line="360" w:lineRule="exact"/>
              <w:rPr>
                <w:rFonts w:hint="eastAsia" w:ascii="宋体" w:hAnsi="宋体" w:cs="宋体"/>
                <w:color w:val="auto"/>
                <w:szCs w:val="21"/>
                <w:highlight w:val="none"/>
              </w:rPr>
            </w:pPr>
          </w:p>
        </w:tc>
        <w:tc>
          <w:tcPr>
            <w:tcW w:w="1243" w:type="dxa"/>
            <w:noWrap w:val="0"/>
            <w:vAlign w:val="top"/>
          </w:tcPr>
          <w:p w14:paraId="22891A66">
            <w:pPr>
              <w:spacing w:line="360" w:lineRule="exact"/>
              <w:rPr>
                <w:rFonts w:hint="eastAsia" w:ascii="宋体" w:hAnsi="宋体" w:cs="宋体"/>
                <w:color w:val="auto"/>
                <w:szCs w:val="21"/>
                <w:highlight w:val="none"/>
              </w:rPr>
            </w:pPr>
          </w:p>
        </w:tc>
        <w:tc>
          <w:tcPr>
            <w:tcW w:w="1450" w:type="dxa"/>
            <w:noWrap w:val="0"/>
            <w:vAlign w:val="top"/>
          </w:tcPr>
          <w:p w14:paraId="39ED0458">
            <w:pPr>
              <w:spacing w:line="360" w:lineRule="exact"/>
              <w:rPr>
                <w:rFonts w:hint="eastAsia" w:ascii="宋体" w:hAnsi="宋体" w:cs="宋体"/>
                <w:color w:val="auto"/>
                <w:szCs w:val="21"/>
                <w:highlight w:val="none"/>
              </w:rPr>
            </w:pPr>
          </w:p>
        </w:tc>
        <w:tc>
          <w:tcPr>
            <w:tcW w:w="1564" w:type="dxa"/>
            <w:noWrap w:val="0"/>
            <w:vAlign w:val="top"/>
          </w:tcPr>
          <w:p w14:paraId="1B12D9B9">
            <w:pPr>
              <w:spacing w:line="360" w:lineRule="exact"/>
              <w:rPr>
                <w:rFonts w:hint="eastAsia" w:ascii="宋体" w:hAnsi="宋体" w:cs="宋体"/>
                <w:color w:val="auto"/>
                <w:szCs w:val="21"/>
                <w:highlight w:val="none"/>
              </w:rPr>
            </w:pPr>
          </w:p>
        </w:tc>
      </w:tr>
      <w:tr w14:paraId="1F5B4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2A895EBB">
            <w:pPr>
              <w:spacing w:line="360" w:lineRule="exact"/>
              <w:rPr>
                <w:rFonts w:hint="eastAsia" w:ascii="宋体" w:hAnsi="宋体" w:cs="宋体"/>
                <w:color w:val="auto"/>
                <w:szCs w:val="21"/>
                <w:highlight w:val="none"/>
              </w:rPr>
            </w:pPr>
          </w:p>
        </w:tc>
        <w:tc>
          <w:tcPr>
            <w:tcW w:w="1067" w:type="dxa"/>
            <w:noWrap w:val="0"/>
            <w:vAlign w:val="top"/>
          </w:tcPr>
          <w:p w14:paraId="0D39309C">
            <w:pPr>
              <w:spacing w:line="360" w:lineRule="exact"/>
              <w:rPr>
                <w:rFonts w:hint="eastAsia" w:ascii="宋体" w:hAnsi="宋体" w:cs="宋体"/>
                <w:color w:val="auto"/>
                <w:szCs w:val="21"/>
                <w:highlight w:val="none"/>
              </w:rPr>
            </w:pPr>
          </w:p>
        </w:tc>
        <w:tc>
          <w:tcPr>
            <w:tcW w:w="1450" w:type="dxa"/>
            <w:noWrap w:val="0"/>
            <w:vAlign w:val="top"/>
          </w:tcPr>
          <w:p w14:paraId="4A3D641E">
            <w:pPr>
              <w:spacing w:line="360" w:lineRule="exact"/>
              <w:rPr>
                <w:rFonts w:hint="eastAsia" w:ascii="宋体" w:hAnsi="宋体" w:cs="宋体"/>
                <w:color w:val="auto"/>
                <w:szCs w:val="21"/>
                <w:highlight w:val="none"/>
              </w:rPr>
            </w:pPr>
          </w:p>
        </w:tc>
        <w:tc>
          <w:tcPr>
            <w:tcW w:w="1243" w:type="dxa"/>
            <w:noWrap w:val="0"/>
            <w:vAlign w:val="top"/>
          </w:tcPr>
          <w:p w14:paraId="7BA3A0E6">
            <w:pPr>
              <w:spacing w:line="360" w:lineRule="exact"/>
              <w:rPr>
                <w:rFonts w:hint="eastAsia" w:ascii="宋体" w:hAnsi="宋体" w:cs="宋体"/>
                <w:color w:val="auto"/>
                <w:szCs w:val="21"/>
                <w:highlight w:val="none"/>
              </w:rPr>
            </w:pPr>
          </w:p>
        </w:tc>
        <w:tc>
          <w:tcPr>
            <w:tcW w:w="1450" w:type="dxa"/>
            <w:noWrap w:val="0"/>
            <w:vAlign w:val="top"/>
          </w:tcPr>
          <w:p w14:paraId="1EFD34E1">
            <w:pPr>
              <w:spacing w:line="360" w:lineRule="exact"/>
              <w:rPr>
                <w:rFonts w:hint="eastAsia" w:ascii="宋体" w:hAnsi="宋体" w:cs="宋体"/>
                <w:color w:val="auto"/>
                <w:szCs w:val="21"/>
                <w:highlight w:val="none"/>
              </w:rPr>
            </w:pPr>
          </w:p>
        </w:tc>
        <w:tc>
          <w:tcPr>
            <w:tcW w:w="1564" w:type="dxa"/>
            <w:noWrap w:val="0"/>
            <w:vAlign w:val="top"/>
          </w:tcPr>
          <w:p w14:paraId="0F95701D">
            <w:pPr>
              <w:spacing w:line="360" w:lineRule="exact"/>
              <w:rPr>
                <w:rFonts w:hint="eastAsia" w:ascii="宋体" w:hAnsi="宋体" w:cs="宋体"/>
                <w:color w:val="auto"/>
                <w:szCs w:val="21"/>
                <w:highlight w:val="none"/>
              </w:rPr>
            </w:pPr>
          </w:p>
        </w:tc>
      </w:tr>
      <w:tr w14:paraId="5EC04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5F4125E">
            <w:pPr>
              <w:spacing w:line="360" w:lineRule="exact"/>
              <w:rPr>
                <w:rFonts w:hint="eastAsia" w:ascii="宋体" w:hAnsi="宋体" w:cs="宋体"/>
                <w:color w:val="auto"/>
                <w:szCs w:val="21"/>
                <w:highlight w:val="none"/>
              </w:rPr>
            </w:pPr>
          </w:p>
        </w:tc>
        <w:tc>
          <w:tcPr>
            <w:tcW w:w="1067" w:type="dxa"/>
            <w:noWrap w:val="0"/>
            <w:vAlign w:val="top"/>
          </w:tcPr>
          <w:p w14:paraId="3B6A7AA9">
            <w:pPr>
              <w:spacing w:line="360" w:lineRule="exact"/>
              <w:rPr>
                <w:rFonts w:hint="eastAsia" w:ascii="宋体" w:hAnsi="宋体" w:cs="宋体"/>
                <w:color w:val="auto"/>
                <w:szCs w:val="21"/>
                <w:highlight w:val="none"/>
              </w:rPr>
            </w:pPr>
          </w:p>
        </w:tc>
        <w:tc>
          <w:tcPr>
            <w:tcW w:w="1450" w:type="dxa"/>
            <w:noWrap w:val="0"/>
            <w:vAlign w:val="top"/>
          </w:tcPr>
          <w:p w14:paraId="2379847E">
            <w:pPr>
              <w:spacing w:line="360" w:lineRule="exact"/>
              <w:rPr>
                <w:rFonts w:hint="eastAsia" w:ascii="宋体" w:hAnsi="宋体" w:cs="宋体"/>
                <w:color w:val="auto"/>
                <w:szCs w:val="21"/>
                <w:highlight w:val="none"/>
              </w:rPr>
            </w:pPr>
          </w:p>
        </w:tc>
        <w:tc>
          <w:tcPr>
            <w:tcW w:w="1243" w:type="dxa"/>
            <w:noWrap w:val="0"/>
            <w:vAlign w:val="top"/>
          </w:tcPr>
          <w:p w14:paraId="2883B4AE">
            <w:pPr>
              <w:spacing w:line="360" w:lineRule="exact"/>
              <w:rPr>
                <w:rFonts w:hint="eastAsia" w:ascii="宋体" w:hAnsi="宋体" w:cs="宋体"/>
                <w:color w:val="auto"/>
                <w:szCs w:val="21"/>
                <w:highlight w:val="none"/>
              </w:rPr>
            </w:pPr>
          </w:p>
        </w:tc>
        <w:tc>
          <w:tcPr>
            <w:tcW w:w="1450" w:type="dxa"/>
            <w:noWrap w:val="0"/>
            <w:vAlign w:val="top"/>
          </w:tcPr>
          <w:p w14:paraId="731AF71F">
            <w:pPr>
              <w:spacing w:line="360" w:lineRule="exact"/>
              <w:rPr>
                <w:rFonts w:hint="eastAsia" w:ascii="宋体" w:hAnsi="宋体" w:cs="宋体"/>
                <w:color w:val="auto"/>
                <w:szCs w:val="21"/>
                <w:highlight w:val="none"/>
              </w:rPr>
            </w:pPr>
          </w:p>
        </w:tc>
        <w:tc>
          <w:tcPr>
            <w:tcW w:w="1564" w:type="dxa"/>
            <w:noWrap w:val="0"/>
            <w:vAlign w:val="top"/>
          </w:tcPr>
          <w:p w14:paraId="6DE7C75E">
            <w:pPr>
              <w:spacing w:line="360" w:lineRule="exact"/>
              <w:rPr>
                <w:rFonts w:hint="eastAsia" w:ascii="宋体" w:hAnsi="宋体" w:cs="宋体"/>
                <w:color w:val="auto"/>
                <w:szCs w:val="21"/>
                <w:highlight w:val="none"/>
              </w:rPr>
            </w:pPr>
          </w:p>
        </w:tc>
      </w:tr>
      <w:tr w14:paraId="55B23F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59B5C67A">
            <w:pPr>
              <w:spacing w:line="360" w:lineRule="exact"/>
              <w:rPr>
                <w:rFonts w:hint="eastAsia" w:ascii="宋体" w:hAnsi="宋体" w:cs="宋体"/>
                <w:color w:val="auto"/>
                <w:szCs w:val="21"/>
                <w:highlight w:val="none"/>
              </w:rPr>
            </w:pPr>
          </w:p>
        </w:tc>
        <w:tc>
          <w:tcPr>
            <w:tcW w:w="1067" w:type="dxa"/>
            <w:noWrap w:val="0"/>
            <w:vAlign w:val="top"/>
          </w:tcPr>
          <w:p w14:paraId="1159FA79">
            <w:pPr>
              <w:spacing w:line="360" w:lineRule="exact"/>
              <w:rPr>
                <w:rFonts w:hint="eastAsia" w:ascii="宋体" w:hAnsi="宋体" w:cs="宋体"/>
                <w:color w:val="auto"/>
                <w:szCs w:val="21"/>
                <w:highlight w:val="none"/>
              </w:rPr>
            </w:pPr>
          </w:p>
        </w:tc>
        <w:tc>
          <w:tcPr>
            <w:tcW w:w="1450" w:type="dxa"/>
            <w:noWrap w:val="0"/>
            <w:vAlign w:val="top"/>
          </w:tcPr>
          <w:p w14:paraId="28E65C39">
            <w:pPr>
              <w:spacing w:line="360" w:lineRule="exact"/>
              <w:rPr>
                <w:rFonts w:hint="eastAsia" w:ascii="宋体" w:hAnsi="宋体" w:cs="宋体"/>
                <w:color w:val="auto"/>
                <w:szCs w:val="21"/>
                <w:highlight w:val="none"/>
              </w:rPr>
            </w:pPr>
          </w:p>
        </w:tc>
        <w:tc>
          <w:tcPr>
            <w:tcW w:w="1243" w:type="dxa"/>
            <w:noWrap w:val="0"/>
            <w:vAlign w:val="top"/>
          </w:tcPr>
          <w:p w14:paraId="7696B394">
            <w:pPr>
              <w:spacing w:line="360" w:lineRule="exact"/>
              <w:rPr>
                <w:rFonts w:hint="eastAsia" w:ascii="宋体" w:hAnsi="宋体" w:cs="宋体"/>
                <w:color w:val="auto"/>
                <w:szCs w:val="21"/>
                <w:highlight w:val="none"/>
              </w:rPr>
            </w:pPr>
          </w:p>
        </w:tc>
        <w:tc>
          <w:tcPr>
            <w:tcW w:w="1450" w:type="dxa"/>
            <w:noWrap w:val="0"/>
            <w:vAlign w:val="top"/>
          </w:tcPr>
          <w:p w14:paraId="341C3BBA">
            <w:pPr>
              <w:spacing w:line="360" w:lineRule="exact"/>
              <w:rPr>
                <w:rFonts w:hint="eastAsia" w:ascii="宋体" w:hAnsi="宋体" w:cs="宋体"/>
                <w:color w:val="auto"/>
                <w:szCs w:val="21"/>
                <w:highlight w:val="none"/>
              </w:rPr>
            </w:pPr>
          </w:p>
        </w:tc>
        <w:tc>
          <w:tcPr>
            <w:tcW w:w="1564" w:type="dxa"/>
            <w:noWrap w:val="0"/>
            <w:vAlign w:val="top"/>
          </w:tcPr>
          <w:p w14:paraId="49F14975">
            <w:pPr>
              <w:spacing w:line="360" w:lineRule="exact"/>
              <w:rPr>
                <w:rFonts w:hint="eastAsia" w:ascii="宋体" w:hAnsi="宋体" w:cs="宋体"/>
                <w:color w:val="auto"/>
                <w:szCs w:val="21"/>
                <w:highlight w:val="none"/>
              </w:rPr>
            </w:pPr>
          </w:p>
        </w:tc>
      </w:tr>
      <w:tr w14:paraId="772E0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0ABB493D">
            <w:pPr>
              <w:spacing w:line="360" w:lineRule="exact"/>
              <w:rPr>
                <w:rFonts w:hint="eastAsia" w:ascii="宋体" w:hAnsi="宋体" w:cs="宋体"/>
                <w:color w:val="auto"/>
                <w:szCs w:val="21"/>
                <w:highlight w:val="none"/>
              </w:rPr>
            </w:pPr>
          </w:p>
        </w:tc>
        <w:tc>
          <w:tcPr>
            <w:tcW w:w="1067" w:type="dxa"/>
            <w:noWrap w:val="0"/>
            <w:vAlign w:val="top"/>
          </w:tcPr>
          <w:p w14:paraId="70781797">
            <w:pPr>
              <w:spacing w:line="360" w:lineRule="exact"/>
              <w:rPr>
                <w:rFonts w:hint="eastAsia" w:ascii="宋体" w:hAnsi="宋体" w:cs="宋体"/>
                <w:color w:val="auto"/>
                <w:szCs w:val="21"/>
                <w:highlight w:val="none"/>
              </w:rPr>
            </w:pPr>
          </w:p>
        </w:tc>
        <w:tc>
          <w:tcPr>
            <w:tcW w:w="1450" w:type="dxa"/>
            <w:noWrap w:val="0"/>
            <w:vAlign w:val="top"/>
          </w:tcPr>
          <w:p w14:paraId="764F49D5">
            <w:pPr>
              <w:spacing w:line="360" w:lineRule="exact"/>
              <w:rPr>
                <w:rFonts w:hint="eastAsia" w:ascii="宋体" w:hAnsi="宋体" w:cs="宋体"/>
                <w:color w:val="auto"/>
                <w:szCs w:val="21"/>
                <w:highlight w:val="none"/>
              </w:rPr>
            </w:pPr>
          </w:p>
        </w:tc>
        <w:tc>
          <w:tcPr>
            <w:tcW w:w="1243" w:type="dxa"/>
            <w:noWrap w:val="0"/>
            <w:vAlign w:val="top"/>
          </w:tcPr>
          <w:p w14:paraId="6FE0FCE4">
            <w:pPr>
              <w:spacing w:line="360" w:lineRule="exact"/>
              <w:rPr>
                <w:rFonts w:hint="eastAsia" w:ascii="宋体" w:hAnsi="宋体" w:cs="宋体"/>
                <w:color w:val="auto"/>
                <w:szCs w:val="21"/>
                <w:highlight w:val="none"/>
              </w:rPr>
            </w:pPr>
          </w:p>
        </w:tc>
        <w:tc>
          <w:tcPr>
            <w:tcW w:w="1450" w:type="dxa"/>
            <w:noWrap w:val="0"/>
            <w:vAlign w:val="top"/>
          </w:tcPr>
          <w:p w14:paraId="5934BD2C">
            <w:pPr>
              <w:spacing w:line="360" w:lineRule="exact"/>
              <w:rPr>
                <w:rFonts w:hint="eastAsia" w:ascii="宋体" w:hAnsi="宋体" w:cs="宋体"/>
                <w:color w:val="auto"/>
                <w:szCs w:val="21"/>
                <w:highlight w:val="none"/>
              </w:rPr>
            </w:pPr>
          </w:p>
        </w:tc>
        <w:tc>
          <w:tcPr>
            <w:tcW w:w="1564" w:type="dxa"/>
            <w:noWrap w:val="0"/>
            <w:vAlign w:val="top"/>
          </w:tcPr>
          <w:p w14:paraId="3A315278">
            <w:pPr>
              <w:spacing w:line="360" w:lineRule="exact"/>
              <w:rPr>
                <w:rFonts w:hint="eastAsia" w:ascii="宋体" w:hAnsi="宋体" w:cs="宋体"/>
                <w:color w:val="auto"/>
                <w:szCs w:val="21"/>
                <w:highlight w:val="none"/>
              </w:rPr>
            </w:pPr>
          </w:p>
        </w:tc>
      </w:tr>
      <w:tr w14:paraId="22F29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09F5A628">
            <w:pPr>
              <w:spacing w:line="360" w:lineRule="exact"/>
              <w:rPr>
                <w:rFonts w:hint="eastAsia" w:ascii="宋体" w:hAnsi="宋体" w:cs="宋体"/>
                <w:color w:val="auto"/>
                <w:szCs w:val="21"/>
                <w:highlight w:val="none"/>
              </w:rPr>
            </w:pPr>
          </w:p>
        </w:tc>
        <w:tc>
          <w:tcPr>
            <w:tcW w:w="1067" w:type="dxa"/>
            <w:noWrap w:val="0"/>
            <w:vAlign w:val="top"/>
          </w:tcPr>
          <w:p w14:paraId="4591341B">
            <w:pPr>
              <w:spacing w:line="360" w:lineRule="exact"/>
              <w:rPr>
                <w:rFonts w:hint="eastAsia" w:ascii="宋体" w:hAnsi="宋体" w:cs="宋体"/>
                <w:color w:val="auto"/>
                <w:szCs w:val="21"/>
                <w:highlight w:val="none"/>
              </w:rPr>
            </w:pPr>
          </w:p>
        </w:tc>
        <w:tc>
          <w:tcPr>
            <w:tcW w:w="1450" w:type="dxa"/>
            <w:noWrap w:val="0"/>
            <w:vAlign w:val="top"/>
          </w:tcPr>
          <w:p w14:paraId="77ADD368">
            <w:pPr>
              <w:spacing w:line="360" w:lineRule="exact"/>
              <w:rPr>
                <w:rFonts w:hint="eastAsia" w:ascii="宋体" w:hAnsi="宋体" w:cs="宋体"/>
                <w:color w:val="auto"/>
                <w:szCs w:val="21"/>
                <w:highlight w:val="none"/>
              </w:rPr>
            </w:pPr>
          </w:p>
        </w:tc>
        <w:tc>
          <w:tcPr>
            <w:tcW w:w="1243" w:type="dxa"/>
            <w:noWrap w:val="0"/>
            <w:vAlign w:val="top"/>
          </w:tcPr>
          <w:p w14:paraId="49BF3338">
            <w:pPr>
              <w:spacing w:line="360" w:lineRule="exact"/>
              <w:rPr>
                <w:rFonts w:hint="eastAsia" w:ascii="宋体" w:hAnsi="宋体" w:cs="宋体"/>
                <w:color w:val="auto"/>
                <w:szCs w:val="21"/>
                <w:highlight w:val="none"/>
              </w:rPr>
            </w:pPr>
          </w:p>
        </w:tc>
        <w:tc>
          <w:tcPr>
            <w:tcW w:w="1450" w:type="dxa"/>
            <w:noWrap w:val="0"/>
            <w:vAlign w:val="top"/>
          </w:tcPr>
          <w:p w14:paraId="63EEC48D">
            <w:pPr>
              <w:spacing w:line="360" w:lineRule="exact"/>
              <w:rPr>
                <w:rFonts w:hint="eastAsia" w:ascii="宋体" w:hAnsi="宋体" w:cs="宋体"/>
                <w:color w:val="auto"/>
                <w:szCs w:val="21"/>
                <w:highlight w:val="none"/>
              </w:rPr>
            </w:pPr>
          </w:p>
        </w:tc>
        <w:tc>
          <w:tcPr>
            <w:tcW w:w="1564" w:type="dxa"/>
            <w:noWrap w:val="0"/>
            <w:vAlign w:val="top"/>
          </w:tcPr>
          <w:p w14:paraId="1FD30CE9">
            <w:pPr>
              <w:spacing w:line="360" w:lineRule="exact"/>
              <w:rPr>
                <w:rFonts w:hint="eastAsia" w:ascii="宋体" w:hAnsi="宋体" w:cs="宋体"/>
                <w:color w:val="auto"/>
                <w:szCs w:val="21"/>
                <w:highlight w:val="none"/>
              </w:rPr>
            </w:pPr>
          </w:p>
        </w:tc>
      </w:tr>
    </w:tbl>
    <w:p w14:paraId="6783509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w:t>
      </w:r>
      <w:bookmarkStart w:id="1750" w:name="_Toc296944566"/>
      <w:bookmarkStart w:id="1751" w:name="_Toc296891055"/>
      <w:bookmarkStart w:id="1752" w:name="_Toc267261698"/>
      <w:bookmarkStart w:id="1753" w:name="_Toc296346728"/>
      <w:bookmarkStart w:id="1754" w:name="_Toc296347226"/>
      <w:bookmarkStart w:id="1755" w:name="_Toc296891267"/>
      <w:bookmarkStart w:id="1756" w:name="_Toc296503227"/>
      <w:r>
        <w:rPr>
          <w:rFonts w:hint="eastAsia" w:ascii="宋体" w:hAnsi="宋体" w:cs="宋体"/>
          <w:color w:val="auto"/>
          <w:szCs w:val="21"/>
          <w:highlight w:val="none"/>
        </w:rPr>
        <w:t>件5：</w:t>
      </w:r>
    </w:p>
    <w:bookmarkEnd w:id="1750"/>
    <w:bookmarkEnd w:id="1751"/>
    <w:bookmarkEnd w:id="1752"/>
    <w:bookmarkEnd w:id="1753"/>
    <w:bookmarkEnd w:id="1754"/>
    <w:bookmarkEnd w:id="1755"/>
    <w:bookmarkEnd w:id="1756"/>
    <w:p w14:paraId="4F11743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0AF6D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noWrap w:val="0"/>
            <w:vAlign w:val="center"/>
          </w:tcPr>
          <w:p w14:paraId="7664D3D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418" w:type="dxa"/>
            <w:tcBorders>
              <w:top w:val="single" w:color="auto" w:sz="12" w:space="0"/>
              <w:bottom w:val="double" w:color="auto" w:sz="6" w:space="0"/>
            </w:tcBorders>
            <w:noWrap w:val="0"/>
            <w:vAlign w:val="center"/>
          </w:tcPr>
          <w:p w14:paraId="6F03411B">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机械或设备名称</w:t>
            </w:r>
          </w:p>
        </w:tc>
        <w:tc>
          <w:tcPr>
            <w:tcW w:w="850" w:type="dxa"/>
            <w:tcBorders>
              <w:top w:val="single" w:color="auto" w:sz="12" w:space="0"/>
              <w:bottom w:val="double" w:color="auto" w:sz="6" w:space="0"/>
            </w:tcBorders>
            <w:noWrap w:val="0"/>
            <w:vAlign w:val="center"/>
          </w:tcPr>
          <w:p w14:paraId="00EF38A5">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1058" w:type="dxa"/>
            <w:tcBorders>
              <w:top w:val="single" w:color="auto" w:sz="12" w:space="0"/>
              <w:bottom w:val="double" w:color="auto" w:sz="6" w:space="0"/>
            </w:tcBorders>
            <w:noWrap w:val="0"/>
            <w:vAlign w:val="center"/>
          </w:tcPr>
          <w:p w14:paraId="57AEC09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880" w:type="dxa"/>
            <w:tcBorders>
              <w:top w:val="single" w:color="auto" w:sz="12" w:space="0"/>
              <w:bottom w:val="double" w:color="auto" w:sz="6" w:space="0"/>
            </w:tcBorders>
            <w:noWrap w:val="0"/>
            <w:vAlign w:val="center"/>
          </w:tcPr>
          <w:p w14:paraId="70DBE9B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产地</w:t>
            </w:r>
          </w:p>
        </w:tc>
        <w:tc>
          <w:tcPr>
            <w:tcW w:w="806" w:type="dxa"/>
            <w:tcBorders>
              <w:top w:val="single" w:color="auto" w:sz="12" w:space="0"/>
              <w:bottom w:val="double" w:color="auto" w:sz="6" w:space="0"/>
            </w:tcBorders>
            <w:noWrap w:val="0"/>
            <w:vAlign w:val="center"/>
          </w:tcPr>
          <w:p w14:paraId="3E8793A6">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制造年份</w:t>
            </w:r>
          </w:p>
        </w:tc>
        <w:tc>
          <w:tcPr>
            <w:tcW w:w="1310" w:type="dxa"/>
            <w:tcBorders>
              <w:top w:val="single" w:color="auto" w:sz="12" w:space="0"/>
              <w:bottom w:val="double" w:color="auto" w:sz="6" w:space="0"/>
            </w:tcBorders>
            <w:noWrap w:val="0"/>
            <w:vAlign w:val="center"/>
          </w:tcPr>
          <w:p w14:paraId="28C52AB8">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额定功率(kW)</w:t>
            </w:r>
          </w:p>
        </w:tc>
        <w:tc>
          <w:tcPr>
            <w:tcW w:w="906" w:type="dxa"/>
            <w:tcBorders>
              <w:top w:val="single" w:color="auto" w:sz="12" w:space="0"/>
              <w:bottom w:val="double" w:color="auto" w:sz="6" w:space="0"/>
            </w:tcBorders>
            <w:noWrap w:val="0"/>
            <w:vAlign w:val="center"/>
          </w:tcPr>
          <w:p w14:paraId="49187E17">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652" w:type="dxa"/>
            <w:tcBorders>
              <w:top w:val="single" w:color="auto" w:sz="12" w:space="0"/>
              <w:bottom w:val="double" w:color="auto" w:sz="6" w:space="0"/>
            </w:tcBorders>
            <w:noWrap w:val="0"/>
            <w:vAlign w:val="center"/>
          </w:tcPr>
          <w:p w14:paraId="2A95DC53">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368F6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noWrap w:val="0"/>
            <w:vAlign w:val="center"/>
          </w:tcPr>
          <w:p w14:paraId="62E2973A">
            <w:pPr>
              <w:pStyle w:val="18"/>
              <w:keepNext/>
              <w:spacing w:after="0" w:line="360" w:lineRule="exact"/>
              <w:rPr>
                <w:rFonts w:hint="eastAsia" w:ascii="宋体" w:hAnsi="宋体" w:cs="宋体"/>
                <w:color w:val="auto"/>
                <w:szCs w:val="21"/>
                <w:highlight w:val="none"/>
              </w:rPr>
            </w:pPr>
          </w:p>
        </w:tc>
        <w:tc>
          <w:tcPr>
            <w:tcW w:w="1418" w:type="dxa"/>
            <w:tcBorders>
              <w:top w:val="double" w:color="auto" w:sz="6" w:space="0"/>
              <w:bottom w:val="single" w:color="auto" w:sz="6" w:space="0"/>
            </w:tcBorders>
            <w:noWrap w:val="0"/>
            <w:vAlign w:val="center"/>
          </w:tcPr>
          <w:p w14:paraId="2490FF36">
            <w:pPr>
              <w:pStyle w:val="18"/>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5CB57DB4">
            <w:pPr>
              <w:pStyle w:val="18"/>
              <w:keepNext/>
              <w:spacing w:after="0" w:line="360" w:lineRule="exact"/>
              <w:rPr>
                <w:rFonts w:hint="eastAsia" w:ascii="宋体" w:hAnsi="宋体" w:cs="宋体"/>
                <w:color w:val="auto"/>
                <w:szCs w:val="21"/>
                <w:highlight w:val="none"/>
              </w:rPr>
            </w:pPr>
          </w:p>
        </w:tc>
        <w:tc>
          <w:tcPr>
            <w:tcW w:w="1058" w:type="dxa"/>
            <w:tcBorders>
              <w:top w:val="double" w:color="auto" w:sz="6" w:space="0"/>
              <w:bottom w:val="single" w:color="auto" w:sz="6" w:space="0"/>
            </w:tcBorders>
            <w:noWrap w:val="0"/>
            <w:vAlign w:val="center"/>
          </w:tcPr>
          <w:p w14:paraId="1C125D5E">
            <w:pPr>
              <w:pStyle w:val="18"/>
              <w:keepNext/>
              <w:spacing w:after="0" w:line="360" w:lineRule="exact"/>
              <w:rPr>
                <w:rFonts w:hint="eastAsia" w:ascii="宋体" w:hAnsi="宋体" w:cs="宋体"/>
                <w:color w:val="auto"/>
                <w:szCs w:val="21"/>
                <w:highlight w:val="none"/>
              </w:rPr>
            </w:pPr>
          </w:p>
        </w:tc>
        <w:tc>
          <w:tcPr>
            <w:tcW w:w="880" w:type="dxa"/>
            <w:tcBorders>
              <w:top w:val="double" w:color="auto" w:sz="6" w:space="0"/>
              <w:bottom w:val="single" w:color="auto" w:sz="6" w:space="0"/>
            </w:tcBorders>
            <w:noWrap w:val="0"/>
            <w:vAlign w:val="center"/>
          </w:tcPr>
          <w:p w14:paraId="461911B8">
            <w:pPr>
              <w:pStyle w:val="18"/>
              <w:keepNext/>
              <w:spacing w:after="0" w:line="360" w:lineRule="exact"/>
              <w:rPr>
                <w:rFonts w:hint="eastAsia" w:ascii="宋体" w:hAnsi="宋体" w:cs="宋体"/>
                <w:color w:val="auto"/>
                <w:szCs w:val="21"/>
                <w:highlight w:val="none"/>
              </w:rPr>
            </w:pPr>
          </w:p>
        </w:tc>
        <w:tc>
          <w:tcPr>
            <w:tcW w:w="806" w:type="dxa"/>
            <w:tcBorders>
              <w:top w:val="double" w:color="auto" w:sz="6" w:space="0"/>
              <w:bottom w:val="single" w:color="auto" w:sz="6" w:space="0"/>
            </w:tcBorders>
            <w:noWrap w:val="0"/>
            <w:vAlign w:val="center"/>
          </w:tcPr>
          <w:p w14:paraId="522234EC">
            <w:pPr>
              <w:pStyle w:val="18"/>
              <w:keepNext/>
              <w:spacing w:after="0" w:line="360" w:lineRule="exact"/>
              <w:rPr>
                <w:rFonts w:hint="eastAsia" w:ascii="宋体" w:hAnsi="宋体" w:cs="宋体"/>
                <w:color w:val="auto"/>
                <w:szCs w:val="21"/>
                <w:highlight w:val="none"/>
              </w:rPr>
            </w:pPr>
          </w:p>
        </w:tc>
        <w:tc>
          <w:tcPr>
            <w:tcW w:w="1310" w:type="dxa"/>
            <w:tcBorders>
              <w:top w:val="double" w:color="auto" w:sz="6" w:space="0"/>
              <w:bottom w:val="single" w:color="auto" w:sz="6" w:space="0"/>
            </w:tcBorders>
            <w:noWrap w:val="0"/>
            <w:vAlign w:val="center"/>
          </w:tcPr>
          <w:p w14:paraId="0221E57E">
            <w:pPr>
              <w:pStyle w:val="18"/>
              <w:keepNext/>
              <w:spacing w:after="0" w:line="360" w:lineRule="exact"/>
              <w:rPr>
                <w:rFonts w:hint="eastAsia" w:ascii="宋体" w:hAnsi="宋体" w:cs="宋体"/>
                <w:color w:val="auto"/>
                <w:szCs w:val="21"/>
                <w:highlight w:val="none"/>
              </w:rPr>
            </w:pPr>
          </w:p>
        </w:tc>
        <w:tc>
          <w:tcPr>
            <w:tcW w:w="906" w:type="dxa"/>
            <w:tcBorders>
              <w:top w:val="double" w:color="auto" w:sz="6" w:space="0"/>
              <w:bottom w:val="single" w:color="auto" w:sz="6" w:space="0"/>
            </w:tcBorders>
            <w:noWrap w:val="0"/>
            <w:vAlign w:val="center"/>
          </w:tcPr>
          <w:p w14:paraId="11BC487B">
            <w:pPr>
              <w:pStyle w:val="18"/>
              <w:keepNext/>
              <w:spacing w:after="0" w:line="360" w:lineRule="exact"/>
              <w:rPr>
                <w:rFonts w:hint="eastAsia" w:ascii="宋体" w:hAnsi="宋体" w:cs="宋体"/>
                <w:color w:val="auto"/>
                <w:szCs w:val="21"/>
                <w:highlight w:val="none"/>
              </w:rPr>
            </w:pPr>
          </w:p>
        </w:tc>
        <w:tc>
          <w:tcPr>
            <w:tcW w:w="652" w:type="dxa"/>
            <w:tcBorders>
              <w:top w:val="double" w:color="auto" w:sz="6" w:space="0"/>
              <w:bottom w:val="single" w:color="auto" w:sz="6" w:space="0"/>
            </w:tcBorders>
            <w:noWrap w:val="0"/>
            <w:vAlign w:val="center"/>
          </w:tcPr>
          <w:p w14:paraId="2BE1B56E">
            <w:pPr>
              <w:pStyle w:val="18"/>
              <w:keepNext/>
              <w:spacing w:after="0" w:line="360" w:lineRule="exact"/>
              <w:rPr>
                <w:rFonts w:hint="eastAsia" w:ascii="宋体" w:hAnsi="宋体" w:cs="宋体"/>
                <w:color w:val="auto"/>
                <w:szCs w:val="21"/>
                <w:highlight w:val="none"/>
              </w:rPr>
            </w:pPr>
          </w:p>
        </w:tc>
      </w:tr>
      <w:tr w14:paraId="6A190E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noWrap w:val="0"/>
            <w:vAlign w:val="center"/>
          </w:tcPr>
          <w:p w14:paraId="24BF6A4C">
            <w:pPr>
              <w:pStyle w:val="18"/>
              <w:keepNext/>
              <w:spacing w:after="0" w:line="360" w:lineRule="exact"/>
              <w:rPr>
                <w:rFonts w:hint="eastAsia" w:ascii="宋体" w:hAnsi="宋体" w:cs="宋体"/>
                <w:color w:val="auto"/>
                <w:szCs w:val="21"/>
                <w:highlight w:val="none"/>
              </w:rPr>
            </w:pPr>
          </w:p>
        </w:tc>
        <w:tc>
          <w:tcPr>
            <w:tcW w:w="1418" w:type="dxa"/>
            <w:tcBorders>
              <w:top w:val="nil"/>
            </w:tcBorders>
            <w:noWrap w:val="0"/>
            <w:vAlign w:val="center"/>
          </w:tcPr>
          <w:p w14:paraId="5953D18D">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CC807CE">
            <w:pPr>
              <w:pStyle w:val="18"/>
              <w:keepNext/>
              <w:spacing w:after="0" w:line="360" w:lineRule="exact"/>
              <w:rPr>
                <w:rFonts w:hint="eastAsia" w:ascii="宋体" w:hAnsi="宋体" w:cs="宋体"/>
                <w:color w:val="auto"/>
                <w:szCs w:val="21"/>
                <w:highlight w:val="none"/>
              </w:rPr>
            </w:pPr>
          </w:p>
        </w:tc>
        <w:tc>
          <w:tcPr>
            <w:tcW w:w="1058" w:type="dxa"/>
            <w:tcBorders>
              <w:top w:val="nil"/>
            </w:tcBorders>
            <w:noWrap w:val="0"/>
            <w:vAlign w:val="center"/>
          </w:tcPr>
          <w:p w14:paraId="52E02249">
            <w:pPr>
              <w:pStyle w:val="18"/>
              <w:keepNext/>
              <w:spacing w:after="0" w:line="360" w:lineRule="exact"/>
              <w:rPr>
                <w:rFonts w:hint="eastAsia" w:ascii="宋体" w:hAnsi="宋体" w:cs="宋体"/>
                <w:color w:val="auto"/>
                <w:szCs w:val="21"/>
                <w:highlight w:val="none"/>
              </w:rPr>
            </w:pPr>
          </w:p>
        </w:tc>
        <w:tc>
          <w:tcPr>
            <w:tcW w:w="880" w:type="dxa"/>
            <w:tcBorders>
              <w:top w:val="nil"/>
            </w:tcBorders>
            <w:noWrap w:val="0"/>
            <w:vAlign w:val="center"/>
          </w:tcPr>
          <w:p w14:paraId="6918AB71">
            <w:pPr>
              <w:pStyle w:val="18"/>
              <w:keepNext/>
              <w:spacing w:after="0" w:line="360" w:lineRule="exact"/>
              <w:rPr>
                <w:rFonts w:hint="eastAsia" w:ascii="宋体" w:hAnsi="宋体" w:cs="宋体"/>
                <w:color w:val="auto"/>
                <w:szCs w:val="21"/>
                <w:highlight w:val="none"/>
              </w:rPr>
            </w:pPr>
          </w:p>
        </w:tc>
        <w:tc>
          <w:tcPr>
            <w:tcW w:w="806" w:type="dxa"/>
            <w:tcBorders>
              <w:top w:val="nil"/>
            </w:tcBorders>
            <w:noWrap w:val="0"/>
            <w:vAlign w:val="center"/>
          </w:tcPr>
          <w:p w14:paraId="21977EC4">
            <w:pPr>
              <w:pStyle w:val="18"/>
              <w:keepNext/>
              <w:spacing w:after="0" w:line="360" w:lineRule="exact"/>
              <w:rPr>
                <w:rFonts w:hint="eastAsia" w:ascii="宋体" w:hAnsi="宋体" w:cs="宋体"/>
                <w:color w:val="auto"/>
                <w:szCs w:val="21"/>
                <w:highlight w:val="none"/>
              </w:rPr>
            </w:pPr>
          </w:p>
        </w:tc>
        <w:tc>
          <w:tcPr>
            <w:tcW w:w="1310" w:type="dxa"/>
            <w:tcBorders>
              <w:top w:val="nil"/>
            </w:tcBorders>
            <w:noWrap w:val="0"/>
            <w:vAlign w:val="center"/>
          </w:tcPr>
          <w:p w14:paraId="548851DD">
            <w:pPr>
              <w:pStyle w:val="18"/>
              <w:keepNext/>
              <w:spacing w:after="0" w:line="360" w:lineRule="exact"/>
              <w:rPr>
                <w:rFonts w:hint="eastAsia" w:ascii="宋体" w:hAnsi="宋体" w:cs="宋体"/>
                <w:color w:val="auto"/>
                <w:szCs w:val="21"/>
                <w:highlight w:val="none"/>
              </w:rPr>
            </w:pPr>
          </w:p>
        </w:tc>
        <w:tc>
          <w:tcPr>
            <w:tcW w:w="906" w:type="dxa"/>
            <w:tcBorders>
              <w:top w:val="nil"/>
            </w:tcBorders>
            <w:noWrap w:val="0"/>
            <w:vAlign w:val="center"/>
          </w:tcPr>
          <w:p w14:paraId="735CB508">
            <w:pPr>
              <w:pStyle w:val="18"/>
              <w:keepNext/>
              <w:spacing w:after="0" w:line="360" w:lineRule="exact"/>
              <w:rPr>
                <w:rFonts w:hint="eastAsia" w:ascii="宋体" w:hAnsi="宋体" w:cs="宋体"/>
                <w:color w:val="auto"/>
                <w:szCs w:val="21"/>
                <w:highlight w:val="none"/>
              </w:rPr>
            </w:pPr>
          </w:p>
        </w:tc>
        <w:tc>
          <w:tcPr>
            <w:tcW w:w="652" w:type="dxa"/>
            <w:tcBorders>
              <w:top w:val="nil"/>
            </w:tcBorders>
            <w:noWrap w:val="0"/>
            <w:vAlign w:val="center"/>
          </w:tcPr>
          <w:p w14:paraId="454FEEB6">
            <w:pPr>
              <w:pStyle w:val="18"/>
              <w:keepNext/>
              <w:spacing w:after="0" w:line="360" w:lineRule="exact"/>
              <w:rPr>
                <w:rFonts w:hint="eastAsia" w:ascii="宋体" w:hAnsi="宋体" w:cs="宋体"/>
                <w:color w:val="auto"/>
                <w:szCs w:val="21"/>
                <w:highlight w:val="none"/>
              </w:rPr>
            </w:pPr>
          </w:p>
        </w:tc>
      </w:tr>
      <w:tr w14:paraId="1D8E5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EA023B2">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3A043D35">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1D6DA49D">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779D4B60">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57DBC468">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6062B947">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62872758">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6CBE963D">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0942B124">
            <w:pPr>
              <w:pStyle w:val="18"/>
              <w:keepNext/>
              <w:spacing w:after="0" w:line="360" w:lineRule="exact"/>
              <w:rPr>
                <w:rFonts w:hint="eastAsia" w:ascii="宋体" w:hAnsi="宋体" w:cs="宋体"/>
                <w:color w:val="auto"/>
                <w:szCs w:val="21"/>
                <w:highlight w:val="none"/>
              </w:rPr>
            </w:pPr>
          </w:p>
        </w:tc>
      </w:tr>
      <w:tr w14:paraId="289F3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46D25636">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6504229D">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091C4661">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65851511">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1143CE4C">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4DC619A6">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22BFA3B4">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4D0ECE26">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7174EDC4">
            <w:pPr>
              <w:pStyle w:val="18"/>
              <w:keepNext/>
              <w:spacing w:after="0" w:line="360" w:lineRule="exact"/>
              <w:rPr>
                <w:rFonts w:hint="eastAsia" w:ascii="宋体" w:hAnsi="宋体" w:cs="宋体"/>
                <w:color w:val="auto"/>
                <w:szCs w:val="21"/>
                <w:highlight w:val="none"/>
              </w:rPr>
            </w:pPr>
          </w:p>
        </w:tc>
      </w:tr>
      <w:tr w14:paraId="4A572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0DCB88E1">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7C722A76">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68A43C11">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5D9EF2FD">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7E165ADB">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45C9C4EC">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283C77BC">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6AC63E15">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22F89EC7">
            <w:pPr>
              <w:pStyle w:val="18"/>
              <w:keepNext/>
              <w:spacing w:after="0" w:line="360" w:lineRule="exact"/>
              <w:rPr>
                <w:rFonts w:hint="eastAsia" w:ascii="宋体" w:hAnsi="宋体" w:cs="宋体"/>
                <w:color w:val="auto"/>
                <w:szCs w:val="21"/>
                <w:highlight w:val="none"/>
              </w:rPr>
            </w:pPr>
          </w:p>
        </w:tc>
      </w:tr>
      <w:tr w14:paraId="5D205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3D0E5554">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3D2AE890">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2974F041">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623335BC">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70C896DA">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74DDEEF6">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07CF51FF">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3E035658">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2470C881">
            <w:pPr>
              <w:pStyle w:val="18"/>
              <w:keepNext/>
              <w:spacing w:after="0" w:line="360" w:lineRule="exact"/>
              <w:rPr>
                <w:rFonts w:hint="eastAsia" w:ascii="宋体" w:hAnsi="宋体" w:cs="宋体"/>
                <w:color w:val="auto"/>
                <w:szCs w:val="21"/>
                <w:highlight w:val="none"/>
              </w:rPr>
            </w:pPr>
          </w:p>
        </w:tc>
      </w:tr>
      <w:tr w14:paraId="13341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5D83A7D">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58BDCD50">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1C013D6B">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4B41B399">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6D532AC2">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3A3FA3A1">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75958105">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2A223967">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6576EA52">
            <w:pPr>
              <w:pStyle w:val="18"/>
              <w:keepNext/>
              <w:spacing w:after="0" w:line="360" w:lineRule="exact"/>
              <w:rPr>
                <w:rFonts w:hint="eastAsia" w:ascii="宋体" w:hAnsi="宋体" w:cs="宋体"/>
                <w:color w:val="auto"/>
                <w:szCs w:val="21"/>
                <w:highlight w:val="none"/>
              </w:rPr>
            </w:pPr>
          </w:p>
        </w:tc>
      </w:tr>
      <w:tr w14:paraId="4134D1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04DD1878">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7FC3A057">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0309C5FB">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097662F0">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1BAB9668">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5BF74CED">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532C66DC">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2DB46627">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1D4B431D">
            <w:pPr>
              <w:pStyle w:val="18"/>
              <w:keepNext/>
              <w:spacing w:after="0" w:line="360" w:lineRule="exact"/>
              <w:rPr>
                <w:rFonts w:hint="eastAsia" w:ascii="宋体" w:hAnsi="宋体" w:cs="宋体"/>
                <w:color w:val="auto"/>
                <w:szCs w:val="21"/>
                <w:highlight w:val="none"/>
              </w:rPr>
            </w:pPr>
          </w:p>
        </w:tc>
      </w:tr>
      <w:tr w14:paraId="7F15D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1624945">
            <w:pPr>
              <w:spacing w:line="360" w:lineRule="exact"/>
              <w:rPr>
                <w:rFonts w:hint="eastAsia" w:ascii="宋体" w:hAnsi="宋体" w:cs="宋体"/>
                <w:color w:val="auto"/>
                <w:szCs w:val="21"/>
                <w:highlight w:val="none"/>
              </w:rPr>
            </w:pPr>
          </w:p>
        </w:tc>
        <w:tc>
          <w:tcPr>
            <w:tcW w:w="1418" w:type="dxa"/>
            <w:noWrap w:val="0"/>
            <w:vAlign w:val="top"/>
          </w:tcPr>
          <w:p w14:paraId="65DA15BE">
            <w:pPr>
              <w:spacing w:line="360" w:lineRule="exact"/>
              <w:rPr>
                <w:rFonts w:hint="eastAsia" w:ascii="宋体" w:hAnsi="宋体" w:cs="宋体"/>
                <w:color w:val="auto"/>
                <w:szCs w:val="21"/>
                <w:highlight w:val="none"/>
              </w:rPr>
            </w:pPr>
          </w:p>
        </w:tc>
        <w:tc>
          <w:tcPr>
            <w:tcW w:w="850" w:type="dxa"/>
            <w:noWrap w:val="0"/>
            <w:vAlign w:val="top"/>
          </w:tcPr>
          <w:p w14:paraId="4D6B313D">
            <w:pPr>
              <w:spacing w:line="360" w:lineRule="exact"/>
              <w:rPr>
                <w:rFonts w:hint="eastAsia" w:ascii="宋体" w:hAnsi="宋体" w:cs="宋体"/>
                <w:color w:val="auto"/>
                <w:szCs w:val="21"/>
                <w:highlight w:val="none"/>
              </w:rPr>
            </w:pPr>
          </w:p>
        </w:tc>
        <w:tc>
          <w:tcPr>
            <w:tcW w:w="1058" w:type="dxa"/>
            <w:noWrap w:val="0"/>
            <w:vAlign w:val="top"/>
          </w:tcPr>
          <w:p w14:paraId="083D5748">
            <w:pPr>
              <w:spacing w:line="360" w:lineRule="exact"/>
              <w:rPr>
                <w:rFonts w:hint="eastAsia" w:ascii="宋体" w:hAnsi="宋体" w:cs="宋体"/>
                <w:color w:val="auto"/>
                <w:szCs w:val="21"/>
                <w:highlight w:val="none"/>
              </w:rPr>
            </w:pPr>
          </w:p>
        </w:tc>
        <w:tc>
          <w:tcPr>
            <w:tcW w:w="880" w:type="dxa"/>
            <w:noWrap w:val="0"/>
            <w:vAlign w:val="top"/>
          </w:tcPr>
          <w:p w14:paraId="1F06621F">
            <w:pPr>
              <w:spacing w:line="360" w:lineRule="exact"/>
              <w:rPr>
                <w:rFonts w:hint="eastAsia" w:ascii="宋体" w:hAnsi="宋体" w:cs="宋体"/>
                <w:color w:val="auto"/>
                <w:szCs w:val="21"/>
                <w:highlight w:val="none"/>
              </w:rPr>
            </w:pPr>
          </w:p>
        </w:tc>
        <w:tc>
          <w:tcPr>
            <w:tcW w:w="806" w:type="dxa"/>
            <w:noWrap w:val="0"/>
            <w:vAlign w:val="top"/>
          </w:tcPr>
          <w:p w14:paraId="1A0C9EDA">
            <w:pPr>
              <w:spacing w:line="360" w:lineRule="exact"/>
              <w:rPr>
                <w:rFonts w:hint="eastAsia" w:ascii="宋体" w:hAnsi="宋体" w:cs="宋体"/>
                <w:color w:val="auto"/>
                <w:szCs w:val="21"/>
                <w:highlight w:val="none"/>
              </w:rPr>
            </w:pPr>
          </w:p>
        </w:tc>
        <w:tc>
          <w:tcPr>
            <w:tcW w:w="1310" w:type="dxa"/>
            <w:noWrap w:val="0"/>
            <w:vAlign w:val="top"/>
          </w:tcPr>
          <w:p w14:paraId="16E309E5">
            <w:pPr>
              <w:spacing w:line="360" w:lineRule="exact"/>
              <w:rPr>
                <w:rFonts w:hint="eastAsia" w:ascii="宋体" w:hAnsi="宋体" w:cs="宋体"/>
                <w:color w:val="auto"/>
                <w:szCs w:val="21"/>
                <w:highlight w:val="none"/>
              </w:rPr>
            </w:pPr>
          </w:p>
        </w:tc>
        <w:tc>
          <w:tcPr>
            <w:tcW w:w="906" w:type="dxa"/>
            <w:noWrap w:val="0"/>
            <w:vAlign w:val="top"/>
          </w:tcPr>
          <w:p w14:paraId="656A720B">
            <w:pPr>
              <w:spacing w:line="360" w:lineRule="exact"/>
              <w:rPr>
                <w:rFonts w:hint="eastAsia" w:ascii="宋体" w:hAnsi="宋体" w:cs="宋体"/>
                <w:color w:val="auto"/>
                <w:szCs w:val="21"/>
                <w:highlight w:val="none"/>
              </w:rPr>
            </w:pPr>
          </w:p>
        </w:tc>
        <w:tc>
          <w:tcPr>
            <w:tcW w:w="652" w:type="dxa"/>
            <w:noWrap w:val="0"/>
            <w:vAlign w:val="top"/>
          </w:tcPr>
          <w:p w14:paraId="2F46A0FC">
            <w:pPr>
              <w:spacing w:line="360" w:lineRule="exact"/>
              <w:rPr>
                <w:rFonts w:hint="eastAsia" w:ascii="宋体" w:hAnsi="宋体" w:cs="宋体"/>
                <w:color w:val="auto"/>
                <w:szCs w:val="21"/>
                <w:highlight w:val="none"/>
              </w:rPr>
            </w:pPr>
          </w:p>
        </w:tc>
      </w:tr>
      <w:tr w14:paraId="06040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4D8615AE">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39302BE0">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61B11122">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70969F86">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353AAA07">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44923342">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2885FC7D">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4C116635">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70A83D89">
            <w:pPr>
              <w:pStyle w:val="18"/>
              <w:keepNext/>
              <w:spacing w:after="0" w:line="360" w:lineRule="exact"/>
              <w:rPr>
                <w:rFonts w:hint="eastAsia" w:ascii="宋体" w:hAnsi="宋体" w:cs="宋体"/>
                <w:color w:val="auto"/>
                <w:szCs w:val="21"/>
                <w:highlight w:val="none"/>
              </w:rPr>
            </w:pPr>
          </w:p>
        </w:tc>
      </w:tr>
      <w:tr w14:paraId="01301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9CA65E9">
            <w:pPr>
              <w:spacing w:line="360" w:lineRule="exact"/>
              <w:rPr>
                <w:rFonts w:hint="eastAsia" w:ascii="宋体" w:hAnsi="宋体" w:cs="宋体"/>
                <w:color w:val="auto"/>
                <w:szCs w:val="21"/>
                <w:highlight w:val="none"/>
              </w:rPr>
            </w:pPr>
          </w:p>
        </w:tc>
        <w:tc>
          <w:tcPr>
            <w:tcW w:w="1418" w:type="dxa"/>
            <w:noWrap w:val="0"/>
            <w:vAlign w:val="top"/>
          </w:tcPr>
          <w:p w14:paraId="7DD06CFE">
            <w:pPr>
              <w:spacing w:line="360" w:lineRule="exact"/>
              <w:rPr>
                <w:rFonts w:hint="eastAsia" w:ascii="宋体" w:hAnsi="宋体" w:cs="宋体"/>
                <w:color w:val="auto"/>
                <w:szCs w:val="21"/>
                <w:highlight w:val="none"/>
              </w:rPr>
            </w:pPr>
          </w:p>
        </w:tc>
        <w:tc>
          <w:tcPr>
            <w:tcW w:w="850" w:type="dxa"/>
            <w:noWrap w:val="0"/>
            <w:vAlign w:val="top"/>
          </w:tcPr>
          <w:p w14:paraId="538E5EE9">
            <w:pPr>
              <w:spacing w:line="360" w:lineRule="exact"/>
              <w:rPr>
                <w:rFonts w:hint="eastAsia" w:ascii="宋体" w:hAnsi="宋体" w:cs="宋体"/>
                <w:color w:val="auto"/>
                <w:szCs w:val="21"/>
                <w:highlight w:val="none"/>
              </w:rPr>
            </w:pPr>
          </w:p>
        </w:tc>
        <w:tc>
          <w:tcPr>
            <w:tcW w:w="1058" w:type="dxa"/>
            <w:noWrap w:val="0"/>
            <w:vAlign w:val="top"/>
          </w:tcPr>
          <w:p w14:paraId="37B310E8">
            <w:pPr>
              <w:spacing w:line="360" w:lineRule="exact"/>
              <w:rPr>
                <w:rFonts w:hint="eastAsia" w:ascii="宋体" w:hAnsi="宋体" w:cs="宋体"/>
                <w:color w:val="auto"/>
                <w:szCs w:val="21"/>
                <w:highlight w:val="none"/>
              </w:rPr>
            </w:pPr>
          </w:p>
        </w:tc>
        <w:tc>
          <w:tcPr>
            <w:tcW w:w="880" w:type="dxa"/>
            <w:noWrap w:val="0"/>
            <w:vAlign w:val="top"/>
          </w:tcPr>
          <w:p w14:paraId="18230443">
            <w:pPr>
              <w:spacing w:line="360" w:lineRule="exact"/>
              <w:rPr>
                <w:rFonts w:hint="eastAsia" w:ascii="宋体" w:hAnsi="宋体" w:cs="宋体"/>
                <w:color w:val="auto"/>
                <w:szCs w:val="21"/>
                <w:highlight w:val="none"/>
              </w:rPr>
            </w:pPr>
          </w:p>
        </w:tc>
        <w:tc>
          <w:tcPr>
            <w:tcW w:w="806" w:type="dxa"/>
            <w:noWrap w:val="0"/>
            <w:vAlign w:val="top"/>
          </w:tcPr>
          <w:p w14:paraId="15E16FAB">
            <w:pPr>
              <w:spacing w:line="360" w:lineRule="exact"/>
              <w:rPr>
                <w:rFonts w:hint="eastAsia" w:ascii="宋体" w:hAnsi="宋体" w:cs="宋体"/>
                <w:color w:val="auto"/>
                <w:szCs w:val="21"/>
                <w:highlight w:val="none"/>
              </w:rPr>
            </w:pPr>
          </w:p>
        </w:tc>
        <w:tc>
          <w:tcPr>
            <w:tcW w:w="1310" w:type="dxa"/>
            <w:noWrap w:val="0"/>
            <w:vAlign w:val="top"/>
          </w:tcPr>
          <w:p w14:paraId="54B9FED9">
            <w:pPr>
              <w:spacing w:line="360" w:lineRule="exact"/>
              <w:rPr>
                <w:rFonts w:hint="eastAsia" w:ascii="宋体" w:hAnsi="宋体" w:cs="宋体"/>
                <w:color w:val="auto"/>
                <w:szCs w:val="21"/>
                <w:highlight w:val="none"/>
              </w:rPr>
            </w:pPr>
          </w:p>
        </w:tc>
        <w:tc>
          <w:tcPr>
            <w:tcW w:w="906" w:type="dxa"/>
            <w:noWrap w:val="0"/>
            <w:vAlign w:val="top"/>
          </w:tcPr>
          <w:p w14:paraId="41281A40">
            <w:pPr>
              <w:spacing w:line="360" w:lineRule="exact"/>
              <w:rPr>
                <w:rFonts w:hint="eastAsia" w:ascii="宋体" w:hAnsi="宋体" w:cs="宋体"/>
                <w:color w:val="auto"/>
                <w:szCs w:val="21"/>
                <w:highlight w:val="none"/>
              </w:rPr>
            </w:pPr>
          </w:p>
        </w:tc>
        <w:tc>
          <w:tcPr>
            <w:tcW w:w="652" w:type="dxa"/>
            <w:noWrap w:val="0"/>
            <w:vAlign w:val="top"/>
          </w:tcPr>
          <w:p w14:paraId="53F64086">
            <w:pPr>
              <w:spacing w:line="360" w:lineRule="exact"/>
              <w:rPr>
                <w:rFonts w:hint="eastAsia" w:ascii="宋体" w:hAnsi="宋体" w:cs="宋体"/>
                <w:color w:val="auto"/>
                <w:szCs w:val="21"/>
                <w:highlight w:val="none"/>
              </w:rPr>
            </w:pPr>
          </w:p>
        </w:tc>
      </w:tr>
      <w:tr w14:paraId="7AAD5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5DA567E2">
            <w:pPr>
              <w:spacing w:line="360" w:lineRule="exact"/>
              <w:rPr>
                <w:rFonts w:hint="eastAsia" w:ascii="宋体" w:hAnsi="宋体" w:cs="宋体"/>
                <w:color w:val="auto"/>
                <w:szCs w:val="21"/>
                <w:highlight w:val="none"/>
              </w:rPr>
            </w:pPr>
          </w:p>
        </w:tc>
        <w:tc>
          <w:tcPr>
            <w:tcW w:w="1418" w:type="dxa"/>
            <w:noWrap w:val="0"/>
            <w:vAlign w:val="top"/>
          </w:tcPr>
          <w:p w14:paraId="5912EE73">
            <w:pPr>
              <w:spacing w:line="360" w:lineRule="exact"/>
              <w:rPr>
                <w:rFonts w:hint="eastAsia" w:ascii="宋体" w:hAnsi="宋体" w:cs="宋体"/>
                <w:color w:val="auto"/>
                <w:szCs w:val="21"/>
                <w:highlight w:val="none"/>
              </w:rPr>
            </w:pPr>
          </w:p>
        </w:tc>
        <w:tc>
          <w:tcPr>
            <w:tcW w:w="850" w:type="dxa"/>
            <w:noWrap w:val="0"/>
            <w:vAlign w:val="top"/>
          </w:tcPr>
          <w:p w14:paraId="79AD6D39">
            <w:pPr>
              <w:spacing w:line="360" w:lineRule="exact"/>
              <w:rPr>
                <w:rFonts w:hint="eastAsia" w:ascii="宋体" w:hAnsi="宋体" w:cs="宋体"/>
                <w:color w:val="auto"/>
                <w:szCs w:val="21"/>
                <w:highlight w:val="none"/>
              </w:rPr>
            </w:pPr>
          </w:p>
        </w:tc>
        <w:tc>
          <w:tcPr>
            <w:tcW w:w="1058" w:type="dxa"/>
            <w:noWrap w:val="0"/>
            <w:vAlign w:val="top"/>
          </w:tcPr>
          <w:p w14:paraId="738EDD9D">
            <w:pPr>
              <w:spacing w:line="360" w:lineRule="exact"/>
              <w:rPr>
                <w:rFonts w:hint="eastAsia" w:ascii="宋体" w:hAnsi="宋体" w:cs="宋体"/>
                <w:color w:val="auto"/>
                <w:szCs w:val="21"/>
                <w:highlight w:val="none"/>
              </w:rPr>
            </w:pPr>
          </w:p>
        </w:tc>
        <w:tc>
          <w:tcPr>
            <w:tcW w:w="880" w:type="dxa"/>
            <w:noWrap w:val="0"/>
            <w:vAlign w:val="top"/>
          </w:tcPr>
          <w:p w14:paraId="5B5E3DFF">
            <w:pPr>
              <w:spacing w:line="360" w:lineRule="exact"/>
              <w:rPr>
                <w:rFonts w:hint="eastAsia" w:ascii="宋体" w:hAnsi="宋体" w:cs="宋体"/>
                <w:color w:val="auto"/>
                <w:szCs w:val="21"/>
                <w:highlight w:val="none"/>
              </w:rPr>
            </w:pPr>
          </w:p>
        </w:tc>
        <w:tc>
          <w:tcPr>
            <w:tcW w:w="806" w:type="dxa"/>
            <w:noWrap w:val="0"/>
            <w:vAlign w:val="top"/>
          </w:tcPr>
          <w:p w14:paraId="53D628B3">
            <w:pPr>
              <w:spacing w:line="360" w:lineRule="exact"/>
              <w:rPr>
                <w:rFonts w:hint="eastAsia" w:ascii="宋体" w:hAnsi="宋体" w:cs="宋体"/>
                <w:color w:val="auto"/>
                <w:szCs w:val="21"/>
                <w:highlight w:val="none"/>
              </w:rPr>
            </w:pPr>
          </w:p>
        </w:tc>
        <w:tc>
          <w:tcPr>
            <w:tcW w:w="1310" w:type="dxa"/>
            <w:noWrap w:val="0"/>
            <w:vAlign w:val="top"/>
          </w:tcPr>
          <w:p w14:paraId="512A0FB1">
            <w:pPr>
              <w:spacing w:line="360" w:lineRule="exact"/>
              <w:rPr>
                <w:rFonts w:hint="eastAsia" w:ascii="宋体" w:hAnsi="宋体" w:cs="宋体"/>
                <w:color w:val="auto"/>
                <w:szCs w:val="21"/>
                <w:highlight w:val="none"/>
              </w:rPr>
            </w:pPr>
          </w:p>
        </w:tc>
        <w:tc>
          <w:tcPr>
            <w:tcW w:w="906" w:type="dxa"/>
            <w:noWrap w:val="0"/>
            <w:vAlign w:val="top"/>
          </w:tcPr>
          <w:p w14:paraId="0D6BAC88">
            <w:pPr>
              <w:spacing w:line="360" w:lineRule="exact"/>
              <w:rPr>
                <w:rFonts w:hint="eastAsia" w:ascii="宋体" w:hAnsi="宋体" w:cs="宋体"/>
                <w:color w:val="auto"/>
                <w:szCs w:val="21"/>
                <w:highlight w:val="none"/>
              </w:rPr>
            </w:pPr>
          </w:p>
        </w:tc>
        <w:tc>
          <w:tcPr>
            <w:tcW w:w="652" w:type="dxa"/>
            <w:noWrap w:val="0"/>
            <w:vAlign w:val="top"/>
          </w:tcPr>
          <w:p w14:paraId="1F0ED4EC">
            <w:pPr>
              <w:spacing w:line="360" w:lineRule="exact"/>
              <w:rPr>
                <w:rFonts w:hint="eastAsia" w:ascii="宋体" w:hAnsi="宋体" w:cs="宋体"/>
                <w:color w:val="auto"/>
                <w:szCs w:val="21"/>
                <w:highlight w:val="none"/>
              </w:rPr>
            </w:pPr>
          </w:p>
        </w:tc>
      </w:tr>
      <w:tr w14:paraId="41CBEC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1C15796E">
            <w:pPr>
              <w:spacing w:line="360" w:lineRule="exact"/>
              <w:rPr>
                <w:rFonts w:hint="eastAsia" w:ascii="宋体" w:hAnsi="宋体" w:cs="宋体"/>
                <w:color w:val="auto"/>
                <w:szCs w:val="21"/>
                <w:highlight w:val="none"/>
              </w:rPr>
            </w:pPr>
          </w:p>
        </w:tc>
        <w:tc>
          <w:tcPr>
            <w:tcW w:w="1418" w:type="dxa"/>
            <w:noWrap w:val="0"/>
            <w:vAlign w:val="top"/>
          </w:tcPr>
          <w:p w14:paraId="7D09CFD8">
            <w:pPr>
              <w:spacing w:line="360" w:lineRule="exact"/>
              <w:rPr>
                <w:rFonts w:hint="eastAsia" w:ascii="宋体" w:hAnsi="宋体" w:cs="宋体"/>
                <w:color w:val="auto"/>
                <w:szCs w:val="21"/>
                <w:highlight w:val="none"/>
              </w:rPr>
            </w:pPr>
          </w:p>
        </w:tc>
        <w:tc>
          <w:tcPr>
            <w:tcW w:w="850" w:type="dxa"/>
            <w:noWrap w:val="0"/>
            <w:vAlign w:val="top"/>
          </w:tcPr>
          <w:p w14:paraId="6211E35C">
            <w:pPr>
              <w:spacing w:line="360" w:lineRule="exact"/>
              <w:rPr>
                <w:rFonts w:hint="eastAsia" w:ascii="宋体" w:hAnsi="宋体" w:cs="宋体"/>
                <w:color w:val="auto"/>
                <w:szCs w:val="21"/>
                <w:highlight w:val="none"/>
              </w:rPr>
            </w:pPr>
          </w:p>
        </w:tc>
        <w:tc>
          <w:tcPr>
            <w:tcW w:w="1058" w:type="dxa"/>
            <w:noWrap w:val="0"/>
            <w:vAlign w:val="top"/>
          </w:tcPr>
          <w:p w14:paraId="537615F9">
            <w:pPr>
              <w:spacing w:line="360" w:lineRule="exact"/>
              <w:rPr>
                <w:rFonts w:hint="eastAsia" w:ascii="宋体" w:hAnsi="宋体" w:cs="宋体"/>
                <w:color w:val="auto"/>
                <w:szCs w:val="21"/>
                <w:highlight w:val="none"/>
              </w:rPr>
            </w:pPr>
          </w:p>
        </w:tc>
        <w:tc>
          <w:tcPr>
            <w:tcW w:w="880" w:type="dxa"/>
            <w:noWrap w:val="0"/>
            <w:vAlign w:val="top"/>
          </w:tcPr>
          <w:p w14:paraId="59215EB1">
            <w:pPr>
              <w:spacing w:line="360" w:lineRule="exact"/>
              <w:rPr>
                <w:rFonts w:hint="eastAsia" w:ascii="宋体" w:hAnsi="宋体" w:cs="宋体"/>
                <w:color w:val="auto"/>
                <w:szCs w:val="21"/>
                <w:highlight w:val="none"/>
              </w:rPr>
            </w:pPr>
          </w:p>
        </w:tc>
        <w:tc>
          <w:tcPr>
            <w:tcW w:w="806" w:type="dxa"/>
            <w:noWrap w:val="0"/>
            <w:vAlign w:val="top"/>
          </w:tcPr>
          <w:p w14:paraId="12C94E1A">
            <w:pPr>
              <w:spacing w:line="360" w:lineRule="exact"/>
              <w:rPr>
                <w:rFonts w:hint="eastAsia" w:ascii="宋体" w:hAnsi="宋体" w:cs="宋体"/>
                <w:color w:val="auto"/>
                <w:szCs w:val="21"/>
                <w:highlight w:val="none"/>
              </w:rPr>
            </w:pPr>
          </w:p>
        </w:tc>
        <w:tc>
          <w:tcPr>
            <w:tcW w:w="1310" w:type="dxa"/>
            <w:noWrap w:val="0"/>
            <w:vAlign w:val="top"/>
          </w:tcPr>
          <w:p w14:paraId="7DAE292A">
            <w:pPr>
              <w:spacing w:line="360" w:lineRule="exact"/>
              <w:rPr>
                <w:rFonts w:hint="eastAsia" w:ascii="宋体" w:hAnsi="宋体" w:cs="宋体"/>
                <w:color w:val="auto"/>
                <w:szCs w:val="21"/>
                <w:highlight w:val="none"/>
              </w:rPr>
            </w:pPr>
          </w:p>
        </w:tc>
        <w:tc>
          <w:tcPr>
            <w:tcW w:w="906" w:type="dxa"/>
            <w:noWrap w:val="0"/>
            <w:vAlign w:val="top"/>
          </w:tcPr>
          <w:p w14:paraId="62318623">
            <w:pPr>
              <w:spacing w:line="360" w:lineRule="exact"/>
              <w:rPr>
                <w:rFonts w:hint="eastAsia" w:ascii="宋体" w:hAnsi="宋体" w:cs="宋体"/>
                <w:color w:val="auto"/>
                <w:szCs w:val="21"/>
                <w:highlight w:val="none"/>
              </w:rPr>
            </w:pPr>
          </w:p>
        </w:tc>
        <w:tc>
          <w:tcPr>
            <w:tcW w:w="652" w:type="dxa"/>
            <w:noWrap w:val="0"/>
            <w:vAlign w:val="top"/>
          </w:tcPr>
          <w:p w14:paraId="2715A1BA">
            <w:pPr>
              <w:spacing w:line="360" w:lineRule="exact"/>
              <w:rPr>
                <w:rFonts w:hint="eastAsia" w:ascii="宋体" w:hAnsi="宋体" w:cs="宋体"/>
                <w:color w:val="auto"/>
                <w:szCs w:val="21"/>
                <w:highlight w:val="none"/>
              </w:rPr>
            </w:pPr>
          </w:p>
        </w:tc>
      </w:tr>
      <w:tr w14:paraId="5B2C4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98ED545">
            <w:pPr>
              <w:spacing w:line="360" w:lineRule="exact"/>
              <w:rPr>
                <w:rFonts w:hint="eastAsia" w:ascii="宋体" w:hAnsi="宋体" w:cs="宋体"/>
                <w:color w:val="auto"/>
                <w:szCs w:val="21"/>
                <w:highlight w:val="none"/>
              </w:rPr>
            </w:pPr>
          </w:p>
        </w:tc>
        <w:tc>
          <w:tcPr>
            <w:tcW w:w="1418" w:type="dxa"/>
            <w:noWrap w:val="0"/>
            <w:vAlign w:val="top"/>
          </w:tcPr>
          <w:p w14:paraId="0638F1D9">
            <w:pPr>
              <w:spacing w:line="360" w:lineRule="exact"/>
              <w:rPr>
                <w:rFonts w:hint="eastAsia" w:ascii="宋体" w:hAnsi="宋体" w:cs="宋体"/>
                <w:color w:val="auto"/>
                <w:szCs w:val="21"/>
                <w:highlight w:val="none"/>
              </w:rPr>
            </w:pPr>
          </w:p>
        </w:tc>
        <w:tc>
          <w:tcPr>
            <w:tcW w:w="850" w:type="dxa"/>
            <w:noWrap w:val="0"/>
            <w:vAlign w:val="top"/>
          </w:tcPr>
          <w:p w14:paraId="7CA5AD90">
            <w:pPr>
              <w:spacing w:line="360" w:lineRule="exact"/>
              <w:rPr>
                <w:rFonts w:hint="eastAsia" w:ascii="宋体" w:hAnsi="宋体" w:cs="宋体"/>
                <w:color w:val="auto"/>
                <w:szCs w:val="21"/>
                <w:highlight w:val="none"/>
              </w:rPr>
            </w:pPr>
          </w:p>
        </w:tc>
        <w:tc>
          <w:tcPr>
            <w:tcW w:w="1058" w:type="dxa"/>
            <w:noWrap w:val="0"/>
            <w:vAlign w:val="top"/>
          </w:tcPr>
          <w:p w14:paraId="5EC2DC6F">
            <w:pPr>
              <w:spacing w:line="360" w:lineRule="exact"/>
              <w:rPr>
                <w:rFonts w:hint="eastAsia" w:ascii="宋体" w:hAnsi="宋体" w:cs="宋体"/>
                <w:color w:val="auto"/>
                <w:szCs w:val="21"/>
                <w:highlight w:val="none"/>
              </w:rPr>
            </w:pPr>
          </w:p>
        </w:tc>
        <w:tc>
          <w:tcPr>
            <w:tcW w:w="880" w:type="dxa"/>
            <w:noWrap w:val="0"/>
            <w:vAlign w:val="top"/>
          </w:tcPr>
          <w:p w14:paraId="68666629">
            <w:pPr>
              <w:spacing w:line="360" w:lineRule="exact"/>
              <w:rPr>
                <w:rFonts w:hint="eastAsia" w:ascii="宋体" w:hAnsi="宋体" w:cs="宋体"/>
                <w:color w:val="auto"/>
                <w:szCs w:val="21"/>
                <w:highlight w:val="none"/>
              </w:rPr>
            </w:pPr>
          </w:p>
        </w:tc>
        <w:tc>
          <w:tcPr>
            <w:tcW w:w="806" w:type="dxa"/>
            <w:noWrap w:val="0"/>
            <w:vAlign w:val="top"/>
          </w:tcPr>
          <w:p w14:paraId="4FDAF1AD">
            <w:pPr>
              <w:spacing w:line="360" w:lineRule="exact"/>
              <w:rPr>
                <w:rFonts w:hint="eastAsia" w:ascii="宋体" w:hAnsi="宋体" w:cs="宋体"/>
                <w:color w:val="auto"/>
                <w:szCs w:val="21"/>
                <w:highlight w:val="none"/>
              </w:rPr>
            </w:pPr>
          </w:p>
        </w:tc>
        <w:tc>
          <w:tcPr>
            <w:tcW w:w="1310" w:type="dxa"/>
            <w:noWrap w:val="0"/>
            <w:vAlign w:val="top"/>
          </w:tcPr>
          <w:p w14:paraId="0623FDDC">
            <w:pPr>
              <w:spacing w:line="360" w:lineRule="exact"/>
              <w:rPr>
                <w:rFonts w:hint="eastAsia" w:ascii="宋体" w:hAnsi="宋体" w:cs="宋体"/>
                <w:color w:val="auto"/>
                <w:szCs w:val="21"/>
                <w:highlight w:val="none"/>
              </w:rPr>
            </w:pPr>
          </w:p>
        </w:tc>
        <w:tc>
          <w:tcPr>
            <w:tcW w:w="906" w:type="dxa"/>
            <w:noWrap w:val="0"/>
            <w:vAlign w:val="top"/>
          </w:tcPr>
          <w:p w14:paraId="7F7CD3C0">
            <w:pPr>
              <w:spacing w:line="360" w:lineRule="exact"/>
              <w:rPr>
                <w:rFonts w:hint="eastAsia" w:ascii="宋体" w:hAnsi="宋体" w:cs="宋体"/>
                <w:color w:val="auto"/>
                <w:szCs w:val="21"/>
                <w:highlight w:val="none"/>
              </w:rPr>
            </w:pPr>
          </w:p>
        </w:tc>
        <w:tc>
          <w:tcPr>
            <w:tcW w:w="652" w:type="dxa"/>
            <w:noWrap w:val="0"/>
            <w:vAlign w:val="top"/>
          </w:tcPr>
          <w:p w14:paraId="19D95C08">
            <w:pPr>
              <w:spacing w:line="360" w:lineRule="exact"/>
              <w:rPr>
                <w:rFonts w:hint="eastAsia" w:ascii="宋体" w:hAnsi="宋体" w:cs="宋体"/>
                <w:color w:val="auto"/>
                <w:szCs w:val="21"/>
                <w:highlight w:val="none"/>
              </w:rPr>
            </w:pPr>
          </w:p>
        </w:tc>
      </w:tr>
      <w:tr w14:paraId="62C0B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3F041D3">
            <w:pPr>
              <w:spacing w:line="360" w:lineRule="exact"/>
              <w:rPr>
                <w:rFonts w:hint="eastAsia" w:ascii="宋体" w:hAnsi="宋体" w:cs="宋体"/>
                <w:color w:val="auto"/>
                <w:szCs w:val="21"/>
                <w:highlight w:val="none"/>
              </w:rPr>
            </w:pPr>
          </w:p>
        </w:tc>
        <w:tc>
          <w:tcPr>
            <w:tcW w:w="1418" w:type="dxa"/>
            <w:noWrap w:val="0"/>
            <w:vAlign w:val="top"/>
          </w:tcPr>
          <w:p w14:paraId="4DA90684">
            <w:pPr>
              <w:spacing w:line="360" w:lineRule="exact"/>
              <w:rPr>
                <w:rFonts w:hint="eastAsia" w:ascii="宋体" w:hAnsi="宋体" w:cs="宋体"/>
                <w:color w:val="auto"/>
                <w:szCs w:val="21"/>
                <w:highlight w:val="none"/>
              </w:rPr>
            </w:pPr>
          </w:p>
        </w:tc>
        <w:tc>
          <w:tcPr>
            <w:tcW w:w="850" w:type="dxa"/>
            <w:noWrap w:val="0"/>
            <w:vAlign w:val="top"/>
          </w:tcPr>
          <w:p w14:paraId="57EA3AF9">
            <w:pPr>
              <w:spacing w:line="360" w:lineRule="exact"/>
              <w:rPr>
                <w:rFonts w:hint="eastAsia" w:ascii="宋体" w:hAnsi="宋体" w:cs="宋体"/>
                <w:color w:val="auto"/>
                <w:szCs w:val="21"/>
                <w:highlight w:val="none"/>
              </w:rPr>
            </w:pPr>
          </w:p>
        </w:tc>
        <w:tc>
          <w:tcPr>
            <w:tcW w:w="1058" w:type="dxa"/>
            <w:noWrap w:val="0"/>
            <w:vAlign w:val="top"/>
          </w:tcPr>
          <w:p w14:paraId="13141C1D">
            <w:pPr>
              <w:spacing w:line="360" w:lineRule="exact"/>
              <w:rPr>
                <w:rFonts w:hint="eastAsia" w:ascii="宋体" w:hAnsi="宋体" w:cs="宋体"/>
                <w:color w:val="auto"/>
                <w:szCs w:val="21"/>
                <w:highlight w:val="none"/>
              </w:rPr>
            </w:pPr>
          </w:p>
        </w:tc>
        <w:tc>
          <w:tcPr>
            <w:tcW w:w="880" w:type="dxa"/>
            <w:noWrap w:val="0"/>
            <w:vAlign w:val="top"/>
          </w:tcPr>
          <w:p w14:paraId="74536B0B">
            <w:pPr>
              <w:spacing w:line="360" w:lineRule="exact"/>
              <w:rPr>
                <w:rFonts w:hint="eastAsia" w:ascii="宋体" w:hAnsi="宋体" w:cs="宋体"/>
                <w:color w:val="auto"/>
                <w:szCs w:val="21"/>
                <w:highlight w:val="none"/>
              </w:rPr>
            </w:pPr>
          </w:p>
        </w:tc>
        <w:tc>
          <w:tcPr>
            <w:tcW w:w="806" w:type="dxa"/>
            <w:noWrap w:val="0"/>
            <w:vAlign w:val="top"/>
          </w:tcPr>
          <w:p w14:paraId="3297139B">
            <w:pPr>
              <w:spacing w:line="360" w:lineRule="exact"/>
              <w:rPr>
                <w:rFonts w:hint="eastAsia" w:ascii="宋体" w:hAnsi="宋体" w:cs="宋体"/>
                <w:color w:val="auto"/>
                <w:szCs w:val="21"/>
                <w:highlight w:val="none"/>
              </w:rPr>
            </w:pPr>
          </w:p>
        </w:tc>
        <w:tc>
          <w:tcPr>
            <w:tcW w:w="1310" w:type="dxa"/>
            <w:noWrap w:val="0"/>
            <w:vAlign w:val="top"/>
          </w:tcPr>
          <w:p w14:paraId="32F0B57D">
            <w:pPr>
              <w:spacing w:line="360" w:lineRule="exact"/>
              <w:rPr>
                <w:rFonts w:hint="eastAsia" w:ascii="宋体" w:hAnsi="宋体" w:cs="宋体"/>
                <w:color w:val="auto"/>
                <w:szCs w:val="21"/>
                <w:highlight w:val="none"/>
              </w:rPr>
            </w:pPr>
          </w:p>
        </w:tc>
        <w:tc>
          <w:tcPr>
            <w:tcW w:w="906" w:type="dxa"/>
            <w:noWrap w:val="0"/>
            <w:vAlign w:val="top"/>
          </w:tcPr>
          <w:p w14:paraId="4710BD80">
            <w:pPr>
              <w:spacing w:line="360" w:lineRule="exact"/>
              <w:rPr>
                <w:rFonts w:hint="eastAsia" w:ascii="宋体" w:hAnsi="宋体" w:cs="宋体"/>
                <w:color w:val="auto"/>
                <w:szCs w:val="21"/>
                <w:highlight w:val="none"/>
              </w:rPr>
            </w:pPr>
          </w:p>
        </w:tc>
        <w:tc>
          <w:tcPr>
            <w:tcW w:w="652" w:type="dxa"/>
            <w:noWrap w:val="0"/>
            <w:vAlign w:val="top"/>
          </w:tcPr>
          <w:p w14:paraId="609E6A9E">
            <w:pPr>
              <w:spacing w:line="360" w:lineRule="exact"/>
              <w:rPr>
                <w:rFonts w:hint="eastAsia" w:ascii="宋体" w:hAnsi="宋体" w:cs="宋体"/>
                <w:color w:val="auto"/>
                <w:szCs w:val="21"/>
                <w:highlight w:val="none"/>
              </w:rPr>
            </w:pPr>
          </w:p>
        </w:tc>
      </w:tr>
      <w:tr w14:paraId="0E434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1E42B2A">
            <w:pPr>
              <w:spacing w:line="360" w:lineRule="exact"/>
              <w:rPr>
                <w:rFonts w:hint="eastAsia" w:ascii="宋体" w:hAnsi="宋体" w:cs="宋体"/>
                <w:color w:val="auto"/>
                <w:szCs w:val="21"/>
                <w:highlight w:val="none"/>
              </w:rPr>
            </w:pPr>
          </w:p>
        </w:tc>
        <w:tc>
          <w:tcPr>
            <w:tcW w:w="1418" w:type="dxa"/>
            <w:noWrap w:val="0"/>
            <w:vAlign w:val="top"/>
          </w:tcPr>
          <w:p w14:paraId="46B8CDA2">
            <w:pPr>
              <w:spacing w:line="360" w:lineRule="exact"/>
              <w:rPr>
                <w:rFonts w:hint="eastAsia" w:ascii="宋体" w:hAnsi="宋体" w:cs="宋体"/>
                <w:color w:val="auto"/>
                <w:szCs w:val="21"/>
                <w:highlight w:val="none"/>
              </w:rPr>
            </w:pPr>
          </w:p>
        </w:tc>
        <w:tc>
          <w:tcPr>
            <w:tcW w:w="850" w:type="dxa"/>
            <w:noWrap w:val="0"/>
            <w:vAlign w:val="top"/>
          </w:tcPr>
          <w:p w14:paraId="416AF04F">
            <w:pPr>
              <w:spacing w:line="360" w:lineRule="exact"/>
              <w:rPr>
                <w:rFonts w:hint="eastAsia" w:ascii="宋体" w:hAnsi="宋体" w:cs="宋体"/>
                <w:color w:val="auto"/>
                <w:szCs w:val="21"/>
                <w:highlight w:val="none"/>
              </w:rPr>
            </w:pPr>
          </w:p>
        </w:tc>
        <w:tc>
          <w:tcPr>
            <w:tcW w:w="1058" w:type="dxa"/>
            <w:noWrap w:val="0"/>
            <w:vAlign w:val="top"/>
          </w:tcPr>
          <w:p w14:paraId="45711DE4">
            <w:pPr>
              <w:spacing w:line="360" w:lineRule="exact"/>
              <w:rPr>
                <w:rFonts w:hint="eastAsia" w:ascii="宋体" w:hAnsi="宋体" w:cs="宋体"/>
                <w:color w:val="auto"/>
                <w:szCs w:val="21"/>
                <w:highlight w:val="none"/>
              </w:rPr>
            </w:pPr>
          </w:p>
        </w:tc>
        <w:tc>
          <w:tcPr>
            <w:tcW w:w="880" w:type="dxa"/>
            <w:noWrap w:val="0"/>
            <w:vAlign w:val="top"/>
          </w:tcPr>
          <w:p w14:paraId="02AA7D52">
            <w:pPr>
              <w:spacing w:line="360" w:lineRule="exact"/>
              <w:rPr>
                <w:rFonts w:hint="eastAsia" w:ascii="宋体" w:hAnsi="宋体" w:cs="宋体"/>
                <w:color w:val="auto"/>
                <w:szCs w:val="21"/>
                <w:highlight w:val="none"/>
              </w:rPr>
            </w:pPr>
          </w:p>
        </w:tc>
        <w:tc>
          <w:tcPr>
            <w:tcW w:w="806" w:type="dxa"/>
            <w:noWrap w:val="0"/>
            <w:vAlign w:val="top"/>
          </w:tcPr>
          <w:p w14:paraId="2ED608D3">
            <w:pPr>
              <w:spacing w:line="360" w:lineRule="exact"/>
              <w:rPr>
                <w:rFonts w:hint="eastAsia" w:ascii="宋体" w:hAnsi="宋体" w:cs="宋体"/>
                <w:color w:val="auto"/>
                <w:szCs w:val="21"/>
                <w:highlight w:val="none"/>
              </w:rPr>
            </w:pPr>
          </w:p>
        </w:tc>
        <w:tc>
          <w:tcPr>
            <w:tcW w:w="1310" w:type="dxa"/>
            <w:noWrap w:val="0"/>
            <w:vAlign w:val="top"/>
          </w:tcPr>
          <w:p w14:paraId="21BB4F0D">
            <w:pPr>
              <w:spacing w:line="360" w:lineRule="exact"/>
              <w:rPr>
                <w:rFonts w:hint="eastAsia" w:ascii="宋体" w:hAnsi="宋体" w:cs="宋体"/>
                <w:color w:val="auto"/>
                <w:szCs w:val="21"/>
                <w:highlight w:val="none"/>
              </w:rPr>
            </w:pPr>
          </w:p>
        </w:tc>
        <w:tc>
          <w:tcPr>
            <w:tcW w:w="906" w:type="dxa"/>
            <w:noWrap w:val="0"/>
            <w:vAlign w:val="top"/>
          </w:tcPr>
          <w:p w14:paraId="75330F91">
            <w:pPr>
              <w:spacing w:line="360" w:lineRule="exact"/>
              <w:rPr>
                <w:rFonts w:hint="eastAsia" w:ascii="宋体" w:hAnsi="宋体" w:cs="宋体"/>
                <w:color w:val="auto"/>
                <w:szCs w:val="21"/>
                <w:highlight w:val="none"/>
              </w:rPr>
            </w:pPr>
          </w:p>
        </w:tc>
        <w:tc>
          <w:tcPr>
            <w:tcW w:w="652" w:type="dxa"/>
            <w:noWrap w:val="0"/>
            <w:vAlign w:val="top"/>
          </w:tcPr>
          <w:p w14:paraId="7805D757">
            <w:pPr>
              <w:spacing w:line="360" w:lineRule="exact"/>
              <w:rPr>
                <w:rFonts w:hint="eastAsia" w:ascii="宋体" w:hAnsi="宋体" w:cs="宋体"/>
                <w:color w:val="auto"/>
                <w:szCs w:val="21"/>
                <w:highlight w:val="none"/>
              </w:rPr>
            </w:pPr>
          </w:p>
        </w:tc>
      </w:tr>
      <w:tr w14:paraId="1FD4E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79FF643">
            <w:pPr>
              <w:spacing w:line="360" w:lineRule="exact"/>
              <w:rPr>
                <w:rFonts w:hint="eastAsia" w:ascii="宋体" w:hAnsi="宋体" w:cs="宋体"/>
                <w:color w:val="auto"/>
                <w:szCs w:val="21"/>
                <w:highlight w:val="none"/>
              </w:rPr>
            </w:pPr>
          </w:p>
        </w:tc>
        <w:tc>
          <w:tcPr>
            <w:tcW w:w="1418" w:type="dxa"/>
            <w:noWrap w:val="0"/>
            <w:vAlign w:val="top"/>
          </w:tcPr>
          <w:p w14:paraId="55FEF472">
            <w:pPr>
              <w:spacing w:line="360" w:lineRule="exact"/>
              <w:rPr>
                <w:rFonts w:hint="eastAsia" w:ascii="宋体" w:hAnsi="宋体" w:cs="宋体"/>
                <w:color w:val="auto"/>
                <w:szCs w:val="21"/>
                <w:highlight w:val="none"/>
              </w:rPr>
            </w:pPr>
          </w:p>
        </w:tc>
        <w:tc>
          <w:tcPr>
            <w:tcW w:w="850" w:type="dxa"/>
            <w:noWrap w:val="0"/>
            <w:vAlign w:val="top"/>
          </w:tcPr>
          <w:p w14:paraId="77EF8008">
            <w:pPr>
              <w:spacing w:line="360" w:lineRule="exact"/>
              <w:rPr>
                <w:rFonts w:hint="eastAsia" w:ascii="宋体" w:hAnsi="宋体" w:cs="宋体"/>
                <w:color w:val="auto"/>
                <w:szCs w:val="21"/>
                <w:highlight w:val="none"/>
              </w:rPr>
            </w:pPr>
          </w:p>
        </w:tc>
        <w:tc>
          <w:tcPr>
            <w:tcW w:w="1058" w:type="dxa"/>
            <w:noWrap w:val="0"/>
            <w:vAlign w:val="top"/>
          </w:tcPr>
          <w:p w14:paraId="6000CA7D">
            <w:pPr>
              <w:spacing w:line="360" w:lineRule="exact"/>
              <w:rPr>
                <w:rFonts w:hint="eastAsia" w:ascii="宋体" w:hAnsi="宋体" w:cs="宋体"/>
                <w:color w:val="auto"/>
                <w:szCs w:val="21"/>
                <w:highlight w:val="none"/>
              </w:rPr>
            </w:pPr>
          </w:p>
        </w:tc>
        <w:tc>
          <w:tcPr>
            <w:tcW w:w="880" w:type="dxa"/>
            <w:noWrap w:val="0"/>
            <w:vAlign w:val="top"/>
          </w:tcPr>
          <w:p w14:paraId="38CD00F7">
            <w:pPr>
              <w:spacing w:line="360" w:lineRule="exact"/>
              <w:rPr>
                <w:rFonts w:hint="eastAsia" w:ascii="宋体" w:hAnsi="宋体" w:cs="宋体"/>
                <w:color w:val="auto"/>
                <w:szCs w:val="21"/>
                <w:highlight w:val="none"/>
              </w:rPr>
            </w:pPr>
          </w:p>
        </w:tc>
        <w:tc>
          <w:tcPr>
            <w:tcW w:w="806" w:type="dxa"/>
            <w:noWrap w:val="0"/>
            <w:vAlign w:val="top"/>
          </w:tcPr>
          <w:p w14:paraId="4CD22B62">
            <w:pPr>
              <w:spacing w:line="360" w:lineRule="exact"/>
              <w:rPr>
                <w:rFonts w:hint="eastAsia" w:ascii="宋体" w:hAnsi="宋体" w:cs="宋体"/>
                <w:color w:val="auto"/>
                <w:szCs w:val="21"/>
                <w:highlight w:val="none"/>
              </w:rPr>
            </w:pPr>
          </w:p>
        </w:tc>
        <w:tc>
          <w:tcPr>
            <w:tcW w:w="1310" w:type="dxa"/>
            <w:noWrap w:val="0"/>
            <w:vAlign w:val="top"/>
          </w:tcPr>
          <w:p w14:paraId="340D0496">
            <w:pPr>
              <w:spacing w:line="360" w:lineRule="exact"/>
              <w:rPr>
                <w:rFonts w:hint="eastAsia" w:ascii="宋体" w:hAnsi="宋体" w:cs="宋体"/>
                <w:color w:val="auto"/>
                <w:szCs w:val="21"/>
                <w:highlight w:val="none"/>
              </w:rPr>
            </w:pPr>
          </w:p>
        </w:tc>
        <w:tc>
          <w:tcPr>
            <w:tcW w:w="906" w:type="dxa"/>
            <w:noWrap w:val="0"/>
            <w:vAlign w:val="top"/>
          </w:tcPr>
          <w:p w14:paraId="27CF48CC">
            <w:pPr>
              <w:spacing w:line="360" w:lineRule="exact"/>
              <w:rPr>
                <w:rFonts w:hint="eastAsia" w:ascii="宋体" w:hAnsi="宋体" w:cs="宋体"/>
                <w:color w:val="auto"/>
                <w:szCs w:val="21"/>
                <w:highlight w:val="none"/>
              </w:rPr>
            </w:pPr>
          </w:p>
        </w:tc>
        <w:tc>
          <w:tcPr>
            <w:tcW w:w="652" w:type="dxa"/>
            <w:noWrap w:val="0"/>
            <w:vAlign w:val="top"/>
          </w:tcPr>
          <w:p w14:paraId="5E728467">
            <w:pPr>
              <w:spacing w:line="360" w:lineRule="exact"/>
              <w:rPr>
                <w:rFonts w:hint="eastAsia" w:ascii="宋体" w:hAnsi="宋体" w:cs="宋体"/>
                <w:color w:val="auto"/>
                <w:szCs w:val="21"/>
                <w:highlight w:val="none"/>
              </w:rPr>
            </w:pPr>
          </w:p>
        </w:tc>
      </w:tr>
      <w:tr w14:paraId="05BED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1292A72B">
            <w:pPr>
              <w:spacing w:line="360" w:lineRule="exact"/>
              <w:rPr>
                <w:rFonts w:hint="eastAsia" w:ascii="宋体" w:hAnsi="宋体" w:cs="宋体"/>
                <w:color w:val="auto"/>
                <w:szCs w:val="21"/>
                <w:highlight w:val="none"/>
              </w:rPr>
            </w:pPr>
          </w:p>
        </w:tc>
        <w:tc>
          <w:tcPr>
            <w:tcW w:w="1418" w:type="dxa"/>
            <w:noWrap w:val="0"/>
            <w:vAlign w:val="top"/>
          </w:tcPr>
          <w:p w14:paraId="42872E98">
            <w:pPr>
              <w:spacing w:line="360" w:lineRule="exact"/>
              <w:rPr>
                <w:rFonts w:hint="eastAsia" w:ascii="宋体" w:hAnsi="宋体" w:cs="宋体"/>
                <w:color w:val="auto"/>
                <w:szCs w:val="21"/>
                <w:highlight w:val="none"/>
              </w:rPr>
            </w:pPr>
          </w:p>
        </w:tc>
        <w:tc>
          <w:tcPr>
            <w:tcW w:w="850" w:type="dxa"/>
            <w:noWrap w:val="0"/>
            <w:vAlign w:val="top"/>
          </w:tcPr>
          <w:p w14:paraId="0700E11F">
            <w:pPr>
              <w:spacing w:line="360" w:lineRule="exact"/>
              <w:rPr>
                <w:rFonts w:hint="eastAsia" w:ascii="宋体" w:hAnsi="宋体" w:cs="宋体"/>
                <w:color w:val="auto"/>
                <w:szCs w:val="21"/>
                <w:highlight w:val="none"/>
              </w:rPr>
            </w:pPr>
          </w:p>
        </w:tc>
        <w:tc>
          <w:tcPr>
            <w:tcW w:w="1058" w:type="dxa"/>
            <w:noWrap w:val="0"/>
            <w:vAlign w:val="top"/>
          </w:tcPr>
          <w:p w14:paraId="7E6C63B5">
            <w:pPr>
              <w:spacing w:line="360" w:lineRule="exact"/>
              <w:rPr>
                <w:rFonts w:hint="eastAsia" w:ascii="宋体" w:hAnsi="宋体" w:cs="宋体"/>
                <w:color w:val="auto"/>
                <w:szCs w:val="21"/>
                <w:highlight w:val="none"/>
              </w:rPr>
            </w:pPr>
          </w:p>
        </w:tc>
        <w:tc>
          <w:tcPr>
            <w:tcW w:w="880" w:type="dxa"/>
            <w:noWrap w:val="0"/>
            <w:vAlign w:val="top"/>
          </w:tcPr>
          <w:p w14:paraId="320C69E5">
            <w:pPr>
              <w:spacing w:line="360" w:lineRule="exact"/>
              <w:rPr>
                <w:rFonts w:hint="eastAsia" w:ascii="宋体" w:hAnsi="宋体" w:cs="宋体"/>
                <w:color w:val="auto"/>
                <w:szCs w:val="21"/>
                <w:highlight w:val="none"/>
              </w:rPr>
            </w:pPr>
          </w:p>
        </w:tc>
        <w:tc>
          <w:tcPr>
            <w:tcW w:w="806" w:type="dxa"/>
            <w:noWrap w:val="0"/>
            <w:vAlign w:val="top"/>
          </w:tcPr>
          <w:p w14:paraId="0817F354">
            <w:pPr>
              <w:spacing w:line="360" w:lineRule="exact"/>
              <w:rPr>
                <w:rFonts w:hint="eastAsia" w:ascii="宋体" w:hAnsi="宋体" w:cs="宋体"/>
                <w:color w:val="auto"/>
                <w:szCs w:val="21"/>
                <w:highlight w:val="none"/>
              </w:rPr>
            </w:pPr>
          </w:p>
        </w:tc>
        <w:tc>
          <w:tcPr>
            <w:tcW w:w="1310" w:type="dxa"/>
            <w:noWrap w:val="0"/>
            <w:vAlign w:val="top"/>
          </w:tcPr>
          <w:p w14:paraId="395206B6">
            <w:pPr>
              <w:spacing w:line="360" w:lineRule="exact"/>
              <w:rPr>
                <w:rFonts w:hint="eastAsia" w:ascii="宋体" w:hAnsi="宋体" w:cs="宋体"/>
                <w:color w:val="auto"/>
                <w:szCs w:val="21"/>
                <w:highlight w:val="none"/>
              </w:rPr>
            </w:pPr>
          </w:p>
        </w:tc>
        <w:tc>
          <w:tcPr>
            <w:tcW w:w="906" w:type="dxa"/>
            <w:noWrap w:val="0"/>
            <w:vAlign w:val="top"/>
          </w:tcPr>
          <w:p w14:paraId="5503679E">
            <w:pPr>
              <w:spacing w:line="360" w:lineRule="exact"/>
              <w:rPr>
                <w:rFonts w:hint="eastAsia" w:ascii="宋体" w:hAnsi="宋体" w:cs="宋体"/>
                <w:color w:val="auto"/>
                <w:szCs w:val="21"/>
                <w:highlight w:val="none"/>
              </w:rPr>
            </w:pPr>
          </w:p>
        </w:tc>
        <w:tc>
          <w:tcPr>
            <w:tcW w:w="652" w:type="dxa"/>
            <w:noWrap w:val="0"/>
            <w:vAlign w:val="top"/>
          </w:tcPr>
          <w:p w14:paraId="6B7964B2">
            <w:pPr>
              <w:spacing w:line="360" w:lineRule="exact"/>
              <w:rPr>
                <w:rFonts w:hint="eastAsia" w:ascii="宋体" w:hAnsi="宋体" w:cs="宋体"/>
                <w:color w:val="auto"/>
                <w:szCs w:val="21"/>
                <w:highlight w:val="none"/>
              </w:rPr>
            </w:pPr>
          </w:p>
        </w:tc>
      </w:tr>
      <w:tr w14:paraId="0F236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6923D694">
            <w:pPr>
              <w:spacing w:line="360" w:lineRule="exact"/>
              <w:rPr>
                <w:rFonts w:hint="eastAsia" w:ascii="宋体" w:hAnsi="宋体" w:cs="宋体"/>
                <w:color w:val="auto"/>
                <w:szCs w:val="21"/>
                <w:highlight w:val="none"/>
              </w:rPr>
            </w:pPr>
          </w:p>
        </w:tc>
        <w:tc>
          <w:tcPr>
            <w:tcW w:w="1418" w:type="dxa"/>
            <w:noWrap w:val="0"/>
            <w:vAlign w:val="top"/>
          </w:tcPr>
          <w:p w14:paraId="538B7559">
            <w:pPr>
              <w:spacing w:line="360" w:lineRule="exact"/>
              <w:rPr>
                <w:rFonts w:hint="eastAsia" w:ascii="宋体" w:hAnsi="宋体" w:cs="宋体"/>
                <w:color w:val="auto"/>
                <w:szCs w:val="21"/>
                <w:highlight w:val="none"/>
              </w:rPr>
            </w:pPr>
          </w:p>
        </w:tc>
        <w:tc>
          <w:tcPr>
            <w:tcW w:w="850" w:type="dxa"/>
            <w:noWrap w:val="0"/>
            <w:vAlign w:val="top"/>
          </w:tcPr>
          <w:p w14:paraId="1EA57DE1">
            <w:pPr>
              <w:spacing w:line="360" w:lineRule="exact"/>
              <w:rPr>
                <w:rFonts w:hint="eastAsia" w:ascii="宋体" w:hAnsi="宋体" w:cs="宋体"/>
                <w:color w:val="auto"/>
                <w:szCs w:val="21"/>
                <w:highlight w:val="none"/>
              </w:rPr>
            </w:pPr>
          </w:p>
        </w:tc>
        <w:tc>
          <w:tcPr>
            <w:tcW w:w="1058" w:type="dxa"/>
            <w:noWrap w:val="0"/>
            <w:vAlign w:val="top"/>
          </w:tcPr>
          <w:p w14:paraId="30448B44">
            <w:pPr>
              <w:spacing w:line="360" w:lineRule="exact"/>
              <w:rPr>
                <w:rFonts w:hint="eastAsia" w:ascii="宋体" w:hAnsi="宋体" w:cs="宋体"/>
                <w:color w:val="auto"/>
                <w:szCs w:val="21"/>
                <w:highlight w:val="none"/>
              </w:rPr>
            </w:pPr>
          </w:p>
        </w:tc>
        <w:tc>
          <w:tcPr>
            <w:tcW w:w="880" w:type="dxa"/>
            <w:noWrap w:val="0"/>
            <w:vAlign w:val="top"/>
          </w:tcPr>
          <w:p w14:paraId="71077B49">
            <w:pPr>
              <w:spacing w:line="360" w:lineRule="exact"/>
              <w:rPr>
                <w:rFonts w:hint="eastAsia" w:ascii="宋体" w:hAnsi="宋体" w:cs="宋体"/>
                <w:color w:val="auto"/>
                <w:szCs w:val="21"/>
                <w:highlight w:val="none"/>
              </w:rPr>
            </w:pPr>
          </w:p>
        </w:tc>
        <w:tc>
          <w:tcPr>
            <w:tcW w:w="806" w:type="dxa"/>
            <w:noWrap w:val="0"/>
            <w:vAlign w:val="top"/>
          </w:tcPr>
          <w:p w14:paraId="53229205">
            <w:pPr>
              <w:spacing w:line="360" w:lineRule="exact"/>
              <w:rPr>
                <w:rFonts w:hint="eastAsia" w:ascii="宋体" w:hAnsi="宋体" w:cs="宋体"/>
                <w:color w:val="auto"/>
                <w:szCs w:val="21"/>
                <w:highlight w:val="none"/>
              </w:rPr>
            </w:pPr>
          </w:p>
        </w:tc>
        <w:tc>
          <w:tcPr>
            <w:tcW w:w="1310" w:type="dxa"/>
            <w:noWrap w:val="0"/>
            <w:vAlign w:val="top"/>
          </w:tcPr>
          <w:p w14:paraId="1D18EF25">
            <w:pPr>
              <w:spacing w:line="360" w:lineRule="exact"/>
              <w:rPr>
                <w:rFonts w:hint="eastAsia" w:ascii="宋体" w:hAnsi="宋体" w:cs="宋体"/>
                <w:color w:val="auto"/>
                <w:szCs w:val="21"/>
                <w:highlight w:val="none"/>
              </w:rPr>
            </w:pPr>
          </w:p>
        </w:tc>
        <w:tc>
          <w:tcPr>
            <w:tcW w:w="906" w:type="dxa"/>
            <w:noWrap w:val="0"/>
            <w:vAlign w:val="top"/>
          </w:tcPr>
          <w:p w14:paraId="5C87D7C4">
            <w:pPr>
              <w:spacing w:line="360" w:lineRule="exact"/>
              <w:rPr>
                <w:rFonts w:hint="eastAsia" w:ascii="宋体" w:hAnsi="宋体" w:cs="宋体"/>
                <w:color w:val="auto"/>
                <w:szCs w:val="21"/>
                <w:highlight w:val="none"/>
              </w:rPr>
            </w:pPr>
          </w:p>
        </w:tc>
        <w:tc>
          <w:tcPr>
            <w:tcW w:w="652" w:type="dxa"/>
            <w:noWrap w:val="0"/>
            <w:vAlign w:val="top"/>
          </w:tcPr>
          <w:p w14:paraId="3860C0C4">
            <w:pPr>
              <w:spacing w:line="360" w:lineRule="exact"/>
              <w:rPr>
                <w:rFonts w:hint="eastAsia" w:ascii="宋体" w:hAnsi="宋体" w:cs="宋体"/>
                <w:color w:val="auto"/>
                <w:szCs w:val="21"/>
                <w:highlight w:val="none"/>
              </w:rPr>
            </w:pPr>
          </w:p>
        </w:tc>
      </w:tr>
    </w:tbl>
    <w:p w14:paraId="35FB2BFA">
      <w:pPr>
        <w:spacing w:line="360" w:lineRule="exact"/>
        <w:rPr>
          <w:rFonts w:hint="eastAsia" w:ascii="宋体" w:hAnsi="宋体" w:cs="宋体"/>
          <w:color w:val="auto"/>
          <w:szCs w:val="21"/>
          <w:highlight w:val="none"/>
        </w:rPr>
      </w:pPr>
    </w:p>
    <w:p w14:paraId="39C5A474">
      <w:pPr>
        <w:spacing w:line="360" w:lineRule="exact"/>
        <w:rPr>
          <w:rFonts w:hint="eastAsia" w:ascii="宋体" w:hAnsi="宋体" w:cs="宋体"/>
          <w:color w:val="auto"/>
          <w:szCs w:val="21"/>
          <w:highlight w:val="none"/>
        </w:rPr>
      </w:pPr>
    </w:p>
    <w:p w14:paraId="54CD9E6C">
      <w:pPr>
        <w:spacing w:line="360" w:lineRule="exact"/>
        <w:rPr>
          <w:rFonts w:hint="eastAsia" w:ascii="宋体" w:hAnsi="宋体" w:cs="宋体"/>
          <w:color w:val="auto"/>
          <w:szCs w:val="21"/>
          <w:highlight w:val="none"/>
        </w:rPr>
      </w:pPr>
    </w:p>
    <w:p w14:paraId="7535F98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附件6：</w:t>
      </w:r>
    </w:p>
    <w:p w14:paraId="4DCCC9F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承包人主要施工管理人员表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7BBDA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F583E05">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1148" w:type="dxa"/>
            <w:tcBorders>
              <w:top w:val="single" w:color="auto" w:sz="12" w:space="0"/>
              <w:bottom w:val="double" w:color="auto" w:sz="6" w:space="0"/>
            </w:tcBorders>
            <w:noWrap w:val="0"/>
            <w:vAlign w:val="center"/>
          </w:tcPr>
          <w:p w14:paraId="146E8BBC">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941" w:type="dxa"/>
            <w:tcBorders>
              <w:top w:val="single" w:color="auto" w:sz="12" w:space="0"/>
              <w:bottom w:val="double" w:color="auto" w:sz="6" w:space="0"/>
            </w:tcBorders>
            <w:noWrap w:val="0"/>
            <w:vAlign w:val="center"/>
          </w:tcPr>
          <w:p w14:paraId="7A629BC6">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134" w:type="dxa"/>
            <w:tcBorders>
              <w:top w:val="single" w:color="auto" w:sz="12" w:space="0"/>
              <w:bottom w:val="double" w:color="auto" w:sz="6" w:space="0"/>
            </w:tcBorders>
            <w:noWrap w:val="0"/>
            <w:vAlign w:val="center"/>
          </w:tcPr>
          <w:p w14:paraId="3478241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3660" w:type="dxa"/>
            <w:tcBorders>
              <w:top w:val="single" w:color="auto" w:sz="12" w:space="0"/>
              <w:bottom w:val="double" w:color="auto" w:sz="6" w:space="0"/>
            </w:tcBorders>
            <w:noWrap w:val="0"/>
            <w:vAlign w:val="center"/>
          </w:tcPr>
          <w:p w14:paraId="1CDCFF35">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r>
      <w:tr w14:paraId="5EA58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noWrap w:val="0"/>
            <w:vAlign w:val="center"/>
          </w:tcPr>
          <w:p w14:paraId="763CDD5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一、总部人员</w:t>
            </w:r>
          </w:p>
        </w:tc>
      </w:tr>
      <w:tr w14:paraId="49AF3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D81796E">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1148" w:type="dxa"/>
            <w:tcBorders>
              <w:top w:val="nil"/>
            </w:tcBorders>
            <w:noWrap w:val="0"/>
            <w:vAlign w:val="center"/>
          </w:tcPr>
          <w:p w14:paraId="0E8C2C91">
            <w:pPr>
              <w:pStyle w:val="18"/>
              <w:keepNext/>
              <w:spacing w:after="0" w:line="360" w:lineRule="exact"/>
              <w:rPr>
                <w:rFonts w:hint="eastAsia" w:ascii="宋体" w:hAnsi="宋体" w:cs="宋体"/>
                <w:color w:val="auto"/>
                <w:szCs w:val="21"/>
                <w:highlight w:val="none"/>
              </w:rPr>
            </w:pPr>
          </w:p>
        </w:tc>
        <w:tc>
          <w:tcPr>
            <w:tcW w:w="941" w:type="dxa"/>
            <w:tcBorders>
              <w:top w:val="nil"/>
            </w:tcBorders>
            <w:noWrap w:val="0"/>
            <w:vAlign w:val="center"/>
          </w:tcPr>
          <w:p w14:paraId="21BCD8E3">
            <w:pPr>
              <w:pStyle w:val="18"/>
              <w:keepNext/>
              <w:spacing w:after="0" w:line="360" w:lineRule="exact"/>
              <w:rPr>
                <w:rFonts w:hint="eastAsia" w:ascii="宋体" w:hAnsi="宋体" w:cs="宋体"/>
                <w:color w:val="auto"/>
                <w:szCs w:val="21"/>
                <w:highlight w:val="none"/>
              </w:rPr>
            </w:pPr>
          </w:p>
        </w:tc>
        <w:tc>
          <w:tcPr>
            <w:tcW w:w="1134" w:type="dxa"/>
            <w:tcBorders>
              <w:top w:val="nil"/>
            </w:tcBorders>
            <w:noWrap w:val="0"/>
            <w:vAlign w:val="center"/>
          </w:tcPr>
          <w:p w14:paraId="544897FE">
            <w:pPr>
              <w:pStyle w:val="18"/>
              <w:keepNext/>
              <w:spacing w:after="0" w:line="360" w:lineRule="exact"/>
              <w:rPr>
                <w:rFonts w:hint="eastAsia" w:ascii="宋体" w:hAnsi="宋体" w:cs="宋体"/>
                <w:color w:val="auto"/>
                <w:szCs w:val="21"/>
                <w:highlight w:val="none"/>
              </w:rPr>
            </w:pPr>
          </w:p>
        </w:tc>
        <w:tc>
          <w:tcPr>
            <w:tcW w:w="3660" w:type="dxa"/>
            <w:tcBorders>
              <w:top w:val="nil"/>
            </w:tcBorders>
            <w:noWrap w:val="0"/>
            <w:vAlign w:val="center"/>
          </w:tcPr>
          <w:p w14:paraId="4387608D">
            <w:pPr>
              <w:pStyle w:val="18"/>
              <w:keepNext/>
              <w:spacing w:after="0" w:line="360" w:lineRule="exact"/>
              <w:rPr>
                <w:rFonts w:hint="eastAsia" w:ascii="宋体" w:hAnsi="宋体" w:cs="宋体"/>
                <w:color w:val="auto"/>
                <w:szCs w:val="21"/>
                <w:highlight w:val="none"/>
              </w:rPr>
            </w:pPr>
          </w:p>
        </w:tc>
      </w:tr>
      <w:tr w14:paraId="3648C2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42A85CEA">
            <w:pPr>
              <w:pStyle w:val="18"/>
              <w:keepNext/>
              <w:spacing w:after="0" w:line="360" w:lineRule="exact"/>
              <w:rPr>
                <w:rFonts w:hint="eastAsia" w:ascii="宋体" w:hAnsi="宋体" w:cs="宋体"/>
                <w:color w:val="auto"/>
                <w:szCs w:val="21"/>
                <w:highlight w:val="none"/>
              </w:rPr>
            </w:pPr>
          </w:p>
        </w:tc>
        <w:tc>
          <w:tcPr>
            <w:tcW w:w="1148" w:type="dxa"/>
            <w:noWrap w:val="0"/>
            <w:vAlign w:val="center"/>
          </w:tcPr>
          <w:p w14:paraId="40782CD1">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3CF330F2">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1E831795">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52DD9413">
            <w:pPr>
              <w:pStyle w:val="18"/>
              <w:keepNext/>
              <w:spacing w:after="0" w:line="360" w:lineRule="exact"/>
              <w:rPr>
                <w:rFonts w:hint="eastAsia" w:ascii="宋体" w:hAnsi="宋体" w:cs="宋体"/>
                <w:color w:val="auto"/>
                <w:szCs w:val="21"/>
                <w:highlight w:val="none"/>
              </w:rPr>
            </w:pPr>
          </w:p>
        </w:tc>
      </w:tr>
      <w:tr w14:paraId="54B8F8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E517E42">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148" w:type="dxa"/>
            <w:noWrap w:val="0"/>
            <w:vAlign w:val="center"/>
          </w:tcPr>
          <w:p w14:paraId="2687AA96">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02727EC9">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43E0EE51">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65331324">
            <w:pPr>
              <w:pStyle w:val="18"/>
              <w:keepNext/>
              <w:spacing w:after="0" w:line="360" w:lineRule="exact"/>
              <w:rPr>
                <w:rFonts w:hint="eastAsia" w:ascii="宋体" w:hAnsi="宋体" w:cs="宋体"/>
                <w:color w:val="auto"/>
                <w:szCs w:val="21"/>
                <w:highlight w:val="none"/>
              </w:rPr>
            </w:pPr>
          </w:p>
        </w:tc>
      </w:tr>
      <w:tr w14:paraId="4D411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6623F23">
            <w:pPr>
              <w:pStyle w:val="18"/>
              <w:keepNext/>
              <w:spacing w:after="0" w:line="360" w:lineRule="exact"/>
              <w:rPr>
                <w:rFonts w:hint="eastAsia" w:ascii="宋体" w:hAnsi="宋体" w:cs="宋体"/>
                <w:color w:val="auto"/>
                <w:szCs w:val="21"/>
                <w:highlight w:val="none"/>
              </w:rPr>
            </w:pPr>
          </w:p>
        </w:tc>
        <w:tc>
          <w:tcPr>
            <w:tcW w:w="1148" w:type="dxa"/>
            <w:noWrap w:val="0"/>
            <w:vAlign w:val="center"/>
          </w:tcPr>
          <w:p w14:paraId="03DCCE51">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117214B4">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23E2E32F">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5C6053EF">
            <w:pPr>
              <w:pStyle w:val="18"/>
              <w:keepNext/>
              <w:spacing w:after="0" w:line="360" w:lineRule="exact"/>
              <w:rPr>
                <w:rFonts w:hint="eastAsia" w:ascii="宋体" w:hAnsi="宋体" w:cs="宋体"/>
                <w:color w:val="auto"/>
                <w:szCs w:val="21"/>
                <w:highlight w:val="none"/>
              </w:rPr>
            </w:pPr>
          </w:p>
        </w:tc>
      </w:tr>
      <w:tr w14:paraId="1D28A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noWrap w:val="0"/>
            <w:vAlign w:val="center"/>
          </w:tcPr>
          <w:p w14:paraId="33EF128A">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二、现场人员</w:t>
            </w:r>
          </w:p>
        </w:tc>
      </w:tr>
      <w:tr w14:paraId="2EDB0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52BBB36">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1148" w:type="dxa"/>
            <w:noWrap w:val="0"/>
            <w:vAlign w:val="center"/>
          </w:tcPr>
          <w:p w14:paraId="11661CB1">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3001BF52">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1BCE7A8A">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69E82785">
            <w:pPr>
              <w:pStyle w:val="18"/>
              <w:keepNext/>
              <w:spacing w:after="0" w:line="360" w:lineRule="exact"/>
              <w:rPr>
                <w:rFonts w:hint="eastAsia" w:ascii="宋体" w:hAnsi="宋体" w:cs="宋体"/>
                <w:color w:val="auto"/>
                <w:szCs w:val="21"/>
                <w:highlight w:val="none"/>
              </w:rPr>
            </w:pPr>
          </w:p>
        </w:tc>
      </w:tr>
      <w:tr w14:paraId="0EFA3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CD68019">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项目副经理</w:t>
            </w:r>
          </w:p>
        </w:tc>
        <w:tc>
          <w:tcPr>
            <w:tcW w:w="1148" w:type="dxa"/>
            <w:noWrap w:val="0"/>
            <w:vAlign w:val="center"/>
          </w:tcPr>
          <w:p w14:paraId="4C4DBEEF">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16F61E8D">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136F0CA8">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40FF51D8">
            <w:pPr>
              <w:pStyle w:val="18"/>
              <w:keepNext/>
              <w:spacing w:after="0" w:line="360" w:lineRule="exact"/>
              <w:rPr>
                <w:rFonts w:hint="eastAsia" w:ascii="宋体" w:hAnsi="宋体" w:cs="宋体"/>
                <w:color w:val="auto"/>
                <w:szCs w:val="21"/>
                <w:highlight w:val="none"/>
              </w:rPr>
            </w:pPr>
          </w:p>
        </w:tc>
      </w:tr>
      <w:tr w14:paraId="14CCE6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BE07880">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技术负责人</w:t>
            </w:r>
          </w:p>
        </w:tc>
        <w:tc>
          <w:tcPr>
            <w:tcW w:w="1148" w:type="dxa"/>
            <w:noWrap w:val="0"/>
            <w:vAlign w:val="center"/>
          </w:tcPr>
          <w:p w14:paraId="394F6B0A">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12A2D4D0">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625F5E7F">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3D05D0D8">
            <w:pPr>
              <w:pStyle w:val="18"/>
              <w:keepNext/>
              <w:spacing w:after="0" w:line="360" w:lineRule="exact"/>
              <w:rPr>
                <w:rFonts w:hint="eastAsia" w:ascii="宋体" w:hAnsi="宋体" w:cs="宋体"/>
                <w:color w:val="auto"/>
                <w:szCs w:val="21"/>
                <w:highlight w:val="none"/>
              </w:rPr>
            </w:pPr>
          </w:p>
        </w:tc>
      </w:tr>
      <w:tr w14:paraId="3F9AA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E5FC74">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造价管理</w:t>
            </w:r>
          </w:p>
        </w:tc>
        <w:tc>
          <w:tcPr>
            <w:tcW w:w="1148" w:type="dxa"/>
            <w:noWrap w:val="0"/>
            <w:vAlign w:val="center"/>
          </w:tcPr>
          <w:p w14:paraId="3DC2F0E8">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354FDBD7">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511E4038">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600C832B">
            <w:pPr>
              <w:pStyle w:val="18"/>
              <w:keepNext/>
              <w:spacing w:after="0" w:line="360" w:lineRule="exact"/>
              <w:rPr>
                <w:rFonts w:hint="eastAsia" w:ascii="宋体" w:hAnsi="宋体" w:cs="宋体"/>
                <w:color w:val="auto"/>
                <w:szCs w:val="21"/>
                <w:highlight w:val="none"/>
              </w:rPr>
            </w:pPr>
          </w:p>
        </w:tc>
      </w:tr>
      <w:tr w14:paraId="3BEA7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820A912">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质量管理</w:t>
            </w:r>
          </w:p>
        </w:tc>
        <w:tc>
          <w:tcPr>
            <w:tcW w:w="1148" w:type="dxa"/>
            <w:noWrap w:val="0"/>
            <w:vAlign w:val="center"/>
          </w:tcPr>
          <w:p w14:paraId="06AAEEDE">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7CC821E3">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20A2F491">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396D4E0B">
            <w:pPr>
              <w:pStyle w:val="18"/>
              <w:keepNext/>
              <w:spacing w:after="0" w:line="360" w:lineRule="exact"/>
              <w:rPr>
                <w:rFonts w:hint="eastAsia" w:ascii="宋体" w:hAnsi="宋体" w:cs="宋体"/>
                <w:color w:val="auto"/>
                <w:szCs w:val="21"/>
                <w:highlight w:val="none"/>
              </w:rPr>
            </w:pPr>
          </w:p>
        </w:tc>
      </w:tr>
      <w:tr w14:paraId="13F78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4D0B9BA">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材料管理</w:t>
            </w:r>
          </w:p>
        </w:tc>
        <w:tc>
          <w:tcPr>
            <w:tcW w:w="1148" w:type="dxa"/>
            <w:noWrap w:val="0"/>
            <w:vAlign w:val="center"/>
          </w:tcPr>
          <w:p w14:paraId="35701055">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45146A22">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541D8AF9">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5F47C6A5">
            <w:pPr>
              <w:pStyle w:val="18"/>
              <w:keepNext/>
              <w:spacing w:after="0" w:line="360" w:lineRule="exact"/>
              <w:rPr>
                <w:rFonts w:hint="eastAsia" w:ascii="宋体" w:hAnsi="宋体" w:cs="宋体"/>
                <w:color w:val="auto"/>
                <w:szCs w:val="21"/>
                <w:highlight w:val="none"/>
              </w:rPr>
            </w:pPr>
          </w:p>
        </w:tc>
      </w:tr>
      <w:tr w14:paraId="1183E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6ACCCE7">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计划管理</w:t>
            </w:r>
          </w:p>
        </w:tc>
        <w:tc>
          <w:tcPr>
            <w:tcW w:w="1148" w:type="dxa"/>
            <w:noWrap w:val="0"/>
            <w:vAlign w:val="center"/>
          </w:tcPr>
          <w:p w14:paraId="3BB737EE">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41421D51">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28F3A088">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3E9FA888">
            <w:pPr>
              <w:pStyle w:val="18"/>
              <w:keepNext/>
              <w:spacing w:after="0" w:line="360" w:lineRule="exact"/>
              <w:rPr>
                <w:rFonts w:hint="eastAsia" w:ascii="宋体" w:hAnsi="宋体" w:cs="宋体"/>
                <w:color w:val="auto"/>
                <w:szCs w:val="21"/>
                <w:highlight w:val="none"/>
              </w:rPr>
            </w:pPr>
          </w:p>
        </w:tc>
      </w:tr>
      <w:tr w14:paraId="338D9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5E4943C">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安全管理</w:t>
            </w:r>
          </w:p>
        </w:tc>
        <w:tc>
          <w:tcPr>
            <w:tcW w:w="1148" w:type="dxa"/>
            <w:noWrap w:val="0"/>
            <w:vAlign w:val="center"/>
          </w:tcPr>
          <w:p w14:paraId="0539FDAE">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650D7E7E">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1FB46CB4">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15531EF8">
            <w:pPr>
              <w:pStyle w:val="18"/>
              <w:keepNext/>
              <w:spacing w:after="0" w:line="360" w:lineRule="exact"/>
              <w:rPr>
                <w:rFonts w:hint="eastAsia" w:ascii="宋体" w:hAnsi="宋体" w:cs="宋体"/>
                <w:color w:val="auto"/>
                <w:szCs w:val="21"/>
                <w:highlight w:val="none"/>
              </w:rPr>
            </w:pPr>
          </w:p>
        </w:tc>
      </w:tr>
      <w:tr w14:paraId="6CAA5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B18B114">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148" w:type="dxa"/>
            <w:noWrap w:val="0"/>
            <w:vAlign w:val="center"/>
          </w:tcPr>
          <w:p w14:paraId="01B4C9D5">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7144B37C">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75590C6B">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7950CAC9">
            <w:pPr>
              <w:pStyle w:val="18"/>
              <w:keepNext/>
              <w:spacing w:after="0" w:line="360" w:lineRule="exact"/>
              <w:rPr>
                <w:rFonts w:hint="eastAsia" w:ascii="宋体" w:hAnsi="宋体" w:cs="宋体"/>
                <w:color w:val="auto"/>
                <w:szCs w:val="21"/>
                <w:highlight w:val="none"/>
              </w:rPr>
            </w:pPr>
          </w:p>
        </w:tc>
      </w:tr>
      <w:tr w14:paraId="40FB8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9896E1A">
            <w:pPr>
              <w:pStyle w:val="18"/>
              <w:keepNext/>
              <w:spacing w:after="0" w:line="360" w:lineRule="exact"/>
              <w:rPr>
                <w:rFonts w:hint="eastAsia" w:ascii="宋体" w:hAnsi="宋体" w:cs="宋体"/>
                <w:color w:val="auto"/>
                <w:szCs w:val="21"/>
                <w:highlight w:val="none"/>
              </w:rPr>
            </w:pPr>
          </w:p>
        </w:tc>
        <w:tc>
          <w:tcPr>
            <w:tcW w:w="1148" w:type="dxa"/>
            <w:tcBorders>
              <w:bottom w:val="nil"/>
            </w:tcBorders>
            <w:noWrap w:val="0"/>
            <w:vAlign w:val="center"/>
          </w:tcPr>
          <w:p w14:paraId="329AF3F8">
            <w:pPr>
              <w:pStyle w:val="18"/>
              <w:keepNext/>
              <w:spacing w:after="0" w:line="360" w:lineRule="exact"/>
              <w:rPr>
                <w:rFonts w:hint="eastAsia" w:ascii="宋体" w:hAnsi="宋体" w:cs="宋体"/>
                <w:color w:val="auto"/>
                <w:szCs w:val="21"/>
                <w:highlight w:val="none"/>
              </w:rPr>
            </w:pPr>
          </w:p>
        </w:tc>
        <w:tc>
          <w:tcPr>
            <w:tcW w:w="941" w:type="dxa"/>
            <w:tcBorders>
              <w:bottom w:val="nil"/>
            </w:tcBorders>
            <w:noWrap w:val="0"/>
            <w:vAlign w:val="center"/>
          </w:tcPr>
          <w:p w14:paraId="0D0078C3">
            <w:pPr>
              <w:pStyle w:val="18"/>
              <w:keepNext/>
              <w:spacing w:after="0" w:line="360" w:lineRule="exact"/>
              <w:rPr>
                <w:rFonts w:hint="eastAsia" w:ascii="宋体" w:hAnsi="宋体" w:cs="宋体"/>
                <w:color w:val="auto"/>
                <w:szCs w:val="21"/>
                <w:highlight w:val="none"/>
              </w:rPr>
            </w:pPr>
          </w:p>
        </w:tc>
        <w:tc>
          <w:tcPr>
            <w:tcW w:w="1134" w:type="dxa"/>
            <w:tcBorders>
              <w:bottom w:val="nil"/>
            </w:tcBorders>
            <w:noWrap w:val="0"/>
            <w:vAlign w:val="center"/>
          </w:tcPr>
          <w:p w14:paraId="31F14F21">
            <w:pPr>
              <w:pStyle w:val="18"/>
              <w:keepNext/>
              <w:spacing w:after="0" w:line="360" w:lineRule="exact"/>
              <w:rPr>
                <w:rFonts w:hint="eastAsia" w:ascii="宋体" w:hAnsi="宋体" w:cs="宋体"/>
                <w:color w:val="auto"/>
                <w:szCs w:val="21"/>
                <w:highlight w:val="none"/>
              </w:rPr>
            </w:pPr>
          </w:p>
        </w:tc>
        <w:tc>
          <w:tcPr>
            <w:tcW w:w="3660" w:type="dxa"/>
            <w:tcBorders>
              <w:bottom w:val="nil"/>
            </w:tcBorders>
            <w:noWrap w:val="0"/>
            <w:vAlign w:val="center"/>
          </w:tcPr>
          <w:p w14:paraId="60CA1A03">
            <w:pPr>
              <w:pStyle w:val="18"/>
              <w:keepNext/>
              <w:spacing w:after="0" w:line="360" w:lineRule="exact"/>
              <w:rPr>
                <w:rFonts w:hint="eastAsia" w:ascii="宋体" w:hAnsi="宋体" w:cs="宋体"/>
                <w:color w:val="auto"/>
                <w:szCs w:val="21"/>
                <w:highlight w:val="none"/>
              </w:rPr>
            </w:pPr>
          </w:p>
        </w:tc>
      </w:tr>
      <w:tr w14:paraId="2186BB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823AAE9">
            <w:pPr>
              <w:pStyle w:val="18"/>
              <w:keepNext/>
              <w:spacing w:after="0" w:line="360" w:lineRule="exact"/>
              <w:rPr>
                <w:rFonts w:hint="eastAsia" w:ascii="宋体" w:hAnsi="宋体" w:cs="宋体"/>
                <w:color w:val="auto"/>
                <w:szCs w:val="21"/>
                <w:highlight w:val="none"/>
              </w:rPr>
            </w:pPr>
          </w:p>
        </w:tc>
        <w:tc>
          <w:tcPr>
            <w:tcW w:w="1148" w:type="dxa"/>
            <w:noWrap w:val="0"/>
            <w:vAlign w:val="center"/>
          </w:tcPr>
          <w:p w14:paraId="3F5FF5FD">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30E8178D">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212B541A">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50BA9E60">
            <w:pPr>
              <w:pStyle w:val="18"/>
              <w:keepNext/>
              <w:spacing w:after="0" w:line="360" w:lineRule="exact"/>
              <w:rPr>
                <w:rFonts w:hint="eastAsia" w:ascii="宋体" w:hAnsi="宋体" w:cs="宋体"/>
                <w:color w:val="auto"/>
                <w:szCs w:val="21"/>
                <w:highlight w:val="none"/>
              </w:rPr>
            </w:pPr>
          </w:p>
        </w:tc>
      </w:tr>
      <w:tr w14:paraId="5340B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FCD6748">
            <w:pPr>
              <w:pStyle w:val="18"/>
              <w:keepNext/>
              <w:spacing w:after="0" w:line="360" w:lineRule="exact"/>
              <w:rPr>
                <w:rFonts w:hint="eastAsia" w:ascii="宋体" w:hAnsi="宋体" w:cs="宋体"/>
                <w:color w:val="auto"/>
                <w:szCs w:val="21"/>
                <w:highlight w:val="none"/>
              </w:rPr>
            </w:pPr>
          </w:p>
        </w:tc>
        <w:tc>
          <w:tcPr>
            <w:tcW w:w="1148" w:type="dxa"/>
            <w:noWrap w:val="0"/>
            <w:vAlign w:val="center"/>
          </w:tcPr>
          <w:p w14:paraId="5EF2BE22">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21BDAB3D">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0F8FB11C">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36E2FD38">
            <w:pPr>
              <w:pStyle w:val="18"/>
              <w:keepNext/>
              <w:spacing w:after="0" w:line="360" w:lineRule="exact"/>
              <w:rPr>
                <w:rFonts w:hint="eastAsia" w:ascii="宋体" w:hAnsi="宋体" w:cs="宋体"/>
                <w:color w:val="auto"/>
                <w:szCs w:val="21"/>
                <w:highlight w:val="none"/>
              </w:rPr>
            </w:pPr>
          </w:p>
        </w:tc>
      </w:tr>
      <w:tr w14:paraId="12F59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8ED7103">
            <w:pPr>
              <w:pStyle w:val="18"/>
              <w:keepNext/>
              <w:spacing w:after="0" w:line="360" w:lineRule="exact"/>
              <w:rPr>
                <w:rFonts w:hint="eastAsia" w:ascii="宋体" w:hAnsi="宋体" w:cs="宋体"/>
                <w:color w:val="auto"/>
                <w:szCs w:val="21"/>
                <w:highlight w:val="none"/>
              </w:rPr>
            </w:pPr>
          </w:p>
        </w:tc>
        <w:tc>
          <w:tcPr>
            <w:tcW w:w="1148" w:type="dxa"/>
            <w:noWrap w:val="0"/>
            <w:vAlign w:val="center"/>
          </w:tcPr>
          <w:p w14:paraId="44794A21">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6FB43A55">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2E7D9E65">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09ACC576">
            <w:pPr>
              <w:pStyle w:val="18"/>
              <w:keepNext/>
              <w:spacing w:after="0" w:line="360" w:lineRule="exact"/>
              <w:rPr>
                <w:rFonts w:hint="eastAsia" w:ascii="宋体" w:hAnsi="宋体" w:cs="宋体"/>
                <w:color w:val="auto"/>
                <w:szCs w:val="21"/>
                <w:highlight w:val="none"/>
              </w:rPr>
            </w:pPr>
          </w:p>
        </w:tc>
      </w:tr>
      <w:tr w14:paraId="74951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8E7EFA7">
            <w:pPr>
              <w:pStyle w:val="18"/>
              <w:keepNext/>
              <w:spacing w:after="0" w:line="360" w:lineRule="exact"/>
              <w:rPr>
                <w:rFonts w:hint="eastAsia" w:ascii="宋体" w:hAnsi="宋体" w:cs="宋体"/>
                <w:color w:val="auto"/>
                <w:szCs w:val="21"/>
                <w:highlight w:val="none"/>
              </w:rPr>
            </w:pPr>
          </w:p>
        </w:tc>
        <w:tc>
          <w:tcPr>
            <w:tcW w:w="1148" w:type="dxa"/>
            <w:tcBorders>
              <w:bottom w:val="single" w:color="auto" w:sz="12" w:space="0"/>
            </w:tcBorders>
            <w:noWrap w:val="0"/>
            <w:vAlign w:val="center"/>
          </w:tcPr>
          <w:p w14:paraId="2A7D9DC9">
            <w:pPr>
              <w:pStyle w:val="18"/>
              <w:keepNext/>
              <w:spacing w:after="0" w:line="360" w:lineRule="exact"/>
              <w:rPr>
                <w:rFonts w:hint="eastAsia" w:ascii="宋体" w:hAnsi="宋体" w:cs="宋体"/>
                <w:color w:val="auto"/>
                <w:szCs w:val="21"/>
                <w:highlight w:val="none"/>
              </w:rPr>
            </w:pPr>
          </w:p>
        </w:tc>
        <w:tc>
          <w:tcPr>
            <w:tcW w:w="941" w:type="dxa"/>
            <w:tcBorders>
              <w:bottom w:val="single" w:color="auto" w:sz="12" w:space="0"/>
            </w:tcBorders>
            <w:noWrap w:val="0"/>
            <w:vAlign w:val="center"/>
          </w:tcPr>
          <w:p w14:paraId="5591369E">
            <w:pPr>
              <w:pStyle w:val="18"/>
              <w:keepNext/>
              <w:spacing w:after="0" w:line="360" w:lineRule="exact"/>
              <w:rPr>
                <w:rFonts w:hint="eastAsia" w:ascii="宋体" w:hAnsi="宋体" w:cs="宋体"/>
                <w:color w:val="auto"/>
                <w:szCs w:val="21"/>
                <w:highlight w:val="none"/>
              </w:rPr>
            </w:pPr>
          </w:p>
        </w:tc>
        <w:tc>
          <w:tcPr>
            <w:tcW w:w="1134" w:type="dxa"/>
            <w:tcBorders>
              <w:bottom w:val="single" w:color="auto" w:sz="12" w:space="0"/>
            </w:tcBorders>
            <w:noWrap w:val="0"/>
            <w:vAlign w:val="center"/>
          </w:tcPr>
          <w:p w14:paraId="323A9BA6">
            <w:pPr>
              <w:pStyle w:val="18"/>
              <w:keepNext/>
              <w:spacing w:after="0" w:line="360" w:lineRule="exact"/>
              <w:rPr>
                <w:rFonts w:hint="eastAsia" w:ascii="宋体" w:hAnsi="宋体" w:cs="宋体"/>
                <w:color w:val="auto"/>
                <w:szCs w:val="21"/>
                <w:highlight w:val="none"/>
              </w:rPr>
            </w:pPr>
          </w:p>
        </w:tc>
        <w:tc>
          <w:tcPr>
            <w:tcW w:w="3660" w:type="dxa"/>
            <w:tcBorders>
              <w:bottom w:val="single" w:color="auto" w:sz="12" w:space="0"/>
            </w:tcBorders>
            <w:noWrap w:val="0"/>
            <w:vAlign w:val="center"/>
          </w:tcPr>
          <w:p w14:paraId="39A4D20A">
            <w:pPr>
              <w:pStyle w:val="18"/>
              <w:keepNext/>
              <w:spacing w:after="0" w:line="360" w:lineRule="exact"/>
              <w:rPr>
                <w:rFonts w:hint="eastAsia" w:ascii="宋体" w:hAnsi="宋体" w:cs="宋体"/>
                <w:color w:val="auto"/>
                <w:szCs w:val="21"/>
                <w:highlight w:val="none"/>
              </w:rPr>
            </w:pPr>
          </w:p>
        </w:tc>
      </w:tr>
    </w:tbl>
    <w:p w14:paraId="23F16B7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附件7：</w:t>
      </w:r>
    </w:p>
    <w:p w14:paraId="07B9CE0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分包人主要施工管理人员表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3FFC5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noWrap w:val="0"/>
            <w:vAlign w:val="center"/>
          </w:tcPr>
          <w:p w14:paraId="274B59E5">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1418" w:type="dxa"/>
            <w:tcBorders>
              <w:top w:val="single" w:color="auto" w:sz="12" w:space="0"/>
              <w:bottom w:val="double" w:color="auto" w:sz="6" w:space="0"/>
            </w:tcBorders>
            <w:noWrap w:val="0"/>
            <w:vAlign w:val="center"/>
          </w:tcPr>
          <w:p w14:paraId="52B6260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928" w:type="dxa"/>
            <w:tcBorders>
              <w:top w:val="single" w:color="auto" w:sz="12" w:space="0"/>
              <w:bottom w:val="double" w:color="auto" w:sz="6" w:space="0"/>
            </w:tcBorders>
            <w:noWrap w:val="0"/>
            <w:vAlign w:val="center"/>
          </w:tcPr>
          <w:p w14:paraId="0230D3F2">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902" w:type="dxa"/>
            <w:tcBorders>
              <w:top w:val="single" w:color="auto" w:sz="12" w:space="0"/>
              <w:bottom w:val="double" w:color="auto" w:sz="6" w:space="0"/>
            </w:tcBorders>
            <w:noWrap w:val="0"/>
            <w:vAlign w:val="center"/>
          </w:tcPr>
          <w:p w14:paraId="57DAF955">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3814" w:type="dxa"/>
            <w:tcBorders>
              <w:top w:val="single" w:color="auto" w:sz="12" w:space="0"/>
              <w:bottom w:val="double" w:color="auto" w:sz="6" w:space="0"/>
            </w:tcBorders>
            <w:noWrap w:val="0"/>
            <w:vAlign w:val="center"/>
          </w:tcPr>
          <w:p w14:paraId="6E6B978C">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r>
      <w:tr w14:paraId="40C82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noWrap w:val="0"/>
            <w:vAlign w:val="center"/>
          </w:tcPr>
          <w:p w14:paraId="6BA8B2A6">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一、总部人员</w:t>
            </w:r>
          </w:p>
        </w:tc>
      </w:tr>
      <w:tr w14:paraId="7A20F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5B51BCA8">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1418" w:type="dxa"/>
            <w:tcBorders>
              <w:top w:val="nil"/>
            </w:tcBorders>
            <w:noWrap w:val="0"/>
            <w:vAlign w:val="center"/>
          </w:tcPr>
          <w:p w14:paraId="554FA74B">
            <w:pPr>
              <w:pStyle w:val="18"/>
              <w:keepNext/>
              <w:spacing w:after="0" w:line="360" w:lineRule="exact"/>
              <w:rPr>
                <w:rFonts w:hint="eastAsia" w:ascii="宋体" w:hAnsi="宋体" w:cs="宋体"/>
                <w:color w:val="auto"/>
                <w:szCs w:val="21"/>
                <w:highlight w:val="none"/>
              </w:rPr>
            </w:pPr>
          </w:p>
        </w:tc>
        <w:tc>
          <w:tcPr>
            <w:tcW w:w="928" w:type="dxa"/>
            <w:tcBorders>
              <w:top w:val="nil"/>
            </w:tcBorders>
            <w:noWrap w:val="0"/>
            <w:vAlign w:val="center"/>
          </w:tcPr>
          <w:p w14:paraId="5684B950">
            <w:pPr>
              <w:pStyle w:val="18"/>
              <w:keepNext/>
              <w:spacing w:after="0" w:line="360" w:lineRule="exact"/>
              <w:rPr>
                <w:rFonts w:hint="eastAsia" w:ascii="宋体" w:hAnsi="宋体" w:cs="宋体"/>
                <w:color w:val="auto"/>
                <w:szCs w:val="21"/>
                <w:highlight w:val="none"/>
              </w:rPr>
            </w:pPr>
          </w:p>
        </w:tc>
        <w:tc>
          <w:tcPr>
            <w:tcW w:w="902" w:type="dxa"/>
            <w:tcBorders>
              <w:top w:val="nil"/>
            </w:tcBorders>
            <w:noWrap w:val="0"/>
            <w:vAlign w:val="center"/>
          </w:tcPr>
          <w:p w14:paraId="4D502848">
            <w:pPr>
              <w:pStyle w:val="18"/>
              <w:keepNext/>
              <w:spacing w:after="0" w:line="360" w:lineRule="exact"/>
              <w:rPr>
                <w:rFonts w:hint="eastAsia" w:ascii="宋体" w:hAnsi="宋体" w:cs="宋体"/>
                <w:color w:val="auto"/>
                <w:szCs w:val="21"/>
                <w:highlight w:val="none"/>
              </w:rPr>
            </w:pPr>
          </w:p>
        </w:tc>
        <w:tc>
          <w:tcPr>
            <w:tcW w:w="3814" w:type="dxa"/>
            <w:tcBorders>
              <w:top w:val="nil"/>
            </w:tcBorders>
            <w:noWrap w:val="0"/>
            <w:vAlign w:val="center"/>
          </w:tcPr>
          <w:p w14:paraId="32BFF565">
            <w:pPr>
              <w:pStyle w:val="18"/>
              <w:keepNext/>
              <w:spacing w:after="0" w:line="360" w:lineRule="exact"/>
              <w:rPr>
                <w:rFonts w:hint="eastAsia" w:ascii="宋体" w:hAnsi="宋体" w:cs="宋体"/>
                <w:color w:val="auto"/>
                <w:szCs w:val="21"/>
                <w:highlight w:val="none"/>
              </w:rPr>
            </w:pPr>
          </w:p>
        </w:tc>
      </w:tr>
      <w:tr w14:paraId="1DBA1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noWrap w:val="0"/>
            <w:vAlign w:val="center"/>
          </w:tcPr>
          <w:p w14:paraId="4C0C6086">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5392A44D">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0B245FD8">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0F94CF29">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2FE98D4E">
            <w:pPr>
              <w:pStyle w:val="18"/>
              <w:keepNext/>
              <w:spacing w:after="0" w:line="360" w:lineRule="exact"/>
              <w:rPr>
                <w:rFonts w:hint="eastAsia" w:ascii="宋体" w:hAnsi="宋体" w:cs="宋体"/>
                <w:color w:val="auto"/>
                <w:szCs w:val="21"/>
                <w:highlight w:val="none"/>
              </w:rPr>
            </w:pPr>
          </w:p>
        </w:tc>
      </w:tr>
      <w:tr w14:paraId="2EEEE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57305D4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418" w:type="dxa"/>
            <w:noWrap w:val="0"/>
            <w:vAlign w:val="center"/>
          </w:tcPr>
          <w:p w14:paraId="4A3E811B">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67D0488B">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5955A7B0">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2FCFB42F">
            <w:pPr>
              <w:pStyle w:val="18"/>
              <w:keepNext/>
              <w:spacing w:after="0" w:line="360" w:lineRule="exact"/>
              <w:rPr>
                <w:rFonts w:hint="eastAsia" w:ascii="宋体" w:hAnsi="宋体" w:cs="宋体"/>
                <w:color w:val="auto"/>
                <w:szCs w:val="21"/>
                <w:highlight w:val="none"/>
              </w:rPr>
            </w:pPr>
          </w:p>
        </w:tc>
      </w:tr>
      <w:tr w14:paraId="4C580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188CBC90">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59EA6D77">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755F3114">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56AF8E46">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437523AC">
            <w:pPr>
              <w:pStyle w:val="18"/>
              <w:keepNext/>
              <w:spacing w:after="0" w:line="360" w:lineRule="exact"/>
              <w:rPr>
                <w:rFonts w:hint="eastAsia" w:ascii="宋体" w:hAnsi="宋体" w:cs="宋体"/>
                <w:color w:val="auto"/>
                <w:szCs w:val="21"/>
                <w:highlight w:val="none"/>
              </w:rPr>
            </w:pPr>
          </w:p>
        </w:tc>
      </w:tr>
      <w:tr w14:paraId="0BD49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noWrap w:val="0"/>
            <w:vAlign w:val="center"/>
          </w:tcPr>
          <w:p w14:paraId="42E9BD72">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二、现场人员</w:t>
            </w:r>
          </w:p>
        </w:tc>
      </w:tr>
      <w:tr w14:paraId="6C82C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5C1AAC6B">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1418" w:type="dxa"/>
            <w:noWrap w:val="0"/>
            <w:vAlign w:val="center"/>
          </w:tcPr>
          <w:p w14:paraId="3457D3A8">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022D15FE">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5B526B01">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7CC8F9A1">
            <w:pPr>
              <w:pStyle w:val="18"/>
              <w:keepNext/>
              <w:spacing w:after="0" w:line="360" w:lineRule="exact"/>
              <w:rPr>
                <w:rFonts w:hint="eastAsia" w:ascii="宋体" w:hAnsi="宋体" w:cs="宋体"/>
                <w:color w:val="auto"/>
                <w:szCs w:val="21"/>
                <w:highlight w:val="none"/>
              </w:rPr>
            </w:pPr>
          </w:p>
        </w:tc>
      </w:tr>
      <w:tr w14:paraId="6949F4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476E5AA4">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项目副经理</w:t>
            </w:r>
          </w:p>
        </w:tc>
        <w:tc>
          <w:tcPr>
            <w:tcW w:w="1418" w:type="dxa"/>
            <w:noWrap w:val="0"/>
            <w:vAlign w:val="center"/>
          </w:tcPr>
          <w:p w14:paraId="1D2DE163">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3556999E">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2DFC76A3">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62AC8A0B">
            <w:pPr>
              <w:pStyle w:val="18"/>
              <w:keepNext/>
              <w:spacing w:after="0" w:line="360" w:lineRule="exact"/>
              <w:rPr>
                <w:rFonts w:hint="eastAsia" w:ascii="宋体" w:hAnsi="宋体" w:cs="宋体"/>
                <w:color w:val="auto"/>
                <w:szCs w:val="21"/>
                <w:highlight w:val="none"/>
              </w:rPr>
            </w:pPr>
          </w:p>
        </w:tc>
      </w:tr>
      <w:tr w14:paraId="443F7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08C53BFC">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技术负责人</w:t>
            </w:r>
          </w:p>
        </w:tc>
        <w:tc>
          <w:tcPr>
            <w:tcW w:w="1418" w:type="dxa"/>
            <w:noWrap w:val="0"/>
            <w:vAlign w:val="center"/>
          </w:tcPr>
          <w:p w14:paraId="69BE1557">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45D7CB2F">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489D6E16">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32DEB4E7">
            <w:pPr>
              <w:pStyle w:val="18"/>
              <w:keepNext/>
              <w:spacing w:after="0" w:line="360" w:lineRule="exact"/>
              <w:rPr>
                <w:rFonts w:hint="eastAsia" w:ascii="宋体" w:hAnsi="宋体" w:cs="宋体"/>
                <w:color w:val="auto"/>
                <w:szCs w:val="21"/>
                <w:highlight w:val="none"/>
              </w:rPr>
            </w:pPr>
          </w:p>
        </w:tc>
      </w:tr>
      <w:tr w14:paraId="77ECD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239400FB">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造价管理</w:t>
            </w:r>
          </w:p>
        </w:tc>
        <w:tc>
          <w:tcPr>
            <w:tcW w:w="1418" w:type="dxa"/>
            <w:noWrap w:val="0"/>
            <w:vAlign w:val="center"/>
          </w:tcPr>
          <w:p w14:paraId="1FD3B71D">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5E62D8BE">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2665AF16">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6CD5ADD4">
            <w:pPr>
              <w:pStyle w:val="18"/>
              <w:keepNext/>
              <w:spacing w:after="0" w:line="360" w:lineRule="exact"/>
              <w:rPr>
                <w:rFonts w:hint="eastAsia" w:ascii="宋体" w:hAnsi="宋体" w:cs="宋体"/>
                <w:color w:val="auto"/>
                <w:szCs w:val="21"/>
                <w:highlight w:val="none"/>
              </w:rPr>
            </w:pPr>
          </w:p>
        </w:tc>
      </w:tr>
      <w:tr w14:paraId="2C9EA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A8DF388">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质量管理</w:t>
            </w:r>
          </w:p>
        </w:tc>
        <w:tc>
          <w:tcPr>
            <w:tcW w:w="1418" w:type="dxa"/>
            <w:noWrap w:val="0"/>
            <w:vAlign w:val="center"/>
          </w:tcPr>
          <w:p w14:paraId="5C8227B6">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46564567">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7BB6BD66">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3965674A">
            <w:pPr>
              <w:pStyle w:val="18"/>
              <w:keepNext/>
              <w:spacing w:after="0" w:line="360" w:lineRule="exact"/>
              <w:rPr>
                <w:rFonts w:hint="eastAsia" w:ascii="宋体" w:hAnsi="宋体" w:cs="宋体"/>
                <w:color w:val="auto"/>
                <w:szCs w:val="21"/>
                <w:highlight w:val="none"/>
              </w:rPr>
            </w:pPr>
          </w:p>
        </w:tc>
      </w:tr>
      <w:tr w14:paraId="736C5B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6087EE00">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材料管理</w:t>
            </w:r>
          </w:p>
        </w:tc>
        <w:tc>
          <w:tcPr>
            <w:tcW w:w="1418" w:type="dxa"/>
            <w:noWrap w:val="0"/>
            <w:vAlign w:val="center"/>
          </w:tcPr>
          <w:p w14:paraId="1EFF92DF">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14657F90">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73DA77AF">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01B726AF">
            <w:pPr>
              <w:pStyle w:val="18"/>
              <w:keepNext/>
              <w:spacing w:after="0" w:line="360" w:lineRule="exact"/>
              <w:rPr>
                <w:rFonts w:hint="eastAsia" w:ascii="宋体" w:hAnsi="宋体" w:cs="宋体"/>
                <w:color w:val="auto"/>
                <w:szCs w:val="21"/>
                <w:highlight w:val="none"/>
              </w:rPr>
            </w:pPr>
          </w:p>
        </w:tc>
      </w:tr>
      <w:tr w14:paraId="15237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6354500E">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计划管理</w:t>
            </w:r>
          </w:p>
        </w:tc>
        <w:tc>
          <w:tcPr>
            <w:tcW w:w="1418" w:type="dxa"/>
            <w:noWrap w:val="0"/>
            <w:vAlign w:val="center"/>
          </w:tcPr>
          <w:p w14:paraId="522378E5">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32045B8D">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140B518E">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7837903B">
            <w:pPr>
              <w:pStyle w:val="18"/>
              <w:keepNext/>
              <w:spacing w:after="0" w:line="360" w:lineRule="exact"/>
              <w:rPr>
                <w:rFonts w:hint="eastAsia" w:ascii="宋体" w:hAnsi="宋体" w:cs="宋体"/>
                <w:color w:val="auto"/>
                <w:szCs w:val="21"/>
                <w:highlight w:val="none"/>
              </w:rPr>
            </w:pPr>
          </w:p>
        </w:tc>
      </w:tr>
      <w:tr w14:paraId="07E268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93C654A">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安全管理</w:t>
            </w:r>
          </w:p>
        </w:tc>
        <w:tc>
          <w:tcPr>
            <w:tcW w:w="1418" w:type="dxa"/>
            <w:noWrap w:val="0"/>
            <w:vAlign w:val="center"/>
          </w:tcPr>
          <w:p w14:paraId="79AD4728">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309E00E8">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22BE2982">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26262B0E">
            <w:pPr>
              <w:pStyle w:val="18"/>
              <w:keepNext/>
              <w:spacing w:after="0" w:line="360" w:lineRule="exact"/>
              <w:rPr>
                <w:rFonts w:hint="eastAsia" w:ascii="宋体" w:hAnsi="宋体" w:cs="宋体"/>
                <w:color w:val="auto"/>
                <w:szCs w:val="21"/>
                <w:highlight w:val="none"/>
              </w:rPr>
            </w:pPr>
          </w:p>
        </w:tc>
      </w:tr>
      <w:tr w14:paraId="6E143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noWrap w:val="0"/>
            <w:vAlign w:val="center"/>
          </w:tcPr>
          <w:p w14:paraId="1C46BD1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418" w:type="dxa"/>
            <w:noWrap w:val="0"/>
            <w:vAlign w:val="center"/>
          </w:tcPr>
          <w:p w14:paraId="4A817102">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796B0DDE">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739ADB12">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0046EFD6">
            <w:pPr>
              <w:pStyle w:val="18"/>
              <w:keepNext/>
              <w:spacing w:after="0" w:line="360" w:lineRule="exact"/>
              <w:rPr>
                <w:rFonts w:hint="eastAsia" w:ascii="宋体" w:hAnsi="宋体" w:cs="宋体"/>
                <w:color w:val="auto"/>
                <w:szCs w:val="21"/>
                <w:highlight w:val="none"/>
              </w:rPr>
            </w:pPr>
          </w:p>
        </w:tc>
      </w:tr>
      <w:tr w14:paraId="06E99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4D7A8124">
            <w:pPr>
              <w:pStyle w:val="18"/>
              <w:keepNext/>
              <w:spacing w:after="0" w:line="360" w:lineRule="exact"/>
              <w:rPr>
                <w:rFonts w:hint="eastAsia" w:ascii="宋体" w:hAnsi="宋体" w:cs="宋体"/>
                <w:color w:val="auto"/>
                <w:szCs w:val="21"/>
                <w:highlight w:val="none"/>
              </w:rPr>
            </w:pPr>
          </w:p>
        </w:tc>
        <w:tc>
          <w:tcPr>
            <w:tcW w:w="1418" w:type="dxa"/>
            <w:tcBorders>
              <w:bottom w:val="nil"/>
            </w:tcBorders>
            <w:noWrap w:val="0"/>
            <w:vAlign w:val="center"/>
          </w:tcPr>
          <w:p w14:paraId="6E3C271A">
            <w:pPr>
              <w:pStyle w:val="18"/>
              <w:keepNext/>
              <w:spacing w:after="0" w:line="360" w:lineRule="exact"/>
              <w:rPr>
                <w:rFonts w:hint="eastAsia" w:ascii="宋体" w:hAnsi="宋体" w:cs="宋体"/>
                <w:color w:val="auto"/>
                <w:szCs w:val="21"/>
                <w:highlight w:val="none"/>
              </w:rPr>
            </w:pPr>
          </w:p>
        </w:tc>
        <w:tc>
          <w:tcPr>
            <w:tcW w:w="928" w:type="dxa"/>
            <w:tcBorders>
              <w:bottom w:val="nil"/>
            </w:tcBorders>
            <w:noWrap w:val="0"/>
            <w:vAlign w:val="center"/>
          </w:tcPr>
          <w:p w14:paraId="06A5C418">
            <w:pPr>
              <w:pStyle w:val="18"/>
              <w:keepNext/>
              <w:spacing w:after="0" w:line="360" w:lineRule="exact"/>
              <w:rPr>
                <w:rFonts w:hint="eastAsia" w:ascii="宋体" w:hAnsi="宋体" w:cs="宋体"/>
                <w:color w:val="auto"/>
                <w:szCs w:val="21"/>
                <w:highlight w:val="none"/>
              </w:rPr>
            </w:pPr>
          </w:p>
        </w:tc>
        <w:tc>
          <w:tcPr>
            <w:tcW w:w="902" w:type="dxa"/>
            <w:tcBorders>
              <w:bottom w:val="nil"/>
            </w:tcBorders>
            <w:noWrap w:val="0"/>
            <w:vAlign w:val="center"/>
          </w:tcPr>
          <w:p w14:paraId="304D6AF5">
            <w:pPr>
              <w:pStyle w:val="18"/>
              <w:keepNext/>
              <w:spacing w:after="0" w:line="360" w:lineRule="exact"/>
              <w:rPr>
                <w:rFonts w:hint="eastAsia" w:ascii="宋体" w:hAnsi="宋体" w:cs="宋体"/>
                <w:color w:val="auto"/>
                <w:szCs w:val="21"/>
                <w:highlight w:val="none"/>
              </w:rPr>
            </w:pPr>
          </w:p>
        </w:tc>
        <w:tc>
          <w:tcPr>
            <w:tcW w:w="3814" w:type="dxa"/>
            <w:tcBorders>
              <w:bottom w:val="nil"/>
            </w:tcBorders>
            <w:noWrap w:val="0"/>
            <w:vAlign w:val="center"/>
          </w:tcPr>
          <w:p w14:paraId="2B96EE9F">
            <w:pPr>
              <w:pStyle w:val="18"/>
              <w:keepNext/>
              <w:spacing w:after="0" w:line="360" w:lineRule="exact"/>
              <w:rPr>
                <w:rFonts w:hint="eastAsia" w:ascii="宋体" w:hAnsi="宋体" w:cs="宋体"/>
                <w:color w:val="auto"/>
                <w:szCs w:val="21"/>
                <w:highlight w:val="none"/>
              </w:rPr>
            </w:pPr>
          </w:p>
        </w:tc>
      </w:tr>
      <w:tr w14:paraId="6FEAB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52A6B0E">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35FBABD4">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00154956">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166ED150">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219D7402">
            <w:pPr>
              <w:pStyle w:val="18"/>
              <w:keepNext/>
              <w:spacing w:after="0" w:line="360" w:lineRule="exact"/>
              <w:rPr>
                <w:rFonts w:hint="eastAsia" w:ascii="宋体" w:hAnsi="宋体" w:cs="宋体"/>
                <w:color w:val="auto"/>
                <w:szCs w:val="21"/>
                <w:highlight w:val="none"/>
              </w:rPr>
            </w:pPr>
          </w:p>
        </w:tc>
      </w:tr>
      <w:tr w14:paraId="4F065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2FCD6BA5">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23BEC498">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16C8621C">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4CACD9E8">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759A8782">
            <w:pPr>
              <w:pStyle w:val="18"/>
              <w:keepNext/>
              <w:spacing w:after="0" w:line="360" w:lineRule="exact"/>
              <w:rPr>
                <w:rFonts w:hint="eastAsia" w:ascii="宋体" w:hAnsi="宋体" w:cs="宋体"/>
                <w:color w:val="auto"/>
                <w:szCs w:val="21"/>
                <w:highlight w:val="none"/>
              </w:rPr>
            </w:pPr>
          </w:p>
        </w:tc>
      </w:tr>
      <w:tr w14:paraId="25767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7DD78E0">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4A4A2F19">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674135CA">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13A72844">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6B846015">
            <w:pPr>
              <w:pStyle w:val="18"/>
              <w:keepNext/>
              <w:spacing w:after="0" w:line="360" w:lineRule="exact"/>
              <w:rPr>
                <w:rFonts w:hint="eastAsia" w:ascii="宋体" w:hAnsi="宋体" w:cs="宋体"/>
                <w:color w:val="auto"/>
                <w:szCs w:val="21"/>
                <w:highlight w:val="none"/>
              </w:rPr>
            </w:pPr>
          </w:p>
        </w:tc>
      </w:tr>
      <w:tr w14:paraId="6562D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noWrap w:val="0"/>
            <w:vAlign w:val="center"/>
          </w:tcPr>
          <w:p w14:paraId="72893BAA">
            <w:pPr>
              <w:pStyle w:val="18"/>
              <w:keepNext/>
              <w:spacing w:after="0" w:line="360" w:lineRule="exact"/>
              <w:rPr>
                <w:rFonts w:hint="eastAsia" w:ascii="宋体" w:hAnsi="宋体" w:cs="宋体"/>
                <w:color w:val="auto"/>
                <w:szCs w:val="21"/>
                <w:highlight w:val="none"/>
              </w:rPr>
            </w:pPr>
          </w:p>
        </w:tc>
        <w:tc>
          <w:tcPr>
            <w:tcW w:w="1418" w:type="dxa"/>
            <w:tcBorders>
              <w:bottom w:val="single" w:color="auto" w:sz="12" w:space="0"/>
            </w:tcBorders>
            <w:noWrap w:val="0"/>
            <w:vAlign w:val="center"/>
          </w:tcPr>
          <w:p w14:paraId="402FC188">
            <w:pPr>
              <w:pStyle w:val="18"/>
              <w:keepNext/>
              <w:spacing w:after="0" w:line="360" w:lineRule="exact"/>
              <w:rPr>
                <w:rFonts w:hint="eastAsia" w:ascii="宋体" w:hAnsi="宋体" w:cs="宋体"/>
                <w:color w:val="auto"/>
                <w:szCs w:val="21"/>
                <w:highlight w:val="none"/>
              </w:rPr>
            </w:pPr>
          </w:p>
        </w:tc>
        <w:tc>
          <w:tcPr>
            <w:tcW w:w="928" w:type="dxa"/>
            <w:tcBorders>
              <w:bottom w:val="single" w:color="auto" w:sz="12" w:space="0"/>
            </w:tcBorders>
            <w:noWrap w:val="0"/>
            <w:vAlign w:val="center"/>
          </w:tcPr>
          <w:p w14:paraId="4297CA57">
            <w:pPr>
              <w:pStyle w:val="18"/>
              <w:keepNext/>
              <w:spacing w:after="0" w:line="360" w:lineRule="exact"/>
              <w:rPr>
                <w:rFonts w:hint="eastAsia" w:ascii="宋体" w:hAnsi="宋体" w:cs="宋体"/>
                <w:color w:val="auto"/>
                <w:szCs w:val="21"/>
                <w:highlight w:val="none"/>
              </w:rPr>
            </w:pPr>
          </w:p>
        </w:tc>
        <w:tc>
          <w:tcPr>
            <w:tcW w:w="902" w:type="dxa"/>
            <w:tcBorders>
              <w:bottom w:val="single" w:color="auto" w:sz="12" w:space="0"/>
            </w:tcBorders>
            <w:noWrap w:val="0"/>
            <w:vAlign w:val="center"/>
          </w:tcPr>
          <w:p w14:paraId="57E9FFD9">
            <w:pPr>
              <w:pStyle w:val="18"/>
              <w:keepNext/>
              <w:spacing w:after="0" w:line="360" w:lineRule="exact"/>
              <w:rPr>
                <w:rFonts w:hint="eastAsia" w:ascii="宋体" w:hAnsi="宋体" w:cs="宋体"/>
                <w:color w:val="auto"/>
                <w:szCs w:val="21"/>
                <w:highlight w:val="none"/>
              </w:rPr>
            </w:pPr>
          </w:p>
        </w:tc>
        <w:tc>
          <w:tcPr>
            <w:tcW w:w="3814" w:type="dxa"/>
            <w:tcBorders>
              <w:bottom w:val="single" w:color="auto" w:sz="12" w:space="0"/>
            </w:tcBorders>
            <w:noWrap w:val="0"/>
            <w:vAlign w:val="center"/>
          </w:tcPr>
          <w:p w14:paraId="16984C2C">
            <w:pPr>
              <w:pStyle w:val="18"/>
              <w:keepNext/>
              <w:spacing w:after="0" w:line="360" w:lineRule="exact"/>
              <w:rPr>
                <w:rFonts w:hint="eastAsia" w:ascii="宋体" w:hAnsi="宋体" w:cs="宋体"/>
                <w:color w:val="auto"/>
                <w:szCs w:val="21"/>
                <w:highlight w:val="none"/>
              </w:rPr>
            </w:pPr>
          </w:p>
        </w:tc>
      </w:tr>
    </w:tbl>
    <w:p w14:paraId="1579F66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附件8：</w:t>
      </w:r>
    </w:p>
    <w:p w14:paraId="35CA95E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履约担保</w:t>
      </w:r>
    </w:p>
    <w:p w14:paraId="781C99E9">
      <w:pPr>
        <w:spacing w:line="360" w:lineRule="exac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75EDC41B">
      <w:pPr>
        <w:spacing w:line="360" w:lineRule="exact"/>
        <w:rPr>
          <w:rFonts w:hint="eastAsia" w:ascii="宋体" w:hAnsi="宋体" w:cs="宋体"/>
          <w:color w:val="auto"/>
          <w:szCs w:val="21"/>
          <w:highlight w:val="none"/>
        </w:rPr>
      </w:pPr>
    </w:p>
    <w:p w14:paraId="5611FAB9">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p>
    <w:p w14:paraId="31554ED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（工程名称）施工及有关事项协商一致共同签订《建设工程施工合同》。我方愿意无条件地、不可撤销地就承包人履行与你方签订的合同，向你方提供连带责任担保。 </w:t>
      </w:r>
    </w:p>
    <w:p w14:paraId="0AC8D999">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0DC8C9">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459894B6">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17070328">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36041F48">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1C88E8C0">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8927BC0">
      <w:pPr>
        <w:spacing w:line="360" w:lineRule="exact"/>
        <w:rPr>
          <w:rFonts w:hint="eastAsia" w:ascii="宋体" w:hAnsi="宋体" w:cs="宋体"/>
          <w:color w:val="auto"/>
          <w:szCs w:val="21"/>
          <w:highlight w:val="none"/>
        </w:rPr>
      </w:pPr>
    </w:p>
    <w:p w14:paraId="5E6A1A2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75275E9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471EA1C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5EC01D1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005CC4C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2F28CDF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649DD4FC">
      <w:pPr>
        <w:spacing w:line="360" w:lineRule="exact"/>
        <w:jc w:val="left"/>
        <w:rPr>
          <w:rFonts w:hint="eastAsia" w:ascii="宋体" w:hAnsi="宋体" w:cs="宋体"/>
          <w:color w:val="auto"/>
          <w:szCs w:val="21"/>
          <w:highlight w:val="none"/>
          <w:u w:val="single"/>
        </w:rPr>
      </w:pPr>
    </w:p>
    <w:p w14:paraId="0E460C24">
      <w:pPr>
        <w:spacing w:line="360" w:lineRule="exact"/>
        <w:ind w:left="1329" w:hanging="1519" w:hangingChars="633"/>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74457C7">
      <w:pPr>
        <w:spacing w:line="360" w:lineRule="exact"/>
        <w:ind w:left="1329" w:hanging="1519" w:hangingChars="633"/>
        <w:rPr>
          <w:rFonts w:hint="eastAsia" w:ascii="宋体" w:hAnsi="宋体" w:cs="宋体"/>
          <w:color w:val="auto"/>
          <w:szCs w:val="21"/>
          <w:highlight w:val="none"/>
        </w:rPr>
      </w:pPr>
    </w:p>
    <w:p w14:paraId="06079B6F">
      <w:pPr>
        <w:spacing w:line="360" w:lineRule="exact"/>
        <w:ind w:left="1329" w:hanging="1519" w:hangingChars="633"/>
        <w:rPr>
          <w:rFonts w:hint="eastAsia" w:ascii="宋体" w:hAnsi="宋体" w:cs="宋体"/>
          <w:color w:val="auto"/>
          <w:szCs w:val="21"/>
          <w:highlight w:val="none"/>
        </w:rPr>
      </w:pPr>
    </w:p>
    <w:p w14:paraId="29987046">
      <w:pPr>
        <w:spacing w:line="360" w:lineRule="exact"/>
        <w:ind w:left="1329" w:hanging="1519" w:hangingChars="633"/>
        <w:rPr>
          <w:rFonts w:hint="eastAsia" w:ascii="宋体" w:hAnsi="宋体" w:cs="宋体"/>
          <w:color w:val="auto"/>
          <w:szCs w:val="21"/>
          <w:highlight w:val="none"/>
        </w:rPr>
      </w:pPr>
    </w:p>
    <w:p w14:paraId="35CBEDDF">
      <w:pPr>
        <w:spacing w:line="360" w:lineRule="exact"/>
        <w:ind w:left="1329" w:hanging="1519" w:hangingChars="633"/>
        <w:rPr>
          <w:rFonts w:hint="eastAsia" w:ascii="宋体" w:hAnsi="宋体" w:cs="宋体"/>
          <w:color w:val="auto"/>
          <w:szCs w:val="21"/>
          <w:highlight w:val="none"/>
        </w:rPr>
      </w:pPr>
    </w:p>
    <w:p w14:paraId="04440961">
      <w:pPr>
        <w:spacing w:line="360" w:lineRule="exact"/>
        <w:ind w:left="1329" w:hanging="1519" w:hangingChars="633"/>
        <w:rPr>
          <w:rFonts w:hint="eastAsia" w:ascii="宋体" w:hAnsi="宋体" w:cs="宋体"/>
          <w:color w:val="auto"/>
          <w:szCs w:val="21"/>
          <w:highlight w:val="none"/>
        </w:rPr>
      </w:pPr>
    </w:p>
    <w:p w14:paraId="4E933735">
      <w:pPr>
        <w:spacing w:line="360" w:lineRule="exact"/>
        <w:ind w:left="1329" w:hanging="1519" w:hangingChars="633"/>
        <w:rPr>
          <w:rFonts w:hint="eastAsia" w:ascii="宋体" w:hAnsi="宋体" w:cs="宋体"/>
          <w:color w:val="auto"/>
          <w:szCs w:val="21"/>
          <w:highlight w:val="none"/>
        </w:rPr>
      </w:pPr>
    </w:p>
    <w:p w14:paraId="47B72245">
      <w:pPr>
        <w:spacing w:line="360" w:lineRule="exact"/>
        <w:ind w:left="1329" w:hanging="1519" w:hangingChars="633"/>
        <w:rPr>
          <w:rFonts w:hint="eastAsia" w:ascii="宋体" w:hAnsi="宋体" w:cs="宋体"/>
          <w:color w:val="auto"/>
          <w:szCs w:val="21"/>
          <w:highlight w:val="none"/>
        </w:rPr>
      </w:pPr>
    </w:p>
    <w:p w14:paraId="6B32B11C">
      <w:pPr>
        <w:spacing w:line="360" w:lineRule="exact"/>
        <w:ind w:left="1329" w:hanging="1519" w:hangingChars="633"/>
        <w:rPr>
          <w:rFonts w:hint="eastAsia" w:ascii="宋体" w:hAnsi="宋体" w:cs="宋体"/>
          <w:color w:val="auto"/>
          <w:szCs w:val="21"/>
          <w:highlight w:val="none"/>
        </w:rPr>
      </w:pPr>
    </w:p>
    <w:p w14:paraId="7A528DC5">
      <w:pPr>
        <w:spacing w:line="360" w:lineRule="exact"/>
        <w:ind w:left="1329" w:hanging="1519" w:hangingChars="633"/>
        <w:rPr>
          <w:rFonts w:hint="eastAsia" w:ascii="宋体" w:hAnsi="宋体" w:cs="宋体"/>
          <w:color w:val="auto"/>
          <w:szCs w:val="21"/>
          <w:highlight w:val="none"/>
        </w:rPr>
      </w:pPr>
    </w:p>
    <w:p w14:paraId="40558577">
      <w:pPr>
        <w:spacing w:line="360" w:lineRule="exact"/>
        <w:ind w:left="1329" w:hanging="1519" w:hangingChars="633"/>
        <w:rPr>
          <w:rFonts w:hint="eastAsia" w:ascii="宋体" w:hAnsi="宋体" w:cs="宋体"/>
          <w:color w:val="auto"/>
          <w:szCs w:val="21"/>
          <w:highlight w:val="none"/>
        </w:rPr>
      </w:pPr>
    </w:p>
    <w:p w14:paraId="6E040028">
      <w:pPr>
        <w:pStyle w:val="18"/>
        <w:rPr>
          <w:rFonts w:hint="eastAsia" w:ascii="宋体" w:hAnsi="宋体" w:cs="宋体"/>
          <w:color w:val="auto"/>
          <w:szCs w:val="21"/>
          <w:highlight w:val="none"/>
        </w:rPr>
      </w:pPr>
    </w:p>
    <w:p w14:paraId="0A34F80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w:t>
      </w:r>
      <w:bookmarkStart w:id="1757" w:name="_Toc296891060"/>
      <w:bookmarkStart w:id="1758" w:name="_Toc296503232"/>
      <w:bookmarkStart w:id="1759" w:name="_Toc267261702"/>
      <w:bookmarkStart w:id="1760" w:name="_Toc296944571"/>
      <w:bookmarkStart w:id="1761" w:name="_Toc296891272"/>
      <w:bookmarkStart w:id="1762" w:name="_Toc296346733"/>
      <w:bookmarkStart w:id="1763" w:name="_Toc296347231"/>
      <w:r>
        <w:rPr>
          <w:rFonts w:hint="eastAsia" w:ascii="宋体" w:hAnsi="宋体" w:cs="宋体"/>
          <w:color w:val="auto"/>
          <w:szCs w:val="21"/>
          <w:highlight w:val="none"/>
        </w:rPr>
        <w:t>件9 ：</w:t>
      </w:r>
    </w:p>
    <w:bookmarkEnd w:id="1757"/>
    <w:bookmarkEnd w:id="1758"/>
    <w:bookmarkEnd w:id="1759"/>
    <w:bookmarkEnd w:id="1760"/>
    <w:bookmarkEnd w:id="1761"/>
    <w:bookmarkEnd w:id="1762"/>
    <w:bookmarkEnd w:id="1763"/>
    <w:p w14:paraId="31F44496">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预付款担保</w:t>
      </w:r>
    </w:p>
    <w:p w14:paraId="1588051C">
      <w:pPr>
        <w:spacing w:line="360" w:lineRule="exac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4C4C61B9">
      <w:pPr>
        <w:spacing w:line="360" w:lineRule="exact"/>
        <w:rPr>
          <w:rFonts w:hint="eastAsia" w:ascii="宋体" w:hAnsi="宋体" w:cs="宋体"/>
          <w:color w:val="auto"/>
          <w:szCs w:val="21"/>
          <w:highlight w:val="none"/>
        </w:rPr>
      </w:pPr>
    </w:p>
    <w:p w14:paraId="48397E65">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（承包人名称）（以下称“承包人”）与</w:t>
      </w:r>
    </w:p>
    <w:p w14:paraId="1194A738">
      <w:pPr>
        <w:spacing w:line="360" w:lineRule="exact"/>
        <w:outlineLvl w:val="9"/>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bookmarkStart w:id="1764" w:name="_Toc29110"/>
      <w:bookmarkStart w:id="1765" w:name="_Toc19561"/>
      <w:bookmarkStart w:id="1766" w:name="_Toc23079"/>
      <w:bookmarkStart w:id="1767" w:name="_Toc22636"/>
      <w:r>
        <w:rPr>
          <w:rFonts w:hint="eastAsia" w:ascii="宋体" w:hAnsi="宋体" w:cs="宋体"/>
          <w:color w:val="auto"/>
          <w:szCs w:val="21"/>
          <w:highlight w:val="none"/>
        </w:rPr>
        <w:t>（发包人名称）（以下简称“发包人”）</w:t>
      </w:r>
      <w:bookmarkEnd w:id="1764"/>
      <w:bookmarkEnd w:id="1765"/>
      <w:bookmarkEnd w:id="1766"/>
      <w:bookmarkEnd w:id="1767"/>
    </w:p>
    <w:p w14:paraId="5D41CEF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20F464D0">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67CDB8">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473FF0A5">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315D6C6A">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1294371E">
      <w:pPr>
        <w:spacing w:line="360" w:lineRule="exact"/>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19EE927C">
      <w:pPr>
        <w:spacing w:line="360" w:lineRule="exact"/>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51506BE">
      <w:pPr>
        <w:spacing w:line="360" w:lineRule="exact"/>
        <w:rPr>
          <w:rFonts w:hint="eastAsia" w:ascii="宋体" w:hAnsi="宋体" w:cs="宋体"/>
          <w:color w:val="auto"/>
          <w:szCs w:val="21"/>
          <w:highlight w:val="none"/>
        </w:rPr>
      </w:pPr>
    </w:p>
    <w:p w14:paraId="07E387DE">
      <w:pPr>
        <w:spacing w:line="360" w:lineRule="exact"/>
        <w:rPr>
          <w:rFonts w:hint="eastAsia" w:ascii="宋体" w:hAnsi="宋体" w:cs="宋体"/>
          <w:color w:val="auto"/>
          <w:szCs w:val="21"/>
          <w:highlight w:val="none"/>
        </w:rPr>
      </w:pPr>
    </w:p>
    <w:p w14:paraId="21AA361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2D7F0C5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C05C7F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62CDD67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79CB5E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8A662A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7069B8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09046AB5">
      <w:pPr>
        <w:spacing w:line="360" w:lineRule="exact"/>
        <w:rPr>
          <w:rFonts w:hint="eastAsia" w:ascii="宋体" w:hAnsi="宋体" w:cs="宋体"/>
          <w:color w:val="auto"/>
          <w:szCs w:val="21"/>
          <w:highlight w:val="none"/>
          <w:u w:val="single"/>
        </w:rPr>
      </w:pPr>
    </w:p>
    <w:p w14:paraId="21F5EDD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8D4FEAB">
      <w:pPr>
        <w:spacing w:line="440" w:lineRule="exact"/>
        <w:rPr>
          <w:rFonts w:hint="eastAsia" w:ascii="宋体" w:hAnsi="宋体" w:cs="宋体"/>
          <w:color w:val="auto"/>
          <w:szCs w:val="21"/>
          <w:highlight w:val="none"/>
        </w:rPr>
      </w:pPr>
      <w:r>
        <w:rPr>
          <w:rFonts w:eastAsia="仿宋_GB2312"/>
          <w:b/>
          <w:color w:val="auto"/>
          <w:sz w:val="30"/>
          <w:szCs w:val="30"/>
          <w:highlight w:val="none"/>
        </w:rPr>
        <w:br w:type="page"/>
      </w:r>
      <w:r>
        <w:rPr>
          <w:rFonts w:hint="eastAsia" w:ascii="宋体" w:hAnsi="宋体" w:cs="宋体"/>
          <w:color w:val="auto"/>
          <w:szCs w:val="21"/>
          <w:highlight w:val="none"/>
        </w:rPr>
        <w:t xml:space="preserve">附件10:  </w:t>
      </w:r>
    </w:p>
    <w:p w14:paraId="0A4D365A">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支付担保</w:t>
      </w:r>
    </w:p>
    <w:p w14:paraId="4B7C64AD">
      <w:pPr>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4E9B918C">
      <w:pPr>
        <w:spacing w:line="440" w:lineRule="exact"/>
        <w:jc w:val="left"/>
        <w:rPr>
          <w:rFonts w:hint="eastAsia" w:ascii="宋体" w:hAnsi="宋体" w:cs="宋体"/>
          <w:color w:val="auto"/>
          <w:szCs w:val="21"/>
          <w:highlight w:val="none"/>
        </w:rPr>
      </w:pPr>
    </w:p>
    <w:p w14:paraId="46DE7D8B">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1EB0E9D3">
      <w:pPr>
        <w:spacing w:line="360" w:lineRule="auto"/>
        <w:ind w:firstLine="480" w:firstLineChars="200"/>
        <w:jc w:val="left"/>
        <w:outlineLvl w:val="0"/>
        <w:rPr>
          <w:rFonts w:hint="eastAsia" w:ascii="宋体" w:hAnsi="宋体" w:cs="宋体"/>
          <w:color w:val="auto"/>
          <w:szCs w:val="21"/>
          <w:highlight w:val="none"/>
        </w:rPr>
      </w:pPr>
      <w:bookmarkStart w:id="1768" w:name="_Toc31131"/>
      <w:bookmarkStart w:id="1769" w:name="_Toc25394"/>
      <w:bookmarkStart w:id="1770" w:name="_Toc20380"/>
      <w:bookmarkStart w:id="1771" w:name="_Toc25964"/>
      <w:r>
        <w:rPr>
          <w:rFonts w:hint="eastAsia" w:ascii="宋体" w:hAnsi="宋体" w:cs="宋体"/>
          <w:color w:val="auto"/>
          <w:szCs w:val="21"/>
          <w:highlight w:val="none"/>
        </w:rPr>
        <w:t>一、保证的范围及保证金额</w:t>
      </w:r>
      <w:bookmarkEnd w:id="1768"/>
      <w:bookmarkEnd w:id="1769"/>
      <w:bookmarkEnd w:id="1770"/>
      <w:bookmarkEnd w:id="1771"/>
    </w:p>
    <w:p w14:paraId="759F4811">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374890A5">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341D6BBB">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A6EBC33">
      <w:pPr>
        <w:spacing w:line="360" w:lineRule="auto"/>
        <w:ind w:firstLine="480" w:firstLineChars="200"/>
        <w:jc w:val="left"/>
        <w:outlineLvl w:val="0"/>
        <w:rPr>
          <w:rFonts w:hint="eastAsia" w:ascii="宋体" w:hAnsi="宋体" w:cs="宋体"/>
          <w:color w:val="auto"/>
          <w:szCs w:val="21"/>
          <w:highlight w:val="none"/>
        </w:rPr>
      </w:pPr>
      <w:bookmarkStart w:id="1772" w:name="_Toc31793"/>
      <w:bookmarkStart w:id="1773" w:name="_Toc10162"/>
      <w:bookmarkStart w:id="1774" w:name="_Toc16286"/>
      <w:bookmarkStart w:id="1775" w:name="_Toc9986"/>
      <w:r>
        <w:rPr>
          <w:rFonts w:hint="eastAsia" w:ascii="宋体" w:hAnsi="宋体" w:cs="宋体"/>
          <w:color w:val="auto"/>
          <w:szCs w:val="21"/>
          <w:highlight w:val="none"/>
        </w:rPr>
        <w:t>二、保证的方式及保证期间</w:t>
      </w:r>
      <w:bookmarkEnd w:id="1772"/>
      <w:bookmarkEnd w:id="1773"/>
      <w:bookmarkEnd w:id="1774"/>
      <w:bookmarkEnd w:id="1775"/>
    </w:p>
    <w:p w14:paraId="3C423980">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0F77D173">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45B7D21D">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05509CD8">
      <w:pPr>
        <w:spacing w:line="360" w:lineRule="auto"/>
        <w:ind w:firstLine="480" w:firstLineChars="200"/>
        <w:jc w:val="left"/>
        <w:outlineLvl w:val="0"/>
        <w:rPr>
          <w:rFonts w:hint="eastAsia" w:ascii="宋体" w:hAnsi="宋体" w:cs="宋体"/>
          <w:color w:val="auto"/>
          <w:szCs w:val="21"/>
          <w:highlight w:val="none"/>
        </w:rPr>
      </w:pPr>
      <w:bookmarkStart w:id="1776" w:name="_Toc30478"/>
      <w:bookmarkStart w:id="1777" w:name="_Toc30010"/>
      <w:bookmarkStart w:id="1778" w:name="_Toc3217"/>
      <w:bookmarkStart w:id="1779" w:name="_Toc32158"/>
      <w:r>
        <w:rPr>
          <w:rFonts w:hint="eastAsia" w:ascii="宋体" w:hAnsi="宋体" w:cs="宋体"/>
          <w:color w:val="auto"/>
          <w:szCs w:val="21"/>
          <w:highlight w:val="none"/>
        </w:rPr>
        <w:t>三、承担保证责任的形式</w:t>
      </w:r>
      <w:bookmarkEnd w:id="1776"/>
      <w:bookmarkEnd w:id="1777"/>
      <w:bookmarkEnd w:id="1778"/>
      <w:bookmarkEnd w:id="1779"/>
    </w:p>
    <w:p w14:paraId="68E6A08A">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68FF7691">
      <w:pPr>
        <w:spacing w:line="360" w:lineRule="auto"/>
        <w:ind w:firstLine="480" w:firstLineChars="200"/>
        <w:jc w:val="left"/>
        <w:outlineLvl w:val="0"/>
        <w:rPr>
          <w:rFonts w:hint="eastAsia" w:ascii="宋体" w:hAnsi="宋体" w:cs="宋体"/>
          <w:color w:val="auto"/>
          <w:szCs w:val="21"/>
          <w:highlight w:val="none"/>
        </w:rPr>
      </w:pPr>
      <w:bookmarkStart w:id="1780" w:name="_Toc4883"/>
      <w:bookmarkStart w:id="1781" w:name="_Toc26705"/>
      <w:bookmarkStart w:id="1782" w:name="_Toc19016"/>
      <w:bookmarkStart w:id="1783" w:name="_Toc11312"/>
      <w:r>
        <w:rPr>
          <w:rFonts w:hint="eastAsia" w:ascii="宋体" w:hAnsi="宋体" w:cs="宋体"/>
          <w:color w:val="auto"/>
          <w:szCs w:val="21"/>
          <w:highlight w:val="none"/>
        </w:rPr>
        <w:t>四、代偿的安排</w:t>
      </w:r>
      <w:bookmarkEnd w:id="1780"/>
      <w:bookmarkEnd w:id="1781"/>
      <w:bookmarkEnd w:id="1782"/>
      <w:bookmarkEnd w:id="1783"/>
    </w:p>
    <w:p w14:paraId="6FB1780D">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7AF22BBD">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50C3E352">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我方收到你方的书面索赔通知及相应的证明材料后７天内无条件支付。</w:t>
      </w:r>
    </w:p>
    <w:p w14:paraId="5FCD45A6">
      <w:pPr>
        <w:spacing w:line="360" w:lineRule="auto"/>
        <w:ind w:firstLine="480" w:firstLineChars="200"/>
        <w:jc w:val="left"/>
        <w:outlineLvl w:val="0"/>
        <w:rPr>
          <w:rFonts w:hint="eastAsia" w:ascii="宋体" w:hAnsi="宋体" w:cs="宋体"/>
          <w:color w:val="auto"/>
          <w:szCs w:val="21"/>
          <w:highlight w:val="none"/>
        </w:rPr>
      </w:pPr>
      <w:bookmarkStart w:id="1784" w:name="_Toc30624"/>
      <w:bookmarkStart w:id="1785" w:name="_Toc1507"/>
      <w:bookmarkStart w:id="1786" w:name="_Toc25107"/>
      <w:bookmarkStart w:id="1787" w:name="_Toc7824"/>
      <w:r>
        <w:rPr>
          <w:rFonts w:hint="eastAsia" w:ascii="宋体" w:hAnsi="宋体" w:cs="宋体"/>
          <w:color w:val="auto"/>
          <w:szCs w:val="21"/>
          <w:highlight w:val="none"/>
        </w:rPr>
        <w:t>五、保证责任的解除</w:t>
      </w:r>
      <w:bookmarkEnd w:id="1784"/>
      <w:bookmarkEnd w:id="1785"/>
      <w:bookmarkEnd w:id="1786"/>
      <w:bookmarkEnd w:id="1787"/>
    </w:p>
    <w:p w14:paraId="41A4FC9A">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5B047E6A">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6A6C6DC1">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我方按照本保函向你方履行保证责任所支付金额达到本保函保证金额时，自我方向你方支付（支付款项从我方账户划出）之日起，保证责任即解除。</w:t>
      </w:r>
    </w:p>
    <w:p w14:paraId="03DCDDFC">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1BAB006E">
      <w:pPr>
        <w:spacing w:line="360" w:lineRule="auto"/>
        <w:jc w:val="left"/>
        <w:rPr>
          <w:rFonts w:hint="eastAsia" w:ascii="宋体" w:hAnsi="宋体" w:cs="宋体"/>
          <w:color w:val="auto"/>
          <w:szCs w:val="21"/>
          <w:highlight w:val="none"/>
        </w:rPr>
      </w:pPr>
    </w:p>
    <w:p w14:paraId="4FAE06C5">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61E3A4DB">
      <w:pPr>
        <w:spacing w:line="360" w:lineRule="auto"/>
        <w:ind w:firstLine="480" w:firstLineChars="200"/>
        <w:jc w:val="left"/>
        <w:outlineLvl w:val="0"/>
        <w:rPr>
          <w:rFonts w:hint="eastAsia" w:ascii="宋体" w:hAnsi="宋体" w:cs="宋体"/>
          <w:color w:val="auto"/>
          <w:szCs w:val="21"/>
          <w:highlight w:val="none"/>
        </w:rPr>
      </w:pPr>
      <w:bookmarkStart w:id="1788" w:name="_Toc11064"/>
      <w:bookmarkStart w:id="1789" w:name="_Toc4857"/>
      <w:bookmarkStart w:id="1790" w:name="_Toc3962"/>
      <w:bookmarkStart w:id="1791" w:name="_Toc23407"/>
      <w:r>
        <w:rPr>
          <w:rFonts w:hint="eastAsia" w:ascii="宋体" w:hAnsi="宋体" w:cs="宋体"/>
          <w:color w:val="auto"/>
          <w:szCs w:val="21"/>
          <w:highlight w:val="none"/>
        </w:rPr>
        <w:t>六、免责条款</w:t>
      </w:r>
      <w:bookmarkEnd w:id="1788"/>
      <w:bookmarkEnd w:id="1789"/>
      <w:bookmarkEnd w:id="1790"/>
      <w:bookmarkEnd w:id="1791"/>
    </w:p>
    <w:p w14:paraId="212CE9AC">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0CB96565">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5C36E6DB">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737542D7">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6BD00F9D">
      <w:pPr>
        <w:spacing w:line="360" w:lineRule="auto"/>
        <w:ind w:firstLine="480" w:firstLineChars="200"/>
        <w:jc w:val="left"/>
        <w:outlineLvl w:val="0"/>
        <w:rPr>
          <w:rFonts w:hint="eastAsia" w:ascii="宋体" w:hAnsi="宋体" w:cs="宋体"/>
          <w:color w:val="auto"/>
          <w:szCs w:val="21"/>
          <w:highlight w:val="none"/>
        </w:rPr>
      </w:pPr>
      <w:bookmarkStart w:id="1792" w:name="_Toc28001"/>
      <w:bookmarkStart w:id="1793" w:name="_Toc5169"/>
      <w:bookmarkStart w:id="1794" w:name="_Toc20106"/>
      <w:bookmarkStart w:id="1795" w:name="_Toc16830"/>
      <w:r>
        <w:rPr>
          <w:rFonts w:hint="eastAsia" w:ascii="宋体" w:hAnsi="宋体" w:cs="宋体"/>
          <w:color w:val="auto"/>
          <w:szCs w:val="21"/>
          <w:highlight w:val="none"/>
        </w:rPr>
        <w:t>七、争议解决</w:t>
      </w:r>
      <w:bookmarkEnd w:id="1792"/>
      <w:bookmarkEnd w:id="1793"/>
      <w:bookmarkEnd w:id="1794"/>
      <w:bookmarkEnd w:id="1795"/>
    </w:p>
    <w:p w14:paraId="476EBB05">
      <w:pPr>
        <w:spacing w:after="120" w:line="360" w:lineRule="auto"/>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3E8C11E3">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684D4442">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7B03E166">
      <w:pPr>
        <w:spacing w:line="360" w:lineRule="auto"/>
        <w:ind w:firstLine="480" w:firstLineChars="200"/>
        <w:jc w:val="left"/>
        <w:outlineLvl w:val="0"/>
        <w:rPr>
          <w:rFonts w:hint="eastAsia" w:ascii="宋体" w:hAnsi="宋体" w:cs="宋体"/>
          <w:color w:val="auto"/>
          <w:szCs w:val="21"/>
          <w:highlight w:val="none"/>
        </w:rPr>
      </w:pPr>
      <w:bookmarkStart w:id="1796" w:name="_Toc29914"/>
      <w:bookmarkStart w:id="1797" w:name="_Toc23842"/>
      <w:bookmarkStart w:id="1798" w:name="_Toc5124"/>
      <w:bookmarkStart w:id="1799" w:name="_Toc24785"/>
      <w:r>
        <w:rPr>
          <w:rFonts w:hint="eastAsia" w:ascii="宋体" w:hAnsi="宋体" w:cs="宋体"/>
          <w:color w:val="auto"/>
          <w:szCs w:val="21"/>
          <w:highlight w:val="none"/>
        </w:rPr>
        <w:t>八、保函的生效</w:t>
      </w:r>
      <w:bookmarkEnd w:id="1796"/>
      <w:bookmarkEnd w:id="1797"/>
      <w:bookmarkEnd w:id="1798"/>
      <w:bookmarkEnd w:id="1799"/>
    </w:p>
    <w:p w14:paraId="343A2C65">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7B1D8A09">
      <w:pPr>
        <w:spacing w:line="360" w:lineRule="auto"/>
        <w:ind w:firstLine="480" w:firstLineChars="200"/>
        <w:jc w:val="left"/>
        <w:rPr>
          <w:rFonts w:hint="eastAsia" w:ascii="宋体" w:hAnsi="宋体" w:cs="宋体"/>
          <w:color w:val="auto"/>
          <w:szCs w:val="21"/>
          <w:highlight w:val="none"/>
        </w:rPr>
      </w:pPr>
    </w:p>
    <w:p w14:paraId="49D4604E">
      <w:pPr>
        <w:spacing w:line="360" w:lineRule="auto"/>
        <w:ind w:right="600"/>
        <w:jc w:val="left"/>
        <w:rPr>
          <w:rFonts w:hint="eastAsia" w:ascii="宋体" w:hAnsi="宋体" w:cs="宋体"/>
          <w:color w:val="auto"/>
          <w:szCs w:val="21"/>
          <w:highlight w:val="none"/>
        </w:rPr>
      </w:pPr>
    </w:p>
    <w:p w14:paraId="17799D32">
      <w:pPr>
        <w:spacing w:line="360" w:lineRule="auto"/>
        <w:ind w:right="600"/>
        <w:jc w:val="left"/>
        <w:rPr>
          <w:rFonts w:hint="eastAsia"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4745E8DD">
      <w:pPr>
        <w:spacing w:line="360" w:lineRule="auto"/>
        <w:ind w:right="1200"/>
        <w:rPr>
          <w:rFonts w:hint="eastAsia"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703DCDC8">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0C358C0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65DA3013">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1EC386F3">
      <w:pPr>
        <w:spacing w:line="360" w:lineRule="auto"/>
        <w:ind w:right="150" w:firstLine="480" w:firstLineChars="200"/>
        <w:jc w:val="left"/>
        <w:rPr>
          <w:rFonts w:hint="eastAsia" w:ascii="宋体" w:hAnsi="宋体" w:cs="宋体"/>
          <w:color w:val="auto"/>
          <w:szCs w:val="21"/>
          <w:highlight w:val="none"/>
          <w:u w:val="single"/>
        </w:rPr>
      </w:pPr>
    </w:p>
    <w:p w14:paraId="0D7F411B">
      <w:pPr>
        <w:spacing w:line="360" w:lineRule="auto"/>
        <w:ind w:right="150"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F568F2A">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ascii="宋体" w:hAnsi="宋体" w:cs="宋体"/>
          <w:color w:val="auto"/>
          <w:szCs w:val="21"/>
          <w:highlight w:val="none"/>
        </w:rPr>
        <w:t>附件11：</w:t>
      </w:r>
    </w:p>
    <w:p w14:paraId="55F26A06">
      <w:pPr>
        <w:spacing w:before="120" w:beforeLines="50" w:after="120" w:afterLines="50" w:line="440" w:lineRule="exact"/>
        <w:jc w:val="center"/>
        <w:outlineLvl w:val="0"/>
        <w:rPr>
          <w:rFonts w:hint="eastAsia" w:ascii="宋体" w:hAnsi="宋体" w:cs="宋体"/>
          <w:color w:val="auto"/>
          <w:szCs w:val="21"/>
          <w:highlight w:val="none"/>
        </w:rPr>
      </w:pPr>
      <w:bookmarkStart w:id="1800" w:name="_Toc20900"/>
      <w:bookmarkStart w:id="1801" w:name="_Toc28879"/>
      <w:bookmarkStart w:id="1802" w:name="_Toc18176"/>
      <w:bookmarkStart w:id="1803" w:name="_Toc15518"/>
      <w:r>
        <w:rPr>
          <w:rFonts w:hint="eastAsia" w:ascii="宋体" w:hAnsi="宋体" w:cs="宋体"/>
          <w:color w:val="auto"/>
          <w:szCs w:val="21"/>
          <w:highlight w:val="none"/>
        </w:rPr>
        <w:t>11-1：材料暂估价表</w:t>
      </w:r>
      <w:bookmarkEnd w:id="1800"/>
      <w:bookmarkEnd w:id="1801"/>
      <w:bookmarkEnd w:id="1802"/>
      <w:bookmarkEnd w:id="1803"/>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72411F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0CC36AA2">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18890969">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名称</w:t>
            </w:r>
          </w:p>
        </w:tc>
        <w:tc>
          <w:tcPr>
            <w:tcW w:w="851" w:type="dxa"/>
            <w:tcBorders>
              <w:top w:val="single" w:color="auto" w:sz="12" w:space="0"/>
              <w:bottom w:val="double" w:color="auto" w:sz="6" w:space="0"/>
            </w:tcBorders>
            <w:noWrap w:val="0"/>
            <w:vAlign w:val="top"/>
          </w:tcPr>
          <w:p w14:paraId="23CED93D">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单位</w:t>
            </w:r>
          </w:p>
        </w:tc>
        <w:tc>
          <w:tcPr>
            <w:tcW w:w="774" w:type="dxa"/>
            <w:tcBorders>
              <w:top w:val="single" w:color="auto" w:sz="12" w:space="0"/>
              <w:bottom w:val="double" w:color="auto" w:sz="6" w:space="0"/>
            </w:tcBorders>
            <w:noWrap w:val="0"/>
            <w:vAlign w:val="top"/>
          </w:tcPr>
          <w:p w14:paraId="264E416A">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数量</w:t>
            </w:r>
          </w:p>
        </w:tc>
        <w:tc>
          <w:tcPr>
            <w:tcW w:w="1352" w:type="dxa"/>
            <w:tcBorders>
              <w:top w:val="single" w:color="auto" w:sz="12" w:space="0"/>
              <w:bottom w:val="double" w:color="auto" w:sz="6" w:space="0"/>
            </w:tcBorders>
            <w:noWrap w:val="0"/>
            <w:vAlign w:val="top"/>
          </w:tcPr>
          <w:p w14:paraId="560B1AFD">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单价</w:t>
            </w:r>
            <w:r>
              <w:rPr>
                <w:rFonts w:hint="eastAsia" w:ascii="等线" w:hAnsi="等线" w:eastAsia="仿宋_GB2312"/>
                <w:color w:val="auto"/>
                <w:sz w:val="24"/>
                <w:highlight w:val="none"/>
              </w:rPr>
              <w:t>（元）</w:t>
            </w:r>
          </w:p>
        </w:tc>
        <w:tc>
          <w:tcPr>
            <w:tcW w:w="1418" w:type="dxa"/>
            <w:tcBorders>
              <w:top w:val="single" w:color="auto" w:sz="12" w:space="0"/>
              <w:bottom w:val="double" w:color="auto" w:sz="6" w:space="0"/>
            </w:tcBorders>
            <w:noWrap w:val="0"/>
            <w:vAlign w:val="top"/>
          </w:tcPr>
          <w:p w14:paraId="562D1C62">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合价</w:t>
            </w:r>
            <w:r>
              <w:rPr>
                <w:rFonts w:hint="eastAsia" w:ascii="等线" w:hAnsi="等线" w:eastAsia="仿宋_GB2312"/>
                <w:color w:val="auto"/>
                <w:sz w:val="24"/>
                <w:highlight w:val="none"/>
              </w:rPr>
              <w:t>（元）</w:t>
            </w:r>
          </w:p>
        </w:tc>
        <w:tc>
          <w:tcPr>
            <w:tcW w:w="1303" w:type="dxa"/>
            <w:tcBorders>
              <w:top w:val="single" w:color="auto" w:sz="12" w:space="0"/>
              <w:bottom w:val="double" w:color="auto" w:sz="6" w:space="0"/>
            </w:tcBorders>
            <w:noWrap w:val="0"/>
            <w:vAlign w:val="top"/>
          </w:tcPr>
          <w:p w14:paraId="69E4C22C">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备注</w:t>
            </w:r>
          </w:p>
        </w:tc>
      </w:tr>
      <w:tr w14:paraId="4E05A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C2D88D9">
            <w:pPr>
              <w:pStyle w:val="18"/>
              <w:keepNext/>
              <w:spacing w:after="0" w:line="440" w:lineRule="exact"/>
              <w:ind w:left="63" w:right="63"/>
              <w:rPr>
                <w:rFonts w:ascii="等线" w:hAnsi="等线" w:eastAsia="仿宋_GB2312"/>
                <w:color w:val="auto"/>
                <w:sz w:val="24"/>
                <w:highlight w:val="none"/>
              </w:rPr>
            </w:pPr>
          </w:p>
        </w:tc>
        <w:tc>
          <w:tcPr>
            <w:tcW w:w="1984" w:type="dxa"/>
            <w:tcBorders>
              <w:top w:val="double" w:color="auto" w:sz="6" w:space="0"/>
              <w:bottom w:val="single" w:color="auto" w:sz="6" w:space="0"/>
            </w:tcBorders>
            <w:noWrap w:val="0"/>
            <w:vAlign w:val="top"/>
          </w:tcPr>
          <w:p w14:paraId="3DB2C269">
            <w:pPr>
              <w:pStyle w:val="18"/>
              <w:keepNext/>
              <w:spacing w:after="0" w:line="440" w:lineRule="exact"/>
              <w:ind w:left="63" w:right="63"/>
              <w:rPr>
                <w:rFonts w:ascii="等线" w:hAnsi="等线" w:eastAsia="仿宋_GB2312"/>
                <w:color w:val="auto"/>
                <w:sz w:val="24"/>
                <w:highlight w:val="none"/>
              </w:rPr>
            </w:pPr>
          </w:p>
        </w:tc>
        <w:tc>
          <w:tcPr>
            <w:tcW w:w="851" w:type="dxa"/>
            <w:tcBorders>
              <w:top w:val="double" w:color="auto" w:sz="6" w:space="0"/>
              <w:bottom w:val="single" w:color="auto" w:sz="6" w:space="0"/>
            </w:tcBorders>
            <w:noWrap w:val="0"/>
            <w:vAlign w:val="top"/>
          </w:tcPr>
          <w:p w14:paraId="68A7C820">
            <w:pPr>
              <w:pStyle w:val="18"/>
              <w:keepNext/>
              <w:spacing w:after="0" w:line="440" w:lineRule="exact"/>
              <w:ind w:left="63" w:right="63"/>
              <w:rPr>
                <w:rFonts w:ascii="等线" w:hAnsi="等线" w:eastAsia="仿宋_GB2312"/>
                <w:color w:val="auto"/>
                <w:sz w:val="24"/>
                <w:highlight w:val="none"/>
              </w:rPr>
            </w:pPr>
          </w:p>
        </w:tc>
        <w:tc>
          <w:tcPr>
            <w:tcW w:w="774" w:type="dxa"/>
            <w:tcBorders>
              <w:top w:val="double" w:color="auto" w:sz="6" w:space="0"/>
              <w:bottom w:val="single" w:color="auto" w:sz="6" w:space="0"/>
            </w:tcBorders>
            <w:noWrap w:val="0"/>
            <w:vAlign w:val="top"/>
          </w:tcPr>
          <w:p w14:paraId="7FB3D898">
            <w:pPr>
              <w:pStyle w:val="18"/>
              <w:keepNext/>
              <w:spacing w:after="0" w:line="440" w:lineRule="exact"/>
              <w:ind w:left="63" w:right="63"/>
              <w:rPr>
                <w:rFonts w:ascii="等线" w:hAnsi="等线" w:eastAsia="仿宋_GB2312"/>
                <w:color w:val="auto"/>
                <w:sz w:val="24"/>
                <w:highlight w:val="none"/>
              </w:rPr>
            </w:pPr>
          </w:p>
        </w:tc>
        <w:tc>
          <w:tcPr>
            <w:tcW w:w="1352" w:type="dxa"/>
            <w:tcBorders>
              <w:top w:val="double" w:color="auto" w:sz="6" w:space="0"/>
              <w:bottom w:val="single" w:color="auto" w:sz="6" w:space="0"/>
            </w:tcBorders>
            <w:noWrap w:val="0"/>
            <w:vAlign w:val="top"/>
          </w:tcPr>
          <w:p w14:paraId="77C36CE0">
            <w:pPr>
              <w:pStyle w:val="18"/>
              <w:keepNext/>
              <w:spacing w:after="0" w:line="440" w:lineRule="exact"/>
              <w:ind w:left="63" w:right="63"/>
              <w:rPr>
                <w:rFonts w:ascii="等线" w:hAnsi="等线" w:eastAsia="仿宋_GB2312"/>
                <w:color w:val="auto"/>
                <w:sz w:val="24"/>
                <w:highlight w:val="none"/>
              </w:rPr>
            </w:pPr>
          </w:p>
        </w:tc>
        <w:tc>
          <w:tcPr>
            <w:tcW w:w="1418" w:type="dxa"/>
            <w:tcBorders>
              <w:top w:val="double" w:color="auto" w:sz="6" w:space="0"/>
              <w:bottom w:val="single" w:color="auto" w:sz="6" w:space="0"/>
            </w:tcBorders>
            <w:noWrap w:val="0"/>
            <w:vAlign w:val="top"/>
          </w:tcPr>
          <w:p w14:paraId="0ACC7995">
            <w:pPr>
              <w:pStyle w:val="18"/>
              <w:keepNext/>
              <w:spacing w:after="0" w:line="440" w:lineRule="exact"/>
              <w:ind w:left="63" w:right="63"/>
              <w:rPr>
                <w:rFonts w:ascii="等线" w:hAnsi="等线" w:eastAsia="仿宋_GB2312"/>
                <w:color w:val="auto"/>
                <w:sz w:val="24"/>
                <w:highlight w:val="none"/>
              </w:rPr>
            </w:pPr>
          </w:p>
        </w:tc>
        <w:tc>
          <w:tcPr>
            <w:tcW w:w="1303" w:type="dxa"/>
            <w:tcBorders>
              <w:top w:val="double" w:color="auto" w:sz="6" w:space="0"/>
              <w:bottom w:val="single" w:color="auto" w:sz="6" w:space="0"/>
            </w:tcBorders>
            <w:noWrap w:val="0"/>
            <w:vAlign w:val="top"/>
          </w:tcPr>
          <w:p w14:paraId="681DB7FA">
            <w:pPr>
              <w:pStyle w:val="18"/>
              <w:keepNext/>
              <w:spacing w:after="0" w:line="440" w:lineRule="exact"/>
              <w:ind w:left="63" w:right="63"/>
              <w:rPr>
                <w:rFonts w:ascii="等线" w:hAnsi="等线" w:eastAsia="仿宋_GB2312"/>
                <w:color w:val="auto"/>
                <w:sz w:val="24"/>
                <w:highlight w:val="none"/>
              </w:rPr>
            </w:pPr>
          </w:p>
        </w:tc>
      </w:tr>
      <w:tr w14:paraId="2144B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1B8BC24">
            <w:pPr>
              <w:pStyle w:val="18"/>
              <w:keepNext/>
              <w:spacing w:after="0" w:line="440" w:lineRule="exact"/>
              <w:ind w:left="63" w:right="63"/>
              <w:rPr>
                <w:rFonts w:ascii="等线" w:hAnsi="等线" w:eastAsia="仿宋_GB2312"/>
                <w:color w:val="auto"/>
                <w:sz w:val="24"/>
                <w:highlight w:val="none"/>
              </w:rPr>
            </w:pPr>
          </w:p>
        </w:tc>
        <w:tc>
          <w:tcPr>
            <w:tcW w:w="1984" w:type="dxa"/>
            <w:tcBorders>
              <w:top w:val="nil"/>
            </w:tcBorders>
            <w:noWrap w:val="0"/>
            <w:vAlign w:val="top"/>
          </w:tcPr>
          <w:p w14:paraId="113B9E8E">
            <w:pPr>
              <w:pStyle w:val="18"/>
              <w:keepNext/>
              <w:spacing w:after="0" w:line="440" w:lineRule="exact"/>
              <w:ind w:left="63" w:right="63"/>
              <w:rPr>
                <w:rFonts w:ascii="等线" w:hAnsi="等线" w:eastAsia="仿宋_GB2312"/>
                <w:color w:val="auto"/>
                <w:sz w:val="24"/>
                <w:highlight w:val="none"/>
              </w:rPr>
            </w:pPr>
          </w:p>
        </w:tc>
        <w:tc>
          <w:tcPr>
            <w:tcW w:w="851" w:type="dxa"/>
            <w:tcBorders>
              <w:top w:val="nil"/>
            </w:tcBorders>
            <w:noWrap w:val="0"/>
            <w:vAlign w:val="top"/>
          </w:tcPr>
          <w:p w14:paraId="1CE48C7E">
            <w:pPr>
              <w:pStyle w:val="18"/>
              <w:keepNext/>
              <w:spacing w:after="0" w:line="440" w:lineRule="exact"/>
              <w:ind w:left="63" w:right="63"/>
              <w:rPr>
                <w:rFonts w:ascii="等线" w:hAnsi="等线" w:eastAsia="仿宋_GB2312"/>
                <w:color w:val="auto"/>
                <w:sz w:val="24"/>
                <w:highlight w:val="none"/>
              </w:rPr>
            </w:pPr>
          </w:p>
        </w:tc>
        <w:tc>
          <w:tcPr>
            <w:tcW w:w="774" w:type="dxa"/>
            <w:tcBorders>
              <w:top w:val="nil"/>
            </w:tcBorders>
            <w:noWrap w:val="0"/>
            <w:vAlign w:val="top"/>
          </w:tcPr>
          <w:p w14:paraId="0907E11A">
            <w:pPr>
              <w:pStyle w:val="18"/>
              <w:keepNext/>
              <w:spacing w:after="0" w:line="440" w:lineRule="exact"/>
              <w:ind w:left="63" w:right="63"/>
              <w:rPr>
                <w:rFonts w:ascii="等线" w:hAnsi="等线" w:eastAsia="仿宋_GB2312"/>
                <w:color w:val="auto"/>
                <w:sz w:val="24"/>
                <w:highlight w:val="none"/>
              </w:rPr>
            </w:pPr>
          </w:p>
        </w:tc>
        <w:tc>
          <w:tcPr>
            <w:tcW w:w="1352" w:type="dxa"/>
            <w:tcBorders>
              <w:top w:val="nil"/>
            </w:tcBorders>
            <w:noWrap w:val="0"/>
            <w:vAlign w:val="top"/>
          </w:tcPr>
          <w:p w14:paraId="7694ECB8">
            <w:pPr>
              <w:pStyle w:val="18"/>
              <w:keepNext/>
              <w:spacing w:after="0" w:line="440" w:lineRule="exact"/>
              <w:ind w:left="63" w:right="63"/>
              <w:rPr>
                <w:rFonts w:ascii="等线" w:hAnsi="等线" w:eastAsia="仿宋_GB2312"/>
                <w:color w:val="auto"/>
                <w:sz w:val="24"/>
                <w:highlight w:val="none"/>
              </w:rPr>
            </w:pPr>
          </w:p>
        </w:tc>
        <w:tc>
          <w:tcPr>
            <w:tcW w:w="1418" w:type="dxa"/>
            <w:tcBorders>
              <w:top w:val="nil"/>
            </w:tcBorders>
            <w:noWrap w:val="0"/>
            <w:vAlign w:val="top"/>
          </w:tcPr>
          <w:p w14:paraId="55EDD95E">
            <w:pPr>
              <w:pStyle w:val="18"/>
              <w:keepNext/>
              <w:spacing w:after="0" w:line="440" w:lineRule="exact"/>
              <w:ind w:left="63" w:right="63"/>
              <w:rPr>
                <w:rFonts w:ascii="等线" w:hAnsi="等线" w:eastAsia="仿宋_GB2312"/>
                <w:color w:val="auto"/>
                <w:sz w:val="24"/>
                <w:highlight w:val="none"/>
              </w:rPr>
            </w:pPr>
          </w:p>
        </w:tc>
        <w:tc>
          <w:tcPr>
            <w:tcW w:w="1303" w:type="dxa"/>
            <w:tcBorders>
              <w:top w:val="nil"/>
            </w:tcBorders>
            <w:noWrap w:val="0"/>
            <w:vAlign w:val="top"/>
          </w:tcPr>
          <w:p w14:paraId="21B10D98">
            <w:pPr>
              <w:pStyle w:val="18"/>
              <w:keepNext/>
              <w:spacing w:after="0" w:line="440" w:lineRule="exact"/>
              <w:ind w:left="63" w:right="63"/>
              <w:rPr>
                <w:rFonts w:ascii="等线" w:hAnsi="等线" w:eastAsia="仿宋_GB2312"/>
                <w:color w:val="auto"/>
                <w:sz w:val="24"/>
                <w:highlight w:val="none"/>
              </w:rPr>
            </w:pPr>
          </w:p>
        </w:tc>
      </w:tr>
      <w:tr w14:paraId="3317C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4541F69">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4F77F3B">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C133EA">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21FE8C15">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F06E5E6">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A8C30E">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A73871F">
            <w:pPr>
              <w:pStyle w:val="18"/>
              <w:keepNext/>
              <w:spacing w:after="0" w:line="440" w:lineRule="exact"/>
              <w:ind w:left="63" w:right="63"/>
              <w:rPr>
                <w:rFonts w:ascii="等线" w:hAnsi="等线" w:eastAsia="仿宋_GB2312"/>
                <w:color w:val="auto"/>
                <w:sz w:val="24"/>
                <w:highlight w:val="none"/>
              </w:rPr>
            </w:pPr>
          </w:p>
        </w:tc>
      </w:tr>
      <w:tr w14:paraId="5E964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7190C0">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8B23ACE">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8375880">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79B20D7">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BE27006">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66E5945">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498CD58">
            <w:pPr>
              <w:pStyle w:val="18"/>
              <w:keepNext/>
              <w:spacing w:after="0" w:line="440" w:lineRule="exact"/>
              <w:ind w:left="63" w:right="63"/>
              <w:rPr>
                <w:rFonts w:ascii="等线" w:hAnsi="等线" w:eastAsia="仿宋_GB2312"/>
                <w:color w:val="auto"/>
                <w:sz w:val="24"/>
                <w:highlight w:val="none"/>
              </w:rPr>
            </w:pPr>
          </w:p>
        </w:tc>
      </w:tr>
      <w:tr w14:paraId="647C4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0CB252B">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70EA22E">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55ABA2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1780F8D">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87F08D0">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AACD717">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A808E4E">
            <w:pPr>
              <w:pStyle w:val="18"/>
              <w:keepNext/>
              <w:spacing w:after="0" w:line="440" w:lineRule="exact"/>
              <w:ind w:left="63" w:right="63"/>
              <w:rPr>
                <w:rFonts w:ascii="等线" w:hAnsi="等线" w:eastAsia="仿宋_GB2312"/>
                <w:color w:val="auto"/>
                <w:sz w:val="24"/>
                <w:highlight w:val="none"/>
              </w:rPr>
            </w:pPr>
          </w:p>
        </w:tc>
      </w:tr>
      <w:tr w14:paraId="31625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AA7B79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26787A6">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BABAB30">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138219BF">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7971767">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595E89C">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D534B7D">
            <w:pPr>
              <w:pStyle w:val="18"/>
              <w:keepNext/>
              <w:spacing w:after="0" w:line="440" w:lineRule="exact"/>
              <w:ind w:left="63" w:right="63"/>
              <w:rPr>
                <w:rFonts w:ascii="等线" w:hAnsi="等线" w:eastAsia="仿宋_GB2312"/>
                <w:color w:val="auto"/>
                <w:sz w:val="24"/>
                <w:highlight w:val="none"/>
              </w:rPr>
            </w:pPr>
          </w:p>
        </w:tc>
      </w:tr>
      <w:tr w14:paraId="56AE3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F0F5074">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7516DBF">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3EADB54">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176E002">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BAD458">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278F3D">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BC72A80">
            <w:pPr>
              <w:pStyle w:val="18"/>
              <w:keepNext/>
              <w:spacing w:after="0" w:line="440" w:lineRule="exact"/>
              <w:ind w:left="63" w:right="63"/>
              <w:rPr>
                <w:rFonts w:ascii="等线" w:hAnsi="等线" w:eastAsia="仿宋_GB2312"/>
                <w:color w:val="auto"/>
                <w:sz w:val="24"/>
                <w:highlight w:val="none"/>
              </w:rPr>
            </w:pPr>
          </w:p>
        </w:tc>
      </w:tr>
      <w:tr w14:paraId="2B330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D27375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A571454">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1CF642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EEE08DA">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78A28ED">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B9FA5F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73452CF">
            <w:pPr>
              <w:pStyle w:val="18"/>
              <w:keepNext/>
              <w:spacing w:after="0" w:line="440" w:lineRule="exact"/>
              <w:ind w:left="63" w:right="63"/>
              <w:rPr>
                <w:rFonts w:ascii="等线" w:hAnsi="等线" w:eastAsia="仿宋_GB2312"/>
                <w:color w:val="auto"/>
                <w:sz w:val="24"/>
                <w:highlight w:val="none"/>
              </w:rPr>
            </w:pPr>
          </w:p>
        </w:tc>
      </w:tr>
      <w:tr w14:paraId="1EE23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5816DF">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A102E10">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7322A3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AB5D41A">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8B9F135">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C076F7B">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81A0397">
            <w:pPr>
              <w:pStyle w:val="18"/>
              <w:keepNext/>
              <w:spacing w:after="0" w:line="440" w:lineRule="exact"/>
              <w:ind w:left="63" w:right="63"/>
              <w:rPr>
                <w:rFonts w:ascii="等线" w:hAnsi="等线" w:eastAsia="仿宋_GB2312"/>
                <w:color w:val="auto"/>
                <w:sz w:val="24"/>
                <w:highlight w:val="none"/>
              </w:rPr>
            </w:pPr>
          </w:p>
        </w:tc>
      </w:tr>
      <w:tr w14:paraId="67757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6A1D1">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B484813">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145C9197">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9113FDE">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ED35680">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3B3A878">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BD78359">
            <w:pPr>
              <w:pStyle w:val="18"/>
              <w:keepNext/>
              <w:spacing w:after="0" w:line="440" w:lineRule="exact"/>
              <w:ind w:left="63" w:right="63"/>
              <w:rPr>
                <w:rFonts w:ascii="等线" w:hAnsi="等线" w:eastAsia="仿宋_GB2312"/>
                <w:color w:val="auto"/>
                <w:sz w:val="24"/>
                <w:highlight w:val="none"/>
              </w:rPr>
            </w:pPr>
          </w:p>
        </w:tc>
      </w:tr>
      <w:tr w14:paraId="63945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6485BC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4204068">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F4D1391">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179F59E">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1BE5FB8">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060A19F">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2CC6C2B">
            <w:pPr>
              <w:pStyle w:val="18"/>
              <w:keepNext/>
              <w:spacing w:after="0" w:line="440" w:lineRule="exact"/>
              <w:ind w:left="63" w:right="63"/>
              <w:rPr>
                <w:rFonts w:ascii="等线" w:hAnsi="等线" w:eastAsia="仿宋_GB2312"/>
                <w:color w:val="auto"/>
                <w:sz w:val="24"/>
                <w:highlight w:val="none"/>
              </w:rPr>
            </w:pPr>
          </w:p>
        </w:tc>
      </w:tr>
      <w:tr w14:paraId="37848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88CE68">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67F4E8C">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9C64E14">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E2A9945">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EF4F2BF">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7577736">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504C71">
            <w:pPr>
              <w:pStyle w:val="18"/>
              <w:keepNext/>
              <w:spacing w:after="0" w:line="440" w:lineRule="exact"/>
              <w:ind w:left="63" w:right="63"/>
              <w:rPr>
                <w:rFonts w:ascii="等线" w:hAnsi="等线" w:eastAsia="仿宋_GB2312"/>
                <w:color w:val="auto"/>
                <w:sz w:val="24"/>
                <w:highlight w:val="none"/>
              </w:rPr>
            </w:pPr>
          </w:p>
        </w:tc>
      </w:tr>
      <w:tr w14:paraId="2B4D7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E1C2B6F">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BD0073D">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7A177EC8">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2C130D20">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7C0A12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23FCAA0">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F87E748">
            <w:pPr>
              <w:pStyle w:val="18"/>
              <w:keepNext/>
              <w:spacing w:after="0" w:line="440" w:lineRule="exact"/>
              <w:ind w:left="63" w:right="63"/>
              <w:rPr>
                <w:rFonts w:ascii="等线" w:hAnsi="等线" w:eastAsia="仿宋_GB2312"/>
                <w:color w:val="auto"/>
                <w:sz w:val="24"/>
                <w:highlight w:val="none"/>
              </w:rPr>
            </w:pPr>
          </w:p>
        </w:tc>
      </w:tr>
      <w:tr w14:paraId="62816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2599340">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2246965">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0C9BCC02">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883E856">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A27E640">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C5DDEF">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C0E389F">
            <w:pPr>
              <w:pStyle w:val="18"/>
              <w:keepNext/>
              <w:spacing w:after="0" w:line="440" w:lineRule="exact"/>
              <w:ind w:left="63" w:right="63"/>
              <w:rPr>
                <w:rFonts w:ascii="等线" w:hAnsi="等线" w:eastAsia="仿宋_GB2312"/>
                <w:color w:val="auto"/>
                <w:sz w:val="24"/>
                <w:highlight w:val="none"/>
              </w:rPr>
            </w:pPr>
          </w:p>
        </w:tc>
      </w:tr>
      <w:tr w14:paraId="0BC51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C856EF7">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F5A3BA8">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3EDEB35">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1C4BED3F">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78E4967">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5ADCAA7">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24DF0CC">
            <w:pPr>
              <w:pStyle w:val="18"/>
              <w:keepNext/>
              <w:spacing w:after="0" w:line="440" w:lineRule="exact"/>
              <w:ind w:left="63" w:right="63"/>
              <w:rPr>
                <w:rFonts w:ascii="等线" w:hAnsi="等线" w:eastAsia="仿宋_GB2312"/>
                <w:color w:val="auto"/>
                <w:sz w:val="24"/>
                <w:highlight w:val="none"/>
              </w:rPr>
            </w:pPr>
          </w:p>
        </w:tc>
      </w:tr>
      <w:tr w14:paraId="6F7D6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93DD60">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3B11929">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DBCBC14">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0EDB7917">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E7E6002">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5C99B89">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D535B4B">
            <w:pPr>
              <w:pStyle w:val="18"/>
              <w:keepNext/>
              <w:spacing w:after="0" w:line="440" w:lineRule="exact"/>
              <w:ind w:left="63" w:right="63"/>
              <w:rPr>
                <w:rFonts w:ascii="等线" w:hAnsi="等线" w:eastAsia="仿宋_GB2312"/>
                <w:color w:val="auto"/>
                <w:sz w:val="24"/>
                <w:highlight w:val="none"/>
              </w:rPr>
            </w:pPr>
          </w:p>
        </w:tc>
      </w:tr>
      <w:tr w14:paraId="17C6A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221FBF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2643688">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0B1CAEB2">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1824407">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96DC1AC">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28AF4C9">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2F1A831">
            <w:pPr>
              <w:pStyle w:val="18"/>
              <w:keepNext/>
              <w:spacing w:after="0" w:line="440" w:lineRule="exact"/>
              <w:ind w:left="63" w:right="63"/>
              <w:rPr>
                <w:rFonts w:ascii="等线" w:hAnsi="等线" w:eastAsia="仿宋_GB2312"/>
                <w:color w:val="auto"/>
                <w:sz w:val="24"/>
                <w:highlight w:val="none"/>
              </w:rPr>
            </w:pPr>
          </w:p>
        </w:tc>
      </w:tr>
      <w:tr w14:paraId="48895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B3E924">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0689A49">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1FB1AD87">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BCFD25C">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3C9AD2">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C6134EA">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A36B88">
            <w:pPr>
              <w:pStyle w:val="18"/>
              <w:keepNext/>
              <w:spacing w:after="0" w:line="440" w:lineRule="exact"/>
              <w:ind w:left="63" w:right="63"/>
              <w:rPr>
                <w:rFonts w:ascii="等线" w:hAnsi="等线" w:eastAsia="仿宋_GB2312"/>
                <w:color w:val="auto"/>
                <w:sz w:val="24"/>
                <w:highlight w:val="none"/>
              </w:rPr>
            </w:pPr>
          </w:p>
        </w:tc>
      </w:tr>
      <w:tr w14:paraId="222AE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42630A">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9871E27">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09F2703">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5C443D8">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F79B23A">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02C90169">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137343C">
            <w:pPr>
              <w:pStyle w:val="18"/>
              <w:keepNext/>
              <w:spacing w:after="0" w:line="440" w:lineRule="exact"/>
              <w:ind w:left="63" w:right="63"/>
              <w:rPr>
                <w:rFonts w:ascii="等线" w:hAnsi="等线" w:eastAsia="仿宋_GB2312"/>
                <w:color w:val="auto"/>
                <w:sz w:val="24"/>
                <w:highlight w:val="none"/>
              </w:rPr>
            </w:pPr>
          </w:p>
        </w:tc>
      </w:tr>
      <w:tr w14:paraId="1F319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E564B4">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32297ED">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7460E07F">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EB676BE">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BAC2E8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41B599">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759F73A">
            <w:pPr>
              <w:pStyle w:val="18"/>
              <w:keepNext/>
              <w:spacing w:after="0" w:line="440" w:lineRule="exact"/>
              <w:ind w:left="63" w:right="63"/>
              <w:rPr>
                <w:rFonts w:ascii="等线" w:hAnsi="等线" w:eastAsia="仿宋_GB2312"/>
                <w:color w:val="auto"/>
                <w:sz w:val="24"/>
                <w:highlight w:val="none"/>
              </w:rPr>
            </w:pPr>
          </w:p>
        </w:tc>
      </w:tr>
      <w:tr w14:paraId="79092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992435">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03A1ECE">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AD050C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2CB03DF2">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B0E3522">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3E5472C">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D7B0FE2">
            <w:pPr>
              <w:pStyle w:val="18"/>
              <w:keepNext/>
              <w:spacing w:after="0" w:line="440" w:lineRule="exact"/>
              <w:ind w:left="63" w:right="63"/>
              <w:rPr>
                <w:rFonts w:ascii="等线" w:hAnsi="等线" w:eastAsia="仿宋_GB2312"/>
                <w:color w:val="auto"/>
                <w:sz w:val="24"/>
                <w:highlight w:val="none"/>
              </w:rPr>
            </w:pPr>
          </w:p>
        </w:tc>
      </w:tr>
      <w:tr w14:paraId="30176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9C5D76">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4E0B099">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14E0DA0">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6BA3F3B">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0E0B9D0">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03D7F9D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845B75">
            <w:pPr>
              <w:pStyle w:val="18"/>
              <w:keepNext/>
              <w:spacing w:after="0" w:line="440" w:lineRule="exact"/>
              <w:ind w:left="63" w:right="63"/>
              <w:rPr>
                <w:rFonts w:ascii="等线" w:hAnsi="等线" w:eastAsia="仿宋_GB2312"/>
                <w:color w:val="auto"/>
                <w:sz w:val="24"/>
                <w:highlight w:val="none"/>
              </w:rPr>
            </w:pPr>
          </w:p>
        </w:tc>
      </w:tr>
      <w:tr w14:paraId="4B200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61ACCCE">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3F66101">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DA5E27F">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62A3454">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7E4478A">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62151AC">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47F5006">
            <w:pPr>
              <w:pStyle w:val="18"/>
              <w:keepNext/>
              <w:spacing w:after="0" w:line="440" w:lineRule="exact"/>
              <w:ind w:left="63" w:right="63"/>
              <w:rPr>
                <w:rFonts w:ascii="等线" w:hAnsi="等线" w:eastAsia="仿宋_GB2312"/>
                <w:color w:val="auto"/>
                <w:sz w:val="24"/>
                <w:highlight w:val="none"/>
              </w:rPr>
            </w:pPr>
          </w:p>
        </w:tc>
      </w:tr>
      <w:tr w14:paraId="211E7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33A09AF">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1D2E5A4">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EFA50FF">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416D285">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A639A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9AB97E4">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BC3B139">
            <w:pPr>
              <w:pStyle w:val="18"/>
              <w:keepNext/>
              <w:spacing w:after="0" w:line="440" w:lineRule="exact"/>
              <w:ind w:left="63" w:right="63"/>
              <w:rPr>
                <w:rFonts w:ascii="等线" w:hAnsi="等线" w:eastAsia="仿宋_GB2312"/>
                <w:color w:val="auto"/>
                <w:sz w:val="24"/>
                <w:highlight w:val="none"/>
              </w:rPr>
            </w:pPr>
          </w:p>
        </w:tc>
      </w:tr>
      <w:tr w14:paraId="4C9ED6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7C576FE">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AE2979C">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05EF468">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5FCCED9">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88BE19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1DB7004">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6AB874D">
            <w:pPr>
              <w:pStyle w:val="18"/>
              <w:keepNext/>
              <w:spacing w:after="0" w:line="440" w:lineRule="exact"/>
              <w:ind w:left="63" w:right="63"/>
              <w:rPr>
                <w:rFonts w:ascii="等线" w:hAnsi="等线" w:eastAsia="仿宋_GB2312"/>
                <w:color w:val="auto"/>
                <w:sz w:val="24"/>
                <w:highlight w:val="none"/>
              </w:rPr>
            </w:pPr>
          </w:p>
        </w:tc>
      </w:tr>
    </w:tbl>
    <w:p w14:paraId="3A146FB1">
      <w:pPr>
        <w:spacing w:before="120" w:beforeLines="50" w:after="120" w:afterLines="50" w:line="440" w:lineRule="exact"/>
        <w:rPr>
          <w:rFonts w:hint="eastAsia" w:eastAsia="黑体"/>
          <w:color w:val="auto"/>
          <w:sz w:val="30"/>
          <w:szCs w:val="30"/>
          <w:highlight w:val="none"/>
        </w:rPr>
      </w:pPr>
    </w:p>
    <w:p w14:paraId="0FD47CBE">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11-2：工程设备暂估价表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59822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F8341FB">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55BF640A">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名称</w:t>
            </w:r>
          </w:p>
        </w:tc>
        <w:tc>
          <w:tcPr>
            <w:tcW w:w="851" w:type="dxa"/>
            <w:tcBorders>
              <w:top w:val="single" w:color="auto" w:sz="12" w:space="0"/>
              <w:bottom w:val="double" w:color="auto" w:sz="6" w:space="0"/>
            </w:tcBorders>
            <w:noWrap w:val="0"/>
            <w:vAlign w:val="top"/>
          </w:tcPr>
          <w:p w14:paraId="4FFF0E68">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单位</w:t>
            </w:r>
          </w:p>
        </w:tc>
        <w:tc>
          <w:tcPr>
            <w:tcW w:w="774" w:type="dxa"/>
            <w:tcBorders>
              <w:top w:val="single" w:color="auto" w:sz="12" w:space="0"/>
              <w:bottom w:val="double" w:color="auto" w:sz="6" w:space="0"/>
            </w:tcBorders>
            <w:noWrap w:val="0"/>
            <w:vAlign w:val="top"/>
          </w:tcPr>
          <w:p w14:paraId="13AF2C3A">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数量</w:t>
            </w:r>
          </w:p>
        </w:tc>
        <w:tc>
          <w:tcPr>
            <w:tcW w:w="1352" w:type="dxa"/>
            <w:tcBorders>
              <w:top w:val="single" w:color="auto" w:sz="12" w:space="0"/>
              <w:bottom w:val="double" w:color="auto" w:sz="6" w:space="0"/>
            </w:tcBorders>
            <w:noWrap w:val="0"/>
            <w:vAlign w:val="top"/>
          </w:tcPr>
          <w:p w14:paraId="31B62FB4">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单价</w:t>
            </w:r>
            <w:r>
              <w:rPr>
                <w:rFonts w:hint="eastAsia" w:ascii="等线" w:hAnsi="等线" w:eastAsia="仿宋_GB2312"/>
                <w:color w:val="auto"/>
                <w:sz w:val="24"/>
                <w:highlight w:val="none"/>
              </w:rPr>
              <w:t>（元）</w:t>
            </w:r>
          </w:p>
        </w:tc>
        <w:tc>
          <w:tcPr>
            <w:tcW w:w="1418" w:type="dxa"/>
            <w:tcBorders>
              <w:top w:val="single" w:color="auto" w:sz="12" w:space="0"/>
              <w:bottom w:val="double" w:color="auto" w:sz="6" w:space="0"/>
            </w:tcBorders>
            <w:noWrap w:val="0"/>
            <w:vAlign w:val="top"/>
          </w:tcPr>
          <w:p w14:paraId="3F84D348">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合价</w:t>
            </w:r>
            <w:r>
              <w:rPr>
                <w:rFonts w:hint="eastAsia" w:ascii="等线" w:hAnsi="等线" w:eastAsia="仿宋_GB2312"/>
                <w:color w:val="auto"/>
                <w:sz w:val="24"/>
                <w:highlight w:val="none"/>
              </w:rPr>
              <w:t>（元）</w:t>
            </w:r>
          </w:p>
        </w:tc>
        <w:tc>
          <w:tcPr>
            <w:tcW w:w="1303" w:type="dxa"/>
            <w:tcBorders>
              <w:top w:val="single" w:color="auto" w:sz="12" w:space="0"/>
              <w:bottom w:val="double" w:color="auto" w:sz="6" w:space="0"/>
            </w:tcBorders>
            <w:noWrap w:val="0"/>
            <w:vAlign w:val="top"/>
          </w:tcPr>
          <w:p w14:paraId="5F2EECD8">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备注</w:t>
            </w:r>
          </w:p>
        </w:tc>
      </w:tr>
      <w:tr w14:paraId="695BC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681FEE58">
            <w:pPr>
              <w:pStyle w:val="18"/>
              <w:keepNext/>
              <w:spacing w:after="0" w:line="440" w:lineRule="exact"/>
              <w:ind w:left="63" w:right="63"/>
              <w:rPr>
                <w:rFonts w:ascii="等线" w:hAnsi="等线" w:eastAsia="仿宋_GB2312"/>
                <w:color w:val="auto"/>
                <w:sz w:val="24"/>
                <w:highlight w:val="none"/>
              </w:rPr>
            </w:pPr>
          </w:p>
        </w:tc>
        <w:tc>
          <w:tcPr>
            <w:tcW w:w="1984" w:type="dxa"/>
            <w:tcBorders>
              <w:top w:val="double" w:color="auto" w:sz="6" w:space="0"/>
              <w:bottom w:val="single" w:color="auto" w:sz="6" w:space="0"/>
            </w:tcBorders>
            <w:noWrap w:val="0"/>
            <w:vAlign w:val="top"/>
          </w:tcPr>
          <w:p w14:paraId="73BF94FE">
            <w:pPr>
              <w:pStyle w:val="18"/>
              <w:keepNext/>
              <w:spacing w:after="0" w:line="440" w:lineRule="exact"/>
              <w:ind w:left="63" w:right="63"/>
              <w:rPr>
                <w:rFonts w:ascii="等线" w:hAnsi="等线" w:eastAsia="仿宋_GB2312"/>
                <w:color w:val="auto"/>
                <w:sz w:val="24"/>
                <w:highlight w:val="none"/>
              </w:rPr>
            </w:pPr>
          </w:p>
        </w:tc>
        <w:tc>
          <w:tcPr>
            <w:tcW w:w="851" w:type="dxa"/>
            <w:tcBorders>
              <w:top w:val="double" w:color="auto" w:sz="6" w:space="0"/>
              <w:bottom w:val="single" w:color="auto" w:sz="6" w:space="0"/>
            </w:tcBorders>
            <w:noWrap w:val="0"/>
            <w:vAlign w:val="top"/>
          </w:tcPr>
          <w:p w14:paraId="2412B3E3">
            <w:pPr>
              <w:pStyle w:val="18"/>
              <w:keepNext/>
              <w:spacing w:after="0" w:line="440" w:lineRule="exact"/>
              <w:ind w:left="63" w:right="63"/>
              <w:rPr>
                <w:rFonts w:ascii="等线" w:hAnsi="等线" w:eastAsia="仿宋_GB2312"/>
                <w:color w:val="auto"/>
                <w:sz w:val="24"/>
                <w:highlight w:val="none"/>
              </w:rPr>
            </w:pPr>
          </w:p>
        </w:tc>
        <w:tc>
          <w:tcPr>
            <w:tcW w:w="774" w:type="dxa"/>
            <w:tcBorders>
              <w:top w:val="double" w:color="auto" w:sz="6" w:space="0"/>
              <w:bottom w:val="single" w:color="auto" w:sz="6" w:space="0"/>
            </w:tcBorders>
            <w:noWrap w:val="0"/>
            <w:vAlign w:val="top"/>
          </w:tcPr>
          <w:p w14:paraId="3D4BB160">
            <w:pPr>
              <w:pStyle w:val="18"/>
              <w:keepNext/>
              <w:spacing w:after="0" w:line="440" w:lineRule="exact"/>
              <w:ind w:left="63" w:right="63"/>
              <w:rPr>
                <w:rFonts w:ascii="等线" w:hAnsi="等线" w:eastAsia="仿宋_GB2312"/>
                <w:color w:val="auto"/>
                <w:sz w:val="24"/>
                <w:highlight w:val="none"/>
              </w:rPr>
            </w:pPr>
          </w:p>
        </w:tc>
        <w:tc>
          <w:tcPr>
            <w:tcW w:w="1352" w:type="dxa"/>
            <w:tcBorders>
              <w:top w:val="double" w:color="auto" w:sz="6" w:space="0"/>
              <w:bottom w:val="single" w:color="auto" w:sz="6" w:space="0"/>
            </w:tcBorders>
            <w:noWrap w:val="0"/>
            <w:vAlign w:val="top"/>
          </w:tcPr>
          <w:p w14:paraId="4E4BD875">
            <w:pPr>
              <w:pStyle w:val="18"/>
              <w:keepNext/>
              <w:spacing w:after="0" w:line="440" w:lineRule="exact"/>
              <w:ind w:left="63" w:right="63"/>
              <w:rPr>
                <w:rFonts w:ascii="等线" w:hAnsi="等线" w:eastAsia="仿宋_GB2312"/>
                <w:color w:val="auto"/>
                <w:sz w:val="24"/>
                <w:highlight w:val="none"/>
              </w:rPr>
            </w:pPr>
          </w:p>
        </w:tc>
        <w:tc>
          <w:tcPr>
            <w:tcW w:w="1418" w:type="dxa"/>
            <w:tcBorders>
              <w:top w:val="double" w:color="auto" w:sz="6" w:space="0"/>
              <w:bottom w:val="single" w:color="auto" w:sz="6" w:space="0"/>
            </w:tcBorders>
            <w:noWrap w:val="0"/>
            <w:vAlign w:val="top"/>
          </w:tcPr>
          <w:p w14:paraId="7DC48D7B">
            <w:pPr>
              <w:pStyle w:val="18"/>
              <w:keepNext/>
              <w:spacing w:after="0" w:line="440" w:lineRule="exact"/>
              <w:ind w:left="63" w:right="63"/>
              <w:rPr>
                <w:rFonts w:ascii="等线" w:hAnsi="等线" w:eastAsia="仿宋_GB2312"/>
                <w:color w:val="auto"/>
                <w:sz w:val="24"/>
                <w:highlight w:val="none"/>
              </w:rPr>
            </w:pPr>
          </w:p>
        </w:tc>
        <w:tc>
          <w:tcPr>
            <w:tcW w:w="1303" w:type="dxa"/>
            <w:tcBorders>
              <w:top w:val="double" w:color="auto" w:sz="6" w:space="0"/>
              <w:bottom w:val="single" w:color="auto" w:sz="6" w:space="0"/>
            </w:tcBorders>
            <w:noWrap w:val="0"/>
            <w:vAlign w:val="top"/>
          </w:tcPr>
          <w:p w14:paraId="0D590716">
            <w:pPr>
              <w:pStyle w:val="18"/>
              <w:keepNext/>
              <w:spacing w:after="0" w:line="440" w:lineRule="exact"/>
              <w:ind w:left="63" w:right="63"/>
              <w:rPr>
                <w:rFonts w:ascii="等线" w:hAnsi="等线" w:eastAsia="仿宋_GB2312"/>
                <w:color w:val="auto"/>
                <w:sz w:val="24"/>
                <w:highlight w:val="none"/>
              </w:rPr>
            </w:pPr>
          </w:p>
        </w:tc>
      </w:tr>
      <w:tr w14:paraId="5F538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38B21D32">
            <w:pPr>
              <w:pStyle w:val="18"/>
              <w:keepNext/>
              <w:spacing w:after="0" w:line="440" w:lineRule="exact"/>
              <w:ind w:left="63" w:right="63"/>
              <w:rPr>
                <w:rFonts w:ascii="等线" w:hAnsi="等线" w:eastAsia="仿宋_GB2312"/>
                <w:color w:val="auto"/>
                <w:sz w:val="24"/>
                <w:highlight w:val="none"/>
              </w:rPr>
            </w:pPr>
          </w:p>
        </w:tc>
        <w:tc>
          <w:tcPr>
            <w:tcW w:w="1984" w:type="dxa"/>
            <w:tcBorders>
              <w:top w:val="nil"/>
            </w:tcBorders>
            <w:noWrap w:val="0"/>
            <w:vAlign w:val="top"/>
          </w:tcPr>
          <w:p w14:paraId="40009C7C">
            <w:pPr>
              <w:pStyle w:val="18"/>
              <w:keepNext/>
              <w:spacing w:after="0" w:line="440" w:lineRule="exact"/>
              <w:ind w:left="63" w:right="63"/>
              <w:rPr>
                <w:rFonts w:ascii="等线" w:hAnsi="等线" w:eastAsia="仿宋_GB2312"/>
                <w:color w:val="auto"/>
                <w:sz w:val="24"/>
                <w:highlight w:val="none"/>
              </w:rPr>
            </w:pPr>
          </w:p>
        </w:tc>
        <w:tc>
          <w:tcPr>
            <w:tcW w:w="851" w:type="dxa"/>
            <w:tcBorders>
              <w:top w:val="nil"/>
            </w:tcBorders>
            <w:noWrap w:val="0"/>
            <w:vAlign w:val="top"/>
          </w:tcPr>
          <w:p w14:paraId="75513180">
            <w:pPr>
              <w:pStyle w:val="18"/>
              <w:keepNext/>
              <w:spacing w:after="0" w:line="440" w:lineRule="exact"/>
              <w:ind w:left="63" w:right="63"/>
              <w:rPr>
                <w:rFonts w:ascii="等线" w:hAnsi="等线" w:eastAsia="仿宋_GB2312"/>
                <w:color w:val="auto"/>
                <w:sz w:val="24"/>
                <w:highlight w:val="none"/>
              </w:rPr>
            </w:pPr>
          </w:p>
        </w:tc>
        <w:tc>
          <w:tcPr>
            <w:tcW w:w="774" w:type="dxa"/>
            <w:tcBorders>
              <w:top w:val="nil"/>
            </w:tcBorders>
            <w:noWrap w:val="0"/>
            <w:vAlign w:val="top"/>
          </w:tcPr>
          <w:p w14:paraId="09EAE6E0">
            <w:pPr>
              <w:pStyle w:val="18"/>
              <w:keepNext/>
              <w:spacing w:after="0" w:line="440" w:lineRule="exact"/>
              <w:ind w:left="63" w:right="63"/>
              <w:rPr>
                <w:rFonts w:ascii="等线" w:hAnsi="等线" w:eastAsia="仿宋_GB2312"/>
                <w:color w:val="auto"/>
                <w:sz w:val="24"/>
                <w:highlight w:val="none"/>
              </w:rPr>
            </w:pPr>
          </w:p>
        </w:tc>
        <w:tc>
          <w:tcPr>
            <w:tcW w:w="1352" w:type="dxa"/>
            <w:tcBorders>
              <w:top w:val="nil"/>
            </w:tcBorders>
            <w:noWrap w:val="0"/>
            <w:vAlign w:val="top"/>
          </w:tcPr>
          <w:p w14:paraId="55C5E446">
            <w:pPr>
              <w:pStyle w:val="18"/>
              <w:keepNext/>
              <w:spacing w:after="0" w:line="440" w:lineRule="exact"/>
              <w:ind w:left="63" w:right="63"/>
              <w:rPr>
                <w:rFonts w:ascii="等线" w:hAnsi="等线" w:eastAsia="仿宋_GB2312"/>
                <w:color w:val="auto"/>
                <w:sz w:val="24"/>
                <w:highlight w:val="none"/>
              </w:rPr>
            </w:pPr>
          </w:p>
        </w:tc>
        <w:tc>
          <w:tcPr>
            <w:tcW w:w="1418" w:type="dxa"/>
            <w:tcBorders>
              <w:top w:val="nil"/>
            </w:tcBorders>
            <w:noWrap w:val="0"/>
            <w:vAlign w:val="top"/>
          </w:tcPr>
          <w:p w14:paraId="4EB24AFF">
            <w:pPr>
              <w:pStyle w:val="18"/>
              <w:keepNext/>
              <w:spacing w:after="0" w:line="440" w:lineRule="exact"/>
              <w:ind w:left="63" w:right="63"/>
              <w:rPr>
                <w:rFonts w:ascii="等线" w:hAnsi="等线" w:eastAsia="仿宋_GB2312"/>
                <w:color w:val="auto"/>
                <w:sz w:val="24"/>
                <w:highlight w:val="none"/>
              </w:rPr>
            </w:pPr>
          </w:p>
        </w:tc>
        <w:tc>
          <w:tcPr>
            <w:tcW w:w="1303" w:type="dxa"/>
            <w:tcBorders>
              <w:top w:val="nil"/>
            </w:tcBorders>
            <w:noWrap w:val="0"/>
            <w:vAlign w:val="top"/>
          </w:tcPr>
          <w:p w14:paraId="7BEE64BD">
            <w:pPr>
              <w:pStyle w:val="18"/>
              <w:keepNext/>
              <w:spacing w:after="0" w:line="440" w:lineRule="exact"/>
              <w:ind w:left="63" w:right="63"/>
              <w:rPr>
                <w:rFonts w:ascii="等线" w:hAnsi="等线" w:eastAsia="仿宋_GB2312"/>
                <w:color w:val="auto"/>
                <w:sz w:val="24"/>
                <w:highlight w:val="none"/>
              </w:rPr>
            </w:pPr>
          </w:p>
        </w:tc>
      </w:tr>
      <w:tr w14:paraId="6DECA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6E964D">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8D1BA2B">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CCA6F5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9400C0B">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8655940">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3BC9A1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F409093">
            <w:pPr>
              <w:pStyle w:val="18"/>
              <w:keepNext/>
              <w:spacing w:after="0" w:line="440" w:lineRule="exact"/>
              <w:ind w:left="63" w:right="63"/>
              <w:rPr>
                <w:rFonts w:ascii="等线" w:hAnsi="等线" w:eastAsia="仿宋_GB2312"/>
                <w:color w:val="auto"/>
                <w:sz w:val="24"/>
                <w:highlight w:val="none"/>
              </w:rPr>
            </w:pPr>
          </w:p>
        </w:tc>
      </w:tr>
      <w:tr w14:paraId="64A6C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B14453E">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ABD0E93">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477ABD">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C1F7E50">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E9BDB59">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A4466C">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1362077">
            <w:pPr>
              <w:pStyle w:val="18"/>
              <w:keepNext/>
              <w:spacing w:after="0" w:line="440" w:lineRule="exact"/>
              <w:ind w:left="63" w:right="63"/>
              <w:rPr>
                <w:rFonts w:ascii="等线" w:hAnsi="等线" w:eastAsia="仿宋_GB2312"/>
                <w:color w:val="auto"/>
                <w:sz w:val="24"/>
                <w:highlight w:val="none"/>
              </w:rPr>
            </w:pPr>
          </w:p>
        </w:tc>
      </w:tr>
      <w:tr w14:paraId="63DBE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8A542">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8494FB4">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1D03D1F4">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5691385">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D3ECE8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3077E5">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E7DABF5">
            <w:pPr>
              <w:pStyle w:val="18"/>
              <w:keepNext/>
              <w:spacing w:after="0" w:line="440" w:lineRule="exact"/>
              <w:ind w:left="63" w:right="63"/>
              <w:rPr>
                <w:rFonts w:ascii="等线" w:hAnsi="等线" w:eastAsia="仿宋_GB2312"/>
                <w:color w:val="auto"/>
                <w:sz w:val="24"/>
                <w:highlight w:val="none"/>
              </w:rPr>
            </w:pPr>
          </w:p>
        </w:tc>
      </w:tr>
      <w:tr w14:paraId="7EF2A6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C8CAE7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E178422">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41F9F0">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22C3B53A">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CA6DEBC">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3A595B">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1EB5BD7">
            <w:pPr>
              <w:pStyle w:val="18"/>
              <w:keepNext/>
              <w:spacing w:after="0" w:line="440" w:lineRule="exact"/>
              <w:ind w:left="63" w:right="63"/>
              <w:rPr>
                <w:rFonts w:ascii="等线" w:hAnsi="等线" w:eastAsia="仿宋_GB2312"/>
                <w:color w:val="auto"/>
                <w:sz w:val="24"/>
                <w:highlight w:val="none"/>
              </w:rPr>
            </w:pPr>
          </w:p>
        </w:tc>
      </w:tr>
      <w:tr w14:paraId="168BC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6B773B5">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7B2E75B">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AA59518">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2233883">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65B9E08">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9324B1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2CD4DC1">
            <w:pPr>
              <w:pStyle w:val="18"/>
              <w:keepNext/>
              <w:spacing w:after="0" w:line="440" w:lineRule="exact"/>
              <w:ind w:left="63" w:right="63"/>
              <w:rPr>
                <w:rFonts w:ascii="等线" w:hAnsi="等线" w:eastAsia="仿宋_GB2312"/>
                <w:color w:val="auto"/>
                <w:sz w:val="24"/>
                <w:highlight w:val="none"/>
              </w:rPr>
            </w:pPr>
          </w:p>
        </w:tc>
      </w:tr>
      <w:tr w14:paraId="19E42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A354DFA">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D6ACB0F">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7202CB73">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39007908">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6E790A3">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02226B">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0A389A9">
            <w:pPr>
              <w:pStyle w:val="18"/>
              <w:keepNext/>
              <w:spacing w:after="0" w:line="440" w:lineRule="exact"/>
              <w:ind w:left="63" w:right="63"/>
              <w:rPr>
                <w:rFonts w:ascii="等线" w:hAnsi="等线" w:eastAsia="仿宋_GB2312"/>
                <w:color w:val="auto"/>
                <w:sz w:val="24"/>
                <w:highlight w:val="none"/>
              </w:rPr>
            </w:pPr>
          </w:p>
        </w:tc>
      </w:tr>
      <w:tr w14:paraId="0CA6B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E29AC75">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79A808F">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CEB4445">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BE7717F">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4629BA8">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832B389">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EAB09C1">
            <w:pPr>
              <w:pStyle w:val="18"/>
              <w:keepNext/>
              <w:spacing w:after="0" w:line="440" w:lineRule="exact"/>
              <w:ind w:left="63" w:right="63"/>
              <w:rPr>
                <w:rFonts w:ascii="等线" w:hAnsi="等线" w:eastAsia="仿宋_GB2312"/>
                <w:color w:val="auto"/>
                <w:sz w:val="24"/>
                <w:highlight w:val="none"/>
              </w:rPr>
            </w:pPr>
          </w:p>
        </w:tc>
      </w:tr>
      <w:tr w14:paraId="2954A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B7C81">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2D6329C">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F515AA3">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3CC12496">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9553701">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669E5C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5B65C9E">
            <w:pPr>
              <w:pStyle w:val="18"/>
              <w:keepNext/>
              <w:spacing w:after="0" w:line="440" w:lineRule="exact"/>
              <w:ind w:left="63" w:right="63"/>
              <w:rPr>
                <w:rFonts w:ascii="等线" w:hAnsi="等线" w:eastAsia="仿宋_GB2312"/>
                <w:color w:val="auto"/>
                <w:sz w:val="24"/>
                <w:highlight w:val="none"/>
              </w:rPr>
            </w:pPr>
          </w:p>
        </w:tc>
      </w:tr>
      <w:tr w14:paraId="440BF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C965C0">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72F7AA0">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90836B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9E858F2">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8F0BC7B">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9C664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65BA0B2">
            <w:pPr>
              <w:pStyle w:val="18"/>
              <w:keepNext/>
              <w:spacing w:after="0" w:line="440" w:lineRule="exact"/>
              <w:ind w:left="63" w:right="63"/>
              <w:rPr>
                <w:rFonts w:ascii="等线" w:hAnsi="等线" w:eastAsia="仿宋_GB2312"/>
                <w:color w:val="auto"/>
                <w:sz w:val="24"/>
                <w:highlight w:val="none"/>
              </w:rPr>
            </w:pPr>
          </w:p>
        </w:tc>
      </w:tr>
      <w:tr w14:paraId="7EAE6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B7FEC15">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1719E1A">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029E1EE0">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93C74EF">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AED4D7C">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65443D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394E3F6">
            <w:pPr>
              <w:pStyle w:val="18"/>
              <w:keepNext/>
              <w:spacing w:after="0" w:line="440" w:lineRule="exact"/>
              <w:ind w:left="63" w:right="63"/>
              <w:rPr>
                <w:rFonts w:ascii="等线" w:hAnsi="等线" w:eastAsia="仿宋_GB2312"/>
                <w:color w:val="auto"/>
                <w:sz w:val="24"/>
                <w:highlight w:val="none"/>
              </w:rPr>
            </w:pPr>
          </w:p>
        </w:tc>
      </w:tr>
      <w:tr w14:paraId="778B4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99ECAB">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3A9EA7D">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0B4A517">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4A0D8AF">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724C225">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EE819C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169CBDC">
            <w:pPr>
              <w:pStyle w:val="18"/>
              <w:keepNext/>
              <w:spacing w:after="0" w:line="440" w:lineRule="exact"/>
              <w:ind w:left="63" w:right="63"/>
              <w:rPr>
                <w:rFonts w:ascii="等线" w:hAnsi="等线" w:eastAsia="仿宋_GB2312"/>
                <w:color w:val="auto"/>
                <w:sz w:val="24"/>
                <w:highlight w:val="none"/>
              </w:rPr>
            </w:pPr>
          </w:p>
        </w:tc>
      </w:tr>
      <w:tr w14:paraId="49363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A3879C">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9B8FFDB">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7F4EC126">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DC37592">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16D32D1">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815BE9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B3295C8">
            <w:pPr>
              <w:pStyle w:val="18"/>
              <w:keepNext/>
              <w:spacing w:after="0" w:line="440" w:lineRule="exact"/>
              <w:ind w:left="63" w:right="63"/>
              <w:rPr>
                <w:rFonts w:ascii="等线" w:hAnsi="等线" w:eastAsia="仿宋_GB2312"/>
                <w:color w:val="auto"/>
                <w:sz w:val="24"/>
                <w:highlight w:val="none"/>
              </w:rPr>
            </w:pPr>
          </w:p>
        </w:tc>
      </w:tr>
      <w:tr w14:paraId="5385D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A1A5AC9">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689B4B5">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4AAEB78">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05E3151">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2EC770D">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F46886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CFBC040">
            <w:pPr>
              <w:pStyle w:val="18"/>
              <w:keepNext/>
              <w:spacing w:after="0" w:line="440" w:lineRule="exact"/>
              <w:ind w:left="63" w:right="63"/>
              <w:rPr>
                <w:rFonts w:ascii="等线" w:hAnsi="等线" w:eastAsia="仿宋_GB2312"/>
                <w:color w:val="auto"/>
                <w:sz w:val="24"/>
                <w:highlight w:val="none"/>
              </w:rPr>
            </w:pPr>
          </w:p>
        </w:tc>
      </w:tr>
      <w:tr w14:paraId="60643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B20294">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D478C47">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960986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CA8C17C">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DD4A24E">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807C610">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86111E6">
            <w:pPr>
              <w:pStyle w:val="18"/>
              <w:keepNext/>
              <w:spacing w:after="0" w:line="440" w:lineRule="exact"/>
              <w:ind w:left="63" w:right="63"/>
              <w:rPr>
                <w:rFonts w:ascii="等线" w:hAnsi="等线" w:eastAsia="仿宋_GB2312"/>
                <w:color w:val="auto"/>
                <w:sz w:val="24"/>
                <w:highlight w:val="none"/>
              </w:rPr>
            </w:pPr>
          </w:p>
        </w:tc>
      </w:tr>
      <w:tr w14:paraId="48614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F971D8">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030A10F">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15C70F5D">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02C1D709">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C6F9CEF">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601150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A72AD59">
            <w:pPr>
              <w:pStyle w:val="18"/>
              <w:keepNext/>
              <w:spacing w:after="0" w:line="440" w:lineRule="exact"/>
              <w:ind w:left="63" w:right="63"/>
              <w:rPr>
                <w:rFonts w:ascii="等线" w:hAnsi="等线" w:eastAsia="仿宋_GB2312"/>
                <w:color w:val="auto"/>
                <w:sz w:val="24"/>
                <w:highlight w:val="none"/>
              </w:rPr>
            </w:pPr>
          </w:p>
        </w:tc>
      </w:tr>
      <w:tr w14:paraId="47F03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36B108E">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FD6397C">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E960B45">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88EF25E">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E21F32F">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7C275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19BCE3E">
            <w:pPr>
              <w:pStyle w:val="18"/>
              <w:keepNext/>
              <w:spacing w:after="0" w:line="440" w:lineRule="exact"/>
              <w:ind w:left="63" w:right="63"/>
              <w:rPr>
                <w:rFonts w:ascii="等线" w:hAnsi="等线" w:eastAsia="仿宋_GB2312"/>
                <w:color w:val="auto"/>
                <w:sz w:val="24"/>
                <w:highlight w:val="none"/>
              </w:rPr>
            </w:pPr>
          </w:p>
        </w:tc>
      </w:tr>
      <w:tr w14:paraId="3DFDC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AABC79">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7FC9A92">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18130B1D">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180A22EE">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0F2BA4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519F43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10C6662">
            <w:pPr>
              <w:pStyle w:val="18"/>
              <w:keepNext/>
              <w:spacing w:after="0" w:line="440" w:lineRule="exact"/>
              <w:ind w:left="63" w:right="63"/>
              <w:rPr>
                <w:rFonts w:ascii="等线" w:hAnsi="等线" w:eastAsia="仿宋_GB2312"/>
                <w:color w:val="auto"/>
                <w:sz w:val="24"/>
                <w:highlight w:val="none"/>
              </w:rPr>
            </w:pPr>
          </w:p>
        </w:tc>
      </w:tr>
      <w:tr w14:paraId="1B154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93A5BEC">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1712257">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7B40832D">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2EEAFA7">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30F3B71">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8D060FD">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0D88278">
            <w:pPr>
              <w:pStyle w:val="18"/>
              <w:keepNext/>
              <w:spacing w:after="0" w:line="440" w:lineRule="exact"/>
              <w:ind w:left="63" w:right="63"/>
              <w:rPr>
                <w:rFonts w:ascii="等线" w:hAnsi="等线" w:eastAsia="仿宋_GB2312"/>
                <w:color w:val="auto"/>
                <w:sz w:val="24"/>
                <w:highlight w:val="none"/>
              </w:rPr>
            </w:pPr>
          </w:p>
        </w:tc>
      </w:tr>
      <w:tr w14:paraId="39E49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D7E4D4">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1714D3C">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0FF065E">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387DFDF1">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4D54C73">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6FE14378">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107A07C">
            <w:pPr>
              <w:pStyle w:val="18"/>
              <w:keepNext/>
              <w:spacing w:after="0" w:line="440" w:lineRule="exact"/>
              <w:ind w:left="63" w:right="63"/>
              <w:rPr>
                <w:rFonts w:ascii="等线" w:hAnsi="等线" w:eastAsia="仿宋_GB2312"/>
                <w:color w:val="auto"/>
                <w:sz w:val="24"/>
                <w:highlight w:val="none"/>
              </w:rPr>
            </w:pPr>
          </w:p>
        </w:tc>
      </w:tr>
      <w:tr w14:paraId="2B62C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814B8A6">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6D9B739">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11E30A5">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03EE90F5">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5FB1E66">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1A8830C">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8D21272">
            <w:pPr>
              <w:pStyle w:val="18"/>
              <w:keepNext/>
              <w:spacing w:after="0" w:line="440" w:lineRule="exact"/>
              <w:ind w:left="63" w:right="63"/>
              <w:rPr>
                <w:rFonts w:ascii="等线" w:hAnsi="等线" w:eastAsia="仿宋_GB2312"/>
                <w:color w:val="auto"/>
                <w:sz w:val="24"/>
                <w:highlight w:val="none"/>
              </w:rPr>
            </w:pPr>
          </w:p>
        </w:tc>
      </w:tr>
      <w:tr w14:paraId="46706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E9A7E3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0E6B2FB">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8427633">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2E633F9B">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04CB81C">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1EFFCA5">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E3C879C">
            <w:pPr>
              <w:pStyle w:val="18"/>
              <w:keepNext/>
              <w:spacing w:after="0" w:line="440" w:lineRule="exact"/>
              <w:ind w:left="63" w:right="63"/>
              <w:rPr>
                <w:rFonts w:ascii="等线" w:hAnsi="等线" w:eastAsia="仿宋_GB2312"/>
                <w:color w:val="auto"/>
                <w:sz w:val="24"/>
                <w:highlight w:val="none"/>
              </w:rPr>
            </w:pPr>
          </w:p>
        </w:tc>
      </w:tr>
      <w:tr w14:paraId="1AFA0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B491A5">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D4CE802">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0C6BB71A">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0A0E0A3D">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676A839">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FCD16C4">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68F7102">
            <w:pPr>
              <w:pStyle w:val="18"/>
              <w:keepNext/>
              <w:spacing w:after="0" w:line="440" w:lineRule="exact"/>
              <w:ind w:left="63" w:right="63"/>
              <w:rPr>
                <w:rFonts w:ascii="等线" w:hAnsi="等线" w:eastAsia="仿宋_GB2312"/>
                <w:color w:val="auto"/>
                <w:sz w:val="24"/>
                <w:highlight w:val="none"/>
              </w:rPr>
            </w:pPr>
          </w:p>
        </w:tc>
      </w:tr>
      <w:tr w14:paraId="5F103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710F91">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5542EB3">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914152A">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43A75D2">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A08CF49">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2E67484">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A943863">
            <w:pPr>
              <w:pStyle w:val="18"/>
              <w:keepNext/>
              <w:spacing w:after="0" w:line="440" w:lineRule="exact"/>
              <w:ind w:left="63" w:right="63"/>
              <w:rPr>
                <w:rFonts w:ascii="等线" w:hAnsi="等线" w:eastAsia="仿宋_GB2312"/>
                <w:color w:val="auto"/>
                <w:sz w:val="24"/>
                <w:highlight w:val="none"/>
              </w:rPr>
            </w:pPr>
          </w:p>
        </w:tc>
      </w:tr>
    </w:tbl>
    <w:p w14:paraId="466D8814">
      <w:pPr>
        <w:spacing w:line="440" w:lineRule="exact"/>
        <w:rPr>
          <w:rFonts w:eastAsia="仿宋_GB2312"/>
          <w:color w:val="auto"/>
          <w:sz w:val="30"/>
          <w:szCs w:val="30"/>
          <w:highlight w:val="none"/>
        </w:rPr>
      </w:pPr>
    </w:p>
    <w:p w14:paraId="3E180E0F">
      <w:pPr>
        <w:spacing w:before="120" w:beforeLines="50" w:after="120" w:afterLines="50" w:line="440" w:lineRule="exact"/>
        <w:jc w:val="center"/>
        <w:rPr>
          <w:color w:val="auto"/>
          <w:highlight w:val="none"/>
        </w:rPr>
      </w:pPr>
      <w:r>
        <w:rPr>
          <w:rFonts w:eastAsia="仿宋_GB2312"/>
          <w:color w:val="auto"/>
          <w:sz w:val="30"/>
          <w:szCs w:val="30"/>
          <w:highlight w:val="none"/>
        </w:rPr>
        <w:br w:type="page"/>
      </w:r>
      <w:r>
        <w:rPr>
          <w:rFonts w:hint="eastAsia" w:ascii="宋体" w:hAnsi="宋体" w:cs="宋体"/>
          <w:color w:val="auto"/>
          <w:szCs w:val="21"/>
          <w:highlight w:val="none"/>
        </w:rPr>
        <w:t>11-3：专业工程暂估价表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14:paraId="3F19D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54769066">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4C338824">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专业工程名称</w:t>
            </w:r>
          </w:p>
        </w:tc>
        <w:tc>
          <w:tcPr>
            <w:tcW w:w="4395" w:type="dxa"/>
            <w:tcBorders>
              <w:top w:val="single" w:color="auto" w:sz="12" w:space="0"/>
              <w:bottom w:val="double" w:color="auto" w:sz="6" w:space="0"/>
            </w:tcBorders>
            <w:noWrap w:val="0"/>
            <w:vAlign w:val="top"/>
          </w:tcPr>
          <w:p w14:paraId="667E0C2C">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工程内容</w:t>
            </w:r>
          </w:p>
        </w:tc>
        <w:tc>
          <w:tcPr>
            <w:tcW w:w="1417" w:type="dxa"/>
            <w:tcBorders>
              <w:top w:val="single" w:color="auto" w:sz="12" w:space="0"/>
              <w:bottom w:val="double" w:color="auto" w:sz="6" w:space="0"/>
            </w:tcBorders>
            <w:noWrap w:val="0"/>
            <w:vAlign w:val="top"/>
          </w:tcPr>
          <w:p w14:paraId="69F979A8">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金额</w:t>
            </w:r>
          </w:p>
        </w:tc>
      </w:tr>
      <w:tr w14:paraId="39329B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6664E4DF">
            <w:pPr>
              <w:pStyle w:val="18"/>
              <w:keepNext/>
              <w:spacing w:after="0" w:line="440" w:lineRule="exact"/>
              <w:ind w:left="63" w:right="63"/>
              <w:rPr>
                <w:rFonts w:ascii="等线" w:hAnsi="等线"/>
                <w:color w:val="auto"/>
                <w:sz w:val="24"/>
                <w:highlight w:val="none"/>
              </w:rPr>
            </w:pPr>
          </w:p>
        </w:tc>
        <w:tc>
          <w:tcPr>
            <w:tcW w:w="1984" w:type="dxa"/>
            <w:tcBorders>
              <w:top w:val="double" w:color="auto" w:sz="6" w:space="0"/>
              <w:bottom w:val="single" w:color="auto" w:sz="6" w:space="0"/>
            </w:tcBorders>
            <w:noWrap w:val="0"/>
            <w:vAlign w:val="top"/>
          </w:tcPr>
          <w:p w14:paraId="7E4F98C6">
            <w:pPr>
              <w:pStyle w:val="18"/>
              <w:keepNext/>
              <w:spacing w:after="0" w:line="440" w:lineRule="exact"/>
              <w:ind w:left="63" w:right="63"/>
              <w:rPr>
                <w:rFonts w:ascii="等线" w:hAnsi="等线"/>
                <w:color w:val="auto"/>
                <w:sz w:val="24"/>
                <w:highlight w:val="none"/>
              </w:rPr>
            </w:pPr>
          </w:p>
        </w:tc>
        <w:tc>
          <w:tcPr>
            <w:tcW w:w="4395" w:type="dxa"/>
            <w:tcBorders>
              <w:top w:val="double" w:color="auto" w:sz="6" w:space="0"/>
              <w:bottom w:val="single" w:color="auto" w:sz="6" w:space="0"/>
            </w:tcBorders>
            <w:noWrap w:val="0"/>
            <w:vAlign w:val="top"/>
          </w:tcPr>
          <w:p w14:paraId="5E33ABFC">
            <w:pPr>
              <w:pStyle w:val="18"/>
              <w:keepNext/>
              <w:spacing w:after="0" w:line="440" w:lineRule="exact"/>
              <w:ind w:left="63" w:right="63"/>
              <w:rPr>
                <w:rFonts w:ascii="等线" w:hAnsi="等线"/>
                <w:color w:val="auto"/>
                <w:sz w:val="24"/>
                <w:highlight w:val="none"/>
              </w:rPr>
            </w:pPr>
          </w:p>
        </w:tc>
        <w:tc>
          <w:tcPr>
            <w:tcW w:w="1417" w:type="dxa"/>
            <w:tcBorders>
              <w:top w:val="double" w:color="auto" w:sz="6" w:space="0"/>
              <w:bottom w:val="single" w:color="auto" w:sz="6" w:space="0"/>
            </w:tcBorders>
            <w:noWrap w:val="0"/>
            <w:vAlign w:val="top"/>
          </w:tcPr>
          <w:p w14:paraId="7D315CEE">
            <w:pPr>
              <w:pStyle w:val="18"/>
              <w:keepNext/>
              <w:spacing w:after="0" w:line="440" w:lineRule="exact"/>
              <w:ind w:left="63" w:right="63"/>
              <w:rPr>
                <w:rFonts w:ascii="等线" w:hAnsi="等线"/>
                <w:color w:val="auto"/>
                <w:sz w:val="24"/>
                <w:highlight w:val="none"/>
              </w:rPr>
            </w:pPr>
          </w:p>
        </w:tc>
      </w:tr>
      <w:tr w14:paraId="76EC7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503E87E">
            <w:pPr>
              <w:pStyle w:val="18"/>
              <w:keepNext/>
              <w:spacing w:after="0" w:line="440" w:lineRule="exact"/>
              <w:ind w:left="63" w:right="63"/>
              <w:rPr>
                <w:rFonts w:ascii="等线" w:hAnsi="等线"/>
                <w:color w:val="auto"/>
                <w:sz w:val="24"/>
                <w:highlight w:val="none"/>
              </w:rPr>
            </w:pPr>
          </w:p>
        </w:tc>
        <w:tc>
          <w:tcPr>
            <w:tcW w:w="1984" w:type="dxa"/>
            <w:tcBorders>
              <w:top w:val="nil"/>
            </w:tcBorders>
            <w:noWrap w:val="0"/>
            <w:vAlign w:val="top"/>
          </w:tcPr>
          <w:p w14:paraId="3D1127D9">
            <w:pPr>
              <w:pStyle w:val="18"/>
              <w:keepNext/>
              <w:spacing w:after="0" w:line="440" w:lineRule="exact"/>
              <w:ind w:left="63" w:right="63"/>
              <w:rPr>
                <w:rFonts w:ascii="等线" w:hAnsi="等线"/>
                <w:color w:val="auto"/>
                <w:sz w:val="24"/>
                <w:highlight w:val="none"/>
              </w:rPr>
            </w:pPr>
          </w:p>
        </w:tc>
        <w:tc>
          <w:tcPr>
            <w:tcW w:w="4395" w:type="dxa"/>
            <w:tcBorders>
              <w:top w:val="nil"/>
            </w:tcBorders>
            <w:noWrap w:val="0"/>
            <w:vAlign w:val="top"/>
          </w:tcPr>
          <w:p w14:paraId="3EF9EF09">
            <w:pPr>
              <w:pStyle w:val="18"/>
              <w:keepNext/>
              <w:spacing w:after="0" w:line="440" w:lineRule="exact"/>
              <w:ind w:left="63" w:right="63"/>
              <w:rPr>
                <w:rFonts w:ascii="等线" w:hAnsi="等线"/>
                <w:color w:val="auto"/>
                <w:sz w:val="24"/>
                <w:highlight w:val="none"/>
              </w:rPr>
            </w:pPr>
          </w:p>
        </w:tc>
        <w:tc>
          <w:tcPr>
            <w:tcW w:w="1417" w:type="dxa"/>
            <w:tcBorders>
              <w:top w:val="nil"/>
            </w:tcBorders>
            <w:noWrap w:val="0"/>
            <w:vAlign w:val="top"/>
          </w:tcPr>
          <w:p w14:paraId="3265CA22">
            <w:pPr>
              <w:pStyle w:val="18"/>
              <w:keepNext/>
              <w:spacing w:after="0" w:line="440" w:lineRule="exact"/>
              <w:ind w:left="63" w:right="63"/>
              <w:rPr>
                <w:rFonts w:ascii="等线" w:hAnsi="等线"/>
                <w:color w:val="auto"/>
                <w:sz w:val="24"/>
                <w:highlight w:val="none"/>
              </w:rPr>
            </w:pPr>
          </w:p>
        </w:tc>
      </w:tr>
      <w:tr w14:paraId="6B48B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3423D43F">
            <w:pPr>
              <w:pStyle w:val="18"/>
              <w:keepNext/>
              <w:spacing w:after="0" w:line="440" w:lineRule="exact"/>
              <w:ind w:left="63" w:right="63"/>
              <w:rPr>
                <w:rFonts w:ascii="等线" w:hAnsi="等线"/>
                <w:color w:val="auto"/>
                <w:sz w:val="24"/>
                <w:highlight w:val="none"/>
              </w:rPr>
            </w:pPr>
          </w:p>
        </w:tc>
        <w:tc>
          <w:tcPr>
            <w:tcW w:w="1984" w:type="dxa"/>
            <w:tcBorders>
              <w:top w:val="nil"/>
            </w:tcBorders>
            <w:noWrap w:val="0"/>
            <w:vAlign w:val="top"/>
          </w:tcPr>
          <w:p w14:paraId="6344F9D4">
            <w:pPr>
              <w:pStyle w:val="18"/>
              <w:keepNext/>
              <w:spacing w:after="0" w:line="440" w:lineRule="exact"/>
              <w:ind w:left="63" w:right="63"/>
              <w:rPr>
                <w:rFonts w:ascii="等线" w:hAnsi="等线"/>
                <w:color w:val="auto"/>
                <w:sz w:val="24"/>
                <w:highlight w:val="none"/>
              </w:rPr>
            </w:pPr>
          </w:p>
        </w:tc>
        <w:tc>
          <w:tcPr>
            <w:tcW w:w="4395" w:type="dxa"/>
            <w:tcBorders>
              <w:top w:val="nil"/>
            </w:tcBorders>
            <w:noWrap w:val="0"/>
            <w:vAlign w:val="top"/>
          </w:tcPr>
          <w:p w14:paraId="4F4D8D60">
            <w:pPr>
              <w:pStyle w:val="18"/>
              <w:keepNext/>
              <w:spacing w:after="0" w:line="440" w:lineRule="exact"/>
              <w:ind w:left="63" w:right="63"/>
              <w:rPr>
                <w:rFonts w:ascii="等线" w:hAnsi="等线"/>
                <w:color w:val="auto"/>
                <w:sz w:val="24"/>
                <w:highlight w:val="none"/>
              </w:rPr>
            </w:pPr>
          </w:p>
        </w:tc>
        <w:tc>
          <w:tcPr>
            <w:tcW w:w="1417" w:type="dxa"/>
            <w:tcBorders>
              <w:top w:val="nil"/>
            </w:tcBorders>
            <w:noWrap w:val="0"/>
            <w:vAlign w:val="top"/>
          </w:tcPr>
          <w:p w14:paraId="6F6F119A">
            <w:pPr>
              <w:pStyle w:val="18"/>
              <w:keepNext/>
              <w:spacing w:after="0" w:line="440" w:lineRule="exact"/>
              <w:ind w:left="63" w:right="63"/>
              <w:rPr>
                <w:rFonts w:ascii="等线" w:hAnsi="等线"/>
                <w:color w:val="auto"/>
                <w:sz w:val="24"/>
                <w:highlight w:val="none"/>
              </w:rPr>
            </w:pPr>
          </w:p>
        </w:tc>
      </w:tr>
      <w:tr w14:paraId="76214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FB03A41">
            <w:pPr>
              <w:pStyle w:val="18"/>
              <w:keepNext/>
              <w:spacing w:after="0" w:line="440" w:lineRule="exact"/>
              <w:ind w:left="63" w:right="63"/>
              <w:rPr>
                <w:rFonts w:ascii="等线" w:hAnsi="等线"/>
                <w:color w:val="auto"/>
                <w:sz w:val="24"/>
                <w:highlight w:val="none"/>
              </w:rPr>
            </w:pPr>
          </w:p>
        </w:tc>
        <w:tc>
          <w:tcPr>
            <w:tcW w:w="1984" w:type="dxa"/>
            <w:noWrap w:val="0"/>
            <w:vAlign w:val="top"/>
          </w:tcPr>
          <w:p w14:paraId="11CDFD61">
            <w:pPr>
              <w:pStyle w:val="18"/>
              <w:keepNext/>
              <w:spacing w:after="0" w:line="440" w:lineRule="exact"/>
              <w:ind w:left="63" w:right="63"/>
              <w:rPr>
                <w:rFonts w:ascii="等线" w:hAnsi="等线"/>
                <w:color w:val="auto"/>
                <w:sz w:val="24"/>
                <w:highlight w:val="none"/>
              </w:rPr>
            </w:pPr>
          </w:p>
        </w:tc>
        <w:tc>
          <w:tcPr>
            <w:tcW w:w="4395" w:type="dxa"/>
            <w:noWrap w:val="0"/>
            <w:vAlign w:val="top"/>
          </w:tcPr>
          <w:p w14:paraId="64626EF5">
            <w:pPr>
              <w:pStyle w:val="18"/>
              <w:keepNext/>
              <w:spacing w:after="0" w:line="440" w:lineRule="exact"/>
              <w:ind w:left="63" w:right="63"/>
              <w:rPr>
                <w:rFonts w:ascii="等线" w:hAnsi="等线"/>
                <w:color w:val="auto"/>
                <w:sz w:val="24"/>
                <w:highlight w:val="none"/>
              </w:rPr>
            </w:pPr>
          </w:p>
        </w:tc>
        <w:tc>
          <w:tcPr>
            <w:tcW w:w="1417" w:type="dxa"/>
            <w:noWrap w:val="0"/>
            <w:vAlign w:val="top"/>
          </w:tcPr>
          <w:p w14:paraId="3BA2C931">
            <w:pPr>
              <w:pStyle w:val="18"/>
              <w:keepNext/>
              <w:spacing w:after="0" w:line="440" w:lineRule="exact"/>
              <w:ind w:left="63" w:right="63"/>
              <w:rPr>
                <w:rFonts w:ascii="等线" w:hAnsi="等线"/>
                <w:color w:val="auto"/>
                <w:sz w:val="24"/>
                <w:highlight w:val="none"/>
              </w:rPr>
            </w:pPr>
          </w:p>
        </w:tc>
      </w:tr>
      <w:tr w14:paraId="446B9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88ED04B">
            <w:pPr>
              <w:pStyle w:val="18"/>
              <w:keepNext/>
              <w:spacing w:after="0" w:line="440" w:lineRule="exact"/>
              <w:ind w:left="63" w:right="63"/>
              <w:rPr>
                <w:rFonts w:ascii="等线" w:hAnsi="等线"/>
                <w:color w:val="auto"/>
                <w:sz w:val="24"/>
                <w:highlight w:val="none"/>
              </w:rPr>
            </w:pPr>
          </w:p>
        </w:tc>
        <w:tc>
          <w:tcPr>
            <w:tcW w:w="1984" w:type="dxa"/>
            <w:noWrap w:val="0"/>
            <w:vAlign w:val="top"/>
          </w:tcPr>
          <w:p w14:paraId="5CEFB067">
            <w:pPr>
              <w:pStyle w:val="18"/>
              <w:keepNext/>
              <w:spacing w:after="0" w:line="440" w:lineRule="exact"/>
              <w:ind w:left="63" w:right="63"/>
              <w:rPr>
                <w:rFonts w:ascii="等线" w:hAnsi="等线"/>
                <w:color w:val="auto"/>
                <w:sz w:val="24"/>
                <w:highlight w:val="none"/>
              </w:rPr>
            </w:pPr>
          </w:p>
        </w:tc>
        <w:tc>
          <w:tcPr>
            <w:tcW w:w="4395" w:type="dxa"/>
            <w:noWrap w:val="0"/>
            <w:vAlign w:val="top"/>
          </w:tcPr>
          <w:p w14:paraId="2A892DA2">
            <w:pPr>
              <w:pStyle w:val="18"/>
              <w:keepNext/>
              <w:spacing w:after="0" w:line="440" w:lineRule="exact"/>
              <w:ind w:left="63" w:right="63"/>
              <w:rPr>
                <w:rFonts w:ascii="等线" w:hAnsi="等线"/>
                <w:color w:val="auto"/>
                <w:sz w:val="24"/>
                <w:highlight w:val="none"/>
              </w:rPr>
            </w:pPr>
          </w:p>
        </w:tc>
        <w:tc>
          <w:tcPr>
            <w:tcW w:w="1417" w:type="dxa"/>
            <w:noWrap w:val="0"/>
            <w:vAlign w:val="top"/>
          </w:tcPr>
          <w:p w14:paraId="4E8ACE20">
            <w:pPr>
              <w:pStyle w:val="18"/>
              <w:keepNext/>
              <w:spacing w:after="0" w:line="440" w:lineRule="exact"/>
              <w:ind w:left="63" w:right="63"/>
              <w:rPr>
                <w:rFonts w:ascii="等线" w:hAnsi="等线"/>
                <w:color w:val="auto"/>
                <w:sz w:val="24"/>
                <w:highlight w:val="none"/>
              </w:rPr>
            </w:pPr>
          </w:p>
        </w:tc>
      </w:tr>
      <w:tr w14:paraId="6ED86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1072CD0">
            <w:pPr>
              <w:pStyle w:val="18"/>
              <w:keepNext/>
              <w:spacing w:after="0" w:line="440" w:lineRule="exact"/>
              <w:ind w:left="63" w:right="63"/>
              <w:rPr>
                <w:rFonts w:ascii="等线" w:hAnsi="等线"/>
                <w:color w:val="auto"/>
                <w:sz w:val="24"/>
                <w:highlight w:val="none"/>
              </w:rPr>
            </w:pPr>
          </w:p>
        </w:tc>
        <w:tc>
          <w:tcPr>
            <w:tcW w:w="1984" w:type="dxa"/>
            <w:noWrap w:val="0"/>
            <w:vAlign w:val="top"/>
          </w:tcPr>
          <w:p w14:paraId="40F683C3">
            <w:pPr>
              <w:pStyle w:val="18"/>
              <w:keepNext/>
              <w:spacing w:after="0" w:line="440" w:lineRule="exact"/>
              <w:ind w:left="63" w:right="63"/>
              <w:rPr>
                <w:rFonts w:ascii="等线" w:hAnsi="等线"/>
                <w:color w:val="auto"/>
                <w:sz w:val="24"/>
                <w:highlight w:val="none"/>
              </w:rPr>
            </w:pPr>
          </w:p>
        </w:tc>
        <w:tc>
          <w:tcPr>
            <w:tcW w:w="4395" w:type="dxa"/>
            <w:noWrap w:val="0"/>
            <w:vAlign w:val="top"/>
          </w:tcPr>
          <w:p w14:paraId="522FBC36">
            <w:pPr>
              <w:pStyle w:val="18"/>
              <w:keepNext/>
              <w:spacing w:after="0" w:line="440" w:lineRule="exact"/>
              <w:ind w:left="63" w:right="63"/>
              <w:rPr>
                <w:rFonts w:ascii="等线" w:hAnsi="等线"/>
                <w:color w:val="auto"/>
                <w:sz w:val="24"/>
                <w:highlight w:val="none"/>
              </w:rPr>
            </w:pPr>
          </w:p>
        </w:tc>
        <w:tc>
          <w:tcPr>
            <w:tcW w:w="1417" w:type="dxa"/>
            <w:noWrap w:val="0"/>
            <w:vAlign w:val="top"/>
          </w:tcPr>
          <w:p w14:paraId="3D2D0A77">
            <w:pPr>
              <w:pStyle w:val="18"/>
              <w:keepNext/>
              <w:spacing w:after="0" w:line="440" w:lineRule="exact"/>
              <w:ind w:left="63" w:right="63"/>
              <w:rPr>
                <w:rFonts w:ascii="等线" w:hAnsi="等线"/>
                <w:color w:val="auto"/>
                <w:sz w:val="24"/>
                <w:highlight w:val="none"/>
              </w:rPr>
            </w:pPr>
          </w:p>
        </w:tc>
      </w:tr>
      <w:tr w14:paraId="4FD62B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F90B06">
            <w:pPr>
              <w:pStyle w:val="18"/>
              <w:keepNext/>
              <w:spacing w:after="0" w:line="440" w:lineRule="exact"/>
              <w:ind w:left="63" w:right="63"/>
              <w:rPr>
                <w:rFonts w:ascii="等线" w:hAnsi="等线"/>
                <w:color w:val="auto"/>
                <w:sz w:val="24"/>
                <w:highlight w:val="none"/>
              </w:rPr>
            </w:pPr>
          </w:p>
        </w:tc>
        <w:tc>
          <w:tcPr>
            <w:tcW w:w="1984" w:type="dxa"/>
            <w:noWrap w:val="0"/>
            <w:vAlign w:val="top"/>
          </w:tcPr>
          <w:p w14:paraId="1850226A">
            <w:pPr>
              <w:pStyle w:val="18"/>
              <w:keepNext/>
              <w:spacing w:after="0" w:line="440" w:lineRule="exact"/>
              <w:ind w:left="63" w:right="63"/>
              <w:rPr>
                <w:rFonts w:ascii="等线" w:hAnsi="等线"/>
                <w:color w:val="auto"/>
                <w:sz w:val="24"/>
                <w:highlight w:val="none"/>
              </w:rPr>
            </w:pPr>
          </w:p>
        </w:tc>
        <w:tc>
          <w:tcPr>
            <w:tcW w:w="4395" w:type="dxa"/>
            <w:noWrap w:val="0"/>
            <w:vAlign w:val="top"/>
          </w:tcPr>
          <w:p w14:paraId="13DA7495">
            <w:pPr>
              <w:pStyle w:val="18"/>
              <w:keepNext/>
              <w:spacing w:after="0" w:line="440" w:lineRule="exact"/>
              <w:ind w:left="63" w:right="63"/>
              <w:rPr>
                <w:rFonts w:ascii="等线" w:hAnsi="等线"/>
                <w:color w:val="auto"/>
                <w:sz w:val="24"/>
                <w:highlight w:val="none"/>
              </w:rPr>
            </w:pPr>
          </w:p>
        </w:tc>
        <w:tc>
          <w:tcPr>
            <w:tcW w:w="1417" w:type="dxa"/>
            <w:noWrap w:val="0"/>
            <w:vAlign w:val="top"/>
          </w:tcPr>
          <w:p w14:paraId="39D95C5D">
            <w:pPr>
              <w:pStyle w:val="18"/>
              <w:keepNext/>
              <w:spacing w:after="0" w:line="440" w:lineRule="exact"/>
              <w:ind w:left="63" w:right="63"/>
              <w:rPr>
                <w:rFonts w:ascii="等线" w:hAnsi="等线"/>
                <w:color w:val="auto"/>
                <w:sz w:val="24"/>
                <w:highlight w:val="none"/>
              </w:rPr>
            </w:pPr>
          </w:p>
        </w:tc>
      </w:tr>
      <w:tr w14:paraId="10B98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E6387D8">
            <w:pPr>
              <w:pStyle w:val="18"/>
              <w:keepNext/>
              <w:spacing w:after="0" w:line="440" w:lineRule="exact"/>
              <w:ind w:left="63" w:right="63"/>
              <w:rPr>
                <w:rFonts w:ascii="等线" w:hAnsi="等线"/>
                <w:color w:val="auto"/>
                <w:sz w:val="24"/>
                <w:highlight w:val="none"/>
              </w:rPr>
            </w:pPr>
          </w:p>
        </w:tc>
        <w:tc>
          <w:tcPr>
            <w:tcW w:w="1984" w:type="dxa"/>
            <w:noWrap w:val="0"/>
            <w:vAlign w:val="top"/>
          </w:tcPr>
          <w:p w14:paraId="506B1F2C">
            <w:pPr>
              <w:pStyle w:val="18"/>
              <w:keepNext/>
              <w:spacing w:after="0" w:line="440" w:lineRule="exact"/>
              <w:ind w:left="63" w:right="63"/>
              <w:rPr>
                <w:rFonts w:ascii="等线" w:hAnsi="等线"/>
                <w:color w:val="auto"/>
                <w:sz w:val="24"/>
                <w:highlight w:val="none"/>
              </w:rPr>
            </w:pPr>
          </w:p>
        </w:tc>
        <w:tc>
          <w:tcPr>
            <w:tcW w:w="4395" w:type="dxa"/>
            <w:noWrap w:val="0"/>
            <w:vAlign w:val="top"/>
          </w:tcPr>
          <w:p w14:paraId="312EF7EA">
            <w:pPr>
              <w:pStyle w:val="18"/>
              <w:keepNext/>
              <w:spacing w:after="0" w:line="440" w:lineRule="exact"/>
              <w:ind w:left="63" w:right="63"/>
              <w:rPr>
                <w:rFonts w:ascii="等线" w:hAnsi="等线"/>
                <w:color w:val="auto"/>
                <w:sz w:val="24"/>
                <w:highlight w:val="none"/>
              </w:rPr>
            </w:pPr>
          </w:p>
        </w:tc>
        <w:tc>
          <w:tcPr>
            <w:tcW w:w="1417" w:type="dxa"/>
            <w:noWrap w:val="0"/>
            <w:vAlign w:val="top"/>
          </w:tcPr>
          <w:p w14:paraId="7240C53C">
            <w:pPr>
              <w:pStyle w:val="18"/>
              <w:keepNext/>
              <w:spacing w:after="0" w:line="440" w:lineRule="exact"/>
              <w:ind w:left="63" w:right="63"/>
              <w:rPr>
                <w:rFonts w:ascii="等线" w:hAnsi="等线"/>
                <w:color w:val="auto"/>
                <w:sz w:val="24"/>
                <w:highlight w:val="none"/>
              </w:rPr>
            </w:pPr>
          </w:p>
        </w:tc>
      </w:tr>
      <w:tr w14:paraId="6CD69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68BFF6E">
            <w:pPr>
              <w:pStyle w:val="18"/>
              <w:keepNext/>
              <w:spacing w:after="0" w:line="440" w:lineRule="exact"/>
              <w:ind w:left="63" w:right="63"/>
              <w:rPr>
                <w:rFonts w:ascii="等线" w:hAnsi="等线"/>
                <w:color w:val="auto"/>
                <w:sz w:val="24"/>
                <w:highlight w:val="none"/>
              </w:rPr>
            </w:pPr>
          </w:p>
        </w:tc>
        <w:tc>
          <w:tcPr>
            <w:tcW w:w="1984" w:type="dxa"/>
            <w:noWrap w:val="0"/>
            <w:vAlign w:val="top"/>
          </w:tcPr>
          <w:p w14:paraId="4AB98ECA">
            <w:pPr>
              <w:pStyle w:val="18"/>
              <w:keepNext/>
              <w:spacing w:after="0" w:line="440" w:lineRule="exact"/>
              <w:ind w:left="63" w:right="63"/>
              <w:rPr>
                <w:rFonts w:ascii="等线" w:hAnsi="等线"/>
                <w:color w:val="auto"/>
                <w:sz w:val="24"/>
                <w:highlight w:val="none"/>
              </w:rPr>
            </w:pPr>
          </w:p>
        </w:tc>
        <w:tc>
          <w:tcPr>
            <w:tcW w:w="4395" w:type="dxa"/>
            <w:noWrap w:val="0"/>
            <w:vAlign w:val="top"/>
          </w:tcPr>
          <w:p w14:paraId="5E8D6727">
            <w:pPr>
              <w:pStyle w:val="18"/>
              <w:keepNext/>
              <w:spacing w:after="0" w:line="440" w:lineRule="exact"/>
              <w:ind w:left="63" w:right="63"/>
              <w:rPr>
                <w:rFonts w:ascii="等线" w:hAnsi="等线"/>
                <w:color w:val="auto"/>
                <w:sz w:val="24"/>
                <w:highlight w:val="none"/>
              </w:rPr>
            </w:pPr>
          </w:p>
        </w:tc>
        <w:tc>
          <w:tcPr>
            <w:tcW w:w="1417" w:type="dxa"/>
            <w:noWrap w:val="0"/>
            <w:vAlign w:val="top"/>
          </w:tcPr>
          <w:p w14:paraId="2811CEB2">
            <w:pPr>
              <w:pStyle w:val="18"/>
              <w:keepNext/>
              <w:spacing w:after="0" w:line="440" w:lineRule="exact"/>
              <w:ind w:left="63" w:right="63"/>
              <w:rPr>
                <w:rFonts w:ascii="等线" w:hAnsi="等线"/>
                <w:color w:val="auto"/>
                <w:sz w:val="24"/>
                <w:highlight w:val="none"/>
              </w:rPr>
            </w:pPr>
          </w:p>
        </w:tc>
      </w:tr>
      <w:tr w14:paraId="25B63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ACF8D5">
            <w:pPr>
              <w:pStyle w:val="18"/>
              <w:keepNext/>
              <w:spacing w:after="0" w:line="440" w:lineRule="exact"/>
              <w:ind w:left="63" w:right="63"/>
              <w:rPr>
                <w:rFonts w:ascii="等线" w:hAnsi="等线"/>
                <w:color w:val="auto"/>
                <w:sz w:val="24"/>
                <w:highlight w:val="none"/>
              </w:rPr>
            </w:pPr>
          </w:p>
        </w:tc>
        <w:tc>
          <w:tcPr>
            <w:tcW w:w="1984" w:type="dxa"/>
            <w:noWrap w:val="0"/>
            <w:vAlign w:val="top"/>
          </w:tcPr>
          <w:p w14:paraId="741572DB">
            <w:pPr>
              <w:pStyle w:val="18"/>
              <w:keepNext/>
              <w:spacing w:after="0" w:line="440" w:lineRule="exact"/>
              <w:ind w:left="63" w:right="63"/>
              <w:rPr>
                <w:rFonts w:ascii="等线" w:hAnsi="等线"/>
                <w:color w:val="auto"/>
                <w:sz w:val="24"/>
                <w:highlight w:val="none"/>
              </w:rPr>
            </w:pPr>
          </w:p>
        </w:tc>
        <w:tc>
          <w:tcPr>
            <w:tcW w:w="4395" w:type="dxa"/>
            <w:noWrap w:val="0"/>
            <w:vAlign w:val="top"/>
          </w:tcPr>
          <w:p w14:paraId="7208112F">
            <w:pPr>
              <w:pStyle w:val="18"/>
              <w:keepNext/>
              <w:spacing w:after="0" w:line="440" w:lineRule="exact"/>
              <w:ind w:left="63" w:right="63"/>
              <w:rPr>
                <w:rFonts w:ascii="等线" w:hAnsi="等线"/>
                <w:color w:val="auto"/>
                <w:sz w:val="24"/>
                <w:highlight w:val="none"/>
              </w:rPr>
            </w:pPr>
          </w:p>
        </w:tc>
        <w:tc>
          <w:tcPr>
            <w:tcW w:w="1417" w:type="dxa"/>
            <w:noWrap w:val="0"/>
            <w:vAlign w:val="top"/>
          </w:tcPr>
          <w:p w14:paraId="2C5900AC">
            <w:pPr>
              <w:pStyle w:val="18"/>
              <w:keepNext/>
              <w:spacing w:after="0" w:line="440" w:lineRule="exact"/>
              <w:ind w:left="63" w:right="63"/>
              <w:rPr>
                <w:rFonts w:ascii="等线" w:hAnsi="等线"/>
                <w:color w:val="auto"/>
                <w:sz w:val="24"/>
                <w:highlight w:val="none"/>
              </w:rPr>
            </w:pPr>
          </w:p>
        </w:tc>
      </w:tr>
      <w:tr w14:paraId="75AAD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7982943">
            <w:pPr>
              <w:pStyle w:val="18"/>
              <w:keepNext/>
              <w:spacing w:after="0" w:line="440" w:lineRule="exact"/>
              <w:ind w:left="63" w:right="63"/>
              <w:rPr>
                <w:rFonts w:ascii="等线" w:hAnsi="等线"/>
                <w:color w:val="auto"/>
                <w:sz w:val="24"/>
                <w:highlight w:val="none"/>
              </w:rPr>
            </w:pPr>
          </w:p>
        </w:tc>
        <w:tc>
          <w:tcPr>
            <w:tcW w:w="1984" w:type="dxa"/>
            <w:noWrap w:val="0"/>
            <w:vAlign w:val="top"/>
          </w:tcPr>
          <w:p w14:paraId="09998B5A">
            <w:pPr>
              <w:pStyle w:val="18"/>
              <w:keepNext/>
              <w:spacing w:after="0" w:line="440" w:lineRule="exact"/>
              <w:ind w:left="63" w:right="63"/>
              <w:rPr>
                <w:rFonts w:ascii="等线" w:hAnsi="等线"/>
                <w:color w:val="auto"/>
                <w:sz w:val="24"/>
                <w:highlight w:val="none"/>
              </w:rPr>
            </w:pPr>
          </w:p>
        </w:tc>
        <w:tc>
          <w:tcPr>
            <w:tcW w:w="4395" w:type="dxa"/>
            <w:noWrap w:val="0"/>
            <w:vAlign w:val="top"/>
          </w:tcPr>
          <w:p w14:paraId="7B723210">
            <w:pPr>
              <w:pStyle w:val="18"/>
              <w:keepNext/>
              <w:spacing w:after="0" w:line="440" w:lineRule="exact"/>
              <w:ind w:left="63" w:right="63"/>
              <w:rPr>
                <w:rFonts w:ascii="等线" w:hAnsi="等线"/>
                <w:color w:val="auto"/>
                <w:sz w:val="24"/>
                <w:highlight w:val="none"/>
              </w:rPr>
            </w:pPr>
          </w:p>
        </w:tc>
        <w:tc>
          <w:tcPr>
            <w:tcW w:w="1417" w:type="dxa"/>
            <w:noWrap w:val="0"/>
            <w:vAlign w:val="top"/>
          </w:tcPr>
          <w:p w14:paraId="79B4AE87">
            <w:pPr>
              <w:pStyle w:val="18"/>
              <w:keepNext/>
              <w:spacing w:after="0" w:line="440" w:lineRule="exact"/>
              <w:ind w:left="63" w:right="63"/>
              <w:rPr>
                <w:rFonts w:ascii="等线" w:hAnsi="等线"/>
                <w:color w:val="auto"/>
                <w:sz w:val="24"/>
                <w:highlight w:val="none"/>
              </w:rPr>
            </w:pPr>
          </w:p>
        </w:tc>
      </w:tr>
      <w:tr w14:paraId="0B600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4D9E10">
            <w:pPr>
              <w:pStyle w:val="18"/>
              <w:keepNext/>
              <w:spacing w:after="0" w:line="440" w:lineRule="exact"/>
              <w:ind w:left="63" w:right="63"/>
              <w:rPr>
                <w:rFonts w:ascii="等线" w:hAnsi="等线"/>
                <w:color w:val="auto"/>
                <w:sz w:val="24"/>
                <w:highlight w:val="none"/>
              </w:rPr>
            </w:pPr>
          </w:p>
        </w:tc>
        <w:tc>
          <w:tcPr>
            <w:tcW w:w="1984" w:type="dxa"/>
            <w:noWrap w:val="0"/>
            <w:vAlign w:val="top"/>
          </w:tcPr>
          <w:p w14:paraId="39A57D53">
            <w:pPr>
              <w:pStyle w:val="18"/>
              <w:keepNext/>
              <w:spacing w:after="0" w:line="440" w:lineRule="exact"/>
              <w:ind w:left="63" w:right="63"/>
              <w:rPr>
                <w:rFonts w:ascii="等线" w:hAnsi="等线"/>
                <w:color w:val="auto"/>
                <w:sz w:val="24"/>
                <w:highlight w:val="none"/>
              </w:rPr>
            </w:pPr>
          </w:p>
        </w:tc>
        <w:tc>
          <w:tcPr>
            <w:tcW w:w="4395" w:type="dxa"/>
            <w:noWrap w:val="0"/>
            <w:vAlign w:val="top"/>
          </w:tcPr>
          <w:p w14:paraId="6EAFF56C">
            <w:pPr>
              <w:pStyle w:val="18"/>
              <w:keepNext/>
              <w:spacing w:after="0" w:line="440" w:lineRule="exact"/>
              <w:ind w:left="63" w:right="63"/>
              <w:rPr>
                <w:rFonts w:ascii="等线" w:hAnsi="等线"/>
                <w:color w:val="auto"/>
                <w:sz w:val="24"/>
                <w:highlight w:val="none"/>
              </w:rPr>
            </w:pPr>
          </w:p>
        </w:tc>
        <w:tc>
          <w:tcPr>
            <w:tcW w:w="1417" w:type="dxa"/>
            <w:noWrap w:val="0"/>
            <w:vAlign w:val="top"/>
          </w:tcPr>
          <w:p w14:paraId="34D55D1D">
            <w:pPr>
              <w:pStyle w:val="18"/>
              <w:keepNext/>
              <w:spacing w:after="0" w:line="440" w:lineRule="exact"/>
              <w:ind w:left="63" w:right="63"/>
              <w:rPr>
                <w:rFonts w:ascii="等线" w:hAnsi="等线"/>
                <w:color w:val="auto"/>
                <w:sz w:val="24"/>
                <w:highlight w:val="none"/>
              </w:rPr>
            </w:pPr>
          </w:p>
        </w:tc>
      </w:tr>
      <w:tr w14:paraId="1BDDB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ED8A8D8">
            <w:pPr>
              <w:pStyle w:val="18"/>
              <w:keepNext/>
              <w:spacing w:after="0" w:line="440" w:lineRule="exact"/>
              <w:ind w:left="63" w:right="63"/>
              <w:rPr>
                <w:rFonts w:ascii="等线" w:hAnsi="等线"/>
                <w:color w:val="auto"/>
                <w:sz w:val="24"/>
                <w:highlight w:val="none"/>
              </w:rPr>
            </w:pPr>
          </w:p>
        </w:tc>
        <w:tc>
          <w:tcPr>
            <w:tcW w:w="1984" w:type="dxa"/>
            <w:noWrap w:val="0"/>
            <w:vAlign w:val="top"/>
          </w:tcPr>
          <w:p w14:paraId="1FAF567E">
            <w:pPr>
              <w:pStyle w:val="18"/>
              <w:keepNext/>
              <w:spacing w:after="0" w:line="440" w:lineRule="exact"/>
              <w:ind w:left="63" w:right="63"/>
              <w:rPr>
                <w:rFonts w:ascii="等线" w:hAnsi="等线"/>
                <w:color w:val="auto"/>
                <w:sz w:val="24"/>
                <w:highlight w:val="none"/>
              </w:rPr>
            </w:pPr>
          </w:p>
        </w:tc>
        <w:tc>
          <w:tcPr>
            <w:tcW w:w="4395" w:type="dxa"/>
            <w:noWrap w:val="0"/>
            <w:vAlign w:val="top"/>
          </w:tcPr>
          <w:p w14:paraId="3284F5F8">
            <w:pPr>
              <w:pStyle w:val="18"/>
              <w:keepNext/>
              <w:spacing w:after="0" w:line="440" w:lineRule="exact"/>
              <w:ind w:left="63" w:right="63"/>
              <w:rPr>
                <w:rFonts w:ascii="等线" w:hAnsi="等线"/>
                <w:color w:val="auto"/>
                <w:sz w:val="24"/>
                <w:highlight w:val="none"/>
              </w:rPr>
            </w:pPr>
          </w:p>
        </w:tc>
        <w:tc>
          <w:tcPr>
            <w:tcW w:w="1417" w:type="dxa"/>
            <w:noWrap w:val="0"/>
            <w:vAlign w:val="top"/>
          </w:tcPr>
          <w:p w14:paraId="4EB317DE">
            <w:pPr>
              <w:pStyle w:val="18"/>
              <w:keepNext/>
              <w:spacing w:after="0" w:line="440" w:lineRule="exact"/>
              <w:ind w:left="63" w:right="63"/>
              <w:rPr>
                <w:rFonts w:ascii="等线" w:hAnsi="等线"/>
                <w:color w:val="auto"/>
                <w:sz w:val="24"/>
                <w:highlight w:val="none"/>
              </w:rPr>
            </w:pPr>
          </w:p>
        </w:tc>
      </w:tr>
      <w:tr w14:paraId="38681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6B6779F">
            <w:pPr>
              <w:pStyle w:val="18"/>
              <w:keepNext/>
              <w:spacing w:after="0" w:line="440" w:lineRule="exact"/>
              <w:ind w:left="63" w:right="63"/>
              <w:rPr>
                <w:rFonts w:ascii="等线" w:hAnsi="等线"/>
                <w:color w:val="auto"/>
                <w:sz w:val="24"/>
                <w:highlight w:val="none"/>
              </w:rPr>
            </w:pPr>
          </w:p>
        </w:tc>
        <w:tc>
          <w:tcPr>
            <w:tcW w:w="1984" w:type="dxa"/>
            <w:noWrap w:val="0"/>
            <w:vAlign w:val="top"/>
          </w:tcPr>
          <w:p w14:paraId="5CEB05FB">
            <w:pPr>
              <w:pStyle w:val="18"/>
              <w:keepNext/>
              <w:spacing w:after="0" w:line="440" w:lineRule="exact"/>
              <w:ind w:left="63" w:right="63"/>
              <w:rPr>
                <w:rFonts w:ascii="等线" w:hAnsi="等线"/>
                <w:color w:val="auto"/>
                <w:sz w:val="24"/>
                <w:highlight w:val="none"/>
              </w:rPr>
            </w:pPr>
          </w:p>
        </w:tc>
        <w:tc>
          <w:tcPr>
            <w:tcW w:w="4395" w:type="dxa"/>
            <w:noWrap w:val="0"/>
            <w:vAlign w:val="top"/>
          </w:tcPr>
          <w:p w14:paraId="458FB879">
            <w:pPr>
              <w:pStyle w:val="18"/>
              <w:keepNext/>
              <w:spacing w:after="0" w:line="440" w:lineRule="exact"/>
              <w:ind w:left="63" w:right="63"/>
              <w:rPr>
                <w:rFonts w:ascii="等线" w:hAnsi="等线"/>
                <w:color w:val="auto"/>
                <w:sz w:val="24"/>
                <w:highlight w:val="none"/>
              </w:rPr>
            </w:pPr>
          </w:p>
        </w:tc>
        <w:tc>
          <w:tcPr>
            <w:tcW w:w="1417" w:type="dxa"/>
            <w:noWrap w:val="0"/>
            <w:vAlign w:val="top"/>
          </w:tcPr>
          <w:p w14:paraId="5F56823E">
            <w:pPr>
              <w:pStyle w:val="18"/>
              <w:keepNext/>
              <w:spacing w:after="0" w:line="440" w:lineRule="exact"/>
              <w:ind w:left="63" w:right="63"/>
              <w:rPr>
                <w:rFonts w:ascii="等线" w:hAnsi="等线"/>
                <w:color w:val="auto"/>
                <w:sz w:val="24"/>
                <w:highlight w:val="none"/>
              </w:rPr>
            </w:pPr>
          </w:p>
        </w:tc>
      </w:tr>
      <w:tr w14:paraId="1FAA4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89826A5">
            <w:pPr>
              <w:pStyle w:val="18"/>
              <w:keepNext/>
              <w:spacing w:after="0" w:line="440" w:lineRule="exact"/>
              <w:ind w:left="63" w:right="63"/>
              <w:rPr>
                <w:rFonts w:ascii="等线" w:hAnsi="等线"/>
                <w:color w:val="auto"/>
                <w:sz w:val="24"/>
                <w:highlight w:val="none"/>
              </w:rPr>
            </w:pPr>
          </w:p>
        </w:tc>
        <w:tc>
          <w:tcPr>
            <w:tcW w:w="1984" w:type="dxa"/>
            <w:noWrap w:val="0"/>
            <w:vAlign w:val="top"/>
          </w:tcPr>
          <w:p w14:paraId="6C6EEE98">
            <w:pPr>
              <w:pStyle w:val="18"/>
              <w:keepNext/>
              <w:spacing w:after="0" w:line="440" w:lineRule="exact"/>
              <w:ind w:left="63" w:right="63"/>
              <w:rPr>
                <w:rFonts w:ascii="等线" w:hAnsi="等线"/>
                <w:color w:val="auto"/>
                <w:sz w:val="24"/>
                <w:highlight w:val="none"/>
              </w:rPr>
            </w:pPr>
          </w:p>
        </w:tc>
        <w:tc>
          <w:tcPr>
            <w:tcW w:w="4395" w:type="dxa"/>
            <w:noWrap w:val="0"/>
            <w:vAlign w:val="top"/>
          </w:tcPr>
          <w:p w14:paraId="1664B4B9">
            <w:pPr>
              <w:pStyle w:val="18"/>
              <w:keepNext/>
              <w:spacing w:after="0" w:line="440" w:lineRule="exact"/>
              <w:ind w:left="63" w:right="63"/>
              <w:rPr>
                <w:rFonts w:ascii="等线" w:hAnsi="等线"/>
                <w:color w:val="auto"/>
                <w:sz w:val="24"/>
                <w:highlight w:val="none"/>
              </w:rPr>
            </w:pPr>
          </w:p>
        </w:tc>
        <w:tc>
          <w:tcPr>
            <w:tcW w:w="1417" w:type="dxa"/>
            <w:noWrap w:val="0"/>
            <w:vAlign w:val="top"/>
          </w:tcPr>
          <w:p w14:paraId="5CF727FF">
            <w:pPr>
              <w:pStyle w:val="18"/>
              <w:keepNext/>
              <w:spacing w:after="0" w:line="440" w:lineRule="exact"/>
              <w:ind w:left="63" w:right="63"/>
              <w:rPr>
                <w:rFonts w:ascii="等线" w:hAnsi="等线"/>
                <w:color w:val="auto"/>
                <w:sz w:val="24"/>
                <w:highlight w:val="none"/>
              </w:rPr>
            </w:pPr>
          </w:p>
        </w:tc>
      </w:tr>
      <w:tr w14:paraId="3EA56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F280220">
            <w:pPr>
              <w:pStyle w:val="18"/>
              <w:keepNext/>
              <w:spacing w:after="0" w:line="440" w:lineRule="exact"/>
              <w:ind w:left="63" w:right="63"/>
              <w:rPr>
                <w:rFonts w:ascii="等线" w:hAnsi="等线"/>
                <w:color w:val="auto"/>
                <w:sz w:val="24"/>
                <w:highlight w:val="none"/>
              </w:rPr>
            </w:pPr>
          </w:p>
        </w:tc>
        <w:tc>
          <w:tcPr>
            <w:tcW w:w="1984" w:type="dxa"/>
            <w:noWrap w:val="0"/>
            <w:vAlign w:val="top"/>
          </w:tcPr>
          <w:p w14:paraId="74574E16">
            <w:pPr>
              <w:pStyle w:val="18"/>
              <w:keepNext/>
              <w:spacing w:after="0" w:line="440" w:lineRule="exact"/>
              <w:ind w:left="63" w:right="63"/>
              <w:rPr>
                <w:rFonts w:ascii="等线" w:hAnsi="等线"/>
                <w:color w:val="auto"/>
                <w:sz w:val="24"/>
                <w:highlight w:val="none"/>
              </w:rPr>
            </w:pPr>
          </w:p>
        </w:tc>
        <w:tc>
          <w:tcPr>
            <w:tcW w:w="4395" w:type="dxa"/>
            <w:noWrap w:val="0"/>
            <w:vAlign w:val="top"/>
          </w:tcPr>
          <w:p w14:paraId="434B2D4C">
            <w:pPr>
              <w:pStyle w:val="18"/>
              <w:keepNext/>
              <w:spacing w:after="0" w:line="440" w:lineRule="exact"/>
              <w:ind w:left="63" w:right="63"/>
              <w:rPr>
                <w:rFonts w:ascii="等线" w:hAnsi="等线"/>
                <w:color w:val="auto"/>
                <w:sz w:val="24"/>
                <w:highlight w:val="none"/>
              </w:rPr>
            </w:pPr>
          </w:p>
        </w:tc>
        <w:tc>
          <w:tcPr>
            <w:tcW w:w="1417" w:type="dxa"/>
            <w:noWrap w:val="0"/>
            <w:vAlign w:val="top"/>
          </w:tcPr>
          <w:p w14:paraId="2DCF254A">
            <w:pPr>
              <w:pStyle w:val="18"/>
              <w:keepNext/>
              <w:spacing w:after="0" w:line="440" w:lineRule="exact"/>
              <w:ind w:left="63" w:right="63"/>
              <w:rPr>
                <w:rFonts w:ascii="等线" w:hAnsi="等线"/>
                <w:color w:val="auto"/>
                <w:sz w:val="24"/>
                <w:highlight w:val="none"/>
              </w:rPr>
            </w:pPr>
          </w:p>
        </w:tc>
      </w:tr>
      <w:tr w14:paraId="71E80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9BA536D">
            <w:pPr>
              <w:pStyle w:val="18"/>
              <w:keepNext/>
              <w:spacing w:after="0" w:line="440" w:lineRule="exact"/>
              <w:ind w:left="63" w:right="63"/>
              <w:rPr>
                <w:rFonts w:ascii="等线" w:hAnsi="等线"/>
                <w:color w:val="auto"/>
                <w:sz w:val="24"/>
                <w:highlight w:val="none"/>
              </w:rPr>
            </w:pPr>
          </w:p>
        </w:tc>
        <w:tc>
          <w:tcPr>
            <w:tcW w:w="1984" w:type="dxa"/>
            <w:noWrap w:val="0"/>
            <w:vAlign w:val="top"/>
          </w:tcPr>
          <w:p w14:paraId="543F1E7F">
            <w:pPr>
              <w:pStyle w:val="18"/>
              <w:keepNext/>
              <w:spacing w:after="0" w:line="440" w:lineRule="exact"/>
              <w:ind w:left="63" w:right="63"/>
              <w:rPr>
                <w:rFonts w:ascii="等线" w:hAnsi="等线"/>
                <w:color w:val="auto"/>
                <w:sz w:val="24"/>
                <w:highlight w:val="none"/>
              </w:rPr>
            </w:pPr>
          </w:p>
        </w:tc>
        <w:tc>
          <w:tcPr>
            <w:tcW w:w="4395" w:type="dxa"/>
            <w:noWrap w:val="0"/>
            <w:vAlign w:val="top"/>
          </w:tcPr>
          <w:p w14:paraId="63675882">
            <w:pPr>
              <w:pStyle w:val="18"/>
              <w:keepNext/>
              <w:spacing w:after="0" w:line="440" w:lineRule="exact"/>
              <w:ind w:left="63" w:right="63"/>
              <w:rPr>
                <w:rFonts w:ascii="等线" w:hAnsi="等线"/>
                <w:color w:val="auto"/>
                <w:sz w:val="24"/>
                <w:highlight w:val="none"/>
              </w:rPr>
            </w:pPr>
          </w:p>
        </w:tc>
        <w:tc>
          <w:tcPr>
            <w:tcW w:w="1417" w:type="dxa"/>
            <w:noWrap w:val="0"/>
            <w:vAlign w:val="top"/>
          </w:tcPr>
          <w:p w14:paraId="1E280331">
            <w:pPr>
              <w:pStyle w:val="18"/>
              <w:keepNext/>
              <w:spacing w:after="0" w:line="440" w:lineRule="exact"/>
              <w:ind w:left="63" w:right="63"/>
              <w:rPr>
                <w:rFonts w:ascii="等线" w:hAnsi="等线"/>
                <w:color w:val="auto"/>
                <w:sz w:val="24"/>
                <w:highlight w:val="none"/>
              </w:rPr>
            </w:pPr>
          </w:p>
        </w:tc>
      </w:tr>
      <w:tr w14:paraId="3E17D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AFD5982">
            <w:pPr>
              <w:pStyle w:val="18"/>
              <w:keepNext/>
              <w:spacing w:after="0" w:line="440" w:lineRule="exact"/>
              <w:ind w:left="63" w:right="63"/>
              <w:rPr>
                <w:rFonts w:ascii="等线" w:hAnsi="等线"/>
                <w:color w:val="auto"/>
                <w:sz w:val="24"/>
                <w:highlight w:val="none"/>
              </w:rPr>
            </w:pPr>
          </w:p>
        </w:tc>
        <w:tc>
          <w:tcPr>
            <w:tcW w:w="1984" w:type="dxa"/>
            <w:noWrap w:val="0"/>
            <w:vAlign w:val="top"/>
          </w:tcPr>
          <w:p w14:paraId="581DE443">
            <w:pPr>
              <w:pStyle w:val="18"/>
              <w:keepNext/>
              <w:spacing w:after="0" w:line="440" w:lineRule="exact"/>
              <w:ind w:left="63" w:right="63"/>
              <w:rPr>
                <w:rFonts w:ascii="等线" w:hAnsi="等线"/>
                <w:color w:val="auto"/>
                <w:sz w:val="24"/>
                <w:highlight w:val="none"/>
              </w:rPr>
            </w:pPr>
          </w:p>
        </w:tc>
        <w:tc>
          <w:tcPr>
            <w:tcW w:w="4395" w:type="dxa"/>
            <w:noWrap w:val="0"/>
            <w:vAlign w:val="top"/>
          </w:tcPr>
          <w:p w14:paraId="618BD8CD">
            <w:pPr>
              <w:pStyle w:val="18"/>
              <w:keepNext/>
              <w:spacing w:after="0" w:line="440" w:lineRule="exact"/>
              <w:ind w:left="63" w:right="63"/>
              <w:rPr>
                <w:rFonts w:ascii="等线" w:hAnsi="等线"/>
                <w:color w:val="auto"/>
                <w:sz w:val="24"/>
                <w:highlight w:val="none"/>
              </w:rPr>
            </w:pPr>
          </w:p>
        </w:tc>
        <w:tc>
          <w:tcPr>
            <w:tcW w:w="1417" w:type="dxa"/>
            <w:noWrap w:val="0"/>
            <w:vAlign w:val="top"/>
          </w:tcPr>
          <w:p w14:paraId="426D1372">
            <w:pPr>
              <w:pStyle w:val="18"/>
              <w:keepNext/>
              <w:spacing w:after="0" w:line="440" w:lineRule="exact"/>
              <w:ind w:left="63" w:right="63"/>
              <w:rPr>
                <w:rFonts w:ascii="等线" w:hAnsi="等线"/>
                <w:color w:val="auto"/>
                <w:sz w:val="24"/>
                <w:highlight w:val="none"/>
              </w:rPr>
            </w:pPr>
          </w:p>
        </w:tc>
      </w:tr>
      <w:tr w14:paraId="3A322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1DFFE0">
            <w:pPr>
              <w:pStyle w:val="18"/>
              <w:keepNext/>
              <w:spacing w:after="0" w:line="440" w:lineRule="exact"/>
              <w:ind w:left="63" w:right="63"/>
              <w:rPr>
                <w:rFonts w:ascii="等线" w:hAnsi="等线"/>
                <w:color w:val="auto"/>
                <w:sz w:val="24"/>
                <w:highlight w:val="none"/>
              </w:rPr>
            </w:pPr>
          </w:p>
        </w:tc>
        <w:tc>
          <w:tcPr>
            <w:tcW w:w="1984" w:type="dxa"/>
            <w:noWrap w:val="0"/>
            <w:vAlign w:val="top"/>
          </w:tcPr>
          <w:p w14:paraId="18AE060E">
            <w:pPr>
              <w:pStyle w:val="18"/>
              <w:keepNext/>
              <w:spacing w:after="0" w:line="440" w:lineRule="exact"/>
              <w:ind w:left="63" w:right="63"/>
              <w:rPr>
                <w:rFonts w:ascii="等线" w:hAnsi="等线"/>
                <w:color w:val="auto"/>
                <w:sz w:val="24"/>
                <w:highlight w:val="none"/>
              </w:rPr>
            </w:pPr>
          </w:p>
        </w:tc>
        <w:tc>
          <w:tcPr>
            <w:tcW w:w="4395" w:type="dxa"/>
            <w:noWrap w:val="0"/>
            <w:vAlign w:val="top"/>
          </w:tcPr>
          <w:p w14:paraId="54EBD8D1">
            <w:pPr>
              <w:pStyle w:val="18"/>
              <w:keepNext/>
              <w:spacing w:after="0" w:line="440" w:lineRule="exact"/>
              <w:ind w:left="63" w:right="63"/>
              <w:rPr>
                <w:rFonts w:ascii="等线" w:hAnsi="等线"/>
                <w:color w:val="auto"/>
                <w:sz w:val="24"/>
                <w:highlight w:val="none"/>
              </w:rPr>
            </w:pPr>
          </w:p>
        </w:tc>
        <w:tc>
          <w:tcPr>
            <w:tcW w:w="1417" w:type="dxa"/>
            <w:noWrap w:val="0"/>
            <w:vAlign w:val="top"/>
          </w:tcPr>
          <w:p w14:paraId="7A29A502">
            <w:pPr>
              <w:pStyle w:val="18"/>
              <w:keepNext/>
              <w:spacing w:after="0" w:line="440" w:lineRule="exact"/>
              <w:ind w:left="63" w:right="63"/>
              <w:rPr>
                <w:rFonts w:ascii="等线" w:hAnsi="等线"/>
                <w:color w:val="auto"/>
                <w:sz w:val="24"/>
                <w:highlight w:val="none"/>
              </w:rPr>
            </w:pPr>
          </w:p>
        </w:tc>
      </w:tr>
      <w:tr w14:paraId="79387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83BF2D4">
            <w:pPr>
              <w:pStyle w:val="18"/>
              <w:keepNext/>
              <w:spacing w:after="0" w:line="440" w:lineRule="exact"/>
              <w:ind w:left="63" w:right="63"/>
              <w:rPr>
                <w:rFonts w:ascii="等线" w:hAnsi="等线"/>
                <w:color w:val="auto"/>
                <w:sz w:val="24"/>
                <w:highlight w:val="none"/>
              </w:rPr>
            </w:pPr>
          </w:p>
        </w:tc>
        <w:tc>
          <w:tcPr>
            <w:tcW w:w="1984" w:type="dxa"/>
            <w:noWrap w:val="0"/>
            <w:vAlign w:val="top"/>
          </w:tcPr>
          <w:p w14:paraId="67611933">
            <w:pPr>
              <w:pStyle w:val="18"/>
              <w:keepNext/>
              <w:spacing w:after="0" w:line="440" w:lineRule="exact"/>
              <w:ind w:left="63" w:right="63"/>
              <w:rPr>
                <w:rFonts w:ascii="等线" w:hAnsi="等线"/>
                <w:color w:val="auto"/>
                <w:sz w:val="24"/>
                <w:highlight w:val="none"/>
              </w:rPr>
            </w:pPr>
          </w:p>
        </w:tc>
        <w:tc>
          <w:tcPr>
            <w:tcW w:w="4395" w:type="dxa"/>
            <w:noWrap w:val="0"/>
            <w:vAlign w:val="top"/>
          </w:tcPr>
          <w:p w14:paraId="1348D83F">
            <w:pPr>
              <w:pStyle w:val="18"/>
              <w:keepNext/>
              <w:spacing w:after="0" w:line="440" w:lineRule="exact"/>
              <w:ind w:left="63" w:right="63"/>
              <w:rPr>
                <w:rFonts w:ascii="等线" w:hAnsi="等线"/>
                <w:color w:val="auto"/>
                <w:sz w:val="24"/>
                <w:highlight w:val="none"/>
              </w:rPr>
            </w:pPr>
          </w:p>
        </w:tc>
        <w:tc>
          <w:tcPr>
            <w:tcW w:w="1417" w:type="dxa"/>
            <w:noWrap w:val="0"/>
            <w:vAlign w:val="top"/>
          </w:tcPr>
          <w:p w14:paraId="75183563">
            <w:pPr>
              <w:pStyle w:val="18"/>
              <w:keepNext/>
              <w:spacing w:after="0" w:line="440" w:lineRule="exact"/>
              <w:ind w:left="63" w:right="63"/>
              <w:rPr>
                <w:rFonts w:ascii="等线" w:hAnsi="等线"/>
                <w:color w:val="auto"/>
                <w:sz w:val="24"/>
                <w:highlight w:val="none"/>
              </w:rPr>
            </w:pPr>
          </w:p>
        </w:tc>
      </w:tr>
      <w:tr w14:paraId="2C877D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0726E29">
            <w:pPr>
              <w:pStyle w:val="18"/>
              <w:keepNext/>
              <w:spacing w:after="0" w:line="440" w:lineRule="exact"/>
              <w:ind w:left="63" w:right="63"/>
              <w:rPr>
                <w:rFonts w:ascii="等线" w:hAnsi="等线"/>
                <w:color w:val="auto"/>
                <w:sz w:val="24"/>
                <w:highlight w:val="none"/>
              </w:rPr>
            </w:pPr>
          </w:p>
        </w:tc>
        <w:tc>
          <w:tcPr>
            <w:tcW w:w="1984" w:type="dxa"/>
            <w:noWrap w:val="0"/>
            <w:vAlign w:val="top"/>
          </w:tcPr>
          <w:p w14:paraId="61DEEC45">
            <w:pPr>
              <w:pStyle w:val="18"/>
              <w:keepNext/>
              <w:spacing w:after="0" w:line="440" w:lineRule="exact"/>
              <w:ind w:left="63" w:right="63"/>
              <w:rPr>
                <w:rFonts w:ascii="等线" w:hAnsi="等线"/>
                <w:color w:val="auto"/>
                <w:sz w:val="24"/>
                <w:highlight w:val="none"/>
              </w:rPr>
            </w:pPr>
          </w:p>
        </w:tc>
        <w:tc>
          <w:tcPr>
            <w:tcW w:w="4395" w:type="dxa"/>
            <w:noWrap w:val="0"/>
            <w:vAlign w:val="top"/>
          </w:tcPr>
          <w:p w14:paraId="7CB634A5">
            <w:pPr>
              <w:pStyle w:val="18"/>
              <w:keepNext/>
              <w:spacing w:after="0" w:line="440" w:lineRule="exact"/>
              <w:ind w:left="63" w:right="63"/>
              <w:rPr>
                <w:rFonts w:ascii="等线" w:hAnsi="等线"/>
                <w:color w:val="auto"/>
                <w:sz w:val="24"/>
                <w:highlight w:val="none"/>
              </w:rPr>
            </w:pPr>
          </w:p>
        </w:tc>
        <w:tc>
          <w:tcPr>
            <w:tcW w:w="1417" w:type="dxa"/>
            <w:noWrap w:val="0"/>
            <w:vAlign w:val="top"/>
          </w:tcPr>
          <w:p w14:paraId="4BBECC6E">
            <w:pPr>
              <w:pStyle w:val="18"/>
              <w:keepNext/>
              <w:spacing w:after="0" w:line="440" w:lineRule="exact"/>
              <w:ind w:left="63" w:right="63"/>
              <w:rPr>
                <w:rFonts w:ascii="等线" w:hAnsi="等线"/>
                <w:color w:val="auto"/>
                <w:sz w:val="24"/>
                <w:highlight w:val="none"/>
              </w:rPr>
            </w:pPr>
          </w:p>
        </w:tc>
      </w:tr>
      <w:tr w14:paraId="21DEB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6447DF8">
            <w:pPr>
              <w:pStyle w:val="18"/>
              <w:keepNext/>
              <w:spacing w:after="0" w:line="440" w:lineRule="exact"/>
              <w:ind w:left="63" w:right="63"/>
              <w:rPr>
                <w:rFonts w:ascii="等线" w:hAnsi="等线"/>
                <w:color w:val="auto"/>
                <w:sz w:val="24"/>
                <w:highlight w:val="none"/>
              </w:rPr>
            </w:pPr>
          </w:p>
        </w:tc>
        <w:tc>
          <w:tcPr>
            <w:tcW w:w="1984" w:type="dxa"/>
            <w:noWrap w:val="0"/>
            <w:vAlign w:val="top"/>
          </w:tcPr>
          <w:p w14:paraId="40FCA2E7">
            <w:pPr>
              <w:pStyle w:val="18"/>
              <w:keepNext/>
              <w:spacing w:after="0" w:line="440" w:lineRule="exact"/>
              <w:ind w:left="63" w:right="63"/>
              <w:rPr>
                <w:rFonts w:ascii="等线" w:hAnsi="等线"/>
                <w:color w:val="auto"/>
                <w:sz w:val="24"/>
                <w:highlight w:val="none"/>
              </w:rPr>
            </w:pPr>
          </w:p>
        </w:tc>
        <w:tc>
          <w:tcPr>
            <w:tcW w:w="4395" w:type="dxa"/>
            <w:noWrap w:val="0"/>
            <w:vAlign w:val="top"/>
          </w:tcPr>
          <w:p w14:paraId="3487912D">
            <w:pPr>
              <w:pStyle w:val="18"/>
              <w:keepNext/>
              <w:spacing w:after="0" w:line="440" w:lineRule="exact"/>
              <w:ind w:left="63" w:right="63"/>
              <w:rPr>
                <w:rFonts w:ascii="等线" w:hAnsi="等线"/>
                <w:color w:val="auto"/>
                <w:sz w:val="24"/>
                <w:highlight w:val="none"/>
              </w:rPr>
            </w:pPr>
          </w:p>
        </w:tc>
        <w:tc>
          <w:tcPr>
            <w:tcW w:w="1417" w:type="dxa"/>
            <w:noWrap w:val="0"/>
            <w:vAlign w:val="top"/>
          </w:tcPr>
          <w:p w14:paraId="3B2AE748">
            <w:pPr>
              <w:pStyle w:val="18"/>
              <w:keepNext/>
              <w:spacing w:after="0" w:line="440" w:lineRule="exact"/>
              <w:ind w:left="63" w:right="63"/>
              <w:rPr>
                <w:rFonts w:ascii="等线" w:hAnsi="等线"/>
                <w:color w:val="auto"/>
                <w:sz w:val="24"/>
                <w:highlight w:val="none"/>
              </w:rPr>
            </w:pPr>
          </w:p>
        </w:tc>
      </w:tr>
      <w:tr w14:paraId="60DE1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BE5DC76">
            <w:pPr>
              <w:pStyle w:val="18"/>
              <w:keepNext/>
              <w:spacing w:after="0" w:line="440" w:lineRule="exact"/>
              <w:ind w:left="63" w:right="63"/>
              <w:rPr>
                <w:rFonts w:ascii="等线" w:hAnsi="等线"/>
                <w:color w:val="auto"/>
                <w:sz w:val="24"/>
                <w:highlight w:val="none"/>
              </w:rPr>
            </w:pPr>
          </w:p>
        </w:tc>
        <w:tc>
          <w:tcPr>
            <w:tcW w:w="1984" w:type="dxa"/>
            <w:noWrap w:val="0"/>
            <w:vAlign w:val="top"/>
          </w:tcPr>
          <w:p w14:paraId="00854666">
            <w:pPr>
              <w:pStyle w:val="18"/>
              <w:keepNext/>
              <w:spacing w:after="0" w:line="440" w:lineRule="exact"/>
              <w:ind w:left="63" w:right="63"/>
              <w:rPr>
                <w:rFonts w:ascii="等线" w:hAnsi="等线"/>
                <w:color w:val="auto"/>
                <w:sz w:val="24"/>
                <w:highlight w:val="none"/>
              </w:rPr>
            </w:pPr>
          </w:p>
        </w:tc>
        <w:tc>
          <w:tcPr>
            <w:tcW w:w="4395" w:type="dxa"/>
            <w:noWrap w:val="0"/>
            <w:vAlign w:val="top"/>
          </w:tcPr>
          <w:p w14:paraId="15691720">
            <w:pPr>
              <w:pStyle w:val="18"/>
              <w:keepNext/>
              <w:spacing w:after="0" w:line="440" w:lineRule="exact"/>
              <w:ind w:left="63" w:right="63"/>
              <w:rPr>
                <w:rFonts w:ascii="等线" w:hAnsi="等线"/>
                <w:color w:val="auto"/>
                <w:sz w:val="24"/>
                <w:highlight w:val="none"/>
              </w:rPr>
            </w:pPr>
          </w:p>
        </w:tc>
        <w:tc>
          <w:tcPr>
            <w:tcW w:w="1417" w:type="dxa"/>
            <w:noWrap w:val="0"/>
            <w:vAlign w:val="top"/>
          </w:tcPr>
          <w:p w14:paraId="6D6977D5">
            <w:pPr>
              <w:pStyle w:val="18"/>
              <w:keepNext/>
              <w:spacing w:after="0" w:line="440" w:lineRule="exact"/>
              <w:ind w:left="63" w:right="63"/>
              <w:rPr>
                <w:rFonts w:ascii="等线" w:hAnsi="等线"/>
                <w:color w:val="auto"/>
                <w:sz w:val="24"/>
                <w:highlight w:val="none"/>
              </w:rPr>
            </w:pPr>
          </w:p>
        </w:tc>
      </w:tr>
      <w:tr w14:paraId="602BA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noWrap w:val="0"/>
            <w:vAlign w:val="top"/>
          </w:tcPr>
          <w:p w14:paraId="6772F7EF">
            <w:pPr>
              <w:pStyle w:val="18"/>
              <w:keepNext/>
              <w:spacing w:after="0" w:line="440" w:lineRule="exact"/>
              <w:ind w:left="63" w:right="63"/>
              <w:rPr>
                <w:rFonts w:ascii="等线" w:hAnsi="等线"/>
                <w:color w:val="auto"/>
                <w:sz w:val="24"/>
                <w:highlight w:val="none"/>
              </w:rPr>
            </w:pPr>
            <w:r>
              <w:rPr>
                <w:rFonts w:ascii="等线" w:hAnsi="等线" w:eastAsia="仿宋_GB2312"/>
                <w:color w:val="auto"/>
                <w:sz w:val="24"/>
                <w:highlight w:val="none"/>
              </w:rPr>
              <w:t>小计：</w:t>
            </w:r>
          </w:p>
        </w:tc>
      </w:tr>
    </w:tbl>
    <w:p w14:paraId="1667A659">
      <w:pPr>
        <w:spacing w:before="120" w:beforeLines="50" w:after="120" w:afterLines="50" w:line="440" w:lineRule="exact"/>
        <w:jc w:val="center"/>
        <w:rPr>
          <w:color w:val="auto"/>
          <w:highlight w:val="none"/>
        </w:rPr>
      </w:pPr>
    </w:p>
    <w:p w14:paraId="1B3C1486">
      <w:pPr>
        <w:pStyle w:val="44"/>
        <w:rPr>
          <w:rFonts w:hint="eastAsia" w:ascii="宋体" w:hAnsi="宋体" w:eastAsia="宋体" w:cs="宋体"/>
          <w:b/>
          <w:bCs/>
          <w:color w:val="auto"/>
          <w:kern w:val="0"/>
          <w:highlight w:val="none"/>
          <w:lang w:val="en-US" w:eastAsia="zh-CN"/>
        </w:rPr>
        <w:sectPr>
          <w:pgSz w:w="11906" w:h="16838"/>
          <w:pgMar w:top="1440" w:right="1800" w:bottom="1440" w:left="1418" w:header="851" w:footer="992" w:gutter="0"/>
          <w:pgNumType w:fmt="decimal"/>
          <w:cols w:space="720" w:num="1"/>
          <w:docGrid w:type="lines" w:linePitch="326" w:charSpace="0"/>
        </w:sectPr>
      </w:pPr>
    </w:p>
    <w:p w14:paraId="32BC9B73">
      <w:pPr>
        <w:pStyle w:val="42"/>
        <w:rPr>
          <w:color w:val="auto"/>
          <w:kern w:val="0"/>
          <w:highlight w:val="none"/>
        </w:rPr>
      </w:pPr>
      <w:r>
        <w:rPr>
          <w:rFonts w:hint="eastAsia"/>
          <w:color w:val="auto"/>
          <w:kern w:val="0"/>
          <w:highlight w:val="none"/>
        </w:rPr>
        <w:br w:type="textWrapping"/>
      </w:r>
      <w:r>
        <w:rPr>
          <w:rFonts w:hint="eastAsia"/>
          <w:color w:val="auto"/>
          <w:kern w:val="0"/>
          <w:highlight w:val="none"/>
        </w:rPr>
        <w:br w:type="textWrapping"/>
      </w:r>
      <w:r>
        <w:rPr>
          <w:rFonts w:hint="eastAsia"/>
          <w:color w:val="auto"/>
          <w:kern w:val="0"/>
          <w:highlight w:val="none"/>
        </w:rPr>
        <w:br w:type="textWrapping"/>
      </w:r>
      <w:r>
        <w:rPr>
          <w:rFonts w:hint="eastAsia"/>
          <w:color w:val="auto"/>
          <w:kern w:val="0"/>
          <w:highlight w:val="none"/>
        </w:rPr>
        <w:t>第六章响应文件（格式）</w:t>
      </w:r>
      <w:bookmarkEnd w:id="44"/>
      <w:bookmarkEnd w:id="45"/>
    </w:p>
    <w:p w14:paraId="3F73698A">
      <w:pPr>
        <w:snapToGrid w:val="0"/>
        <w:spacing w:before="163" w:beforeLines="50" w:after="50" w:line="240" w:lineRule="auto"/>
        <w:ind w:firstLine="0" w:firstLineChars="0"/>
        <w:jc w:val="center"/>
        <w:outlineLvl w:val="1"/>
        <w:rPr>
          <w:rFonts w:hint="eastAsia" w:ascii="宋体" w:hAnsi="宋体" w:cs="宋体"/>
          <w:b/>
          <w:bCs/>
          <w:color w:val="auto"/>
          <w:kern w:val="0"/>
          <w:sz w:val="32"/>
          <w:szCs w:val="32"/>
          <w:highlight w:val="none"/>
        </w:rPr>
      </w:pPr>
      <w:r>
        <w:rPr>
          <w:rFonts w:ascii="宋体" w:hAnsi="宋体" w:cs="宋体"/>
          <w:b/>
          <w:color w:val="auto"/>
          <w:kern w:val="0"/>
          <w:sz w:val="32"/>
          <w:szCs w:val="32"/>
          <w:highlight w:val="none"/>
        </w:rPr>
        <w:br w:type="page"/>
      </w:r>
      <w:r>
        <w:rPr>
          <w:rFonts w:hint="eastAsia" w:ascii="宋体" w:hAnsi="宋体" w:cs="宋体"/>
          <w:b/>
          <w:bCs/>
          <w:color w:val="auto"/>
          <w:kern w:val="0"/>
          <w:sz w:val="32"/>
          <w:szCs w:val="32"/>
          <w:highlight w:val="none"/>
        </w:rPr>
        <w:t>一、响 应 文 件</w:t>
      </w:r>
    </w:p>
    <w:p w14:paraId="042442DC">
      <w:pPr>
        <w:snapToGrid w:val="0"/>
        <w:spacing w:before="163" w:beforeLines="50" w:after="50" w:line="240" w:lineRule="auto"/>
        <w:ind w:firstLine="0" w:firstLineChars="0"/>
        <w:rPr>
          <w:rFonts w:hint="eastAsia" w:ascii="宋体" w:hAnsi="宋体" w:cs="宋体"/>
          <w:bCs/>
          <w:color w:val="auto"/>
          <w:kern w:val="0"/>
          <w:szCs w:val="20"/>
          <w:highlight w:val="none"/>
        </w:rPr>
      </w:pPr>
    </w:p>
    <w:p w14:paraId="27198C4E">
      <w:pPr>
        <w:snapToGrid w:val="0"/>
        <w:spacing w:before="163" w:beforeLines="50" w:after="50" w:line="240" w:lineRule="auto"/>
        <w:rPr>
          <w:rFonts w:hint="eastAsia" w:ascii="宋体" w:hAnsi="宋体" w:cs="宋体"/>
          <w:bCs/>
          <w:color w:val="auto"/>
          <w:kern w:val="0"/>
          <w:szCs w:val="24"/>
          <w:highlight w:val="none"/>
        </w:rPr>
      </w:pPr>
      <w:r>
        <w:rPr>
          <w:rFonts w:hint="eastAsia" w:ascii="宋体" w:hAnsi="宋体" w:cs="宋体"/>
          <w:bCs/>
          <w:color w:val="auto"/>
          <w:kern w:val="0"/>
          <w:szCs w:val="24"/>
          <w:highlight w:val="none"/>
        </w:rPr>
        <w:t>项目名称：</w:t>
      </w:r>
    </w:p>
    <w:p w14:paraId="635A7ED6">
      <w:pPr>
        <w:snapToGrid w:val="0"/>
        <w:spacing w:before="163" w:beforeLines="50" w:after="50" w:line="240" w:lineRule="auto"/>
        <w:ind w:firstLine="360" w:firstLineChars="150"/>
        <w:rPr>
          <w:rFonts w:hint="eastAsia" w:ascii="宋体" w:hAnsi="宋体" w:cs="宋体"/>
          <w:bCs/>
          <w:color w:val="auto"/>
          <w:kern w:val="0"/>
          <w:szCs w:val="20"/>
          <w:highlight w:val="none"/>
        </w:rPr>
      </w:pPr>
    </w:p>
    <w:p w14:paraId="05AFACB3">
      <w:pPr>
        <w:snapToGrid w:val="0"/>
        <w:spacing w:before="163" w:beforeLines="50" w:after="50" w:line="240" w:lineRule="auto"/>
        <w:ind w:firstLine="360" w:firstLineChars="150"/>
        <w:rPr>
          <w:rFonts w:hint="eastAsia" w:ascii="宋体" w:hAnsi="宋体" w:cs="宋体"/>
          <w:bCs/>
          <w:color w:val="auto"/>
          <w:kern w:val="0"/>
          <w:szCs w:val="20"/>
          <w:highlight w:val="none"/>
        </w:rPr>
      </w:pPr>
    </w:p>
    <w:p w14:paraId="4C4F03D2">
      <w:pPr>
        <w:snapToGrid w:val="0"/>
        <w:spacing w:before="163" w:beforeLines="50" w:after="50" w:line="240" w:lineRule="auto"/>
        <w:rPr>
          <w:rFonts w:hint="eastAsia" w:ascii="宋体" w:hAnsi="宋体" w:cs="宋体"/>
          <w:bCs/>
          <w:color w:val="auto"/>
          <w:kern w:val="0"/>
          <w:szCs w:val="24"/>
          <w:highlight w:val="none"/>
        </w:rPr>
      </w:pPr>
      <w:r>
        <w:rPr>
          <w:rFonts w:hint="eastAsia" w:ascii="宋体" w:hAnsi="宋体" w:cs="宋体"/>
          <w:bCs/>
          <w:color w:val="auto"/>
          <w:kern w:val="0"/>
          <w:szCs w:val="24"/>
          <w:highlight w:val="none"/>
        </w:rPr>
        <w:t>项目编号：</w:t>
      </w:r>
    </w:p>
    <w:p w14:paraId="0F09404D">
      <w:pPr>
        <w:rPr>
          <w:rFonts w:hint="eastAsia"/>
          <w:color w:val="auto"/>
          <w:highlight w:val="none"/>
        </w:rPr>
      </w:pPr>
    </w:p>
    <w:p w14:paraId="25E4CBC1">
      <w:pPr>
        <w:bidi w:val="0"/>
        <w:ind w:left="0" w:leftChars="0" w:firstLine="480" w:firstLineChars="200"/>
        <w:rPr>
          <w:rFonts w:hint="eastAsia"/>
          <w:color w:val="auto"/>
          <w:highlight w:val="none"/>
          <w:lang w:eastAsia="zh-CN"/>
        </w:rPr>
      </w:pPr>
    </w:p>
    <w:p w14:paraId="4A63D546">
      <w:pPr>
        <w:bidi w:val="0"/>
        <w:ind w:left="0" w:leftChars="0" w:firstLine="480" w:firstLineChars="200"/>
        <w:rPr>
          <w:rFonts w:hint="eastAsia"/>
          <w:color w:val="auto"/>
          <w:highlight w:val="none"/>
        </w:rPr>
      </w:pPr>
      <w:r>
        <w:rPr>
          <w:rFonts w:hint="eastAsia"/>
          <w:color w:val="auto"/>
          <w:highlight w:val="none"/>
          <w:lang w:eastAsia="zh-CN"/>
        </w:rPr>
        <w:t>标项：</w:t>
      </w:r>
      <w:r>
        <w:rPr>
          <w:rFonts w:hint="eastAsia"/>
          <w:color w:val="auto"/>
          <w:highlight w:val="none"/>
          <w:lang w:eastAsia="zh-CN"/>
        </w:rPr>
        <w:br w:type="textWrapping"/>
      </w:r>
      <w:r>
        <w:rPr>
          <w:rFonts w:hint="eastAsia"/>
          <w:color w:val="auto"/>
          <w:highlight w:val="none"/>
          <w:lang w:eastAsia="zh-CN"/>
        </w:rPr>
        <w:br w:type="textWrapping"/>
      </w:r>
    </w:p>
    <w:p w14:paraId="473DD2B4">
      <w:pPr>
        <w:snapToGrid w:val="0"/>
        <w:spacing w:before="163" w:beforeLines="50" w:after="50" w:line="240" w:lineRule="auto"/>
        <w:rPr>
          <w:rFonts w:hint="eastAsia" w:ascii="宋体" w:hAnsi="宋体" w:cs="宋体"/>
          <w:bCs/>
          <w:color w:val="auto"/>
          <w:kern w:val="0"/>
          <w:szCs w:val="24"/>
          <w:highlight w:val="none"/>
        </w:rPr>
      </w:pPr>
      <w:r>
        <w:rPr>
          <w:rFonts w:hint="eastAsia" w:ascii="宋体" w:hAnsi="宋体" w:cs="宋体"/>
          <w:bCs/>
          <w:color w:val="auto"/>
          <w:kern w:val="0"/>
          <w:szCs w:val="24"/>
          <w:highlight w:val="none"/>
        </w:rPr>
        <w:t xml:space="preserve">采购代理机构： </w:t>
      </w:r>
    </w:p>
    <w:p w14:paraId="075CFBFA">
      <w:pPr>
        <w:snapToGrid w:val="0"/>
        <w:spacing w:before="163" w:beforeLines="50" w:after="50" w:line="240" w:lineRule="auto"/>
        <w:ind w:firstLine="360" w:firstLineChars="150"/>
        <w:rPr>
          <w:rFonts w:hint="eastAsia" w:ascii="宋体" w:hAnsi="宋体" w:cs="宋体"/>
          <w:bCs/>
          <w:color w:val="auto"/>
          <w:kern w:val="0"/>
          <w:szCs w:val="24"/>
          <w:highlight w:val="none"/>
        </w:rPr>
      </w:pPr>
    </w:p>
    <w:p w14:paraId="446A2753">
      <w:pPr>
        <w:snapToGrid w:val="0"/>
        <w:spacing w:before="163" w:beforeLines="50" w:after="50" w:line="240" w:lineRule="auto"/>
        <w:ind w:firstLine="360" w:firstLineChars="150"/>
        <w:rPr>
          <w:rFonts w:hint="eastAsia" w:ascii="宋体" w:hAnsi="宋体" w:cs="宋体"/>
          <w:bCs/>
          <w:color w:val="auto"/>
          <w:kern w:val="0"/>
          <w:szCs w:val="24"/>
          <w:highlight w:val="none"/>
        </w:rPr>
      </w:pPr>
    </w:p>
    <w:p w14:paraId="502B28B3">
      <w:pPr>
        <w:snapToGrid w:val="0"/>
        <w:spacing w:before="163" w:beforeLines="50" w:after="50" w:line="240" w:lineRule="auto"/>
        <w:rPr>
          <w:rFonts w:hint="eastAsia" w:ascii="宋体" w:hAnsi="宋体" w:cs="宋体"/>
          <w:bCs/>
          <w:color w:val="auto"/>
          <w:kern w:val="0"/>
          <w:szCs w:val="24"/>
          <w:highlight w:val="none"/>
        </w:rPr>
      </w:pPr>
      <w:r>
        <w:rPr>
          <w:rFonts w:hint="eastAsia" w:ascii="宋体" w:hAnsi="宋体" w:cs="宋体"/>
          <w:bCs/>
          <w:color w:val="auto"/>
          <w:kern w:val="0"/>
          <w:szCs w:val="24"/>
          <w:highlight w:val="none"/>
        </w:rPr>
        <w:t>供应商名称：</w:t>
      </w:r>
    </w:p>
    <w:p w14:paraId="7C03EA4D">
      <w:pPr>
        <w:snapToGrid w:val="0"/>
        <w:spacing w:before="163" w:beforeLines="50" w:after="50" w:line="240" w:lineRule="auto"/>
        <w:ind w:firstLine="360" w:firstLineChars="150"/>
        <w:rPr>
          <w:rFonts w:hint="eastAsia" w:ascii="宋体" w:hAnsi="宋体"/>
          <w:bCs/>
          <w:color w:val="auto"/>
          <w:kern w:val="0"/>
          <w:szCs w:val="24"/>
          <w:highlight w:val="none"/>
        </w:rPr>
      </w:pPr>
    </w:p>
    <w:p w14:paraId="7D649C5C">
      <w:pPr>
        <w:snapToGrid w:val="0"/>
        <w:spacing w:before="163" w:beforeLines="50" w:after="50" w:line="240" w:lineRule="auto"/>
        <w:ind w:firstLine="360" w:firstLineChars="150"/>
        <w:rPr>
          <w:rFonts w:hint="eastAsia" w:ascii="宋体" w:hAnsi="宋体"/>
          <w:bCs/>
          <w:color w:val="auto"/>
          <w:kern w:val="0"/>
          <w:szCs w:val="24"/>
          <w:highlight w:val="none"/>
        </w:rPr>
      </w:pPr>
    </w:p>
    <w:p w14:paraId="15035551">
      <w:pPr>
        <w:spacing w:line="440" w:lineRule="atLeast"/>
        <w:ind w:firstLine="0" w:firstLineChars="0"/>
        <w:rPr>
          <w:rFonts w:hint="eastAsia" w:ascii="宋体" w:hAnsi="宋体"/>
          <w:b/>
          <w:color w:val="auto"/>
          <w:kern w:val="0"/>
          <w:sz w:val="32"/>
          <w:szCs w:val="32"/>
          <w:highlight w:val="none"/>
        </w:rPr>
      </w:pPr>
    </w:p>
    <w:p w14:paraId="5F7B8FC0">
      <w:pPr>
        <w:spacing w:line="440" w:lineRule="atLeast"/>
        <w:ind w:firstLine="0" w:firstLineChars="0"/>
        <w:rPr>
          <w:rFonts w:hint="eastAsia" w:ascii="宋体" w:hAnsi="宋体"/>
          <w:b/>
          <w:color w:val="auto"/>
          <w:kern w:val="0"/>
          <w:sz w:val="32"/>
          <w:szCs w:val="32"/>
          <w:highlight w:val="none"/>
        </w:rPr>
      </w:pPr>
    </w:p>
    <w:p w14:paraId="7055BC25">
      <w:pPr>
        <w:spacing w:line="440" w:lineRule="atLeast"/>
        <w:ind w:firstLine="0" w:firstLineChars="0"/>
        <w:rPr>
          <w:rFonts w:hint="eastAsia" w:ascii="宋体" w:hAnsi="宋体"/>
          <w:b/>
          <w:color w:val="auto"/>
          <w:kern w:val="0"/>
          <w:sz w:val="32"/>
          <w:szCs w:val="32"/>
          <w:highlight w:val="none"/>
        </w:rPr>
      </w:pPr>
    </w:p>
    <w:p w14:paraId="165D7D6A">
      <w:pPr>
        <w:spacing w:line="440" w:lineRule="atLeast"/>
        <w:ind w:firstLine="0" w:firstLineChars="0"/>
        <w:rPr>
          <w:rFonts w:hint="eastAsia" w:ascii="宋体" w:hAnsi="宋体"/>
          <w:b/>
          <w:color w:val="auto"/>
          <w:kern w:val="0"/>
          <w:sz w:val="32"/>
          <w:szCs w:val="32"/>
          <w:highlight w:val="none"/>
        </w:rPr>
      </w:pPr>
    </w:p>
    <w:p w14:paraId="4C5DBBF0">
      <w:pPr>
        <w:spacing w:line="440" w:lineRule="atLeast"/>
        <w:ind w:firstLine="0" w:firstLineChars="0"/>
        <w:rPr>
          <w:rFonts w:hint="eastAsia" w:ascii="宋体" w:hAnsi="宋体"/>
          <w:b/>
          <w:color w:val="auto"/>
          <w:kern w:val="0"/>
          <w:sz w:val="32"/>
          <w:szCs w:val="32"/>
          <w:highlight w:val="none"/>
        </w:rPr>
      </w:pPr>
    </w:p>
    <w:p w14:paraId="2921FD62">
      <w:pPr>
        <w:spacing w:line="440" w:lineRule="atLeast"/>
        <w:ind w:firstLine="0" w:firstLineChars="0"/>
        <w:rPr>
          <w:rFonts w:hint="eastAsia" w:ascii="宋体" w:hAnsi="宋体"/>
          <w:b/>
          <w:color w:val="auto"/>
          <w:kern w:val="0"/>
          <w:sz w:val="32"/>
          <w:szCs w:val="32"/>
          <w:highlight w:val="none"/>
        </w:rPr>
      </w:pPr>
    </w:p>
    <w:p w14:paraId="1CE137DB">
      <w:pPr>
        <w:spacing w:line="440" w:lineRule="atLeast"/>
        <w:ind w:firstLine="0" w:firstLineChars="0"/>
        <w:rPr>
          <w:rFonts w:hint="eastAsia" w:ascii="宋体" w:hAnsi="宋体"/>
          <w:b/>
          <w:color w:val="auto"/>
          <w:kern w:val="0"/>
          <w:sz w:val="32"/>
          <w:szCs w:val="32"/>
          <w:highlight w:val="none"/>
        </w:rPr>
      </w:pPr>
    </w:p>
    <w:p w14:paraId="70D667C7">
      <w:pPr>
        <w:spacing w:line="440" w:lineRule="atLeast"/>
        <w:ind w:firstLine="0" w:firstLineChars="0"/>
        <w:rPr>
          <w:rFonts w:hint="eastAsia" w:ascii="宋体" w:hAnsi="宋体"/>
          <w:b/>
          <w:color w:val="auto"/>
          <w:kern w:val="0"/>
          <w:sz w:val="32"/>
          <w:szCs w:val="32"/>
          <w:highlight w:val="none"/>
        </w:rPr>
      </w:pPr>
    </w:p>
    <w:p w14:paraId="403E5A35">
      <w:pPr>
        <w:pStyle w:val="23"/>
        <w:rPr>
          <w:color w:val="auto"/>
          <w:highlight w:val="none"/>
        </w:rPr>
      </w:pPr>
    </w:p>
    <w:p w14:paraId="19A58E7E">
      <w:pPr>
        <w:spacing w:line="400" w:lineRule="exact"/>
        <w:ind w:firstLine="0" w:firstLineChars="0"/>
        <w:outlineLvl w:val="1"/>
        <w:rPr>
          <w:rFonts w:hint="eastAsia" w:ascii="宋体" w:hAnsi="宋体" w:cs="宋体"/>
          <w:b/>
          <w:color w:val="auto"/>
          <w:kern w:val="0"/>
          <w:sz w:val="32"/>
          <w:szCs w:val="32"/>
          <w:highlight w:val="none"/>
        </w:rPr>
      </w:pPr>
      <w:bookmarkStart w:id="1804" w:name="_Toc82016595"/>
      <w:r>
        <w:rPr>
          <w:rFonts w:hint="eastAsia" w:ascii="宋体" w:hAnsi="宋体" w:cs="宋体"/>
          <w:b/>
          <w:color w:val="auto"/>
          <w:kern w:val="0"/>
          <w:sz w:val="32"/>
          <w:szCs w:val="32"/>
          <w:highlight w:val="none"/>
        </w:rPr>
        <w:t>二、响应文件组成</w:t>
      </w:r>
      <w:bookmarkEnd w:id="1804"/>
    </w:p>
    <w:p w14:paraId="7805DEFC">
      <w:pPr>
        <w:spacing w:line="400" w:lineRule="exact"/>
        <w:ind w:firstLine="0" w:firstLineChars="0"/>
        <w:rPr>
          <w:rFonts w:hint="eastAsia" w:ascii="宋体" w:hAnsi="宋体" w:cs="宋体"/>
          <w:b/>
          <w:bCs/>
          <w:color w:val="auto"/>
          <w:kern w:val="0"/>
          <w:szCs w:val="24"/>
          <w:highlight w:val="none"/>
        </w:rPr>
      </w:pPr>
    </w:p>
    <w:p w14:paraId="586DFA0E">
      <w:pPr>
        <w:spacing w:line="400" w:lineRule="exact"/>
        <w:ind w:firstLine="0" w:firstLineChars="0"/>
        <w:rPr>
          <w:rFonts w:hint="eastAsia" w:ascii="宋体" w:hAnsi="宋体" w:cs="宋体"/>
          <w:b/>
          <w:bCs/>
          <w:color w:val="auto"/>
          <w:kern w:val="0"/>
          <w:szCs w:val="24"/>
          <w:highlight w:val="none"/>
        </w:rPr>
      </w:pPr>
    </w:p>
    <w:p w14:paraId="4BF035B4">
      <w:pPr>
        <w:spacing w:line="400" w:lineRule="exact"/>
        <w:ind w:firstLine="0" w:firstLineChars="0"/>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（一）</w:t>
      </w:r>
      <w:r>
        <w:rPr>
          <w:rFonts w:hint="eastAsia" w:ascii="宋体" w:hAnsi="宋体" w:cs="宋体"/>
          <w:b/>
          <w:color w:val="auto"/>
          <w:kern w:val="0"/>
          <w:sz w:val="32"/>
          <w:szCs w:val="32"/>
          <w:highlight w:val="none"/>
        </w:rPr>
        <w:t>资格性响应证明材料</w:t>
      </w:r>
    </w:p>
    <w:p w14:paraId="7E6D205F">
      <w:pPr>
        <w:spacing w:line="400" w:lineRule="exact"/>
        <w:ind w:firstLine="0" w:firstLineChars="0"/>
        <w:rPr>
          <w:rFonts w:hint="eastAsia" w:ascii="宋体" w:hAnsi="宋体" w:cs="宋体"/>
          <w:b/>
          <w:bCs/>
          <w:color w:val="auto"/>
          <w:kern w:val="0"/>
          <w:sz w:val="32"/>
          <w:szCs w:val="32"/>
          <w:highlight w:val="none"/>
        </w:rPr>
      </w:pPr>
    </w:p>
    <w:p w14:paraId="540FD13F">
      <w:pPr>
        <w:spacing w:line="400" w:lineRule="exact"/>
        <w:ind w:firstLine="0" w:firstLineChars="0"/>
        <w:rPr>
          <w:rFonts w:hint="eastAsia" w:ascii="宋体" w:hAnsi="宋体" w:cs="宋体"/>
          <w:b/>
          <w:bCs/>
          <w:color w:val="auto"/>
          <w:kern w:val="0"/>
          <w:sz w:val="32"/>
          <w:szCs w:val="32"/>
          <w:highlight w:val="none"/>
        </w:rPr>
      </w:pPr>
    </w:p>
    <w:p w14:paraId="46E98FC2">
      <w:pPr>
        <w:spacing w:line="400" w:lineRule="exact"/>
        <w:ind w:firstLine="0" w:firstLineChars="0"/>
        <w:rPr>
          <w:rFonts w:hint="eastAsia" w:ascii="宋体" w:hAnsi="宋体" w:cs="宋体"/>
          <w:b/>
          <w:bCs/>
          <w:color w:val="auto"/>
          <w:kern w:val="0"/>
          <w:sz w:val="32"/>
          <w:szCs w:val="32"/>
          <w:highlight w:val="none"/>
        </w:rPr>
      </w:pPr>
    </w:p>
    <w:p w14:paraId="0892FD05">
      <w:pPr>
        <w:spacing w:line="400" w:lineRule="exact"/>
        <w:ind w:firstLine="0" w:firstLineChars="0"/>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（二）</w:t>
      </w:r>
      <w:r>
        <w:rPr>
          <w:rFonts w:hint="eastAsia" w:ascii="宋体" w:hAnsi="宋体" w:cs="宋体"/>
          <w:b/>
          <w:color w:val="auto"/>
          <w:kern w:val="0"/>
          <w:sz w:val="32"/>
          <w:szCs w:val="32"/>
          <w:highlight w:val="none"/>
        </w:rPr>
        <w:t>符合性响应证明材料</w:t>
      </w:r>
    </w:p>
    <w:p w14:paraId="4A94F976">
      <w:pPr>
        <w:spacing w:line="400" w:lineRule="exact"/>
        <w:ind w:firstLine="0" w:firstLineChars="0"/>
        <w:rPr>
          <w:rFonts w:hint="eastAsia" w:ascii="宋体" w:hAnsi="宋体" w:cs="宋体"/>
          <w:b/>
          <w:bCs/>
          <w:color w:val="auto"/>
          <w:kern w:val="0"/>
          <w:sz w:val="32"/>
          <w:szCs w:val="32"/>
          <w:highlight w:val="none"/>
        </w:rPr>
      </w:pPr>
    </w:p>
    <w:p w14:paraId="3FEF55B9">
      <w:pPr>
        <w:spacing w:line="400" w:lineRule="exact"/>
        <w:ind w:firstLine="0" w:firstLineChars="0"/>
        <w:rPr>
          <w:rFonts w:hint="eastAsia" w:ascii="宋体" w:hAnsi="宋体" w:cs="宋体"/>
          <w:b/>
          <w:bCs/>
          <w:color w:val="auto"/>
          <w:kern w:val="0"/>
          <w:sz w:val="32"/>
          <w:szCs w:val="32"/>
          <w:highlight w:val="none"/>
        </w:rPr>
      </w:pPr>
    </w:p>
    <w:p w14:paraId="6EAB0780">
      <w:pPr>
        <w:spacing w:line="400" w:lineRule="exact"/>
        <w:ind w:firstLine="0" w:firstLineChars="0"/>
        <w:rPr>
          <w:rFonts w:hint="eastAsia" w:ascii="宋体" w:hAnsi="宋体" w:cs="宋体"/>
          <w:b/>
          <w:bCs/>
          <w:color w:val="auto"/>
          <w:kern w:val="0"/>
          <w:sz w:val="32"/>
          <w:szCs w:val="32"/>
          <w:highlight w:val="none"/>
        </w:rPr>
      </w:pPr>
    </w:p>
    <w:p w14:paraId="450C4883">
      <w:pPr>
        <w:spacing w:line="400" w:lineRule="exact"/>
        <w:ind w:firstLine="0" w:firstLineChars="0"/>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（三）</w:t>
      </w:r>
      <w:r>
        <w:rPr>
          <w:rFonts w:hint="eastAsia" w:ascii="宋体" w:hAnsi="宋体" w:cs="宋体"/>
          <w:b/>
          <w:color w:val="auto"/>
          <w:kern w:val="0"/>
          <w:sz w:val="32"/>
          <w:szCs w:val="32"/>
          <w:highlight w:val="none"/>
        </w:rPr>
        <w:t>其他有效证明材料</w:t>
      </w:r>
    </w:p>
    <w:p w14:paraId="6B404198">
      <w:pPr>
        <w:tabs>
          <w:tab w:val="left" w:pos="1305"/>
        </w:tabs>
        <w:spacing w:line="520" w:lineRule="exact"/>
        <w:ind w:firstLine="0" w:firstLineChars="0"/>
        <w:jc w:val="center"/>
        <w:rPr>
          <w:rFonts w:hint="eastAsia" w:ascii="宋体" w:hAnsi="宋体" w:cs="宋体"/>
          <w:b/>
          <w:color w:val="auto"/>
          <w:kern w:val="0"/>
          <w:sz w:val="32"/>
          <w:szCs w:val="32"/>
          <w:highlight w:val="none"/>
        </w:rPr>
      </w:pPr>
    </w:p>
    <w:p w14:paraId="77ABC4EA">
      <w:pPr>
        <w:tabs>
          <w:tab w:val="left" w:pos="1305"/>
        </w:tabs>
        <w:spacing w:line="520" w:lineRule="exact"/>
        <w:ind w:firstLine="0" w:firstLineChars="0"/>
        <w:jc w:val="center"/>
        <w:rPr>
          <w:rFonts w:hint="eastAsia" w:ascii="宋体" w:hAnsi="宋体"/>
          <w:b/>
          <w:color w:val="auto"/>
          <w:kern w:val="0"/>
          <w:sz w:val="32"/>
          <w:szCs w:val="32"/>
          <w:highlight w:val="none"/>
        </w:rPr>
      </w:pPr>
    </w:p>
    <w:p w14:paraId="1B1DFF0E">
      <w:pPr>
        <w:tabs>
          <w:tab w:val="left" w:pos="1305"/>
        </w:tabs>
        <w:spacing w:line="520" w:lineRule="exact"/>
        <w:ind w:firstLine="0" w:firstLineChars="0"/>
        <w:jc w:val="center"/>
        <w:rPr>
          <w:rFonts w:hint="eastAsia" w:ascii="宋体" w:hAnsi="宋体"/>
          <w:b/>
          <w:color w:val="auto"/>
          <w:kern w:val="0"/>
          <w:sz w:val="32"/>
          <w:szCs w:val="32"/>
          <w:highlight w:val="none"/>
        </w:rPr>
      </w:pPr>
    </w:p>
    <w:p w14:paraId="4F330FA2">
      <w:pPr>
        <w:tabs>
          <w:tab w:val="left" w:pos="1305"/>
        </w:tabs>
        <w:spacing w:line="520" w:lineRule="exact"/>
        <w:ind w:firstLine="0" w:firstLineChars="0"/>
        <w:jc w:val="center"/>
        <w:rPr>
          <w:rFonts w:hint="eastAsia" w:ascii="宋体" w:hAnsi="宋体"/>
          <w:b/>
          <w:color w:val="auto"/>
          <w:kern w:val="0"/>
          <w:sz w:val="32"/>
          <w:szCs w:val="32"/>
          <w:highlight w:val="none"/>
        </w:rPr>
      </w:pPr>
    </w:p>
    <w:p w14:paraId="1B945D56">
      <w:pPr>
        <w:tabs>
          <w:tab w:val="left" w:pos="1305"/>
        </w:tabs>
        <w:spacing w:line="520" w:lineRule="exact"/>
        <w:ind w:firstLine="0" w:firstLineChars="0"/>
        <w:jc w:val="center"/>
        <w:rPr>
          <w:rFonts w:hint="eastAsia" w:ascii="宋体" w:hAnsi="宋体"/>
          <w:b/>
          <w:color w:val="auto"/>
          <w:kern w:val="0"/>
          <w:sz w:val="32"/>
          <w:szCs w:val="32"/>
          <w:highlight w:val="none"/>
        </w:rPr>
      </w:pPr>
    </w:p>
    <w:p w14:paraId="3A91EEFC">
      <w:pPr>
        <w:tabs>
          <w:tab w:val="left" w:pos="1305"/>
        </w:tabs>
        <w:spacing w:line="520" w:lineRule="exact"/>
        <w:ind w:firstLine="0" w:firstLineChars="0"/>
        <w:jc w:val="center"/>
        <w:rPr>
          <w:rFonts w:hint="eastAsia" w:ascii="宋体" w:hAnsi="宋体"/>
          <w:b/>
          <w:color w:val="auto"/>
          <w:kern w:val="0"/>
          <w:sz w:val="32"/>
          <w:szCs w:val="32"/>
          <w:highlight w:val="none"/>
        </w:rPr>
      </w:pPr>
    </w:p>
    <w:p w14:paraId="3EE48092">
      <w:pPr>
        <w:tabs>
          <w:tab w:val="left" w:pos="1305"/>
        </w:tabs>
        <w:spacing w:line="520" w:lineRule="exact"/>
        <w:ind w:firstLine="0" w:firstLineChars="0"/>
        <w:jc w:val="center"/>
        <w:rPr>
          <w:rFonts w:hint="eastAsia" w:ascii="宋体" w:hAnsi="宋体"/>
          <w:b/>
          <w:color w:val="auto"/>
          <w:kern w:val="0"/>
          <w:sz w:val="32"/>
          <w:szCs w:val="32"/>
          <w:highlight w:val="none"/>
        </w:rPr>
      </w:pPr>
    </w:p>
    <w:p w14:paraId="5C20424E">
      <w:pPr>
        <w:tabs>
          <w:tab w:val="left" w:pos="1305"/>
        </w:tabs>
        <w:spacing w:line="520" w:lineRule="exact"/>
        <w:ind w:firstLine="0" w:firstLineChars="0"/>
        <w:jc w:val="center"/>
        <w:rPr>
          <w:b/>
          <w:color w:val="auto"/>
          <w:kern w:val="0"/>
          <w:sz w:val="32"/>
          <w:szCs w:val="32"/>
          <w:highlight w:val="none"/>
        </w:rPr>
      </w:pPr>
    </w:p>
    <w:p w14:paraId="0C3EE1F2">
      <w:pPr>
        <w:spacing w:line="360" w:lineRule="exact"/>
        <w:ind w:firstLine="0" w:firstLineChars="0"/>
        <w:jc w:val="center"/>
        <w:outlineLvl w:val="1"/>
        <w:rPr>
          <w:rFonts w:hint="eastAsia" w:ascii="宋体" w:hAnsi="宋体" w:cs="宋体"/>
          <w:b/>
          <w:color w:val="auto"/>
          <w:kern w:val="0"/>
          <w:sz w:val="32"/>
          <w:szCs w:val="32"/>
          <w:highlight w:val="none"/>
        </w:rPr>
      </w:pPr>
      <w:r>
        <w:rPr>
          <w:rFonts w:hint="eastAsia"/>
          <w:b/>
          <w:color w:val="auto"/>
          <w:kern w:val="0"/>
          <w:sz w:val="32"/>
          <w:szCs w:val="32"/>
          <w:highlight w:val="none"/>
        </w:rPr>
        <w:br w:type="page"/>
      </w:r>
      <w:r>
        <w:rPr>
          <w:rFonts w:hint="eastAsia" w:ascii="宋体" w:hAnsi="宋体" w:cs="宋体"/>
          <w:b/>
          <w:color w:val="auto"/>
          <w:kern w:val="0"/>
          <w:sz w:val="32"/>
          <w:szCs w:val="32"/>
          <w:highlight w:val="none"/>
        </w:rPr>
        <w:t>（一）资格性响应证明材料目录</w:t>
      </w:r>
    </w:p>
    <w:p w14:paraId="0F91B517">
      <w:pPr>
        <w:tabs>
          <w:tab w:val="left" w:pos="1305"/>
        </w:tabs>
        <w:spacing w:line="400" w:lineRule="exact"/>
        <w:ind w:firstLine="480"/>
        <w:rPr>
          <w:rFonts w:hint="eastAsia" w:ascii="宋体" w:hAnsi="宋体" w:cs="宋体"/>
          <w:color w:val="auto"/>
          <w:kern w:val="0"/>
          <w:szCs w:val="24"/>
          <w:highlight w:val="none"/>
        </w:rPr>
      </w:pPr>
    </w:p>
    <w:p w14:paraId="70B78D45">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供应商相应的法定代表人身份证正反两面复印件</w:t>
      </w:r>
      <w:r>
        <w:rPr>
          <w:rFonts w:hint="eastAsia" w:ascii="宋体" w:hAnsi="宋体" w:cs="宋体"/>
          <w:b/>
          <w:color w:val="auto"/>
          <w:sz w:val="21"/>
          <w:szCs w:val="21"/>
          <w:highlight w:val="none"/>
        </w:rPr>
        <w:t>（必须提供）；</w:t>
      </w:r>
    </w:p>
    <w:p w14:paraId="45E0610A">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除供应商为以下三种情形的：</w:t>
      </w:r>
    </w:p>
    <w:p w14:paraId="47DF3685">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①如供应商为截标时间前60日以内成立的公司，可以提供供应商与委托代理人签订的劳动合同复印件代替社保证明复印件；</w:t>
      </w:r>
    </w:p>
    <w:p w14:paraId="4FECEA64">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②如供应商为事业单位，可以提供事业单位机构编制管理证复印件或事业单位机构为其发放工资的工资条复印件代替社保证明复印件；</w:t>
      </w:r>
    </w:p>
    <w:p w14:paraId="68A3F1F3">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67CB294D">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cs="宋体"/>
          <w:color w:val="auto"/>
          <w:sz w:val="21"/>
          <w:szCs w:val="21"/>
          <w:highlight w:val="none"/>
        </w:rPr>
        <w:t>】</w:t>
      </w:r>
      <w:r>
        <w:rPr>
          <w:rFonts w:hint="eastAsia" w:ascii="宋体" w:hAnsi="宋体" w:cs="宋体"/>
          <w:b/>
          <w:bCs/>
          <w:color w:val="auto"/>
          <w:sz w:val="21"/>
          <w:szCs w:val="21"/>
          <w:highlight w:val="none"/>
        </w:rPr>
        <w:t>（委托代理时必须提供）</w:t>
      </w:r>
      <w:r>
        <w:rPr>
          <w:rFonts w:hint="eastAsia" w:ascii="宋体" w:hAnsi="宋体" w:cs="宋体"/>
          <w:b/>
          <w:color w:val="auto"/>
          <w:sz w:val="21"/>
          <w:szCs w:val="21"/>
          <w:highlight w:val="none"/>
        </w:rPr>
        <w:t>；</w:t>
      </w:r>
    </w:p>
    <w:p w14:paraId="6C928223">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供应商的法人或者其他组织营业执照等证明文件复印件</w:t>
      </w:r>
      <w:r>
        <w:rPr>
          <w:rFonts w:hint="eastAsia" w:ascii="宋体" w:hAnsi="宋体" w:cs="宋体"/>
          <w:b/>
          <w:color w:val="auto"/>
          <w:sz w:val="21"/>
          <w:szCs w:val="21"/>
          <w:highlight w:val="none"/>
        </w:rPr>
        <w:t>（必须提供，自然人除外）；</w:t>
      </w:r>
    </w:p>
    <w:p w14:paraId="6A4C1AE5">
      <w:pPr>
        <w:tabs>
          <w:tab w:val="left" w:pos="1305"/>
        </w:tabs>
        <w:spacing w:line="400" w:lineRule="exact"/>
        <w:ind w:firstLine="422"/>
        <w:rPr>
          <w:rFonts w:hint="eastAsia" w:ascii="宋体" w:hAnsi="宋体" w:cs="宋体"/>
          <w:b/>
          <w:bCs w:val="0"/>
          <w:color w:val="auto"/>
          <w:sz w:val="21"/>
          <w:szCs w:val="21"/>
          <w:highlight w:val="none"/>
        </w:rPr>
      </w:pPr>
      <w:r>
        <w:rPr>
          <w:rFonts w:hint="eastAsia" w:ascii="宋体" w:hAnsi="宋体" w:cs="宋体"/>
          <w:b/>
          <w:color w:val="auto"/>
          <w:sz w:val="21"/>
          <w:szCs w:val="21"/>
          <w:highlight w:val="none"/>
        </w:rPr>
        <w:t>注：①法人包括企业法人、机关法人、事业单位法人和社会团</w:t>
      </w:r>
      <w:r>
        <w:rPr>
          <w:rFonts w:hint="eastAsia" w:ascii="宋体" w:hAnsi="宋体" w:cs="宋体"/>
          <w:b/>
          <w:bCs w:val="0"/>
          <w:color w:val="auto"/>
          <w:sz w:val="21"/>
          <w:szCs w:val="21"/>
          <w:highlight w:val="none"/>
        </w:rPr>
        <w:t>体法人；其他组织主要包括合伙企业、非企业专业服务机构、个体工商户、农村承包经营户。②如供应商为企业（包括合伙企业）</w:t>
      </w:r>
      <w:r>
        <w:rPr>
          <w:rFonts w:hint="eastAsia"/>
          <w:b/>
          <w:bCs w:val="0"/>
          <w:color w:val="auto"/>
          <w:highlight w:val="none"/>
          <w:lang w:val="en-US" w:eastAsia="zh-CN"/>
        </w:rPr>
        <w:t>的</w:t>
      </w:r>
      <w:r>
        <w:rPr>
          <w:rFonts w:hint="eastAsia" w:ascii="宋体" w:hAnsi="宋体" w:cs="宋体"/>
          <w:b/>
          <w:bCs w:val="0"/>
          <w:color w:val="auto"/>
          <w:sz w:val="21"/>
          <w:szCs w:val="21"/>
          <w:highlight w:val="none"/>
        </w:rPr>
        <w:t>，应提供市场监督管理部门（或行政审批部门）注册的有效“企业法人营业执照”或“营业执照”；供应商为事业单位</w:t>
      </w:r>
      <w:r>
        <w:rPr>
          <w:rFonts w:hint="eastAsia" w:ascii="宋体" w:hAnsi="宋体" w:cs="宋体"/>
          <w:b/>
          <w:bCs w:val="0"/>
          <w:color w:val="auto"/>
          <w:sz w:val="21"/>
          <w:szCs w:val="21"/>
          <w:highlight w:val="none"/>
          <w:lang w:val="en-US" w:eastAsia="zh-CN"/>
        </w:rPr>
        <w:t>的</w:t>
      </w:r>
      <w:r>
        <w:rPr>
          <w:rFonts w:hint="eastAsia" w:ascii="宋体" w:hAnsi="宋体" w:cs="宋体"/>
          <w:b/>
          <w:bCs w:val="0"/>
          <w:color w:val="auto"/>
          <w:sz w:val="21"/>
          <w:szCs w:val="21"/>
          <w:highlight w:val="none"/>
        </w:rPr>
        <w:t>，应提供有效的“事业单位法人证书”；供应商为非企业专业服务机构的，应提供执业许可证等证明文件；供应商为个体工商户</w:t>
      </w:r>
      <w:r>
        <w:rPr>
          <w:rFonts w:hint="eastAsia"/>
          <w:b/>
          <w:bCs w:val="0"/>
          <w:color w:val="auto"/>
          <w:highlight w:val="none"/>
          <w:lang w:val="en-US" w:eastAsia="zh-CN"/>
        </w:rPr>
        <w:t>的</w:t>
      </w:r>
      <w:r>
        <w:rPr>
          <w:rFonts w:hint="eastAsia" w:ascii="宋体" w:hAnsi="宋体" w:cs="宋体"/>
          <w:b/>
          <w:bCs w:val="0"/>
          <w:color w:val="auto"/>
          <w:sz w:val="21"/>
          <w:szCs w:val="21"/>
          <w:highlight w:val="none"/>
        </w:rPr>
        <w:t>，应提供有效的营业执照。</w:t>
      </w:r>
    </w:p>
    <w:p w14:paraId="7BCE607F">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供应商财务状况报告</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69AC19D1">
      <w:pPr>
        <w:tabs>
          <w:tab w:val="left" w:pos="1305"/>
        </w:tabs>
        <w:spacing w:line="400" w:lineRule="exact"/>
        <w:ind w:firstLine="422"/>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供应商必须提供2024年度内的财务报表复印件，或者2025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636C0C91">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供应商依法缴纳税收的相关材料</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1E0086EB">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b/>
          <w:bCs/>
          <w:color w:val="auto"/>
          <w:sz w:val="21"/>
          <w:szCs w:val="21"/>
          <w:highlight w:val="none"/>
        </w:rPr>
        <w:t>注：供应商必须提供2025年</w:t>
      </w:r>
      <w:r>
        <w:rPr>
          <w:rFonts w:hint="eastAsia" w:ascii="宋体" w:hAnsi="宋体" w:cs="宋体"/>
          <w:b/>
          <w:bCs/>
          <w:color w:val="auto"/>
          <w:sz w:val="21"/>
          <w:szCs w:val="21"/>
          <w:highlight w:val="none"/>
          <w:lang w:val="en-US" w:eastAsia="zh-CN"/>
        </w:rPr>
        <w:t>1月</w:t>
      </w:r>
      <w:r>
        <w:rPr>
          <w:rFonts w:hint="eastAsia" w:ascii="宋体" w:hAnsi="宋体" w:cs="宋体"/>
          <w:b/>
          <w:bCs/>
          <w:color w:val="auto"/>
          <w:sz w:val="21"/>
          <w:szCs w:val="21"/>
          <w:highlight w:val="none"/>
        </w:rPr>
        <w:t>以来任意1个月的依法缴纳税收的证明材料复印件；依法免税的供应商，必须提供符合免税条件的证明材料。从成立之日起到响应文件提交截止时间止不足要求月数的，则无需提交。</w:t>
      </w:r>
    </w:p>
    <w:p w14:paraId="0EA8E74B">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供应商依法缴纳社会保障资金的相关材料</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280D789E">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b/>
          <w:bCs/>
          <w:color w:val="auto"/>
          <w:sz w:val="21"/>
          <w:szCs w:val="21"/>
          <w:highlight w:val="none"/>
        </w:rPr>
        <w:t>注：供应商必须提供2025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270785DB">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供应商参加政府采购活动前3年内在经营活动中没有重大违法记录及有关信用信息的书面声明</w:t>
      </w:r>
      <w:r>
        <w:rPr>
          <w:rFonts w:hint="eastAsia" w:ascii="宋体" w:hAnsi="宋体" w:cs="宋体"/>
          <w:b/>
          <w:color w:val="auto"/>
          <w:kern w:val="0"/>
          <w:sz w:val="21"/>
          <w:szCs w:val="21"/>
          <w:highlight w:val="none"/>
        </w:rPr>
        <w:t>（必须提供）；</w:t>
      </w:r>
    </w:p>
    <w:p w14:paraId="18CDF0F8">
      <w:pPr>
        <w:tabs>
          <w:tab w:val="left" w:pos="1305"/>
        </w:tabs>
        <w:spacing w:line="400" w:lineRule="exact"/>
        <w:ind w:firstLine="420"/>
        <w:rPr>
          <w:rFonts w:hint="eastAsia" w:ascii="宋体" w:hAnsi="宋体" w:cs="宋体"/>
          <w:b/>
          <w:color w:val="auto"/>
          <w:kern w:val="0"/>
          <w:sz w:val="21"/>
          <w:szCs w:val="21"/>
          <w:highlight w:val="none"/>
          <w:lang w:eastAsia="zh-CN"/>
        </w:rPr>
      </w:pP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供应商参加本项目无围标串标行为的承诺函</w:t>
      </w:r>
      <w:r>
        <w:rPr>
          <w:rFonts w:hint="eastAsia" w:ascii="宋体" w:hAnsi="宋体" w:cs="宋体"/>
          <w:b/>
          <w:color w:val="auto"/>
          <w:kern w:val="0"/>
          <w:sz w:val="21"/>
          <w:szCs w:val="21"/>
          <w:highlight w:val="none"/>
        </w:rPr>
        <w:t>（必须提供）</w:t>
      </w:r>
      <w:r>
        <w:rPr>
          <w:rFonts w:hint="eastAsia" w:ascii="宋体" w:hAnsi="宋体" w:cs="宋体"/>
          <w:b/>
          <w:color w:val="auto"/>
          <w:kern w:val="0"/>
          <w:sz w:val="21"/>
          <w:szCs w:val="21"/>
          <w:highlight w:val="none"/>
          <w:lang w:eastAsia="zh-CN"/>
        </w:rPr>
        <w:t>；</w:t>
      </w:r>
    </w:p>
    <w:p w14:paraId="64EDD475">
      <w:pPr>
        <w:numPr>
          <w:ilvl w:val="0"/>
          <w:numId w:val="0"/>
        </w:numPr>
        <w:spacing w:line="440" w:lineRule="exact"/>
        <w:ind w:left="210" w:leftChars="0"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供应商</w:t>
      </w:r>
      <w:r>
        <w:rPr>
          <w:rFonts w:hint="eastAsia" w:ascii="宋体" w:hAnsi="宋体" w:cs="宋体"/>
          <w:color w:val="auto"/>
          <w:sz w:val="21"/>
          <w:szCs w:val="21"/>
          <w:highlight w:val="none"/>
          <w:lang w:eastAsia="zh-CN"/>
        </w:rPr>
        <w:t>满足所响应分标的特定资格要求必须提供的资料</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153844AD">
      <w:pPr>
        <w:numPr>
          <w:ilvl w:val="0"/>
          <w:numId w:val="0"/>
        </w:numPr>
        <w:spacing w:line="440" w:lineRule="exact"/>
        <w:ind w:left="-210" w:leftChars="0" w:firstLine="577" w:firstLineChars="275"/>
        <w:rPr>
          <w:rFonts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10.项目管理机构配备情况表</w:t>
      </w:r>
      <w:r>
        <w:rPr>
          <w:rFonts w:hint="eastAsia" w:ascii="宋体" w:hAnsi="宋体" w:cs="宋体"/>
          <w:b/>
          <w:bCs/>
          <w:color w:val="auto"/>
          <w:kern w:val="0"/>
          <w:sz w:val="21"/>
          <w:szCs w:val="21"/>
          <w:highlight w:val="none"/>
        </w:rPr>
        <w:t>（</w:t>
      </w:r>
      <w:r>
        <w:rPr>
          <w:rFonts w:hint="eastAsia" w:ascii="宋体" w:hAnsi="宋体" w:cs="宋体"/>
          <w:b/>
          <w:bCs/>
          <w:color w:val="auto"/>
          <w:kern w:val="0"/>
          <w:sz w:val="21"/>
          <w:szCs w:val="21"/>
          <w:highlight w:val="none"/>
          <w:lang w:eastAsia="zh-CN"/>
        </w:rPr>
        <w:t>分标</w:t>
      </w:r>
      <w:r>
        <w:rPr>
          <w:rFonts w:hint="eastAsia" w:ascii="宋体" w:hAnsi="宋体" w:cs="宋体"/>
          <w:b/>
          <w:bCs/>
          <w:color w:val="auto"/>
          <w:kern w:val="0"/>
          <w:sz w:val="21"/>
          <w:szCs w:val="21"/>
          <w:highlight w:val="none"/>
          <w:lang w:val="en-US" w:eastAsia="zh-CN"/>
        </w:rPr>
        <w:t>2</w:t>
      </w:r>
      <w:r>
        <w:rPr>
          <w:rFonts w:hint="eastAsia" w:ascii="宋体" w:hAnsi="宋体" w:cs="宋体"/>
          <w:b/>
          <w:bCs/>
          <w:color w:val="auto"/>
          <w:kern w:val="0"/>
          <w:sz w:val="21"/>
          <w:szCs w:val="21"/>
          <w:highlight w:val="none"/>
        </w:rPr>
        <w:t>必须提供）</w:t>
      </w:r>
      <w:r>
        <w:rPr>
          <w:rFonts w:hint="eastAsia" w:ascii="宋体" w:hAnsi="宋体" w:cs="宋体"/>
          <w:bCs/>
          <w:color w:val="auto"/>
          <w:kern w:val="2"/>
          <w:sz w:val="21"/>
          <w:szCs w:val="21"/>
          <w:highlight w:val="none"/>
          <w:lang w:val="en-US" w:eastAsia="zh-CN" w:bidi="ar-SA"/>
        </w:rPr>
        <w:t>；</w:t>
      </w:r>
    </w:p>
    <w:p w14:paraId="22E577DA">
      <w:pPr>
        <w:tabs>
          <w:tab w:val="left" w:pos="1305"/>
        </w:tabs>
        <w:spacing w:line="380" w:lineRule="exact"/>
        <w:ind w:left="0" w:leftChars="0" w:firstLine="0" w:firstLineChars="0"/>
        <w:rPr>
          <w:rFonts w:hint="eastAsia" w:ascii="宋体" w:hAnsi="宋体" w:cs="宋体"/>
          <w:b/>
          <w:color w:val="auto"/>
          <w:sz w:val="28"/>
          <w:szCs w:val="28"/>
          <w:highlight w:val="none"/>
        </w:rPr>
      </w:pPr>
      <w:r>
        <w:rPr>
          <w:rFonts w:hint="eastAsia" w:ascii="宋体" w:hAnsi="宋体" w:cs="宋体"/>
          <w:color w:val="auto"/>
          <w:kern w:val="0"/>
          <w:sz w:val="24"/>
          <w:szCs w:val="24"/>
          <w:highlight w:val="none"/>
        </w:rPr>
        <w:br w:type="page"/>
      </w:r>
      <w:r>
        <w:rPr>
          <w:rFonts w:hint="eastAsia" w:ascii="宋体" w:hAnsi="宋体" w:cs="宋体"/>
          <w:b/>
          <w:color w:val="auto"/>
          <w:sz w:val="28"/>
          <w:szCs w:val="28"/>
          <w:highlight w:val="none"/>
        </w:rPr>
        <w:t>1.供应商相应的法定代表人身份证正反两面复印件（必须提供）</w:t>
      </w:r>
    </w:p>
    <w:p w14:paraId="55DB73BA">
      <w:pPr>
        <w:spacing w:line="300" w:lineRule="exact"/>
        <w:ind w:firstLine="0" w:firstLineChars="0"/>
        <w:rPr>
          <w:rFonts w:hint="eastAsia" w:ascii="宋体" w:hAnsi="宋体" w:cs="宋体"/>
          <w:b/>
          <w:color w:val="auto"/>
          <w:kern w:val="0"/>
          <w:sz w:val="28"/>
          <w:szCs w:val="28"/>
          <w:highlight w:val="none"/>
        </w:rPr>
      </w:pPr>
    </w:p>
    <w:p w14:paraId="67DF8D4E">
      <w:pPr>
        <w:tabs>
          <w:tab w:val="left" w:pos="1305"/>
        </w:tabs>
        <w:spacing w:line="380" w:lineRule="exact"/>
        <w:ind w:left="0" w:leftChars="0"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lang w:val="en-US" w:eastAsia="zh-CN"/>
        </w:rPr>
        <w:t>2.</w:t>
      </w:r>
      <w:r>
        <w:rPr>
          <w:rFonts w:hint="eastAsia" w:ascii="宋体" w:hAnsi="宋体" w:cs="宋体"/>
          <w:b/>
          <w:color w:val="auto"/>
          <w:sz w:val="28"/>
          <w:szCs w:val="28"/>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除供应商为以下三种情形的：</w:t>
      </w:r>
    </w:p>
    <w:p w14:paraId="65208AC9">
      <w:pPr>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①如供应商为截标时间前60日以内成立的公司，可以提供供应商与委托代理人签订的劳动合同复印件代替社保证明复印件；</w:t>
      </w:r>
    </w:p>
    <w:p w14:paraId="59AE6012">
      <w:pPr>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②如供应商为事业单位，可以提供事业单位机构编制管理证复印件或事业单位机构为其发放工资的工资条复印件代替社保证明复印件；</w:t>
      </w:r>
    </w:p>
    <w:p w14:paraId="49ABA8F1">
      <w:pPr>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③如委托代理人为免缴纳社保人员，提供免缴纳社保的证明材料复印件及供应商与委托代理人签订的劳动合同复印件代替社保证明复印件。</w:t>
      </w:r>
    </w:p>
    <w:p w14:paraId="76C848A8">
      <w:pPr>
        <w:numPr>
          <w:ilvl w:val="0"/>
          <w:numId w:val="0"/>
        </w:numPr>
        <w:spacing w:line="360" w:lineRule="auto"/>
        <w:ind w:firstLine="240" w:firstLineChars="100"/>
        <w:rPr>
          <w:rFonts w:hint="eastAsia" w:ascii="宋体" w:hAnsi="宋体" w:cs="宋体"/>
          <w:b/>
          <w:bCs/>
          <w:color w:val="auto"/>
          <w:sz w:val="24"/>
          <w:highlight w:val="none"/>
        </w:rPr>
      </w:pPr>
      <w:r>
        <w:rPr>
          <w:rFonts w:hint="eastAsia" w:ascii="宋体" w:hAnsi="宋体" w:cs="宋体"/>
          <w:color w:val="auto"/>
          <w:sz w:val="24"/>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cs="宋体"/>
          <w:b/>
          <w:bCs/>
          <w:color w:val="auto"/>
          <w:sz w:val="24"/>
          <w:highlight w:val="none"/>
        </w:rPr>
        <w:t>（委托代理时必须提供）；</w:t>
      </w:r>
    </w:p>
    <w:p w14:paraId="443E08D8">
      <w:pPr>
        <w:numPr>
          <w:ilvl w:val="0"/>
          <w:numId w:val="0"/>
        </w:numPr>
        <w:spacing w:line="360" w:lineRule="auto"/>
        <w:ind w:leftChars="200" w:firstLine="2570" w:firstLineChars="800"/>
        <w:rPr>
          <w:rFonts w:hint="eastAsia" w:hAnsi="宋体" w:cs="宋体"/>
          <w:b/>
          <w:color w:val="auto"/>
          <w:sz w:val="32"/>
          <w:highlight w:val="none"/>
        </w:rPr>
      </w:pPr>
      <w:r>
        <w:rPr>
          <w:rFonts w:hint="eastAsia" w:hAnsi="宋体" w:cs="宋体"/>
          <w:b/>
          <w:color w:val="auto"/>
          <w:sz w:val="32"/>
          <w:highlight w:val="none"/>
        </w:rPr>
        <w:t>授权委托书（格式一）</w:t>
      </w:r>
    </w:p>
    <w:p w14:paraId="57C24A1A">
      <w:pPr>
        <w:snapToGrid w:val="0"/>
        <w:spacing w:line="400" w:lineRule="exact"/>
        <w:ind w:left="0" w:leftChars="0" w:firstLine="0" w:firstLineChars="0"/>
        <w:rPr>
          <w:rFonts w:hint="eastAsia" w:ascii="宋体" w:hAnsi="宋体" w:cs="宋体"/>
          <w:color w:val="auto"/>
          <w:szCs w:val="21"/>
          <w:highlight w:val="none"/>
          <w:u w:val="single"/>
        </w:rPr>
      </w:pPr>
      <w:r>
        <w:rPr>
          <w:rFonts w:hint="eastAsia" w:ascii="宋体" w:hAnsi="宋体" w:cs="宋体"/>
          <w:b/>
          <w:color w:val="auto"/>
          <w:szCs w:val="21"/>
          <w:highlight w:val="none"/>
        </w:rPr>
        <w:t>致</w:t>
      </w:r>
      <w:r>
        <w:rPr>
          <w:rFonts w:hint="eastAsia" w:ascii="宋体" w:hAnsi="宋体" w:cs="宋体"/>
          <w:color w:val="auto"/>
          <w:szCs w:val="21"/>
          <w:highlight w:val="none"/>
        </w:rPr>
        <w:t>：</w:t>
      </w:r>
      <w:r>
        <w:rPr>
          <w:rFonts w:hint="eastAsia" w:ascii="宋体" w:hAnsi="宋体" w:cs="宋体"/>
          <w:color w:val="auto"/>
          <w:highlight w:val="none"/>
          <w:u w:val="single"/>
          <w:lang w:eastAsia="zh-CN"/>
        </w:rPr>
        <w:t>江西银信工程造价咨询有限公司</w:t>
      </w:r>
    </w:p>
    <w:p w14:paraId="5501000F">
      <w:pPr>
        <w:pStyle w:val="26"/>
        <w:spacing w:line="400" w:lineRule="exact"/>
        <w:ind w:firstLine="600" w:firstLineChars="250"/>
        <w:rPr>
          <w:rFonts w:hint="eastAsia" w:hAnsi="宋体" w:cs="宋体"/>
          <w:color w:val="auto"/>
          <w:highlight w:val="none"/>
        </w:rPr>
      </w:pPr>
      <w:r>
        <w:rPr>
          <w:rFonts w:hint="eastAsia" w:hAnsi="宋体" w:cs="宋体"/>
          <w:color w:val="auto"/>
          <w:kern w:val="0"/>
          <w:highlight w:val="none"/>
        </w:rPr>
        <w:t>我</w:t>
      </w:r>
      <w:r>
        <w:rPr>
          <w:rFonts w:hint="eastAsia" w:hAnsi="宋体" w:cs="宋体"/>
          <w:color w:val="auto"/>
          <w:kern w:val="0"/>
          <w:highlight w:val="none"/>
          <w:u w:val="single"/>
        </w:rPr>
        <w:t xml:space="preserve">              </w:t>
      </w:r>
      <w:r>
        <w:rPr>
          <w:rFonts w:hint="eastAsia" w:hAnsi="宋体" w:cs="宋体"/>
          <w:color w:val="auto"/>
          <w:kern w:val="0"/>
          <w:highlight w:val="none"/>
        </w:rPr>
        <w:t>（姓名）系</w:t>
      </w:r>
      <w:r>
        <w:rPr>
          <w:rFonts w:hint="eastAsia" w:hAnsi="宋体" w:cs="宋体"/>
          <w:color w:val="auto"/>
          <w:kern w:val="0"/>
          <w:highlight w:val="none"/>
          <w:u w:val="single"/>
        </w:rPr>
        <w:t xml:space="preserve">                              </w:t>
      </w:r>
      <w:r>
        <w:rPr>
          <w:rFonts w:hint="eastAsia" w:hAnsi="宋体" w:cs="宋体"/>
          <w:color w:val="auto"/>
          <w:kern w:val="0"/>
          <w:highlight w:val="none"/>
        </w:rPr>
        <w:t>（供应商名称）的法定代表人（负责人），现授权委托本单位在职职工</w:t>
      </w:r>
      <w:r>
        <w:rPr>
          <w:rFonts w:hint="eastAsia" w:hAnsi="宋体" w:cs="宋体"/>
          <w:color w:val="auto"/>
          <w:kern w:val="0"/>
          <w:highlight w:val="none"/>
          <w:u w:val="single"/>
        </w:rPr>
        <w:t xml:space="preserve">            </w:t>
      </w:r>
      <w:r>
        <w:rPr>
          <w:rFonts w:hint="eastAsia" w:hAnsi="宋体" w:cs="宋体"/>
          <w:color w:val="auto"/>
          <w:kern w:val="0"/>
          <w:highlight w:val="none"/>
        </w:rPr>
        <w:t>（姓名）以我公司名义参加</w:t>
      </w:r>
      <w:r>
        <w:rPr>
          <w:rFonts w:hint="eastAsia" w:hAnsi="宋体" w:cs="宋体"/>
          <w:color w:val="auto"/>
          <w:kern w:val="0"/>
          <w:highlight w:val="none"/>
          <w:u w:val="single"/>
        </w:rPr>
        <w:t xml:space="preserve">      </w:t>
      </w:r>
      <w:r>
        <w:rPr>
          <w:rFonts w:hint="eastAsia" w:hAnsi="宋体" w:cs="宋体"/>
          <w:b/>
          <w:bCs/>
          <w:color w:val="auto"/>
          <w:highlight w:val="none"/>
          <w:u w:val="single"/>
        </w:rPr>
        <w:t>（</w:t>
      </w:r>
      <w:r>
        <w:rPr>
          <w:rFonts w:hint="eastAsia" w:hAnsi="宋体" w:cs="宋体"/>
          <w:b/>
          <w:bCs/>
          <w:color w:val="auto"/>
          <w:highlight w:val="none"/>
          <w:u w:val="single"/>
          <w:lang w:eastAsia="zh-CN"/>
        </w:rPr>
        <w:t>标项名称</w:t>
      </w:r>
      <w:r>
        <w:rPr>
          <w:rFonts w:hint="eastAsia" w:hAnsi="宋体" w:cs="宋体"/>
          <w:b/>
          <w:bCs/>
          <w:color w:val="auto"/>
          <w:highlight w:val="none"/>
          <w:u w:val="single"/>
        </w:rPr>
        <w:t>及项目编号</w:t>
      </w:r>
      <w:r>
        <w:rPr>
          <w:rFonts w:hint="eastAsia" w:hAnsi="宋体" w:cs="宋体"/>
          <w:color w:val="auto"/>
          <w:highlight w:val="none"/>
          <w:u w:val="single"/>
        </w:rPr>
        <w:t>）</w:t>
      </w:r>
      <w:r>
        <w:rPr>
          <w:rFonts w:hint="eastAsia" w:hAnsi="宋体" w:cs="宋体"/>
          <w:color w:val="auto"/>
          <w:highlight w:val="none"/>
          <w:u w:val="single"/>
        </w:rPr>
        <w:t xml:space="preserve">        </w:t>
      </w:r>
      <w:r>
        <w:rPr>
          <w:rFonts w:hint="eastAsia" w:hAnsi="宋体" w:cs="宋体"/>
          <w:color w:val="auto"/>
          <w:highlight w:val="none"/>
        </w:rPr>
        <w:t>项目的</w:t>
      </w:r>
      <w:r>
        <w:rPr>
          <w:rFonts w:hint="eastAsia" w:hAnsi="宋体" w:cs="宋体"/>
          <w:color w:val="auto"/>
          <w:highlight w:val="none"/>
          <w:lang w:eastAsia="zh-CN"/>
        </w:rPr>
        <w:t>谈判</w:t>
      </w:r>
      <w:r>
        <w:rPr>
          <w:rFonts w:hint="eastAsia" w:hAnsi="宋体" w:cs="宋体"/>
          <w:color w:val="auto"/>
          <w:highlight w:val="none"/>
        </w:rPr>
        <w:t>活动，并代表我方全权办理针对上述项目的</w:t>
      </w:r>
      <w:r>
        <w:rPr>
          <w:rFonts w:hint="eastAsia" w:hAnsi="宋体" w:cs="宋体"/>
          <w:color w:val="auto"/>
          <w:highlight w:val="none"/>
          <w:lang w:eastAsia="zh-CN"/>
        </w:rPr>
        <w:t>谈判</w:t>
      </w:r>
      <w:r>
        <w:rPr>
          <w:rFonts w:hint="eastAsia" w:hAnsi="宋体" w:cs="宋体"/>
          <w:color w:val="auto"/>
          <w:highlight w:val="none"/>
        </w:rPr>
        <w:t>、签约等具体事务和签署相关文件。</w:t>
      </w:r>
    </w:p>
    <w:p w14:paraId="36271300">
      <w:pPr>
        <w:pStyle w:val="26"/>
        <w:spacing w:line="400" w:lineRule="exact"/>
        <w:ind w:firstLine="480" w:firstLineChars="200"/>
        <w:rPr>
          <w:rFonts w:hint="eastAsia" w:hAnsi="宋体" w:cs="宋体"/>
          <w:color w:val="auto"/>
          <w:highlight w:val="none"/>
        </w:rPr>
      </w:pPr>
      <w:r>
        <w:rPr>
          <w:rFonts w:hint="eastAsia" w:hAnsi="宋体" w:cs="宋体"/>
          <w:color w:val="auto"/>
          <w:highlight w:val="none"/>
        </w:rPr>
        <w:t>我方对被授权人的签字事项负全部责任。</w:t>
      </w:r>
    </w:p>
    <w:p w14:paraId="7B014953">
      <w:pPr>
        <w:pStyle w:val="26"/>
        <w:spacing w:line="400" w:lineRule="exact"/>
        <w:ind w:firstLine="480" w:firstLineChars="200"/>
        <w:rPr>
          <w:rFonts w:hint="eastAsia" w:hAnsi="宋体" w:cs="宋体"/>
          <w:color w:val="auto"/>
          <w:highlight w:val="none"/>
          <w:u w:val="single"/>
        </w:rPr>
      </w:pPr>
      <w:r>
        <w:rPr>
          <w:rFonts w:hint="eastAsia" w:hAnsi="宋体" w:cs="宋体"/>
          <w:color w:val="auto"/>
          <w:highlight w:val="none"/>
        </w:rPr>
        <w:t xml:space="preserve">授权委托代理期限：自即日起至该项目政府采购活动结束。                                                                                           </w:t>
      </w:r>
    </w:p>
    <w:p w14:paraId="0CCF55B8">
      <w:pPr>
        <w:spacing w:line="400" w:lineRule="exact"/>
        <w:ind w:firstLine="480" w:firstLineChars="200"/>
        <w:rPr>
          <w:rFonts w:hint="eastAsia" w:ascii="宋体" w:hAnsi="宋体" w:cs="宋体"/>
          <w:color w:val="auto"/>
          <w:kern w:val="0"/>
          <w:highlight w:val="none"/>
        </w:rPr>
      </w:pPr>
      <w:r>
        <w:rPr>
          <w:rFonts w:hint="eastAsia" w:ascii="宋体" w:hAnsi="宋体" w:cs="宋体"/>
          <w:color w:val="auto"/>
          <w:kern w:val="0"/>
          <w:highlight w:val="none"/>
        </w:rPr>
        <w:t xml:space="preserve">代理人无转委托权,特此委托。 </w:t>
      </w:r>
    </w:p>
    <w:p w14:paraId="4026BD6D">
      <w:pPr>
        <w:rPr>
          <w:rFonts w:hint="eastAsia" w:ascii="宋体" w:hAnsi="宋体" w:cs="宋体"/>
          <w:color w:val="auto"/>
          <w:highlight w:val="none"/>
        </w:rPr>
      </w:pPr>
    </w:p>
    <w:p w14:paraId="1AE54161">
      <w:pPr>
        <w:snapToGrid w:val="0"/>
        <w:spacing w:line="40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我已在下面签字，以资证明。</w:t>
      </w:r>
    </w:p>
    <w:p w14:paraId="19F6239B">
      <w:pPr>
        <w:pStyle w:val="125"/>
        <w:ind w:firstLine="480"/>
        <w:rPr>
          <w:rFonts w:hint="eastAsia" w:ascii="宋体" w:hAnsi="宋体" w:eastAsia="宋体" w:cs="宋体"/>
          <w:color w:val="auto"/>
          <w:sz w:val="24"/>
          <w:szCs w:val="24"/>
          <w:highlight w:val="none"/>
        </w:rPr>
      </w:pPr>
    </w:p>
    <w:p w14:paraId="0004EA1C">
      <w:pPr>
        <w:pStyle w:val="125"/>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rPr>
        <w:t>电子签章</w:t>
      </w:r>
      <w:r>
        <w:rPr>
          <w:rFonts w:hint="eastAsia" w:ascii="宋体" w:hAnsi="宋体" w:eastAsia="宋体" w:cs="宋体"/>
          <w:color w:val="auto"/>
          <w:sz w:val="24"/>
          <w:szCs w:val="24"/>
          <w:highlight w:val="none"/>
        </w:rPr>
        <w:t xml:space="preserve">）：                                   </w:t>
      </w:r>
    </w:p>
    <w:p w14:paraId="2D40F2C2">
      <w:pPr>
        <w:pStyle w:val="125"/>
        <w:ind w:firstLine="480"/>
        <w:rPr>
          <w:rFonts w:hint="eastAsia" w:ascii="宋体" w:hAnsi="宋体" w:eastAsia="宋体" w:cs="宋体"/>
          <w:color w:val="auto"/>
          <w:sz w:val="24"/>
          <w:szCs w:val="24"/>
          <w:highlight w:val="none"/>
        </w:rPr>
      </w:pPr>
    </w:p>
    <w:p w14:paraId="6A83921E">
      <w:pPr>
        <w:pStyle w:val="125"/>
        <w:ind w:firstLine="480"/>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t>法定代表人（负责人）</w:t>
      </w:r>
      <w:r>
        <w:rPr>
          <w:rFonts w:hint="eastAsia" w:ascii="宋体" w:hAnsi="宋体" w:eastAsia="宋体" w:cs="宋体"/>
          <w:color w:val="auto"/>
          <w:sz w:val="24"/>
          <w:szCs w:val="24"/>
          <w:highlight w:val="none"/>
        </w:rPr>
        <w:t>签字（或电子签名）</w:t>
      </w:r>
      <w:r>
        <w:rPr>
          <w:rFonts w:hint="eastAsia" w:ascii="宋体" w:hAnsi="宋体" w:eastAsia="宋体" w:cs="宋体"/>
          <w:color w:val="auto"/>
          <w:sz w:val="24"/>
          <w:szCs w:val="24"/>
          <w:highlight w:val="none"/>
        </w:rPr>
        <w:t>：</w:t>
      </w:r>
      <w:r>
        <w:rPr>
          <w:rFonts w:hint="eastAsia" w:ascii="宋体" w:hAnsi="宋体" w:eastAsia="宋体" w:cs="宋体"/>
          <w:color w:val="auto"/>
          <w:sz w:val="21"/>
          <w:szCs w:val="21"/>
          <w:highlight w:val="none"/>
        </w:rPr>
        <w:t xml:space="preserve">                       　    </w:t>
      </w:r>
    </w:p>
    <w:p w14:paraId="0A929993">
      <w:pPr>
        <w:pStyle w:val="125"/>
        <w:ind w:firstLine="480"/>
        <w:rPr>
          <w:rFonts w:hint="eastAsia" w:ascii="宋体" w:hAnsi="宋体" w:eastAsia="宋体" w:cs="宋体"/>
          <w:color w:val="auto"/>
          <w:sz w:val="21"/>
          <w:szCs w:val="21"/>
          <w:highlight w:val="none"/>
        </w:rPr>
      </w:pPr>
    </w:p>
    <w:p w14:paraId="5A7A47AD">
      <w:pPr>
        <w:pStyle w:val="125"/>
        <w:ind w:firstLine="960" w:firstLineChars="400"/>
        <w:rPr>
          <w:rFonts w:hint="eastAsia" w:hAnsi="宋体" w:cs="宋体"/>
          <w:b/>
          <w:color w:val="auto"/>
          <w:sz w:val="24"/>
          <w:szCs w:val="24"/>
          <w:highlight w:val="none"/>
        </w:rPr>
      </w:pPr>
      <w:r>
        <w:rPr>
          <w:rFonts w:hint="eastAsia" w:ascii="宋体" w:hAnsi="宋体" w:eastAsia="宋体" w:cs="宋体"/>
          <w:color w:val="auto"/>
          <w:highlight w:val="none"/>
        </w:rPr>
        <w:t>年      月     日</w:t>
      </w:r>
    </w:p>
    <w:p w14:paraId="78EF2501">
      <w:pPr>
        <w:pStyle w:val="26"/>
        <w:spacing w:line="400" w:lineRule="exact"/>
        <w:rPr>
          <w:rFonts w:hint="eastAsia" w:hAnsi="宋体" w:cs="宋体"/>
          <w:b/>
          <w:color w:val="auto"/>
          <w:sz w:val="24"/>
          <w:szCs w:val="24"/>
          <w:highlight w:val="none"/>
        </w:rPr>
      </w:pPr>
      <w:r>
        <w:rPr>
          <w:rFonts w:hint="eastAsia" w:hAnsi="宋体" w:cs="宋体"/>
          <w:b/>
          <w:color w:val="auto"/>
          <w:sz w:val="21"/>
          <w:szCs w:val="21"/>
          <w:highlight w:val="none"/>
        </w:rPr>
        <w:t>附：委托代理人身份证正反面复印件以及由社保经办机构出具的供应商为委托代理人交纳社保证明复印件（委托代理时必须提供）。</w:t>
      </w:r>
    </w:p>
    <w:p w14:paraId="33DE8DD9">
      <w:pPr>
        <w:rPr>
          <w:rFonts w:hint="eastAsia" w:ascii="宋体" w:hAnsi="宋体" w:cs="宋体"/>
          <w:color w:val="auto"/>
          <w:highlight w:val="none"/>
        </w:rPr>
      </w:pPr>
    </w:p>
    <w:p w14:paraId="6D48BA46">
      <w:pPr>
        <w:rPr>
          <w:rFonts w:hint="eastAsia" w:ascii="宋体" w:hAnsi="宋体" w:cs="宋体"/>
          <w:color w:val="auto"/>
          <w:highlight w:val="none"/>
        </w:rPr>
      </w:pPr>
    </w:p>
    <w:p w14:paraId="06D66310">
      <w:pPr>
        <w:pStyle w:val="26"/>
        <w:jc w:val="center"/>
        <w:rPr>
          <w:rFonts w:hint="eastAsia" w:hAnsi="宋体" w:cs="宋体"/>
          <w:b/>
          <w:color w:val="auto"/>
          <w:sz w:val="32"/>
          <w:highlight w:val="none"/>
        </w:rPr>
      </w:pPr>
      <w:r>
        <w:rPr>
          <w:rFonts w:hint="eastAsia" w:hAnsi="宋体" w:cs="宋体"/>
          <w:b/>
          <w:color w:val="auto"/>
          <w:sz w:val="32"/>
          <w:highlight w:val="none"/>
        </w:rPr>
        <w:t>授权委托书（格式二）</w:t>
      </w:r>
    </w:p>
    <w:p w14:paraId="23E39B1B">
      <w:pPr>
        <w:snapToGrid w:val="0"/>
        <w:spacing w:line="400" w:lineRule="exact"/>
        <w:rPr>
          <w:rFonts w:hint="eastAsia" w:ascii="宋体" w:hAnsi="宋体" w:eastAsia="宋体" w:cs="宋体"/>
          <w:color w:val="auto"/>
          <w:highlight w:val="none"/>
          <w:lang w:eastAsia="zh-CN"/>
        </w:rPr>
      </w:pPr>
      <w:r>
        <w:rPr>
          <w:rFonts w:hint="eastAsia" w:ascii="宋体" w:hAnsi="宋体" w:cs="宋体"/>
          <w:b/>
          <w:color w:val="auto"/>
          <w:szCs w:val="21"/>
          <w:highlight w:val="none"/>
        </w:rPr>
        <w:t>致</w:t>
      </w:r>
      <w:r>
        <w:rPr>
          <w:rFonts w:hint="eastAsia" w:ascii="宋体" w:hAnsi="宋体" w:cs="宋体"/>
          <w:color w:val="auto"/>
          <w:szCs w:val="21"/>
          <w:highlight w:val="none"/>
        </w:rPr>
        <w:t>：</w:t>
      </w:r>
      <w:r>
        <w:rPr>
          <w:rFonts w:hint="eastAsia" w:ascii="宋体" w:hAnsi="宋体" w:cs="宋体"/>
          <w:color w:val="auto"/>
          <w:highlight w:val="none"/>
          <w:u w:val="single"/>
          <w:lang w:eastAsia="zh-CN"/>
        </w:rPr>
        <w:t>江西银信工程造价咨询有限公司</w:t>
      </w:r>
    </w:p>
    <w:p w14:paraId="26856585">
      <w:pPr>
        <w:rPr>
          <w:rFonts w:hint="eastAsia" w:ascii="宋体" w:hAnsi="宋体" w:cs="宋体"/>
          <w:color w:val="auto"/>
          <w:highlight w:val="none"/>
        </w:rPr>
      </w:pPr>
    </w:p>
    <w:p w14:paraId="0F16E664">
      <w:pPr>
        <w:pStyle w:val="26"/>
        <w:spacing w:line="340" w:lineRule="exact"/>
        <w:ind w:firstLine="480" w:firstLineChars="200"/>
        <w:rPr>
          <w:rFonts w:hint="eastAsia" w:hAnsi="宋体" w:cs="宋体"/>
          <w:color w:val="auto"/>
          <w:highlight w:val="none"/>
        </w:rPr>
      </w:pPr>
      <w:r>
        <w:rPr>
          <w:rFonts w:hint="eastAsia" w:hAnsi="宋体" w:cs="宋体"/>
          <w:color w:val="auto"/>
          <w:kern w:val="0"/>
          <w:highlight w:val="none"/>
        </w:rPr>
        <w:t>我</w:t>
      </w:r>
      <w:r>
        <w:rPr>
          <w:rFonts w:hint="eastAsia" w:hAnsi="宋体" w:cs="宋体"/>
          <w:color w:val="auto"/>
          <w:kern w:val="0"/>
          <w:highlight w:val="none"/>
          <w:u w:val="single"/>
        </w:rPr>
        <w:t xml:space="preserve">              </w:t>
      </w:r>
      <w:r>
        <w:rPr>
          <w:rFonts w:hint="eastAsia" w:hAnsi="宋体" w:cs="宋体"/>
          <w:color w:val="auto"/>
          <w:kern w:val="0"/>
          <w:highlight w:val="none"/>
        </w:rPr>
        <w:t>（姓名）系自然人，现授权委托</w:t>
      </w:r>
      <w:r>
        <w:rPr>
          <w:rFonts w:hint="eastAsia" w:hAnsi="宋体" w:cs="宋体"/>
          <w:color w:val="auto"/>
          <w:kern w:val="0"/>
          <w:highlight w:val="none"/>
          <w:u w:val="single"/>
        </w:rPr>
        <w:t xml:space="preserve">            </w:t>
      </w:r>
      <w:r>
        <w:rPr>
          <w:rFonts w:hint="eastAsia" w:hAnsi="宋体" w:cs="宋体"/>
          <w:color w:val="auto"/>
          <w:kern w:val="0"/>
          <w:highlight w:val="none"/>
        </w:rPr>
        <w:t>（姓 名）以本人名义参加</w:t>
      </w:r>
      <w:r>
        <w:rPr>
          <w:rFonts w:hint="eastAsia" w:hAnsi="宋体" w:cs="宋体"/>
          <w:color w:val="auto"/>
          <w:kern w:val="0"/>
          <w:highlight w:val="none"/>
          <w:u w:val="single"/>
        </w:rPr>
        <w:t xml:space="preserve">      </w:t>
      </w:r>
      <w:r>
        <w:rPr>
          <w:rFonts w:hint="eastAsia" w:hAnsi="宋体" w:cs="宋体"/>
          <w:b/>
          <w:bCs/>
          <w:color w:val="auto"/>
          <w:highlight w:val="none"/>
          <w:u w:val="single"/>
        </w:rPr>
        <w:t>（</w:t>
      </w:r>
      <w:r>
        <w:rPr>
          <w:rFonts w:hint="eastAsia" w:hAnsi="宋体" w:cs="宋体"/>
          <w:b/>
          <w:bCs/>
          <w:color w:val="auto"/>
          <w:highlight w:val="none"/>
          <w:u w:val="single"/>
          <w:lang w:eastAsia="zh-CN"/>
        </w:rPr>
        <w:t>标项名称</w:t>
      </w:r>
      <w:r>
        <w:rPr>
          <w:rFonts w:hint="eastAsia" w:hAnsi="宋体" w:cs="宋体"/>
          <w:b/>
          <w:bCs/>
          <w:color w:val="auto"/>
          <w:highlight w:val="none"/>
          <w:u w:val="single"/>
        </w:rPr>
        <w:t>及项目编号</w:t>
      </w:r>
      <w:r>
        <w:rPr>
          <w:rFonts w:hint="eastAsia" w:hAnsi="宋体" w:cs="宋体"/>
          <w:color w:val="auto"/>
          <w:highlight w:val="none"/>
          <w:u w:val="single"/>
        </w:rPr>
        <w:t>）</w:t>
      </w:r>
      <w:r>
        <w:rPr>
          <w:rFonts w:hint="eastAsia" w:hAnsi="宋体" w:cs="宋体"/>
          <w:color w:val="auto"/>
          <w:highlight w:val="none"/>
          <w:u w:val="single"/>
        </w:rPr>
        <w:t xml:space="preserve">        </w:t>
      </w:r>
      <w:r>
        <w:rPr>
          <w:rFonts w:hint="eastAsia" w:hAnsi="宋体" w:cs="宋体"/>
          <w:color w:val="auto"/>
          <w:highlight w:val="none"/>
        </w:rPr>
        <w:t>项目的</w:t>
      </w:r>
      <w:r>
        <w:rPr>
          <w:rFonts w:hint="eastAsia" w:hAnsi="宋体" w:cs="宋体"/>
          <w:color w:val="auto"/>
          <w:highlight w:val="none"/>
          <w:lang w:eastAsia="zh-CN"/>
        </w:rPr>
        <w:t>谈判</w:t>
      </w:r>
      <w:r>
        <w:rPr>
          <w:rFonts w:hint="eastAsia" w:hAnsi="宋体" w:cs="宋体"/>
          <w:color w:val="auto"/>
          <w:highlight w:val="none"/>
        </w:rPr>
        <w:t>活动，并代表本人全权办理针对上述项目的</w:t>
      </w:r>
      <w:r>
        <w:rPr>
          <w:rFonts w:hint="eastAsia" w:hAnsi="宋体" w:cs="宋体"/>
          <w:color w:val="auto"/>
          <w:highlight w:val="none"/>
          <w:lang w:eastAsia="zh-CN"/>
        </w:rPr>
        <w:t>谈判</w:t>
      </w:r>
      <w:r>
        <w:rPr>
          <w:rFonts w:hint="eastAsia" w:hAnsi="宋体" w:cs="宋体"/>
          <w:color w:val="auto"/>
          <w:highlight w:val="none"/>
        </w:rPr>
        <w:t>、签约等具体事务和签署相关文件。</w:t>
      </w:r>
    </w:p>
    <w:p w14:paraId="0423E335">
      <w:pPr>
        <w:pStyle w:val="26"/>
        <w:spacing w:line="340" w:lineRule="exact"/>
        <w:ind w:firstLine="480" w:firstLineChars="200"/>
        <w:rPr>
          <w:rFonts w:hint="eastAsia" w:hAnsi="宋体" w:cs="宋体"/>
          <w:color w:val="auto"/>
          <w:highlight w:val="none"/>
        </w:rPr>
      </w:pPr>
      <w:r>
        <w:rPr>
          <w:rFonts w:hint="eastAsia" w:hAnsi="宋体" w:cs="宋体"/>
          <w:color w:val="auto"/>
          <w:highlight w:val="none"/>
        </w:rPr>
        <w:t>本人对被授权人的签字事项负全部责任。</w:t>
      </w:r>
    </w:p>
    <w:p w14:paraId="760BD742">
      <w:pPr>
        <w:pStyle w:val="26"/>
        <w:spacing w:line="340" w:lineRule="exact"/>
        <w:ind w:firstLine="480" w:firstLineChars="200"/>
        <w:rPr>
          <w:rFonts w:hint="eastAsia" w:hAnsi="宋体" w:cs="宋体"/>
          <w:color w:val="auto"/>
          <w:highlight w:val="none"/>
          <w:u w:val="single"/>
        </w:rPr>
      </w:pPr>
      <w:r>
        <w:rPr>
          <w:rFonts w:hint="eastAsia" w:hAnsi="宋体" w:cs="宋体"/>
          <w:color w:val="auto"/>
          <w:highlight w:val="none"/>
        </w:rPr>
        <w:t>授权委托代理期限：自即日起至该项目政府采购活动结束。</w:t>
      </w:r>
    </w:p>
    <w:p w14:paraId="12637531">
      <w:pPr>
        <w:pStyle w:val="26"/>
        <w:spacing w:line="340" w:lineRule="exact"/>
        <w:rPr>
          <w:rFonts w:hint="eastAsia" w:hAnsi="宋体" w:cs="宋体"/>
          <w:color w:val="auto"/>
          <w:highlight w:val="none"/>
          <w:u w:val="single"/>
        </w:rPr>
      </w:pPr>
      <w:r>
        <w:rPr>
          <w:rFonts w:hint="eastAsia" w:hAnsi="宋体" w:cs="宋体"/>
          <w:color w:val="auto"/>
          <w:highlight w:val="none"/>
        </w:rPr>
        <w:t xml:space="preserve">                                                                                             </w:t>
      </w:r>
    </w:p>
    <w:p w14:paraId="6DDFE89A">
      <w:pPr>
        <w:spacing w:line="340" w:lineRule="exact"/>
        <w:ind w:firstLine="480" w:firstLineChars="200"/>
        <w:rPr>
          <w:rFonts w:hint="eastAsia" w:ascii="宋体" w:hAnsi="宋体" w:cs="宋体"/>
          <w:color w:val="auto"/>
          <w:kern w:val="0"/>
          <w:highlight w:val="none"/>
        </w:rPr>
      </w:pPr>
      <w:r>
        <w:rPr>
          <w:rFonts w:hint="eastAsia" w:ascii="宋体" w:hAnsi="宋体" w:cs="宋体"/>
          <w:color w:val="auto"/>
          <w:kern w:val="0"/>
          <w:highlight w:val="none"/>
        </w:rPr>
        <w:t xml:space="preserve">代理人无转委托权,特此委托。 </w:t>
      </w:r>
    </w:p>
    <w:p w14:paraId="4F629A16">
      <w:pPr>
        <w:rPr>
          <w:rFonts w:hint="eastAsia" w:ascii="宋体" w:hAnsi="宋体" w:cs="宋体"/>
          <w:color w:val="auto"/>
          <w:highlight w:val="none"/>
        </w:rPr>
      </w:pPr>
    </w:p>
    <w:p w14:paraId="6A91CA60">
      <w:pPr>
        <w:snapToGrid w:val="0"/>
        <w:spacing w:line="34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我已在下面签字，以资证明。</w:t>
      </w:r>
    </w:p>
    <w:p w14:paraId="60611877">
      <w:pPr>
        <w:rPr>
          <w:rFonts w:hint="eastAsia" w:ascii="宋体" w:hAnsi="宋体" w:cs="宋体"/>
          <w:color w:val="auto"/>
          <w:highlight w:val="none"/>
        </w:rPr>
      </w:pPr>
    </w:p>
    <w:p w14:paraId="5B9B328A">
      <w:pPr>
        <w:snapToGrid w:val="0"/>
        <w:spacing w:line="34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自然人</w:t>
      </w:r>
      <w:r>
        <w:rPr>
          <w:rFonts w:hint="eastAsia" w:hAnsi="宋体" w:cs="宋体"/>
          <w:bCs/>
          <w:color w:val="auto"/>
          <w:szCs w:val="21"/>
          <w:highlight w:val="none"/>
        </w:rPr>
        <w:t>签字（或电子签名）</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C9FC314">
      <w:pPr>
        <w:snapToGrid w:val="0"/>
        <w:spacing w:line="340" w:lineRule="exact"/>
        <w:ind w:firstLine="420"/>
        <w:rPr>
          <w:rFonts w:hint="eastAsia" w:ascii="宋体" w:hAnsi="宋体" w:cs="宋体"/>
          <w:color w:val="auto"/>
          <w:szCs w:val="21"/>
          <w:highlight w:val="none"/>
        </w:rPr>
      </w:pPr>
    </w:p>
    <w:p w14:paraId="69ADEF44">
      <w:pPr>
        <w:snapToGrid w:val="0"/>
        <w:spacing w:line="34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7EDF487">
      <w:pPr>
        <w:rPr>
          <w:rFonts w:hint="eastAsia" w:ascii="宋体" w:hAnsi="宋体" w:cs="宋体"/>
          <w:color w:val="auto"/>
          <w:highlight w:val="none"/>
        </w:rPr>
      </w:pPr>
    </w:p>
    <w:p w14:paraId="7CD2A253">
      <w:pPr>
        <w:pStyle w:val="26"/>
        <w:spacing w:line="400" w:lineRule="exact"/>
        <w:ind w:firstLine="602" w:firstLineChars="250"/>
        <w:rPr>
          <w:rFonts w:hint="eastAsia" w:hAnsi="宋体" w:cs="宋体"/>
          <w:b/>
          <w:color w:val="auto"/>
          <w:sz w:val="24"/>
          <w:szCs w:val="24"/>
          <w:highlight w:val="none"/>
        </w:rPr>
      </w:pPr>
      <w:r>
        <w:rPr>
          <w:rFonts w:hint="eastAsia" w:hAnsi="宋体" w:cs="宋体"/>
          <w:b/>
          <w:color w:val="auto"/>
          <w:sz w:val="24"/>
          <w:szCs w:val="24"/>
          <w:highlight w:val="none"/>
        </w:rPr>
        <w:t>附：委托代理人身份证正反面复印件以及由社保经办机构出具的自然人本人及委托代理人所交纳的社保证明复印件（委托代理时必须提供）。</w:t>
      </w:r>
    </w:p>
    <w:p w14:paraId="58DB6FF9">
      <w:pPr>
        <w:pStyle w:val="18"/>
        <w:kinsoku w:val="0"/>
        <w:overflowPunct w:val="0"/>
        <w:spacing w:before="14"/>
        <w:ind w:left="708" w:firstLine="1716"/>
        <w:rPr>
          <w:rFonts w:hint="eastAsia"/>
          <w:b/>
          <w:color w:val="auto"/>
          <w:sz w:val="28"/>
          <w:highlight w:val="none"/>
        </w:rPr>
      </w:pPr>
    </w:p>
    <w:p w14:paraId="479EEF52">
      <w:pPr>
        <w:pStyle w:val="18"/>
        <w:kinsoku w:val="0"/>
        <w:overflowPunct w:val="0"/>
        <w:spacing w:before="14"/>
        <w:ind w:left="708" w:firstLine="1716"/>
        <w:rPr>
          <w:rFonts w:hint="eastAsia"/>
          <w:b/>
          <w:color w:val="auto"/>
          <w:sz w:val="28"/>
          <w:highlight w:val="none"/>
        </w:rPr>
      </w:pPr>
    </w:p>
    <w:p w14:paraId="3D613909">
      <w:pPr>
        <w:pStyle w:val="18"/>
        <w:kinsoku w:val="0"/>
        <w:overflowPunct w:val="0"/>
        <w:spacing w:before="14"/>
        <w:ind w:left="708" w:firstLine="1716"/>
        <w:rPr>
          <w:rFonts w:hint="eastAsia"/>
          <w:b/>
          <w:color w:val="auto"/>
          <w:sz w:val="28"/>
          <w:highlight w:val="none"/>
        </w:rPr>
      </w:pPr>
    </w:p>
    <w:p w14:paraId="0F5824A6">
      <w:pPr>
        <w:rPr>
          <w:rFonts w:hint="eastAsia"/>
          <w:b/>
          <w:color w:val="auto"/>
          <w:sz w:val="28"/>
          <w:highlight w:val="none"/>
        </w:rPr>
      </w:pPr>
      <w:r>
        <w:rPr>
          <w:rFonts w:hint="eastAsia"/>
          <w:b/>
          <w:color w:val="auto"/>
          <w:sz w:val="28"/>
          <w:highlight w:val="none"/>
        </w:rPr>
        <w:br w:type="page"/>
      </w:r>
    </w:p>
    <w:p w14:paraId="06068FC5">
      <w:pPr>
        <w:adjustRightInd w:val="0"/>
        <w:snapToGrid w:val="0"/>
        <w:spacing w:line="400" w:lineRule="exact"/>
        <w:ind w:firstLine="0" w:firstLineChars="0"/>
        <w:rPr>
          <w:rFonts w:hint="eastAsia" w:ascii="宋体" w:hAnsi="宋体" w:cs="宋体"/>
          <w:b/>
          <w:color w:val="auto"/>
          <w:sz w:val="32"/>
          <w:szCs w:val="20"/>
          <w:highlight w:val="none"/>
        </w:rPr>
      </w:pPr>
      <w:r>
        <w:rPr>
          <w:rFonts w:hint="eastAsia" w:ascii="宋体" w:hAnsi="宋体" w:cs="宋体"/>
          <w:b/>
          <w:color w:val="auto"/>
          <w:sz w:val="28"/>
          <w:szCs w:val="28"/>
          <w:highlight w:val="none"/>
        </w:rPr>
        <w:t>3.供应商的法人或者其他组织营业执照等证明文件复印件（必须提供，自然人除外）</w:t>
      </w:r>
    </w:p>
    <w:p w14:paraId="5E10C89F">
      <w:pPr>
        <w:adjustRightInd w:val="0"/>
        <w:snapToGrid w:val="0"/>
        <w:spacing w:line="400" w:lineRule="exact"/>
        <w:ind w:firstLine="42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w:t>
      </w:r>
      <w:r>
        <w:rPr>
          <w:rFonts w:hint="eastAsia" w:ascii="宋体" w:hAnsi="宋体" w:cs="宋体"/>
          <w:b/>
          <w:bCs/>
          <w:color w:val="auto"/>
          <w:sz w:val="21"/>
          <w:szCs w:val="21"/>
          <w:highlight w:val="none"/>
          <w:lang w:val="en-US" w:eastAsia="zh-CN"/>
        </w:rPr>
        <w:t>的</w:t>
      </w:r>
      <w:r>
        <w:rPr>
          <w:rFonts w:hint="eastAsia" w:ascii="宋体" w:hAnsi="宋体" w:cs="宋体"/>
          <w:b/>
          <w:bCs/>
          <w:color w:val="auto"/>
          <w:sz w:val="21"/>
          <w:szCs w:val="21"/>
          <w:highlight w:val="none"/>
        </w:rPr>
        <w:t>，应提供市场监督管理部门（或行政审批部门）注册的有效“企业法人营业执照”或“营业执照”；供应商为事业单位</w:t>
      </w:r>
      <w:r>
        <w:rPr>
          <w:rFonts w:hint="eastAsia" w:ascii="宋体" w:hAnsi="宋体" w:cs="宋体"/>
          <w:b/>
          <w:bCs/>
          <w:color w:val="auto"/>
          <w:sz w:val="21"/>
          <w:szCs w:val="21"/>
          <w:highlight w:val="none"/>
          <w:lang w:val="en-US" w:eastAsia="zh-CN"/>
        </w:rPr>
        <w:t>的</w:t>
      </w:r>
      <w:r>
        <w:rPr>
          <w:rFonts w:hint="eastAsia" w:ascii="宋体" w:hAnsi="宋体" w:cs="宋体"/>
          <w:b/>
          <w:bCs/>
          <w:color w:val="auto"/>
          <w:sz w:val="21"/>
          <w:szCs w:val="21"/>
          <w:highlight w:val="none"/>
        </w:rPr>
        <w:t>，应提供有效的“事业单位法人证书”；供应商为非企业专业服务机构的，应提供执业许可证等证明文件；供应商为个体工商户</w:t>
      </w:r>
      <w:r>
        <w:rPr>
          <w:rFonts w:hint="eastAsia" w:ascii="宋体" w:hAnsi="宋体" w:cs="宋体"/>
          <w:b/>
          <w:bCs/>
          <w:color w:val="auto"/>
          <w:sz w:val="21"/>
          <w:szCs w:val="21"/>
          <w:highlight w:val="none"/>
          <w:lang w:val="en-US" w:eastAsia="zh-CN"/>
        </w:rPr>
        <w:t>的</w:t>
      </w:r>
      <w:r>
        <w:rPr>
          <w:rFonts w:hint="eastAsia" w:ascii="宋体" w:hAnsi="宋体" w:cs="宋体"/>
          <w:b/>
          <w:bCs/>
          <w:color w:val="auto"/>
          <w:sz w:val="21"/>
          <w:szCs w:val="21"/>
          <w:highlight w:val="none"/>
        </w:rPr>
        <w:t>，应提供有效的营业执照。</w:t>
      </w:r>
    </w:p>
    <w:p w14:paraId="087C0AF9">
      <w:pPr>
        <w:tabs>
          <w:tab w:val="left" w:pos="7320"/>
        </w:tabs>
        <w:adjustRightInd w:val="0"/>
        <w:snapToGrid w:val="0"/>
        <w:spacing w:line="400" w:lineRule="exact"/>
        <w:ind w:firstLine="0" w:firstLineChars="0"/>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ab/>
      </w:r>
    </w:p>
    <w:p w14:paraId="6775046E">
      <w:pPr>
        <w:pStyle w:val="23"/>
        <w:rPr>
          <w:color w:val="auto"/>
          <w:highlight w:val="none"/>
        </w:rPr>
      </w:pPr>
    </w:p>
    <w:p w14:paraId="2317F462">
      <w:pPr>
        <w:adjustRightInd w:val="0"/>
        <w:snapToGrid w:val="0"/>
        <w:spacing w:line="400" w:lineRule="exact"/>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4.供应商财务状况报告（必须提供）</w:t>
      </w:r>
    </w:p>
    <w:p w14:paraId="51EE1234">
      <w:pPr>
        <w:adjustRightInd w:val="0"/>
        <w:snapToGrid w:val="0"/>
        <w:spacing w:line="400" w:lineRule="exact"/>
        <w:ind w:firstLine="42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供应商必须提供2024年度内的财务报表复印件，或者2025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309928F3">
      <w:pPr>
        <w:adjustRightInd w:val="0"/>
        <w:snapToGrid w:val="0"/>
        <w:spacing w:line="400" w:lineRule="exact"/>
        <w:ind w:firstLine="0" w:firstLineChars="0"/>
        <w:rPr>
          <w:rFonts w:hint="eastAsia" w:ascii="宋体" w:hAnsi="宋体" w:cs="宋体"/>
          <w:b/>
          <w:color w:val="auto"/>
          <w:sz w:val="28"/>
          <w:szCs w:val="28"/>
          <w:highlight w:val="none"/>
        </w:rPr>
      </w:pPr>
    </w:p>
    <w:p w14:paraId="714472A4">
      <w:pPr>
        <w:adjustRightInd w:val="0"/>
        <w:snapToGrid w:val="0"/>
        <w:spacing w:line="400" w:lineRule="exact"/>
        <w:ind w:firstLine="0" w:firstLineChars="0"/>
        <w:rPr>
          <w:rFonts w:hint="eastAsia" w:ascii="宋体" w:hAnsi="宋体" w:cs="宋体"/>
          <w:b/>
          <w:color w:val="auto"/>
          <w:sz w:val="28"/>
          <w:szCs w:val="28"/>
          <w:highlight w:val="none"/>
        </w:rPr>
      </w:pPr>
    </w:p>
    <w:p w14:paraId="4B9DC43A">
      <w:pPr>
        <w:adjustRightInd w:val="0"/>
        <w:snapToGrid w:val="0"/>
        <w:spacing w:line="400" w:lineRule="exact"/>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5.供应商依法缴纳税收的相关材料（必须提供）</w:t>
      </w:r>
    </w:p>
    <w:p w14:paraId="6891EB02">
      <w:pPr>
        <w:tabs>
          <w:tab w:val="left" w:pos="1305"/>
        </w:tabs>
        <w:spacing w:line="400" w:lineRule="exact"/>
        <w:ind w:firstLine="42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注：供应商必须提供2025年1</w:t>
      </w:r>
      <w:r>
        <w:rPr>
          <w:rFonts w:hint="eastAsia"/>
          <w:b/>
          <w:bCs/>
          <w:color w:val="auto"/>
          <w:highlight w:val="none"/>
          <w:lang w:val="en-US" w:eastAsia="zh-CN"/>
        </w:rPr>
        <w:t>月</w:t>
      </w:r>
      <w:r>
        <w:rPr>
          <w:rFonts w:hint="eastAsia" w:ascii="宋体" w:hAnsi="宋体" w:cs="宋体"/>
          <w:b/>
          <w:bCs/>
          <w:color w:val="auto"/>
          <w:sz w:val="21"/>
          <w:szCs w:val="21"/>
          <w:highlight w:val="none"/>
        </w:rPr>
        <w:t>以来任意1个月的依法缴纳税收的证明材料复印件；依法免税的供应商，必须提供符合免税条件的证明材料。从成立之日起到响应文件提交截止时间止不足要求月数的，则无需提交。</w:t>
      </w:r>
    </w:p>
    <w:p w14:paraId="47C4EA61">
      <w:pPr>
        <w:adjustRightInd w:val="0"/>
        <w:snapToGrid w:val="0"/>
        <w:spacing w:line="400" w:lineRule="exact"/>
        <w:ind w:firstLine="0" w:firstLineChars="0"/>
        <w:rPr>
          <w:rFonts w:hint="eastAsia" w:ascii="宋体" w:hAnsi="宋体" w:cs="宋体"/>
          <w:b/>
          <w:color w:val="auto"/>
          <w:sz w:val="28"/>
          <w:szCs w:val="28"/>
          <w:highlight w:val="none"/>
        </w:rPr>
      </w:pPr>
    </w:p>
    <w:p w14:paraId="76A71646">
      <w:pPr>
        <w:adjustRightInd w:val="0"/>
        <w:snapToGrid w:val="0"/>
        <w:spacing w:line="400" w:lineRule="exact"/>
        <w:ind w:firstLine="0" w:firstLineChars="0"/>
        <w:rPr>
          <w:rFonts w:hint="eastAsia" w:ascii="宋体" w:hAnsi="宋体" w:cs="宋体"/>
          <w:b/>
          <w:color w:val="auto"/>
          <w:sz w:val="28"/>
          <w:szCs w:val="28"/>
          <w:highlight w:val="none"/>
        </w:rPr>
      </w:pPr>
    </w:p>
    <w:p w14:paraId="2D434026">
      <w:pPr>
        <w:adjustRightInd w:val="0"/>
        <w:snapToGrid w:val="0"/>
        <w:spacing w:line="400" w:lineRule="exact"/>
        <w:ind w:firstLine="0" w:firstLineChars="0"/>
        <w:rPr>
          <w:rFonts w:hint="eastAsia" w:ascii="宋体" w:hAnsi="宋体" w:cs="宋体"/>
          <w:b/>
          <w:color w:val="auto"/>
          <w:sz w:val="28"/>
          <w:szCs w:val="28"/>
          <w:highlight w:val="none"/>
        </w:rPr>
      </w:pPr>
    </w:p>
    <w:p w14:paraId="2A4EBFE1">
      <w:pPr>
        <w:adjustRightInd w:val="0"/>
        <w:snapToGrid w:val="0"/>
        <w:spacing w:line="400" w:lineRule="exact"/>
        <w:ind w:firstLine="0" w:firstLineChars="0"/>
        <w:rPr>
          <w:rFonts w:hint="eastAsia" w:ascii="宋体" w:hAnsi="宋体" w:cs="宋体"/>
          <w:b/>
          <w:color w:val="auto"/>
          <w:sz w:val="28"/>
          <w:szCs w:val="28"/>
          <w:highlight w:val="none"/>
        </w:rPr>
      </w:pPr>
    </w:p>
    <w:p w14:paraId="2EEB5FE3">
      <w:pPr>
        <w:adjustRightInd w:val="0"/>
        <w:snapToGrid w:val="0"/>
        <w:spacing w:line="400" w:lineRule="exact"/>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6.供应商依法缴纳社会保障资金的相关材料（必须提供）</w:t>
      </w:r>
    </w:p>
    <w:p w14:paraId="74F2A732">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b/>
          <w:bCs/>
          <w:color w:val="auto"/>
          <w:sz w:val="21"/>
          <w:szCs w:val="21"/>
          <w:highlight w:val="none"/>
        </w:rPr>
        <w:t>注：供应商必须提供2025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777C2AE4">
      <w:pPr>
        <w:adjustRightInd w:val="0"/>
        <w:snapToGrid w:val="0"/>
        <w:spacing w:line="400" w:lineRule="exact"/>
        <w:ind w:firstLine="0" w:firstLineChars="0"/>
        <w:rPr>
          <w:rFonts w:hint="eastAsia" w:ascii="宋体" w:hAnsi="宋体" w:cs="宋体"/>
          <w:b/>
          <w:color w:val="auto"/>
          <w:kern w:val="0"/>
          <w:sz w:val="28"/>
          <w:szCs w:val="28"/>
          <w:highlight w:val="none"/>
        </w:rPr>
      </w:pPr>
    </w:p>
    <w:p w14:paraId="38834D5D">
      <w:pPr>
        <w:adjustRightInd w:val="0"/>
        <w:snapToGrid w:val="0"/>
        <w:spacing w:line="400" w:lineRule="exact"/>
        <w:ind w:firstLine="138" w:firstLineChars="49"/>
        <w:rPr>
          <w:rFonts w:hint="eastAsia" w:ascii="宋体" w:hAnsi="宋体" w:cs="宋体"/>
          <w:b/>
          <w:color w:val="auto"/>
          <w:kern w:val="0"/>
          <w:sz w:val="28"/>
          <w:szCs w:val="28"/>
          <w:highlight w:val="none"/>
        </w:rPr>
      </w:pPr>
    </w:p>
    <w:p w14:paraId="1EA2D812">
      <w:pPr>
        <w:adjustRightInd w:val="0"/>
        <w:snapToGrid w:val="0"/>
        <w:spacing w:line="400" w:lineRule="exact"/>
        <w:ind w:firstLine="138" w:firstLineChars="49"/>
        <w:rPr>
          <w:rFonts w:hint="eastAsia" w:ascii="宋体" w:hAnsi="宋体" w:cs="宋体"/>
          <w:b/>
          <w:color w:val="auto"/>
          <w:kern w:val="0"/>
          <w:sz w:val="28"/>
          <w:szCs w:val="28"/>
          <w:highlight w:val="none"/>
        </w:rPr>
      </w:pPr>
    </w:p>
    <w:p w14:paraId="24605F7F">
      <w:pP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0C4B439D">
      <w:pPr>
        <w:adjustRightInd w:val="0"/>
        <w:snapToGrid w:val="0"/>
        <w:spacing w:line="400" w:lineRule="exact"/>
        <w:ind w:left="0" w:leftChars="0"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28"/>
          <w:szCs w:val="28"/>
          <w:highlight w:val="none"/>
        </w:rPr>
        <w:t>7.供应商参加政府采购活动前3年内在经营活动中没有重大违法记录及有关信用信息的书面声明（必须提供）</w:t>
      </w:r>
    </w:p>
    <w:p w14:paraId="2AA437FC">
      <w:pPr>
        <w:adjustRightInd w:val="0"/>
        <w:snapToGrid w:val="0"/>
        <w:spacing w:line="40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0CF06573">
      <w:pPr>
        <w:adjustRightInd w:val="0"/>
        <w:snapToGrid w:val="0"/>
        <w:spacing w:line="400" w:lineRule="exact"/>
        <w:ind w:firstLine="0" w:firstLineChars="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2826812D">
      <w:pPr>
        <w:adjustRightInd w:val="0"/>
        <w:snapToGrid w:val="0"/>
        <w:spacing w:line="400" w:lineRule="exact"/>
        <w:ind w:firstLine="0" w:firstLineChars="0"/>
        <w:rPr>
          <w:rFonts w:hint="eastAsia" w:ascii="宋体" w:hAnsi="宋体" w:eastAsia="宋体" w:cs="宋体"/>
          <w:color w:val="auto"/>
          <w:kern w:val="0"/>
          <w:sz w:val="24"/>
          <w:szCs w:val="24"/>
          <w:highlight w:val="none"/>
          <w:lang w:eastAsia="zh-CN"/>
        </w:rPr>
      </w:pPr>
      <w:r>
        <w:rPr>
          <w:rFonts w:hint="eastAsia" w:ascii="宋体" w:hAnsi="宋体" w:cs="宋体"/>
          <w:b/>
          <w:color w:val="auto"/>
          <w:kern w:val="0"/>
          <w:sz w:val="24"/>
          <w:szCs w:val="24"/>
          <w:highlight w:val="none"/>
        </w:rPr>
        <w:t>致</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u w:val="single"/>
          <w:lang w:eastAsia="zh-CN"/>
        </w:rPr>
        <w:t>江西银信工程造价咨询有限公司</w:t>
      </w:r>
    </w:p>
    <w:p w14:paraId="17BF5050">
      <w:pPr>
        <w:adjustRightInd w:val="0"/>
        <w:snapToGrid w:val="0"/>
        <w:spacing w:line="400" w:lineRule="exact"/>
        <w:ind w:firstLine="0" w:firstLineChars="0"/>
        <w:rPr>
          <w:rFonts w:hint="eastAsia" w:ascii="宋体" w:hAnsi="宋体" w:cs="宋体"/>
          <w:color w:val="auto"/>
          <w:kern w:val="0"/>
          <w:sz w:val="24"/>
          <w:szCs w:val="24"/>
          <w:highlight w:val="none"/>
        </w:rPr>
      </w:pPr>
    </w:p>
    <w:p w14:paraId="7E420352">
      <w:pPr>
        <w:adjustRightInd w:val="0"/>
        <w:snapToGrid w:val="0"/>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我（公司）郑重声明，在参加本项目政府采购活动前3年内在经营活动中没有重大违法记录（重大违法记录是指供应商因违法经营受到刑事处罚或者责令停产停业、吊销许可证</w:t>
      </w:r>
      <w:r>
        <w:rPr>
          <w:rFonts w:hint="eastAsia" w:ascii="宋体" w:hAnsi="宋体" w:cs="宋体"/>
          <w:color w:val="auto"/>
          <w:kern w:val="0"/>
          <w:sz w:val="24"/>
          <w:szCs w:val="24"/>
          <w:highlight w:val="none"/>
        </w:rPr>
        <w:t>或者执照、较大数额罚款等行政处罚），未被列入失信被执行人、重大税收违法失信主体、政府采</w:t>
      </w:r>
      <w:r>
        <w:rPr>
          <w:rFonts w:hint="eastAsia" w:ascii="宋体" w:hAnsi="宋体" w:cs="宋体"/>
          <w:color w:val="auto"/>
          <w:kern w:val="0"/>
          <w:sz w:val="24"/>
          <w:szCs w:val="24"/>
          <w:highlight w:val="none"/>
        </w:rPr>
        <w:t>购严重违法失信行为记录名单，完全符合《中华人民共和国政府采购法》第二十二条规定的供应商资格条件，我方对此声明负全部法律责任。</w:t>
      </w:r>
    </w:p>
    <w:p w14:paraId="645051EF">
      <w:pPr>
        <w:adjustRightInd w:val="0"/>
        <w:snapToGrid w:val="0"/>
        <w:spacing w:line="400" w:lineRule="exact"/>
        <w:ind w:firstLine="420"/>
        <w:rPr>
          <w:rFonts w:hint="eastAsia" w:ascii="宋体" w:hAnsi="宋体" w:cs="宋体"/>
          <w:color w:val="auto"/>
          <w:kern w:val="0"/>
          <w:sz w:val="24"/>
          <w:szCs w:val="24"/>
          <w:highlight w:val="none"/>
        </w:rPr>
      </w:pPr>
    </w:p>
    <w:p w14:paraId="2E02B182">
      <w:pPr>
        <w:adjustRightInd w:val="0"/>
        <w:snapToGrid w:val="0"/>
        <w:spacing w:line="400" w:lineRule="exact"/>
        <w:ind w:firstLine="0" w:firstLineChars="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供应商（电子签章）：</w:t>
      </w:r>
    </w:p>
    <w:p w14:paraId="61E17E6D">
      <w:pPr>
        <w:adjustRightInd w:val="0"/>
        <w:snapToGrid w:val="0"/>
        <w:spacing w:line="40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法定代表人或委托代理人签字（或电子签名）：</w:t>
      </w:r>
    </w:p>
    <w:p w14:paraId="18457CE9">
      <w:pPr>
        <w:adjustRightInd w:val="0"/>
        <w:snapToGrid w:val="0"/>
        <w:spacing w:line="40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日          期：</w:t>
      </w:r>
    </w:p>
    <w:p w14:paraId="1E259A77">
      <w:pPr>
        <w:spacing w:line="340" w:lineRule="exact"/>
        <w:ind w:firstLine="0" w:firstLineChars="0"/>
        <w:rPr>
          <w:rFonts w:hint="eastAsia" w:ascii="宋体" w:hAnsi="宋体" w:cs="宋体"/>
          <w:b/>
          <w:color w:val="auto"/>
          <w:kern w:val="0"/>
          <w:sz w:val="28"/>
          <w:szCs w:val="28"/>
          <w:highlight w:val="none"/>
        </w:rPr>
      </w:pPr>
      <w:r>
        <w:rPr>
          <w:rFonts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8.供应商参加本项目无围标串标行为的承诺函（必须提供）</w:t>
      </w:r>
    </w:p>
    <w:p w14:paraId="7CF6FEC4">
      <w:pPr>
        <w:spacing w:line="400" w:lineRule="exact"/>
        <w:ind w:firstLine="0" w:firstLineChars="0"/>
        <w:rPr>
          <w:rFonts w:hint="eastAsia" w:ascii="宋体" w:hAnsi="宋体" w:cs="宋体"/>
          <w:b/>
          <w:color w:val="auto"/>
          <w:kern w:val="0"/>
          <w:sz w:val="32"/>
          <w:szCs w:val="32"/>
          <w:highlight w:val="none"/>
        </w:rPr>
      </w:pPr>
    </w:p>
    <w:p w14:paraId="38458A05">
      <w:pPr>
        <w:spacing w:line="40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0DBA41E6">
      <w:pPr>
        <w:spacing w:line="400" w:lineRule="exact"/>
        <w:ind w:firstLine="0" w:firstLineChars="0"/>
        <w:jc w:val="center"/>
        <w:rPr>
          <w:rFonts w:hint="eastAsia" w:ascii="宋体" w:hAnsi="宋体" w:cs="宋体"/>
          <w:b/>
          <w:color w:val="auto"/>
          <w:kern w:val="0"/>
          <w:sz w:val="32"/>
          <w:szCs w:val="32"/>
          <w:highlight w:val="none"/>
        </w:rPr>
      </w:pPr>
    </w:p>
    <w:p w14:paraId="2B934CD2">
      <w:pPr>
        <w:spacing w:line="400" w:lineRule="exact"/>
        <w:ind w:firstLine="0" w:firstLineChars="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3534D409">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一、我（公司）承诺无下列相互串通的情形：</w:t>
      </w:r>
    </w:p>
    <w:p w14:paraId="2A7B4C3B">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1.不同供应商的响应文件由同一单位或者个人编制；</w:t>
      </w:r>
    </w:p>
    <w:p w14:paraId="03D655DB">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2.不同供应商委托同一单位或者个人办理谈判事宜；</w:t>
      </w:r>
    </w:p>
    <w:p w14:paraId="085A2950">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3.不同的供应商的响应文件载明的项目管理员为同一个人；</w:t>
      </w:r>
    </w:p>
    <w:p w14:paraId="32E9E080">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4.不同供应商的响应文件异常一致或谈判报价呈规律性差异；</w:t>
      </w:r>
    </w:p>
    <w:p w14:paraId="19A04555">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5.不同供应商的响应文件相互混装；</w:t>
      </w:r>
    </w:p>
    <w:p w14:paraId="020EA840">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二、我（公司）承诺无下列恶意串通的情形：</w:t>
      </w:r>
    </w:p>
    <w:p w14:paraId="26F42B15">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1.供应商直接或者间接从采购人或者采购代理机构处获得其他供应商的相关信息并修改其响应文件或者响应文件；</w:t>
      </w:r>
    </w:p>
    <w:p w14:paraId="04D05099">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2.供应商按照采购人或者采购代理机构的授意撤换、修改响应文件或者响应文件；</w:t>
      </w:r>
    </w:p>
    <w:p w14:paraId="4A823125">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3.供应商之间协商报价、技术方案等响应文件或者响应文件的实质性内容；</w:t>
      </w:r>
    </w:p>
    <w:p w14:paraId="04678D92">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4.属于同一集团、协会、商会等组织成员的供应商按照该组织要求协同参加政府采购活动；</w:t>
      </w:r>
    </w:p>
    <w:p w14:paraId="1D5888CF">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5.供应商之间事先约定一致抬高或者压低谈判报价，或者在采购项目中事先约定轮流以高价位或者低价位成交，或者事先约定由某一特定供应商成交，然后再参加采购；</w:t>
      </w:r>
    </w:p>
    <w:p w14:paraId="79FCD3E4">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6.供应商之间商定部分供应商放弃参加政府采购活动或者放弃成交；</w:t>
      </w:r>
    </w:p>
    <w:p w14:paraId="559219AE">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7.供应商与采购人或者采购代理机构之间、供应商相互之间，为谋求特定供应商成交或者排斥其他供应商的其他串通行为。</w:t>
      </w:r>
    </w:p>
    <w:p w14:paraId="2B5F098C">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以上情形一经核查属实，我方愿意承担一切后果，并不再寻求任何旨在减轻或免除法律责任的辩解。</w:t>
      </w:r>
    </w:p>
    <w:p w14:paraId="2FAB1404">
      <w:pPr>
        <w:spacing w:line="240" w:lineRule="auto"/>
        <w:ind w:firstLine="0" w:firstLineChars="0"/>
        <w:rPr>
          <w:rFonts w:hint="eastAsia" w:ascii="宋体" w:hAnsi="宋体" w:cs="宋体"/>
          <w:color w:val="auto"/>
          <w:sz w:val="24"/>
          <w:szCs w:val="24"/>
          <w:highlight w:val="none"/>
        </w:rPr>
      </w:pPr>
    </w:p>
    <w:p w14:paraId="27FAA2D4">
      <w:pPr>
        <w:spacing w:line="240" w:lineRule="auto"/>
        <w:ind w:firstLine="0" w:firstLineChars="0"/>
        <w:rPr>
          <w:rFonts w:hint="eastAsia" w:ascii="宋体" w:hAnsi="宋体" w:cs="宋体"/>
          <w:color w:val="auto"/>
          <w:sz w:val="24"/>
          <w:szCs w:val="24"/>
          <w:highlight w:val="none"/>
        </w:rPr>
      </w:pPr>
    </w:p>
    <w:p w14:paraId="4165EA12">
      <w:pPr>
        <w:adjustRightInd w:val="0"/>
        <w:snapToGrid w:val="0"/>
        <w:spacing w:line="400" w:lineRule="exact"/>
        <w:ind w:firstLine="0" w:firstLineChars="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供应商（电子签章）：</w:t>
      </w:r>
    </w:p>
    <w:p w14:paraId="4960B5DA">
      <w:pPr>
        <w:adjustRightInd w:val="0"/>
        <w:snapToGrid w:val="0"/>
        <w:spacing w:line="40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法定代表人或委托代理人签字（或电子签名）：</w:t>
      </w:r>
    </w:p>
    <w:p w14:paraId="77111985">
      <w:pPr>
        <w:adjustRightInd w:val="0"/>
        <w:snapToGrid w:val="0"/>
        <w:spacing w:line="40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日          期：</w:t>
      </w:r>
    </w:p>
    <w:p w14:paraId="0DE15F76">
      <w:pPr>
        <w:spacing w:line="400" w:lineRule="exact"/>
        <w:ind w:firstLine="0" w:firstLineChars="0"/>
        <w:rPr>
          <w:rFonts w:hint="eastAsia" w:ascii="宋体" w:hAnsi="宋体" w:cs="宋体"/>
          <w:color w:val="auto"/>
          <w:sz w:val="24"/>
          <w:szCs w:val="24"/>
          <w:highlight w:val="none"/>
        </w:rPr>
      </w:pPr>
    </w:p>
    <w:p w14:paraId="0DBCB714">
      <w:pPr>
        <w:spacing w:line="340" w:lineRule="exact"/>
        <w:ind w:firstLine="0" w:firstLineChars="0"/>
        <w:rPr>
          <w:rFonts w:hint="eastAsia" w:ascii="宋体" w:hAnsi="宋体" w:cs="宋体"/>
          <w:color w:val="auto"/>
          <w:sz w:val="21"/>
          <w:szCs w:val="21"/>
          <w:highlight w:val="none"/>
        </w:rPr>
      </w:pPr>
    </w:p>
    <w:p w14:paraId="672AC0F9">
      <w:pPr>
        <w:pStyle w:val="23"/>
        <w:rPr>
          <w:color w:val="auto"/>
          <w:highlight w:val="none"/>
        </w:rPr>
      </w:pPr>
    </w:p>
    <w:p w14:paraId="30E36F34">
      <w:pPr>
        <w:spacing w:line="240" w:lineRule="auto"/>
        <w:ind w:left="0" w:leftChars="0" w:firstLine="0" w:firstLineChars="0"/>
        <w:rPr>
          <w:color w:val="auto"/>
          <w:sz w:val="21"/>
          <w:szCs w:val="24"/>
          <w:highlight w:val="none"/>
        </w:rPr>
      </w:pPr>
    </w:p>
    <w:p w14:paraId="54F04E60">
      <w:pPr>
        <w:numPr>
          <w:ilvl w:val="0"/>
          <w:numId w:val="29"/>
        </w:numPr>
        <w:spacing w:line="240" w:lineRule="auto"/>
        <w:ind w:left="0" w:leftChars="0" w:firstLine="0" w:firstLineChars="0"/>
        <w:jc w:val="both"/>
        <w:rPr>
          <w:rFonts w:hint="eastAsia" w:ascii="宋体" w:hAnsi="宋体" w:eastAsia="宋体" w:cs="宋体"/>
          <w:b/>
          <w:color w:val="auto"/>
          <w:sz w:val="28"/>
          <w:szCs w:val="28"/>
          <w:highlight w:val="none"/>
        </w:rPr>
      </w:pPr>
      <w:r>
        <w:rPr>
          <w:rFonts w:hint="eastAsia" w:ascii="宋体" w:hAnsi="宋体" w:cs="宋体"/>
          <w:b/>
          <w:color w:val="auto"/>
          <w:kern w:val="0"/>
          <w:sz w:val="28"/>
          <w:szCs w:val="28"/>
          <w:highlight w:val="none"/>
        </w:rPr>
        <w:t>供应</w:t>
      </w:r>
      <w:r>
        <w:rPr>
          <w:rFonts w:hint="eastAsia" w:ascii="宋体" w:hAnsi="宋体" w:cs="宋体"/>
          <w:b/>
          <w:color w:val="auto"/>
          <w:kern w:val="0"/>
          <w:sz w:val="28"/>
          <w:szCs w:val="28"/>
          <w:highlight w:val="none"/>
        </w:rPr>
        <w:t>商</w:t>
      </w:r>
      <w:r>
        <w:rPr>
          <w:rFonts w:hint="eastAsia" w:ascii="宋体" w:hAnsi="宋体" w:cs="宋体"/>
          <w:b/>
          <w:color w:val="auto"/>
          <w:kern w:val="0"/>
          <w:sz w:val="28"/>
          <w:szCs w:val="28"/>
          <w:highlight w:val="none"/>
          <w:lang w:eastAsia="zh-CN"/>
        </w:rPr>
        <w:t>满足所响应分标的特定资格要求必须提</w:t>
      </w:r>
      <w:r>
        <w:rPr>
          <w:rFonts w:hint="eastAsia" w:ascii="宋体" w:hAnsi="宋体" w:cs="宋体"/>
          <w:b/>
          <w:color w:val="auto"/>
          <w:kern w:val="0"/>
          <w:sz w:val="28"/>
          <w:szCs w:val="28"/>
          <w:highlight w:val="none"/>
          <w:lang w:eastAsia="zh-CN"/>
        </w:rPr>
        <w:t>供的资料</w:t>
      </w:r>
      <w:r>
        <w:rPr>
          <w:rFonts w:hint="eastAsia" w:ascii="宋体" w:hAnsi="宋体" w:cs="宋体"/>
          <w:b/>
          <w:color w:val="auto"/>
          <w:kern w:val="0"/>
          <w:sz w:val="28"/>
          <w:szCs w:val="28"/>
          <w:highlight w:val="none"/>
        </w:rPr>
        <w:t>（必须提供）</w:t>
      </w:r>
      <w:r>
        <w:rPr>
          <w:rFonts w:hint="eastAsia" w:ascii="宋体" w:hAnsi="宋体" w:eastAsia="宋体" w:cs="宋体"/>
          <w:b/>
          <w:color w:val="auto"/>
          <w:sz w:val="28"/>
          <w:szCs w:val="28"/>
          <w:highlight w:val="none"/>
        </w:rPr>
        <w:t>；</w:t>
      </w:r>
    </w:p>
    <w:p w14:paraId="45983FA5">
      <w:pPr>
        <w:widowControl w:val="0"/>
        <w:numPr>
          <w:ilvl w:val="0"/>
          <w:numId w:val="0"/>
        </w:numPr>
        <w:spacing w:line="240" w:lineRule="auto"/>
        <w:jc w:val="both"/>
        <w:rPr>
          <w:rFonts w:hint="eastAsia" w:ascii="宋体" w:hAnsi="宋体" w:eastAsia="宋体" w:cs="宋体"/>
          <w:b/>
          <w:color w:val="auto"/>
          <w:sz w:val="28"/>
          <w:szCs w:val="28"/>
          <w:highlight w:val="none"/>
        </w:rPr>
      </w:pPr>
    </w:p>
    <w:p w14:paraId="532D5AEE">
      <w:pPr>
        <w:widowControl w:val="0"/>
        <w:numPr>
          <w:ilvl w:val="0"/>
          <w:numId w:val="29"/>
        </w:numPr>
        <w:spacing w:line="240" w:lineRule="auto"/>
        <w:ind w:left="0" w:leftChars="0" w:firstLine="0" w:firstLineChars="0"/>
        <w:jc w:val="both"/>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项目管理机构配备情况表</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eastAsia="zh-CN"/>
        </w:rPr>
        <w:t>分标</w:t>
      </w: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rPr>
        <w:t>必须提供）</w:t>
      </w:r>
      <w:r>
        <w:rPr>
          <w:rFonts w:hint="eastAsia" w:ascii="宋体" w:hAnsi="宋体" w:eastAsia="宋体" w:cs="宋体"/>
          <w:b/>
          <w:color w:val="auto"/>
          <w:sz w:val="28"/>
          <w:szCs w:val="28"/>
          <w:highlight w:val="none"/>
          <w:lang w:val="en-US" w:eastAsia="zh-CN"/>
        </w:rPr>
        <w:t>；</w:t>
      </w:r>
    </w:p>
    <w:p w14:paraId="3B1F2E6B">
      <w:pPr>
        <w:pStyle w:val="44"/>
        <w:widowControl w:val="0"/>
        <w:numPr>
          <w:ilvl w:val="0"/>
          <w:numId w:val="0"/>
        </w:numPr>
        <w:autoSpaceDE w:val="0"/>
        <w:autoSpaceDN w:val="0"/>
        <w:spacing w:line="240" w:lineRule="auto"/>
        <w:jc w:val="left"/>
        <w:rPr>
          <w:rFonts w:hint="eastAsia"/>
          <w:color w:val="auto"/>
          <w:highlight w:val="none"/>
        </w:rPr>
      </w:pPr>
    </w:p>
    <w:p w14:paraId="4B731CB4">
      <w:pPr>
        <w:pStyle w:val="18"/>
        <w:pageBreakBefore w:val="0"/>
        <w:wordWrap/>
        <w:overflowPunct/>
        <w:topLinePunct w:val="0"/>
        <w:bidi w:val="0"/>
        <w:snapToGrid/>
        <w:spacing w:beforeAutospacing="0" w:afterAutospacing="0" w:line="360" w:lineRule="auto"/>
        <w:ind w:left="0" w:right="0"/>
        <w:jc w:val="center"/>
        <w:rPr>
          <w:rFonts w:hint="eastAsia" w:ascii="宋体" w:hAnsi="宋体" w:eastAsia="宋体" w:cs="宋体"/>
          <w:b/>
          <w:bCs/>
          <w:color w:val="auto"/>
          <w:kern w:val="2"/>
          <w:sz w:val="24"/>
          <w:szCs w:val="24"/>
          <w:highlight w:val="none"/>
          <w:shd w:val="clear" w:color="auto" w:fill="auto"/>
          <w:lang w:val="en-US" w:eastAsia="zh-CN" w:bidi="ar-SA"/>
        </w:rPr>
      </w:pPr>
      <w:r>
        <w:rPr>
          <w:rFonts w:hint="eastAsia" w:ascii="宋体" w:hAnsi="宋体" w:eastAsia="宋体" w:cs="宋体"/>
          <w:b/>
          <w:bCs/>
          <w:color w:val="auto"/>
          <w:kern w:val="2"/>
          <w:sz w:val="24"/>
          <w:szCs w:val="24"/>
          <w:highlight w:val="none"/>
          <w:shd w:val="clear" w:color="auto" w:fill="auto"/>
          <w:lang w:val="en-US" w:eastAsia="zh-CN" w:bidi="ar-SA"/>
        </w:rPr>
        <w:t>项目管理机构配备情况表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1"/>
        <w:gridCol w:w="795"/>
        <w:gridCol w:w="796"/>
        <w:gridCol w:w="1459"/>
        <w:gridCol w:w="3029"/>
      </w:tblGrid>
      <w:tr w14:paraId="6C2C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2521" w:type="dxa"/>
            <w:noWrap w:val="0"/>
            <w:vAlign w:val="center"/>
          </w:tcPr>
          <w:p w14:paraId="1930DFFB">
            <w:pPr>
              <w:pageBreakBefore w:val="0"/>
              <w:wordWrap/>
              <w:overflowPunct/>
              <w:topLinePunct w:val="0"/>
              <w:bidi w:val="0"/>
              <w:snapToGrid/>
              <w:spacing w:beforeAutospacing="0" w:afterAutospacing="0" w:line="360" w:lineRule="auto"/>
              <w:ind w:left="0" w:right="0"/>
              <w:jc w:val="both"/>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名   称</w:t>
            </w:r>
          </w:p>
        </w:tc>
        <w:tc>
          <w:tcPr>
            <w:tcW w:w="795" w:type="dxa"/>
            <w:noWrap w:val="0"/>
            <w:vAlign w:val="center"/>
          </w:tcPr>
          <w:p w14:paraId="19978721">
            <w:pPr>
              <w:pageBreakBefore w:val="0"/>
              <w:wordWrap/>
              <w:overflowPunct/>
              <w:topLinePunct w:val="0"/>
              <w:bidi w:val="0"/>
              <w:snapToGrid/>
              <w:spacing w:beforeAutospacing="0" w:afterAutospacing="0" w:line="360" w:lineRule="auto"/>
              <w:ind w:left="0" w:leftChars="0" w:right="0" w:firstLine="0" w:firstLineChars="0"/>
              <w:jc w:val="both"/>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姓名</w:t>
            </w:r>
          </w:p>
        </w:tc>
        <w:tc>
          <w:tcPr>
            <w:tcW w:w="796" w:type="dxa"/>
            <w:noWrap w:val="0"/>
            <w:vAlign w:val="center"/>
          </w:tcPr>
          <w:p w14:paraId="1DAFD6A4">
            <w:pPr>
              <w:pageBreakBefore w:val="0"/>
              <w:wordWrap/>
              <w:overflowPunct/>
              <w:topLinePunct w:val="0"/>
              <w:bidi w:val="0"/>
              <w:snapToGrid/>
              <w:spacing w:beforeAutospacing="0" w:afterAutospacing="0" w:line="360" w:lineRule="auto"/>
              <w:ind w:left="0" w:leftChars="0" w:right="0" w:firstLine="0" w:firstLineChars="0"/>
              <w:jc w:val="both"/>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职务</w:t>
            </w:r>
          </w:p>
        </w:tc>
        <w:tc>
          <w:tcPr>
            <w:tcW w:w="1459" w:type="dxa"/>
            <w:noWrap w:val="0"/>
            <w:vAlign w:val="center"/>
          </w:tcPr>
          <w:p w14:paraId="78024607">
            <w:pPr>
              <w:pageBreakBefore w:val="0"/>
              <w:wordWrap/>
              <w:overflowPunct/>
              <w:topLinePunct w:val="0"/>
              <w:bidi w:val="0"/>
              <w:snapToGrid/>
              <w:spacing w:beforeAutospacing="0" w:afterAutospacing="0" w:line="360" w:lineRule="auto"/>
              <w:ind w:left="0" w:leftChars="0" w:right="0" w:firstLine="0" w:firstLineChars="0"/>
              <w:jc w:val="both"/>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资质/职称</w:t>
            </w:r>
          </w:p>
        </w:tc>
        <w:tc>
          <w:tcPr>
            <w:tcW w:w="3029" w:type="dxa"/>
            <w:noWrap w:val="0"/>
            <w:vAlign w:val="center"/>
          </w:tcPr>
          <w:p w14:paraId="03EC6125">
            <w:pPr>
              <w:pageBreakBefore w:val="0"/>
              <w:wordWrap/>
              <w:overflowPunct/>
              <w:topLinePunct w:val="0"/>
              <w:bidi w:val="0"/>
              <w:snapToGrid/>
              <w:spacing w:beforeAutospacing="0" w:afterAutospacing="0" w:line="360" w:lineRule="auto"/>
              <w:ind w:left="0" w:leftChars="0" w:right="0" w:firstLine="0" w:firstLineChars="0"/>
              <w:jc w:val="both"/>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主要资历、经验及承担的项目</w:t>
            </w:r>
          </w:p>
        </w:tc>
      </w:tr>
      <w:tr w14:paraId="2C41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2521" w:type="dxa"/>
            <w:noWrap w:val="0"/>
            <w:vAlign w:val="center"/>
          </w:tcPr>
          <w:p w14:paraId="029F7704">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一、总部</w:t>
            </w:r>
          </w:p>
        </w:tc>
        <w:tc>
          <w:tcPr>
            <w:tcW w:w="795" w:type="dxa"/>
            <w:noWrap w:val="0"/>
            <w:vAlign w:val="center"/>
          </w:tcPr>
          <w:p w14:paraId="3E049FB9">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538D075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64824B3E">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0A4AE00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0C5F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2521" w:type="dxa"/>
            <w:noWrap w:val="0"/>
            <w:vAlign w:val="center"/>
          </w:tcPr>
          <w:p w14:paraId="1AB41479">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1.项目主管</w:t>
            </w:r>
          </w:p>
        </w:tc>
        <w:tc>
          <w:tcPr>
            <w:tcW w:w="795" w:type="dxa"/>
            <w:noWrap w:val="0"/>
            <w:vAlign w:val="center"/>
          </w:tcPr>
          <w:p w14:paraId="1B3716D8">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6E20B484">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7AD3F258">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1323BCC7">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2055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2521" w:type="dxa"/>
            <w:noWrap w:val="0"/>
            <w:vAlign w:val="center"/>
          </w:tcPr>
          <w:p w14:paraId="0A76C882">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2.其他人员</w:t>
            </w:r>
          </w:p>
        </w:tc>
        <w:tc>
          <w:tcPr>
            <w:tcW w:w="795" w:type="dxa"/>
            <w:noWrap w:val="0"/>
            <w:vAlign w:val="center"/>
          </w:tcPr>
          <w:p w14:paraId="29D1C2D0">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61C1A309">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6F494E25">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3F2DC59A">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1C6D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2521" w:type="dxa"/>
            <w:noWrap w:val="0"/>
            <w:vAlign w:val="center"/>
          </w:tcPr>
          <w:p w14:paraId="77CD9040">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二、现场</w:t>
            </w:r>
          </w:p>
        </w:tc>
        <w:tc>
          <w:tcPr>
            <w:tcW w:w="795" w:type="dxa"/>
            <w:noWrap w:val="0"/>
            <w:vAlign w:val="center"/>
          </w:tcPr>
          <w:p w14:paraId="6B86972A">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247AA402">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4D9B9EF6">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1109FA2C">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7D28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2521" w:type="dxa"/>
            <w:noWrap w:val="0"/>
            <w:vAlign w:val="center"/>
          </w:tcPr>
          <w:p w14:paraId="1AC794E9">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1.项目经理</w:t>
            </w:r>
          </w:p>
        </w:tc>
        <w:tc>
          <w:tcPr>
            <w:tcW w:w="795" w:type="dxa"/>
            <w:noWrap w:val="0"/>
            <w:vAlign w:val="center"/>
          </w:tcPr>
          <w:p w14:paraId="3091F257">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3BF34928">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71E16197">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0B25542D">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37A3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jc w:val="center"/>
        </w:trPr>
        <w:tc>
          <w:tcPr>
            <w:tcW w:w="2521" w:type="dxa"/>
            <w:noWrap w:val="0"/>
            <w:vAlign w:val="center"/>
          </w:tcPr>
          <w:p w14:paraId="152ED442">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2.项目副经理（如有）</w:t>
            </w:r>
          </w:p>
        </w:tc>
        <w:tc>
          <w:tcPr>
            <w:tcW w:w="795" w:type="dxa"/>
            <w:noWrap w:val="0"/>
            <w:vAlign w:val="center"/>
          </w:tcPr>
          <w:p w14:paraId="28299476">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1AF491A3">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0727688D">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1577B3E7">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7421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2521" w:type="dxa"/>
            <w:noWrap w:val="0"/>
            <w:vAlign w:val="center"/>
          </w:tcPr>
          <w:p w14:paraId="5558680C">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color w:val="auto"/>
                <w:sz w:val="21"/>
                <w:szCs w:val="21"/>
                <w:highlight w:val="none"/>
                <w:shd w:val="clear" w:color="auto" w:fill="auto"/>
              </w:rPr>
              <w:t>.技术负责人</w:t>
            </w:r>
          </w:p>
        </w:tc>
        <w:tc>
          <w:tcPr>
            <w:tcW w:w="795" w:type="dxa"/>
            <w:noWrap w:val="0"/>
            <w:vAlign w:val="center"/>
          </w:tcPr>
          <w:p w14:paraId="2E87AD52">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205F1409">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4F31BAC1">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6DA96EE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0B74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21" w:type="dxa"/>
            <w:noWrap w:val="0"/>
            <w:vAlign w:val="center"/>
          </w:tcPr>
          <w:p w14:paraId="1AD19602">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.施工员</w:t>
            </w:r>
          </w:p>
        </w:tc>
        <w:tc>
          <w:tcPr>
            <w:tcW w:w="795" w:type="dxa"/>
            <w:noWrap w:val="0"/>
            <w:vAlign w:val="center"/>
          </w:tcPr>
          <w:p w14:paraId="46AF289C">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33B6976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4EF17643">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144E93A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465A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2521" w:type="dxa"/>
            <w:noWrap w:val="0"/>
            <w:vAlign w:val="center"/>
          </w:tcPr>
          <w:p w14:paraId="0E921B46">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.质检员</w:t>
            </w:r>
          </w:p>
        </w:tc>
        <w:tc>
          <w:tcPr>
            <w:tcW w:w="795" w:type="dxa"/>
            <w:noWrap w:val="0"/>
            <w:vAlign w:val="center"/>
          </w:tcPr>
          <w:p w14:paraId="3D9DACFE">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0A909DD6">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4B7C3C9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460A5DFC">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3CC1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2521" w:type="dxa"/>
            <w:noWrap w:val="0"/>
            <w:vAlign w:val="center"/>
          </w:tcPr>
          <w:p w14:paraId="3620A3E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.安全员</w:t>
            </w:r>
          </w:p>
        </w:tc>
        <w:tc>
          <w:tcPr>
            <w:tcW w:w="795" w:type="dxa"/>
            <w:noWrap w:val="0"/>
            <w:vAlign w:val="center"/>
          </w:tcPr>
          <w:p w14:paraId="1E293D9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28BC23BB">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11374858">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51F5B874">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bl>
    <w:p w14:paraId="4D767ABD">
      <w:pPr>
        <w:pageBreakBefore w:val="0"/>
        <w:wordWrap/>
        <w:overflowPunct/>
        <w:topLinePunct w:val="0"/>
        <w:bidi w:val="0"/>
        <w:snapToGrid/>
        <w:spacing w:beforeAutospacing="0" w:afterAutospacing="0" w:line="360" w:lineRule="auto"/>
        <w:ind w:left="0" w:right="0"/>
        <w:rPr>
          <w:rFonts w:hint="eastAsia" w:ascii="宋体" w:hAnsi="宋体" w:eastAsia="宋体" w:cs="宋体"/>
          <w:bCs/>
          <w:color w:val="auto"/>
          <w:sz w:val="21"/>
          <w:szCs w:val="21"/>
          <w:highlight w:val="none"/>
          <w:shd w:val="clear" w:color="auto" w:fill="auto"/>
        </w:rPr>
      </w:pPr>
    </w:p>
    <w:p w14:paraId="5A89AE05">
      <w:pPr>
        <w:pageBreakBefore w:val="0"/>
        <w:wordWrap/>
        <w:overflowPunct/>
        <w:topLinePunct w:val="0"/>
        <w:bidi w:val="0"/>
        <w:snapToGrid/>
        <w:spacing w:beforeAutospacing="0" w:afterAutospacing="0" w:line="360" w:lineRule="auto"/>
        <w:ind w:left="0" w:right="0"/>
        <w:rPr>
          <w:rFonts w:hint="eastAsia" w:ascii="宋体" w:hAnsi="宋体" w:eastAsia="宋体" w:cs="宋体"/>
          <w:b/>
          <w:bCs/>
          <w:color w:val="auto"/>
          <w:w w:val="99"/>
          <w:kern w:val="0"/>
          <w:sz w:val="21"/>
          <w:szCs w:val="21"/>
          <w:highlight w:val="none"/>
          <w:shd w:val="clear" w:color="auto" w:fill="auto"/>
        </w:rPr>
      </w:pPr>
      <w:r>
        <w:rPr>
          <w:rFonts w:hint="eastAsia" w:ascii="宋体" w:hAnsi="宋体" w:eastAsia="宋体" w:cs="宋体"/>
          <w:bCs/>
          <w:color w:val="auto"/>
          <w:sz w:val="21"/>
          <w:szCs w:val="21"/>
          <w:highlight w:val="none"/>
          <w:shd w:val="clear" w:color="auto" w:fill="auto"/>
        </w:rPr>
        <w:t>注：1、附</w:t>
      </w:r>
      <w:r>
        <w:rPr>
          <w:rFonts w:hint="eastAsia" w:ascii="宋体" w:hAnsi="宋体" w:eastAsia="宋体" w:cs="宋体"/>
          <w:color w:val="auto"/>
          <w:sz w:val="21"/>
          <w:szCs w:val="21"/>
          <w:highlight w:val="none"/>
          <w:shd w:val="clear" w:color="auto" w:fill="auto"/>
        </w:rPr>
        <w:t>项目经理的注册建造师注册证书复印件、安全生产考核合格证书复印件（B类）</w:t>
      </w:r>
      <w:r>
        <w:rPr>
          <w:rFonts w:hint="eastAsia" w:ascii="宋体" w:hAnsi="宋体" w:eastAsia="宋体" w:cs="宋体"/>
          <w:b/>
          <w:color w:val="auto"/>
          <w:spacing w:val="1"/>
          <w:sz w:val="21"/>
          <w:szCs w:val="21"/>
          <w:highlight w:val="none"/>
          <w:shd w:val="clear" w:color="auto" w:fill="auto"/>
        </w:rPr>
        <w:t>（注：首次取得B证的，发证当年不需提供）</w:t>
      </w:r>
      <w:r>
        <w:rPr>
          <w:rFonts w:hint="eastAsia" w:ascii="宋体" w:hAnsi="宋体" w:eastAsia="宋体" w:cs="宋体"/>
          <w:color w:val="auto"/>
          <w:sz w:val="21"/>
          <w:szCs w:val="21"/>
          <w:highlight w:val="none"/>
          <w:shd w:val="clear" w:color="auto" w:fill="auto"/>
        </w:rPr>
        <w:t>、身份证复印件；技术负责人的身份证复印件、职称证复印件；安全员的安全生产考核合格证书复印件（C类）、岗位证书复印件及身份证复印件；施工员、质检员的身份证复印件、岗位证书复印件；并附由县级以上（含县级）社会养老保险经办机构出具的供应商为项目经理、技术负责人、安全员、施工员、质检员交纳的响应文件递交截止时间前半年内连续</w:t>
      </w: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个月社保证明复印件（若供应商为截标时间前60日以内成立的公司，可以提供应商与项目管理人员签订的劳动合同复印件代替养老保险证明复印件；如供应商为事业单位，可以提供事业单位机构编制管理证复印件或事业单位机构为其发放工资的工资条复印件代替养老保险证明复印件；如项目管理人员为免缴纳社保人员，提供免缴纳社保的证明材料复印件及供应商与项目管理人员签订的劳动合同复印件代替养老保险证明复印件</w:t>
      </w:r>
      <w:r>
        <w:rPr>
          <w:rFonts w:hint="eastAsia" w:ascii="宋体" w:hAnsi="宋体" w:eastAsia="宋体" w:cs="宋体"/>
          <w:bCs/>
          <w:color w:val="auto"/>
          <w:sz w:val="21"/>
          <w:szCs w:val="21"/>
          <w:highlight w:val="none"/>
          <w:shd w:val="clear" w:color="auto" w:fill="auto"/>
        </w:rPr>
        <w:t>）</w:t>
      </w:r>
    </w:p>
    <w:p w14:paraId="475AA5DC">
      <w:pPr>
        <w:pageBreakBefore w:val="0"/>
        <w:wordWrap/>
        <w:overflowPunct/>
        <w:topLinePunct w:val="0"/>
        <w:bidi w:val="0"/>
        <w:snapToGrid/>
        <w:spacing w:beforeAutospacing="0" w:afterAutospacing="0" w:line="360" w:lineRule="auto"/>
        <w:ind w:left="0" w:right="0" w:firstLine="502"/>
        <w:rPr>
          <w:rFonts w:hint="eastAsia" w:ascii="宋体" w:hAnsi="宋体" w:eastAsia="宋体" w:cs="宋体"/>
          <w:bCs/>
          <w:color w:val="auto"/>
          <w:sz w:val="21"/>
          <w:szCs w:val="21"/>
          <w:highlight w:val="none"/>
          <w:shd w:val="clear" w:color="auto" w:fill="auto"/>
        </w:rPr>
      </w:pPr>
      <w:r>
        <w:rPr>
          <w:rFonts w:hint="eastAsia" w:ascii="宋体" w:hAnsi="宋体" w:eastAsia="宋体" w:cs="宋体"/>
          <w:bCs/>
          <w:color w:val="auto"/>
          <w:sz w:val="21"/>
          <w:szCs w:val="21"/>
          <w:highlight w:val="none"/>
          <w:shd w:val="clear" w:color="auto" w:fill="auto"/>
        </w:rPr>
        <w:t>2、人员除按桂林市建</w:t>
      </w:r>
      <w:r>
        <w:rPr>
          <w:rFonts w:hint="eastAsia" w:ascii="宋体" w:hAnsi="宋体" w:eastAsia="宋体" w:cs="宋体"/>
          <w:bCs/>
          <w:color w:val="auto"/>
          <w:sz w:val="21"/>
          <w:szCs w:val="21"/>
          <w:highlight w:val="none"/>
          <w:shd w:val="clear" w:color="auto" w:fill="auto"/>
        </w:rPr>
        <w:t>设与规划委员会市建规〔2006〕270号文《关于调整建筑施工现场项目部管理的通知》的规定执行。</w:t>
      </w:r>
    </w:p>
    <w:p w14:paraId="290B38C1">
      <w:pPr>
        <w:snapToGrid w:val="0"/>
        <w:spacing w:line="400" w:lineRule="exact"/>
        <w:ind w:firstLine="0" w:firstLineChars="0"/>
        <w:rPr>
          <w:rFonts w:hint="eastAsia" w:ascii="宋体" w:hAnsi="宋体" w:cs="宋体"/>
          <w:color w:val="auto"/>
          <w:sz w:val="24"/>
          <w:szCs w:val="24"/>
          <w:highlight w:val="none"/>
        </w:rPr>
      </w:pPr>
    </w:p>
    <w:p w14:paraId="69EAEC22">
      <w:pPr>
        <w:snapToGrid w:val="0"/>
        <w:spacing w:line="400" w:lineRule="exact"/>
        <w:ind w:firstLine="0" w:firstLineChars="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供应商（电子签章）：</w:t>
      </w:r>
    </w:p>
    <w:p w14:paraId="1DCB06BC">
      <w:pPr>
        <w:spacing w:line="34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法定代表人或委托代理人签字（或电子签名）：</w:t>
      </w:r>
    </w:p>
    <w:p w14:paraId="71AA16A0">
      <w:pPr>
        <w:spacing w:line="40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日          期：</w:t>
      </w:r>
    </w:p>
    <w:p w14:paraId="51CFB949">
      <w:pPr>
        <w:pStyle w:val="44"/>
        <w:widowControl w:val="0"/>
        <w:numPr>
          <w:ilvl w:val="0"/>
          <w:numId w:val="0"/>
        </w:numPr>
        <w:autoSpaceDE w:val="0"/>
        <w:autoSpaceDN w:val="0"/>
        <w:spacing w:line="240" w:lineRule="auto"/>
        <w:jc w:val="left"/>
        <w:rPr>
          <w:rFonts w:hint="eastAsia"/>
          <w:color w:val="auto"/>
          <w:highlight w:val="none"/>
        </w:rPr>
        <w:sectPr>
          <w:pgSz w:w="11906" w:h="16838"/>
          <w:pgMar w:top="1440" w:right="1800" w:bottom="1440" w:left="1418" w:header="851" w:footer="992" w:gutter="0"/>
          <w:pgNumType w:fmt="decimal"/>
          <w:cols w:space="720" w:num="1"/>
          <w:docGrid w:type="lines" w:linePitch="326" w:charSpace="0"/>
        </w:sectPr>
      </w:pPr>
    </w:p>
    <w:p w14:paraId="306E8BAE">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b/>
          <w:color w:val="auto"/>
          <w:kern w:val="0"/>
          <w:sz w:val="21"/>
          <w:szCs w:val="21"/>
          <w:highlight w:val="none"/>
          <w:shd w:val="clear" w:color="auto" w:fill="auto"/>
        </w:rPr>
        <w:t>[摘录</w:t>
      </w:r>
      <w:r>
        <w:rPr>
          <w:rFonts w:hint="eastAsia" w:ascii="宋体" w:hAnsi="宋体" w:eastAsia="宋体" w:cs="宋体"/>
          <w:b/>
          <w:color w:val="auto"/>
          <w:sz w:val="21"/>
          <w:szCs w:val="21"/>
          <w:highlight w:val="none"/>
          <w:shd w:val="clear" w:color="auto" w:fill="auto"/>
        </w:rPr>
        <w:t>市建规〔2006〕270号文</w:t>
      </w:r>
      <w:r>
        <w:rPr>
          <w:rFonts w:hint="eastAsia" w:ascii="宋体" w:hAnsi="宋体" w:eastAsia="宋体" w:cs="宋体"/>
          <w:b/>
          <w:color w:val="auto"/>
          <w:kern w:val="0"/>
          <w:sz w:val="21"/>
          <w:szCs w:val="21"/>
          <w:highlight w:val="none"/>
          <w:shd w:val="clear" w:color="auto" w:fill="auto"/>
        </w:rPr>
        <w:t>]</w:t>
      </w:r>
      <w:r>
        <w:rPr>
          <w:rFonts w:hint="eastAsia" w:ascii="宋体" w:hAnsi="宋体" w:eastAsia="宋体" w:cs="宋体"/>
          <w:b/>
          <w:color w:val="auto"/>
          <w:sz w:val="21"/>
          <w:szCs w:val="21"/>
          <w:highlight w:val="none"/>
          <w:shd w:val="clear" w:color="auto" w:fill="auto"/>
        </w:rPr>
        <w:t xml:space="preserve"> </w:t>
      </w:r>
      <w:r>
        <w:rPr>
          <w:rFonts w:hint="eastAsia" w:ascii="宋体" w:hAnsi="宋体" w:eastAsia="宋体" w:cs="宋体"/>
          <w:color w:val="auto"/>
          <w:sz w:val="21"/>
          <w:szCs w:val="21"/>
          <w:highlight w:val="none"/>
          <w:shd w:val="clear" w:color="auto" w:fill="auto"/>
        </w:rPr>
        <w:t>各施工企业应根据工程项目的实际需要组建项目管理班子，但不得低于以下配置标准。</w:t>
      </w:r>
    </w:p>
    <w:p w14:paraId="58739194">
      <w:pPr>
        <w:pageBreakBefore w:val="0"/>
        <w:wordWrap/>
        <w:overflowPunct/>
        <w:topLinePunct w:val="0"/>
        <w:bidi w:val="0"/>
        <w:snapToGrid/>
        <w:spacing w:beforeAutospacing="0" w:afterAutospacing="0" w:line="24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1、1万平方米以下的房屋建筑工程、装修工程或5000万以下市政工程和其他工程    表1</w:t>
      </w:r>
    </w:p>
    <w:tbl>
      <w:tblPr>
        <w:tblStyle w:val="46"/>
        <w:tblW w:w="9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1310"/>
        <w:gridCol w:w="2293"/>
        <w:gridCol w:w="3961"/>
      </w:tblGrid>
      <w:tr w14:paraId="5163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trPr>
        <w:tc>
          <w:tcPr>
            <w:tcW w:w="2293" w:type="dxa"/>
            <w:tcBorders>
              <w:top w:val="single" w:color="auto" w:sz="4" w:space="0"/>
              <w:left w:val="single" w:color="auto" w:sz="4" w:space="0"/>
              <w:bottom w:val="nil"/>
              <w:right w:val="single" w:color="auto" w:sz="4" w:space="0"/>
              <w:tl2br w:val="single" w:color="auto" w:sz="4" w:space="0"/>
            </w:tcBorders>
            <w:noWrap w:val="0"/>
            <w:vAlign w:val="top"/>
          </w:tcPr>
          <w:p w14:paraId="24F51A65">
            <w:pPr>
              <w:pageBreakBefore w:val="0"/>
              <w:widowControl/>
              <w:wordWrap/>
              <w:overflowPunct/>
              <w:topLinePunct w:val="0"/>
              <w:bidi w:val="0"/>
              <w:snapToGrid/>
              <w:spacing w:beforeAutospacing="0" w:afterAutospacing="0" w:line="240" w:lineRule="auto"/>
              <w:ind w:left="0" w:right="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             内容各类人员</w:t>
            </w:r>
          </w:p>
        </w:tc>
        <w:tc>
          <w:tcPr>
            <w:tcW w:w="1310" w:type="dxa"/>
            <w:tcBorders>
              <w:top w:val="single" w:color="auto" w:sz="4" w:space="0"/>
              <w:left w:val="nil"/>
              <w:bottom w:val="single" w:color="auto" w:sz="4" w:space="0"/>
              <w:right w:val="single" w:color="auto" w:sz="4" w:space="0"/>
            </w:tcBorders>
            <w:noWrap w:val="0"/>
            <w:vAlign w:val="center"/>
          </w:tcPr>
          <w:p w14:paraId="4E7B2724">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数量</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7FD9E82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资质</w:t>
            </w:r>
          </w:p>
        </w:tc>
        <w:tc>
          <w:tcPr>
            <w:tcW w:w="3961" w:type="dxa"/>
            <w:tcBorders>
              <w:top w:val="single" w:color="auto" w:sz="4" w:space="0"/>
              <w:left w:val="single" w:color="auto" w:sz="4" w:space="0"/>
              <w:bottom w:val="single" w:color="auto" w:sz="4" w:space="0"/>
              <w:right w:val="single" w:color="auto" w:sz="4" w:space="0"/>
            </w:tcBorders>
            <w:noWrap w:val="0"/>
            <w:vAlign w:val="center"/>
          </w:tcPr>
          <w:p w14:paraId="47E6B87E">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备注</w:t>
            </w:r>
          </w:p>
        </w:tc>
      </w:tr>
      <w:tr w14:paraId="7FC0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293" w:type="dxa"/>
            <w:tcBorders>
              <w:top w:val="single" w:color="auto" w:sz="4" w:space="0"/>
              <w:left w:val="single" w:color="auto" w:sz="4" w:space="0"/>
              <w:bottom w:val="nil"/>
              <w:right w:val="single" w:color="auto" w:sz="4" w:space="0"/>
            </w:tcBorders>
            <w:noWrap w:val="0"/>
            <w:vAlign w:val="center"/>
          </w:tcPr>
          <w:p w14:paraId="4F93E19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项目经理</w:t>
            </w:r>
          </w:p>
        </w:tc>
        <w:tc>
          <w:tcPr>
            <w:tcW w:w="1310" w:type="dxa"/>
            <w:tcBorders>
              <w:top w:val="single" w:color="auto" w:sz="4" w:space="0"/>
              <w:left w:val="nil"/>
              <w:bottom w:val="single" w:color="auto" w:sz="4" w:space="0"/>
              <w:right w:val="single" w:color="auto" w:sz="4" w:space="0"/>
            </w:tcBorders>
            <w:noWrap w:val="0"/>
            <w:vAlign w:val="center"/>
          </w:tcPr>
          <w:p w14:paraId="57E0D83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5D0762CF">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按资质管理标准</w:t>
            </w:r>
          </w:p>
        </w:tc>
        <w:tc>
          <w:tcPr>
            <w:tcW w:w="3961" w:type="dxa"/>
            <w:tcBorders>
              <w:top w:val="single" w:color="auto" w:sz="4" w:space="0"/>
              <w:left w:val="single" w:color="auto" w:sz="4" w:space="0"/>
              <w:bottom w:val="single" w:color="auto" w:sz="4" w:space="0"/>
              <w:right w:val="single" w:color="auto" w:sz="4" w:space="0"/>
            </w:tcBorders>
            <w:noWrap w:val="0"/>
            <w:vAlign w:val="center"/>
          </w:tcPr>
          <w:p w14:paraId="57079D84">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w:t>
            </w:r>
          </w:p>
        </w:tc>
      </w:tr>
      <w:tr w14:paraId="4DFA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293" w:type="dxa"/>
            <w:tcBorders>
              <w:top w:val="single" w:color="auto" w:sz="4" w:space="0"/>
              <w:left w:val="single" w:color="auto" w:sz="4" w:space="0"/>
              <w:bottom w:val="nil"/>
              <w:right w:val="single" w:color="auto" w:sz="4" w:space="0"/>
            </w:tcBorders>
            <w:noWrap w:val="0"/>
            <w:vAlign w:val="center"/>
          </w:tcPr>
          <w:p w14:paraId="1ADD102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项目副经理</w:t>
            </w:r>
          </w:p>
        </w:tc>
        <w:tc>
          <w:tcPr>
            <w:tcW w:w="1310" w:type="dxa"/>
            <w:tcBorders>
              <w:top w:val="single" w:color="auto" w:sz="4" w:space="0"/>
              <w:left w:val="nil"/>
              <w:bottom w:val="single" w:color="auto" w:sz="4" w:space="0"/>
              <w:right w:val="single" w:color="auto" w:sz="4" w:space="0"/>
            </w:tcBorders>
            <w:noWrap w:val="0"/>
            <w:vAlign w:val="center"/>
          </w:tcPr>
          <w:p w14:paraId="5FE157F3">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0~1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211FF1B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p>
        </w:tc>
        <w:tc>
          <w:tcPr>
            <w:tcW w:w="3961" w:type="dxa"/>
            <w:tcBorders>
              <w:top w:val="single" w:color="auto" w:sz="4" w:space="0"/>
              <w:left w:val="single" w:color="auto" w:sz="4" w:space="0"/>
              <w:bottom w:val="single" w:color="auto" w:sz="4" w:space="0"/>
              <w:right w:val="single" w:color="auto" w:sz="4" w:space="0"/>
            </w:tcBorders>
            <w:noWrap w:val="0"/>
            <w:vAlign w:val="center"/>
          </w:tcPr>
          <w:p w14:paraId="1AF470C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企业可视工程情况自行设置</w:t>
            </w:r>
          </w:p>
        </w:tc>
      </w:tr>
      <w:tr w14:paraId="690F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293" w:type="dxa"/>
            <w:tcBorders>
              <w:top w:val="single" w:color="auto" w:sz="4" w:space="0"/>
              <w:left w:val="single" w:color="auto" w:sz="4" w:space="0"/>
              <w:bottom w:val="nil"/>
              <w:right w:val="single" w:color="auto" w:sz="4" w:space="0"/>
            </w:tcBorders>
            <w:noWrap w:val="0"/>
            <w:vAlign w:val="center"/>
          </w:tcPr>
          <w:p w14:paraId="6D92F607">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技术负责人</w:t>
            </w:r>
          </w:p>
        </w:tc>
        <w:tc>
          <w:tcPr>
            <w:tcW w:w="1310" w:type="dxa"/>
            <w:tcBorders>
              <w:top w:val="single" w:color="auto" w:sz="4" w:space="0"/>
              <w:left w:val="nil"/>
              <w:bottom w:val="single" w:color="auto" w:sz="4" w:space="0"/>
              <w:right w:val="single" w:color="auto" w:sz="4" w:space="0"/>
            </w:tcBorders>
            <w:noWrap w:val="0"/>
            <w:vAlign w:val="center"/>
          </w:tcPr>
          <w:p w14:paraId="43D67B5D">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6C8FD47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助理工程师</w:t>
            </w:r>
          </w:p>
        </w:tc>
        <w:tc>
          <w:tcPr>
            <w:tcW w:w="3961" w:type="dxa"/>
            <w:tcBorders>
              <w:top w:val="single" w:color="auto" w:sz="4" w:space="0"/>
              <w:left w:val="single" w:color="auto" w:sz="4" w:space="0"/>
              <w:bottom w:val="single" w:color="auto" w:sz="4" w:space="0"/>
              <w:right w:val="single" w:color="auto" w:sz="4" w:space="0"/>
            </w:tcBorders>
            <w:noWrap w:val="0"/>
            <w:vAlign w:val="center"/>
          </w:tcPr>
          <w:p w14:paraId="066B81A5">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560E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293" w:type="dxa"/>
            <w:tcBorders>
              <w:top w:val="single" w:color="auto" w:sz="4" w:space="0"/>
              <w:left w:val="single" w:color="auto" w:sz="4" w:space="0"/>
              <w:bottom w:val="nil"/>
              <w:right w:val="single" w:color="auto" w:sz="4" w:space="0"/>
            </w:tcBorders>
            <w:noWrap w:val="0"/>
            <w:vAlign w:val="center"/>
          </w:tcPr>
          <w:p w14:paraId="5CBCFF2A">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施工员</w:t>
            </w:r>
          </w:p>
        </w:tc>
        <w:tc>
          <w:tcPr>
            <w:tcW w:w="1310" w:type="dxa"/>
            <w:tcBorders>
              <w:top w:val="single" w:color="auto" w:sz="4" w:space="0"/>
              <w:left w:val="nil"/>
              <w:bottom w:val="single" w:color="auto" w:sz="4" w:space="0"/>
              <w:right w:val="single" w:color="auto" w:sz="4" w:space="0"/>
            </w:tcBorders>
            <w:noWrap w:val="0"/>
            <w:vAlign w:val="center"/>
          </w:tcPr>
          <w:p w14:paraId="244F18C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7485523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61" w:type="dxa"/>
            <w:tcBorders>
              <w:top w:val="single" w:color="auto" w:sz="4" w:space="0"/>
              <w:left w:val="single" w:color="auto" w:sz="4" w:space="0"/>
              <w:bottom w:val="single" w:color="auto" w:sz="4" w:space="0"/>
              <w:right w:val="single" w:color="auto" w:sz="4" w:space="0"/>
            </w:tcBorders>
            <w:noWrap w:val="0"/>
            <w:vAlign w:val="center"/>
          </w:tcPr>
          <w:p w14:paraId="6B0D6F39">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2EB9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293" w:type="dxa"/>
            <w:tcBorders>
              <w:top w:val="single" w:color="auto" w:sz="4" w:space="0"/>
              <w:left w:val="single" w:color="auto" w:sz="4" w:space="0"/>
              <w:bottom w:val="nil"/>
              <w:right w:val="single" w:color="auto" w:sz="4" w:space="0"/>
            </w:tcBorders>
            <w:noWrap w:val="0"/>
            <w:vAlign w:val="center"/>
          </w:tcPr>
          <w:p w14:paraId="7FA64D7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质检员</w:t>
            </w:r>
          </w:p>
        </w:tc>
        <w:tc>
          <w:tcPr>
            <w:tcW w:w="1310" w:type="dxa"/>
            <w:tcBorders>
              <w:top w:val="single" w:color="auto" w:sz="4" w:space="0"/>
              <w:left w:val="nil"/>
              <w:bottom w:val="single" w:color="auto" w:sz="4" w:space="0"/>
              <w:right w:val="single" w:color="auto" w:sz="4" w:space="0"/>
            </w:tcBorders>
            <w:noWrap w:val="0"/>
            <w:vAlign w:val="center"/>
          </w:tcPr>
          <w:p w14:paraId="65562FA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5F0ABBF6">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61" w:type="dxa"/>
            <w:tcBorders>
              <w:top w:val="single" w:color="auto" w:sz="4" w:space="0"/>
              <w:left w:val="single" w:color="auto" w:sz="4" w:space="0"/>
              <w:bottom w:val="nil"/>
              <w:right w:val="single" w:color="auto" w:sz="4" w:space="0"/>
            </w:tcBorders>
            <w:noWrap w:val="0"/>
            <w:vAlign w:val="center"/>
          </w:tcPr>
          <w:p w14:paraId="71E3DAC6">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4A85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2293" w:type="dxa"/>
            <w:tcBorders>
              <w:top w:val="single" w:color="auto" w:sz="4" w:space="0"/>
              <w:left w:val="single" w:color="auto" w:sz="4" w:space="0"/>
              <w:bottom w:val="single" w:color="auto" w:sz="4" w:space="0"/>
              <w:right w:val="single" w:color="auto" w:sz="4" w:space="0"/>
            </w:tcBorders>
            <w:noWrap w:val="0"/>
            <w:vAlign w:val="center"/>
          </w:tcPr>
          <w:p w14:paraId="1D46496C">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专职安全生产管理人员</w:t>
            </w:r>
          </w:p>
        </w:tc>
        <w:tc>
          <w:tcPr>
            <w:tcW w:w="1310" w:type="dxa"/>
            <w:tcBorders>
              <w:top w:val="single" w:color="auto" w:sz="4" w:space="0"/>
              <w:left w:val="nil"/>
              <w:bottom w:val="single" w:color="auto" w:sz="4" w:space="0"/>
              <w:right w:val="single" w:color="auto" w:sz="4" w:space="0"/>
            </w:tcBorders>
            <w:noWrap w:val="0"/>
            <w:vAlign w:val="center"/>
          </w:tcPr>
          <w:p w14:paraId="1F2D3D0A">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32D7A2A4">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C证</w:t>
            </w:r>
          </w:p>
        </w:tc>
        <w:tc>
          <w:tcPr>
            <w:tcW w:w="3961" w:type="dxa"/>
            <w:tcBorders>
              <w:top w:val="single" w:color="auto" w:sz="4" w:space="0"/>
              <w:left w:val="single" w:color="auto" w:sz="4" w:space="0"/>
              <w:bottom w:val="single" w:color="auto" w:sz="4" w:space="0"/>
              <w:right w:val="single" w:color="auto" w:sz="4" w:space="0"/>
            </w:tcBorders>
            <w:noWrap w:val="0"/>
            <w:vAlign w:val="center"/>
          </w:tcPr>
          <w:p w14:paraId="2BB47E33">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w:t>
            </w:r>
          </w:p>
        </w:tc>
      </w:tr>
    </w:tbl>
    <w:p w14:paraId="4C47913E">
      <w:pPr>
        <w:pageBreakBefore w:val="0"/>
        <w:widowControl/>
        <w:wordWrap/>
        <w:overflowPunct/>
        <w:topLinePunct w:val="0"/>
        <w:bidi w:val="0"/>
        <w:snapToGrid/>
        <w:spacing w:beforeAutospacing="0" w:afterAutospacing="0" w:line="240" w:lineRule="auto"/>
        <w:ind w:left="0" w:right="0" w:firstLine="105" w:firstLineChars="5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2.2、1～5万平方米的房屋建筑工程、装修工程或5000万-1亿元以下市政工程和其他工程  表2</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1318"/>
        <w:gridCol w:w="2277"/>
        <w:gridCol w:w="3956"/>
      </w:tblGrid>
      <w:tr w14:paraId="0859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2307" w:type="dxa"/>
            <w:tcBorders>
              <w:top w:val="single" w:color="auto" w:sz="4" w:space="0"/>
              <w:left w:val="single" w:color="auto" w:sz="4" w:space="0"/>
              <w:bottom w:val="nil"/>
              <w:right w:val="single" w:color="auto" w:sz="4" w:space="0"/>
              <w:tl2br w:val="single" w:color="auto" w:sz="4" w:space="0"/>
            </w:tcBorders>
            <w:noWrap w:val="0"/>
            <w:vAlign w:val="top"/>
          </w:tcPr>
          <w:p w14:paraId="394CC919">
            <w:pPr>
              <w:pageBreakBefore w:val="0"/>
              <w:widowControl/>
              <w:wordWrap/>
              <w:overflowPunct/>
              <w:topLinePunct w:val="0"/>
              <w:bidi w:val="0"/>
              <w:snapToGrid/>
              <w:spacing w:beforeAutospacing="0" w:afterAutospacing="0" w:line="240" w:lineRule="auto"/>
              <w:ind w:left="0" w:right="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             内容各类人员</w:t>
            </w:r>
          </w:p>
        </w:tc>
        <w:tc>
          <w:tcPr>
            <w:tcW w:w="1318" w:type="dxa"/>
            <w:tcBorders>
              <w:top w:val="single" w:color="auto" w:sz="4" w:space="0"/>
              <w:left w:val="nil"/>
              <w:bottom w:val="single" w:color="auto" w:sz="4" w:space="0"/>
              <w:right w:val="single" w:color="auto" w:sz="4" w:space="0"/>
            </w:tcBorders>
            <w:noWrap w:val="0"/>
            <w:vAlign w:val="center"/>
          </w:tcPr>
          <w:p w14:paraId="0BC8453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数量</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50C2E1C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资质</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07F00EA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备注</w:t>
            </w:r>
          </w:p>
        </w:tc>
      </w:tr>
      <w:tr w14:paraId="29F5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2307" w:type="dxa"/>
            <w:tcBorders>
              <w:top w:val="single" w:color="auto" w:sz="4" w:space="0"/>
              <w:left w:val="single" w:color="auto" w:sz="4" w:space="0"/>
              <w:bottom w:val="nil"/>
              <w:right w:val="single" w:color="auto" w:sz="4" w:space="0"/>
            </w:tcBorders>
            <w:noWrap w:val="0"/>
            <w:vAlign w:val="center"/>
          </w:tcPr>
          <w:p w14:paraId="0DB6E63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项目经理</w:t>
            </w:r>
          </w:p>
        </w:tc>
        <w:tc>
          <w:tcPr>
            <w:tcW w:w="1318" w:type="dxa"/>
            <w:tcBorders>
              <w:top w:val="single" w:color="auto" w:sz="4" w:space="0"/>
              <w:left w:val="nil"/>
              <w:bottom w:val="single" w:color="auto" w:sz="4" w:space="0"/>
              <w:right w:val="single" w:color="auto" w:sz="4" w:space="0"/>
            </w:tcBorders>
            <w:noWrap w:val="0"/>
            <w:vAlign w:val="center"/>
          </w:tcPr>
          <w:p w14:paraId="69A7E00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733DBB0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按资质管理标准</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4A26F729">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w:t>
            </w:r>
          </w:p>
        </w:tc>
      </w:tr>
      <w:tr w14:paraId="5C56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2307" w:type="dxa"/>
            <w:tcBorders>
              <w:top w:val="single" w:color="auto" w:sz="4" w:space="0"/>
              <w:left w:val="single" w:color="auto" w:sz="4" w:space="0"/>
              <w:bottom w:val="nil"/>
              <w:right w:val="single" w:color="auto" w:sz="4" w:space="0"/>
            </w:tcBorders>
            <w:noWrap w:val="0"/>
            <w:vAlign w:val="center"/>
          </w:tcPr>
          <w:p w14:paraId="6A31387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项目副经理</w:t>
            </w:r>
          </w:p>
        </w:tc>
        <w:tc>
          <w:tcPr>
            <w:tcW w:w="1318" w:type="dxa"/>
            <w:tcBorders>
              <w:top w:val="single" w:color="auto" w:sz="4" w:space="0"/>
              <w:left w:val="nil"/>
              <w:bottom w:val="single" w:color="auto" w:sz="4" w:space="0"/>
              <w:right w:val="single" w:color="auto" w:sz="4" w:space="0"/>
            </w:tcBorders>
            <w:noWrap w:val="0"/>
            <w:vAlign w:val="center"/>
          </w:tcPr>
          <w:p w14:paraId="7C840E2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1F19E49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p>
        </w:tc>
        <w:tc>
          <w:tcPr>
            <w:tcW w:w="3956" w:type="dxa"/>
            <w:tcBorders>
              <w:top w:val="single" w:color="auto" w:sz="4" w:space="0"/>
              <w:left w:val="single" w:color="auto" w:sz="4" w:space="0"/>
              <w:bottom w:val="single" w:color="auto" w:sz="4" w:space="0"/>
              <w:right w:val="single" w:color="auto" w:sz="4" w:space="0"/>
            </w:tcBorders>
            <w:noWrap w:val="0"/>
            <w:vAlign w:val="center"/>
          </w:tcPr>
          <w:p w14:paraId="05C7DF4A">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191A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2307" w:type="dxa"/>
            <w:tcBorders>
              <w:top w:val="single" w:color="auto" w:sz="4" w:space="0"/>
              <w:left w:val="single" w:color="auto" w:sz="4" w:space="0"/>
              <w:bottom w:val="nil"/>
              <w:right w:val="single" w:color="auto" w:sz="4" w:space="0"/>
            </w:tcBorders>
            <w:noWrap w:val="0"/>
            <w:vAlign w:val="center"/>
          </w:tcPr>
          <w:p w14:paraId="16A6F0EE">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技术负责人</w:t>
            </w:r>
          </w:p>
        </w:tc>
        <w:tc>
          <w:tcPr>
            <w:tcW w:w="1318" w:type="dxa"/>
            <w:tcBorders>
              <w:top w:val="single" w:color="auto" w:sz="4" w:space="0"/>
              <w:left w:val="nil"/>
              <w:bottom w:val="single" w:color="auto" w:sz="4" w:space="0"/>
              <w:right w:val="single" w:color="auto" w:sz="4" w:space="0"/>
            </w:tcBorders>
            <w:noWrap w:val="0"/>
            <w:vAlign w:val="center"/>
          </w:tcPr>
          <w:p w14:paraId="5AC45E7F">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5905CECC">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工程师</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73BE6E8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701A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2307" w:type="dxa"/>
            <w:tcBorders>
              <w:top w:val="single" w:color="auto" w:sz="4" w:space="0"/>
              <w:left w:val="single" w:color="auto" w:sz="4" w:space="0"/>
              <w:bottom w:val="nil"/>
              <w:right w:val="single" w:color="auto" w:sz="4" w:space="0"/>
            </w:tcBorders>
            <w:noWrap w:val="0"/>
            <w:vAlign w:val="center"/>
          </w:tcPr>
          <w:p w14:paraId="22697C5A">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施工员</w:t>
            </w:r>
          </w:p>
        </w:tc>
        <w:tc>
          <w:tcPr>
            <w:tcW w:w="1318" w:type="dxa"/>
            <w:tcBorders>
              <w:top w:val="single" w:color="auto" w:sz="4" w:space="0"/>
              <w:left w:val="nil"/>
              <w:bottom w:val="single" w:color="auto" w:sz="4" w:space="0"/>
              <w:right w:val="single" w:color="auto" w:sz="4" w:space="0"/>
            </w:tcBorders>
            <w:noWrap w:val="0"/>
            <w:vAlign w:val="center"/>
          </w:tcPr>
          <w:p w14:paraId="6EA8EC0E">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1～2</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6285EB0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0BF0E37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7AEA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2307" w:type="dxa"/>
            <w:tcBorders>
              <w:top w:val="single" w:color="auto" w:sz="4" w:space="0"/>
              <w:left w:val="single" w:color="auto" w:sz="4" w:space="0"/>
              <w:bottom w:val="nil"/>
              <w:right w:val="single" w:color="auto" w:sz="4" w:space="0"/>
            </w:tcBorders>
            <w:noWrap w:val="0"/>
            <w:vAlign w:val="center"/>
          </w:tcPr>
          <w:p w14:paraId="62A1969F">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质检员</w:t>
            </w:r>
          </w:p>
        </w:tc>
        <w:tc>
          <w:tcPr>
            <w:tcW w:w="1318" w:type="dxa"/>
            <w:tcBorders>
              <w:top w:val="single" w:color="auto" w:sz="4" w:space="0"/>
              <w:left w:val="nil"/>
              <w:bottom w:val="single" w:color="auto" w:sz="4" w:space="0"/>
              <w:right w:val="single" w:color="auto" w:sz="4" w:space="0"/>
            </w:tcBorders>
            <w:noWrap w:val="0"/>
            <w:vAlign w:val="center"/>
          </w:tcPr>
          <w:p w14:paraId="2B086BB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5053026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14054DDD">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40A3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trPr>
        <w:tc>
          <w:tcPr>
            <w:tcW w:w="2307" w:type="dxa"/>
            <w:tcBorders>
              <w:top w:val="single" w:color="auto" w:sz="4" w:space="0"/>
              <w:left w:val="single" w:color="auto" w:sz="4" w:space="0"/>
              <w:bottom w:val="single" w:color="auto" w:sz="4" w:space="0"/>
              <w:right w:val="single" w:color="auto" w:sz="4" w:space="0"/>
            </w:tcBorders>
            <w:noWrap w:val="0"/>
            <w:vAlign w:val="center"/>
          </w:tcPr>
          <w:p w14:paraId="261FD96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专职安全生产管理人员</w:t>
            </w:r>
          </w:p>
        </w:tc>
        <w:tc>
          <w:tcPr>
            <w:tcW w:w="1318" w:type="dxa"/>
            <w:tcBorders>
              <w:top w:val="single" w:color="auto" w:sz="4" w:space="0"/>
              <w:left w:val="nil"/>
              <w:bottom w:val="single" w:color="auto" w:sz="4" w:space="0"/>
              <w:right w:val="single" w:color="auto" w:sz="4" w:space="0"/>
            </w:tcBorders>
            <w:noWrap w:val="0"/>
            <w:vAlign w:val="center"/>
          </w:tcPr>
          <w:p w14:paraId="577AE32A">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37E22BC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C证</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4D34D49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w:t>
            </w:r>
          </w:p>
        </w:tc>
      </w:tr>
    </w:tbl>
    <w:p w14:paraId="3C0F596F">
      <w:pPr>
        <w:pageBreakBefore w:val="0"/>
        <w:widowControl/>
        <w:wordWrap/>
        <w:overflowPunct/>
        <w:topLinePunct w:val="0"/>
        <w:bidi w:val="0"/>
        <w:snapToGrid/>
        <w:spacing w:beforeAutospacing="0" w:afterAutospacing="0" w:line="240" w:lineRule="auto"/>
        <w:ind w:left="0" w:right="0" w:firstLine="420" w:firstLineChars="20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2.3、5万平方米以上的房屋建筑工程或1亿以上市政工程和其他工程       表3</w:t>
      </w:r>
    </w:p>
    <w:tbl>
      <w:tblPr>
        <w:tblStyle w:val="46"/>
        <w:tblW w:w="9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1321"/>
        <w:gridCol w:w="2281"/>
        <w:gridCol w:w="3964"/>
      </w:tblGrid>
      <w:tr w14:paraId="1C91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trPr>
        <w:tc>
          <w:tcPr>
            <w:tcW w:w="2312" w:type="dxa"/>
            <w:tcBorders>
              <w:top w:val="single" w:color="auto" w:sz="4" w:space="0"/>
              <w:left w:val="single" w:color="auto" w:sz="4" w:space="0"/>
              <w:bottom w:val="nil"/>
              <w:right w:val="single" w:color="auto" w:sz="4" w:space="0"/>
              <w:tl2br w:val="single" w:color="auto" w:sz="4" w:space="0"/>
            </w:tcBorders>
            <w:noWrap w:val="0"/>
            <w:vAlign w:val="top"/>
          </w:tcPr>
          <w:p w14:paraId="3539E105">
            <w:pPr>
              <w:pageBreakBefore w:val="0"/>
              <w:widowControl/>
              <w:wordWrap/>
              <w:overflowPunct/>
              <w:topLinePunct w:val="0"/>
              <w:bidi w:val="0"/>
              <w:snapToGrid/>
              <w:spacing w:beforeAutospacing="0" w:afterAutospacing="0" w:line="240" w:lineRule="auto"/>
              <w:ind w:left="0" w:right="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             内容各类人员</w:t>
            </w:r>
          </w:p>
        </w:tc>
        <w:tc>
          <w:tcPr>
            <w:tcW w:w="1321" w:type="dxa"/>
            <w:tcBorders>
              <w:top w:val="single" w:color="auto" w:sz="4" w:space="0"/>
              <w:left w:val="nil"/>
              <w:bottom w:val="single" w:color="auto" w:sz="4" w:space="0"/>
              <w:right w:val="single" w:color="auto" w:sz="4" w:space="0"/>
            </w:tcBorders>
            <w:noWrap w:val="0"/>
            <w:vAlign w:val="center"/>
          </w:tcPr>
          <w:p w14:paraId="5177ED0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数量</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23AA6F75">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资质</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444D7FCC">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备注</w:t>
            </w:r>
          </w:p>
        </w:tc>
      </w:tr>
      <w:tr w14:paraId="17C9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12" w:type="dxa"/>
            <w:tcBorders>
              <w:top w:val="single" w:color="auto" w:sz="4" w:space="0"/>
              <w:left w:val="single" w:color="auto" w:sz="4" w:space="0"/>
              <w:bottom w:val="nil"/>
              <w:right w:val="single" w:color="auto" w:sz="4" w:space="0"/>
            </w:tcBorders>
            <w:noWrap w:val="0"/>
            <w:vAlign w:val="center"/>
          </w:tcPr>
          <w:p w14:paraId="746D2FEF">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项目经理</w:t>
            </w:r>
          </w:p>
        </w:tc>
        <w:tc>
          <w:tcPr>
            <w:tcW w:w="1321" w:type="dxa"/>
            <w:tcBorders>
              <w:top w:val="single" w:color="auto" w:sz="4" w:space="0"/>
              <w:left w:val="nil"/>
              <w:bottom w:val="single" w:color="auto" w:sz="4" w:space="0"/>
              <w:right w:val="single" w:color="auto" w:sz="4" w:space="0"/>
            </w:tcBorders>
            <w:noWrap w:val="0"/>
            <w:vAlign w:val="center"/>
          </w:tcPr>
          <w:p w14:paraId="05D566E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1ED0C5FC">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按资质标准</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4E967DEE">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w:t>
            </w:r>
          </w:p>
        </w:tc>
      </w:tr>
      <w:tr w14:paraId="00BE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12" w:type="dxa"/>
            <w:tcBorders>
              <w:top w:val="single" w:color="auto" w:sz="4" w:space="0"/>
              <w:left w:val="single" w:color="auto" w:sz="4" w:space="0"/>
              <w:bottom w:val="nil"/>
              <w:right w:val="single" w:color="auto" w:sz="4" w:space="0"/>
            </w:tcBorders>
            <w:noWrap w:val="0"/>
            <w:vAlign w:val="center"/>
          </w:tcPr>
          <w:p w14:paraId="71743EB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项目副经理</w:t>
            </w:r>
          </w:p>
        </w:tc>
        <w:tc>
          <w:tcPr>
            <w:tcW w:w="1321" w:type="dxa"/>
            <w:tcBorders>
              <w:top w:val="single" w:color="auto" w:sz="4" w:space="0"/>
              <w:left w:val="nil"/>
              <w:bottom w:val="single" w:color="auto" w:sz="4" w:space="0"/>
              <w:right w:val="single" w:color="auto" w:sz="4" w:space="0"/>
            </w:tcBorders>
            <w:noWrap w:val="0"/>
            <w:vAlign w:val="center"/>
          </w:tcPr>
          <w:p w14:paraId="27EAFD24">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54CAFFC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p>
        </w:tc>
        <w:tc>
          <w:tcPr>
            <w:tcW w:w="3964" w:type="dxa"/>
            <w:tcBorders>
              <w:top w:val="single" w:color="auto" w:sz="4" w:space="0"/>
              <w:left w:val="single" w:color="auto" w:sz="4" w:space="0"/>
              <w:bottom w:val="single" w:color="auto" w:sz="4" w:space="0"/>
              <w:right w:val="single" w:color="auto" w:sz="4" w:space="0"/>
            </w:tcBorders>
            <w:noWrap w:val="0"/>
            <w:vAlign w:val="center"/>
          </w:tcPr>
          <w:p w14:paraId="46C2D6BF">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5CA1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12" w:type="dxa"/>
            <w:tcBorders>
              <w:top w:val="single" w:color="auto" w:sz="4" w:space="0"/>
              <w:left w:val="single" w:color="auto" w:sz="4" w:space="0"/>
              <w:bottom w:val="nil"/>
              <w:right w:val="single" w:color="auto" w:sz="4" w:space="0"/>
            </w:tcBorders>
            <w:noWrap w:val="0"/>
            <w:vAlign w:val="center"/>
          </w:tcPr>
          <w:p w14:paraId="516EB08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技术负责人</w:t>
            </w:r>
          </w:p>
        </w:tc>
        <w:tc>
          <w:tcPr>
            <w:tcW w:w="1321" w:type="dxa"/>
            <w:tcBorders>
              <w:top w:val="single" w:color="auto" w:sz="4" w:space="0"/>
              <w:left w:val="nil"/>
              <w:bottom w:val="single" w:color="auto" w:sz="4" w:space="0"/>
              <w:right w:val="single" w:color="auto" w:sz="4" w:space="0"/>
            </w:tcBorders>
            <w:noWrap w:val="0"/>
            <w:vAlign w:val="center"/>
          </w:tcPr>
          <w:p w14:paraId="44638C96">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06C0E023">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工程师以上</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700E39D9">
            <w:pPr>
              <w:pageBreakBefore w:val="0"/>
              <w:widowControl/>
              <w:wordWrap/>
              <w:overflowPunct/>
              <w:topLinePunct w:val="0"/>
              <w:bidi w:val="0"/>
              <w:snapToGrid/>
              <w:spacing w:beforeAutospacing="0" w:afterAutospacing="0" w:line="240" w:lineRule="auto"/>
              <w:ind w:left="0" w:right="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工程师专职，高级工程师兼职</w:t>
            </w:r>
          </w:p>
        </w:tc>
      </w:tr>
      <w:tr w14:paraId="562C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12" w:type="dxa"/>
            <w:tcBorders>
              <w:top w:val="single" w:color="auto" w:sz="4" w:space="0"/>
              <w:left w:val="single" w:color="auto" w:sz="4" w:space="0"/>
              <w:bottom w:val="nil"/>
              <w:right w:val="single" w:color="auto" w:sz="4" w:space="0"/>
            </w:tcBorders>
            <w:noWrap w:val="0"/>
            <w:vAlign w:val="center"/>
          </w:tcPr>
          <w:p w14:paraId="710ECBA7">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施工员</w:t>
            </w:r>
          </w:p>
        </w:tc>
        <w:tc>
          <w:tcPr>
            <w:tcW w:w="1321" w:type="dxa"/>
            <w:tcBorders>
              <w:top w:val="single" w:color="auto" w:sz="4" w:space="0"/>
              <w:left w:val="nil"/>
              <w:bottom w:val="single" w:color="auto" w:sz="4" w:space="0"/>
              <w:right w:val="single" w:color="auto" w:sz="4" w:space="0"/>
            </w:tcBorders>
            <w:noWrap w:val="0"/>
            <w:vAlign w:val="center"/>
          </w:tcPr>
          <w:p w14:paraId="092E054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2人以上</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7B12ECB7">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3201FE09">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vertAlign w:val="superscript"/>
              </w:rPr>
            </w:pPr>
            <w:r>
              <w:rPr>
                <w:rFonts w:hint="eastAsia" w:ascii="宋体" w:hAnsi="宋体" w:eastAsia="宋体" w:cs="宋体"/>
                <w:color w:val="auto"/>
                <w:kern w:val="0"/>
                <w:sz w:val="21"/>
                <w:szCs w:val="21"/>
                <w:highlight w:val="none"/>
                <w:shd w:val="clear" w:color="auto" w:fill="auto"/>
              </w:rPr>
              <w:t>专职不押证</w:t>
            </w:r>
          </w:p>
        </w:tc>
      </w:tr>
      <w:tr w14:paraId="248C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12" w:type="dxa"/>
            <w:tcBorders>
              <w:top w:val="single" w:color="auto" w:sz="4" w:space="0"/>
              <w:left w:val="single" w:color="auto" w:sz="4" w:space="0"/>
              <w:bottom w:val="nil"/>
              <w:right w:val="single" w:color="auto" w:sz="4" w:space="0"/>
            </w:tcBorders>
            <w:noWrap w:val="0"/>
            <w:vAlign w:val="center"/>
          </w:tcPr>
          <w:p w14:paraId="0B350B1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质检员</w:t>
            </w:r>
          </w:p>
        </w:tc>
        <w:tc>
          <w:tcPr>
            <w:tcW w:w="1321" w:type="dxa"/>
            <w:tcBorders>
              <w:top w:val="single" w:color="auto" w:sz="4" w:space="0"/>
              <w:left w:val="nil"/>
              <w:bottom w:val="single" w:color="auto" w:sz="4" w:space="0"/>
              <w:right w:val="single" w:color="auto" w:sz="4" w:space="0"/>
            </w:tcBorders>
            <w:noWrap w:val="0"/>
            <w:vAlign w:val="center"/>
          </w:tcPr>
          <w:p w14:paraId="1927CD99">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77987F4D">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14128F5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7633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2312" w:type="dxa"/>
            <w:tcBorders>
              <w:top w:val="single" w:color="auto" w:sz="4" w:space="0"/>
              <w:left w:val="single" w:color="auto" w:sz="4" w:space="0"/>
              <w:bottom w:val="single" w:color="auto" w:sz="4" w:space="0"/>
              <w:right w:val="single" w:color="auto" w:sz="4" w:space="0"/>
            </w:tcBorders>
            <w:noWrap w:val="0"/>
            <w:vAlign w:val="center"/>
          </w:tcPr>
          <w:p w14:paraId="7ADCC1E4">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专职安全生产管理人员</w:t>
            </w:r>
          </w:p>
        </w:tc>
        <w:tc>
          <w:tcPr>
            <w:tcW w:w="1321" w:type="dxa"/>
            <w:tcBorders>
              <w:top w:val="single" w:color="auto" w:sz="4" w:space="0"/>
              <w:left w:val="nil"/>
              <w:bottom w:val="single" w:color="auto" w:sz="4" w:space="0"/>
              <w:right w:val="single" w:color="auto" w:sz="4" w:space="0"/>
            </w:tcBorders>
            <w:noWrap w:val="0"/>
            <w:vAlign w:val="center"/>
          </w:tcPr>
          <w:p w14:paraId="2BC1C9C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3</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1C3A7F1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C证</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05ADBE1E">
            <w:pPr>
              <w:pageBreakBefore w:val="0"/>
              <w:widowControl/>
              <w:wordWrap/>
              <w:overflowPunct/>
              <w:topLinePunct w:val="0"/>
              <w:bidi w:val="0"/>
              <w:snapToGrid/>
              <w:spacing w:beforeAutospacing="0" w:afterAutospacing="0" w:line="240" w:lineRule="auto"/>
              <w:ind w:left="0" w:right="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专职、押证，应当设置安全主管，按土建、机电设备等专业设置专职安全生产管理人员</w:t>
            </w:r>
          </w:p>
        </w:tc>
      </w:tr>
    </w:tbl>
    <w:p w14:paraId="6CF59286">
      <w:pPr>
        <w:spacing w:line="240" w:lineRule="auto"/>
        <w:ind w:firstLine="0" w:firstLineChars="0"/>
        <w:jc w:val="both"/>
        <w:outlineLvl w:val="1"/>
        <w:rPr>
          <w:rFonts w:hint="eastAsia" w:ascii="宋体" w:hAnsi="宋体"/>
          <w:b/>
          <w:color w:val="auto"/>
          <w:kern w:val="0"/>
          <w:sz w:val="32"/>
          <w:szCs w:val="32"/>
          <w:highlight w:val="none"/>
        </w:rPr>
        <w:sectPr>
          <w:pgSz w:w="11906" w:h="16838"/>
          <w:pgMar w:top="1440" w:right="1800" w:bottom="1440" w:left="1418" w:header="851" w:footer="992" w:gutter="0"/>
          <w:pgNumType w:fmt="decimal"/>
          <w:cols w:space="720" w:num="1"/>
          <w:docGrid w:type="lines" w:linePitch="326" w:charSpace="0"/>
        </w:sectPr>
      </w:pPr>
    </w:p>
    <w:p w14:paraId="03A627DD">
      <w:pPr>
        <w:spacing w:line="240" w:lineRule="auto"/>
        <w:ind w:firstLine="0" w:firstLineChars="0"/>
        <w:jc w:val="both"/>
        <w:outlineLvl w:val="1"/>
        <w:rPr>
          <w:rFonts w:hint="eastAsia" w:ascii="宋体" w:hAnsi="宋体"/>
          <w:b/>
          <w:color w:val="auto"/>
          <w:kern w:val="0"/>
          <w:sz w:val="32"/>
          <w:szCs w:val="32"/>
          <w:highlight w:val="none"/>
        </w:rPr>
      </w:pPr>
      <w:r>
        <w:rPr>
          <w:rFonts w:hint="eastAsia" w:ascii="宋体" w:hAnsi="宋体"/>
          <w:b/>
          <w:color w:val="auto"/>
          <w:kern w:val="0"/>
          <w:sz w:val="32"/>
          <w:szCs w:val="32"/>
          <w:highlight w:val="none"/>
        </w:rPr>
        <w:t>（二）符合性响应证明材料目录</w:t>
      </w:r>
    </w:p>
    <w:p w14:paraId="0AC1435D">
      <w:pPr>
        <w:tabs>
          <w:tab w:val="left" w:pos="1305"/>
        </w:tabs>
        <w:spacing w:line="440" w:lineRule="exact"/>
        <w:ind w:firstLine="420"/>
        <w:rPr>
          <w:rFonts w:hint="eastAsia" w:ascii="宋体" w:hAnsi="宋体"/>
          <w:color w:val="auto"/>
          <w:kern w:val="0"/>
          <w:sz w:val="21"/>
          <w:szCs w:val="21"/>
          <w:highlight w:val="none"/>
        </w:rPr>
      </w:pPr>
    </w:p>
    <w:p w14:paraId="31310688">
      <w:pPr>
        <w:tabs>
          <w:tab w:val="left" w:pos="1305"/>
        </w:tabs>
        <w:spacing w:line="400" w:lineRule="exact"/>
        <w:ind w:firstLine="420"/>
        <w:rPr>
          <w:rFonts w:hint="eastAsia" w:ascii="宋体" w:hAnsi="宋体" w:cs="宋体"/>
          <w:b/>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响应函</w:t>
      </w:r>
      <w:r>
        <w:rPr>
          <w:rFonts w:hint="eastAsia" w:ascii="宋体" w:hAnsi="宋体" w:cs="宋体"/>
          <w:b/>
          <w:color w:val="auto"/>
          <w:kern w:val="0"/>
          <w:sz w:val="24"/>
          <w:szCs w:val="24"/>
          <w:highlight w:val="none"/>
        </w:rPr>
        <w:t>（必须提供）；</w:t>
      </w:r>
    </w:p>
    <w:p w14:paraId="70657019">
      <w:pPr>
        <w:tabs>
          <w:tab w:val="left" w:pos="1305"/>
        </w:tabs>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谈判报价表</w:t>
      </w:r>
      <w:r>
        <w:rPr>
          <w:rFonts w:hint="eastAsia" w:ascii="宋体" w:hAnsi="宋体" w:cs="宋体"/>
          <w:b/>
          <w:bCs/>
          <w:color w:val="auto"/>
          <w:kern w:val="0"/>
          <w:sz w:val="24"/>
          <w:szCs w:val="24"/>
          <w:highlight w:val="none"/>
        </w:rPr>
        <w:t>（必须提供）</w:t>
      </w:r>
      <w:r>
        <w:rPr>
          <w:rFonts w:hint="eastAsia" w:ascii="宋体" w:hAnsi="宋体" w:cs="宋体"/>
          <w:color w:val="auto"/>
          <w:kern w:val="0"/>
          <w:sz w:val="24"/>
          <w:szCs w:val="24"/>
          <w:highlight w:val="none"/>
        </w:rPr>
        <w:t>；</w:t>
      </w:r>
    </w:p>
    <w:p w14:paraId="4A463538">
      <w:pPr>
        <w:tabs>
          <w:tab w:val="left" w:pos="1305"/>
        </w:tabs>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技术响</w:t>
      </w:r>
      <w:r>
        <w:rPr>
          <w:rFonts w:hint="eastAsia" w:ascii="宋体" w:hAnsi="宋体" w:cs="宋体"/>
          <w:color w:val="auto"/>
          <w:kern w:val="0"/>
          <w:sz w:val="24"/>
          <w:szCs w:val="24"/>
          <w:highlight w:val="none"/>
        </w:rPr>
        <w:t>应承诺书</w:t>
      </w:r>
      <w:r>
        <w:rPr>
          <w:rFonts w:hint="eastAsia" w:ascii="宋体" w:hAnsi="宋体" w:cs="宋体"/>
          <w:b/>
          <w:bCs/>
          <w:color w:val="auto"/>
          <w:kern w:val="0"/>
          <w:sz w:val="24"/>
          <w:szCs w:val="24"/>
          <w:highlight w:val="none"/>
        </w:rPr>
        <w:t>（</w:t>
      </w:r>
      <w:r>
        <w:rPr>
          <w:rFonts w:hint="eastAsia" w:ascii="宋体" w:hAnsi="宋体" w:cs="宋体"/>
          <w:b/>
          <w:bCs/>
          <w:color w:val="auto"/>
          <w:kern w:val="0"/>
          <w:sz w:val="24"/>
          <w:szCs w:val="24"/>
          <w:highlight w:val="none"/>
          <w:lang w:eastAsia="zh-CN"/>
        </w:rPr>
        <w:t>分标</w:t>
      </w: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sz w:val="24"/>
          <w:szCs w:val="24"/>
          <w:highlight w:val="none"/>
        </w:rPr>
        <w:t>必须提供）</w:t>
      </w:r>
      <w:r>
        <w:rPr>
          <w:rFonts w:hint="eastAsia" w:ascii="宋体" w:hAnsi="宋体" w:cs="宋体"/>
          <w:color w:val="auto"/>
          <w:kern w:val="0"/>
          <w:sz w:val="24"/>
          <w:szCs w:val="24"/>
          <w:highlight w:val="none"/>
        </w:rPr>
        <w:t>；</w:t>
      </w:r>
    </w:p>
    <w:p w14:paraId="3A42D1B3">
      <w:pPr>
        <w:tabs>
          <w:tab w:val="left" w:pos="1305"/>
        </w:tabs>
        <w:spacing w:line="400" w:lineRule="exact"/>
        <w:ind w:firstLine="42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商务要求响应承诺书</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eastAsia="zh-CN"/>
        </w:rPr>
        <w:t>分标</w:t>
      </w:r>
      <w:r>
        <w:rPr>
          <w:rFonts w:hint="eastAsia" w:ascii="宋体" w:hAnsi="宋体" w:eastAsia="宋体"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必须提供）</w:t>
      </w:r>
      <w:r>
        <w:rPr>
          <w:rFonts w:hint="eastAsia" w:ascii="宋体" w:hAnsi="宋体" w:eastAsia="宋体" w:cs="宋体"/>
          <w:color w:val="auto"/>
          <w:kern w:val="0"/>
          <w:sz w:val="24"/>
          <w:szCs w:val="24"/>
          <w:highlight w:val="none"/>
          <w:lang w:eastAsia="zh-CN"/>
        </w:rPr>
        <w:t>；</w:t>
      </w:r>
    </w:p>
    <w:p w14:paraId="1B52E689">
      <w:pPr>
        <w:tabs>
          <w:tab w:val="left" w:pos="1305"/>
        </w:tabs>
        <w:spacing w:line="400" w:lineRule="exact"/>
        <w:ind w:firstLine="42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.农民工工资保证金的交纳与使用承诺书</w:t>
      </w:r>
      <w:r>
        <w:rPr>
          <w:rFonts w:hint="eastAsia" w:ascii="宋体" w:hAnsi="宋体" w:eastAsia="宋体" w:cs="宋体"/>
          <w:b/>
          <w:bCs/>
          <w:color w:val="auto"/>
          <w:kern w:val="0"/>
          <w:sz w:val="24"/>
          <w:szCs w:val="24"/>
          <w:highlight w:val="none"/>
          <w:lang w:val="en-US" w:eastAsia="zh-CN"/>
        </w:rPr>
        <w:t>（分标2必须提供）</w:t>
      </w:r>
      <w:r>
        <w:rPr>
          <w:rFonts w:hint="eastAsia" w:ascii="宋体" w:hAnsi="宋体" w:eastAsia="宋体" w:cs="宋体"/>
          <w:color w:val="auto"/>
          <w:kern w:val="0"/>
          <w:sz w:val="24"/>
          <w:szCs w:val="24"/>
          <w:highlight w:val="none"/>
          <w:lang w:val="en-US" w:eastAsia="zh-CN"/>
        </w:rPr>
        <w:t>；</w:t>
      </w:r>
    </w:p>
    <w:p w14:paraId="4BC853D8">
      <w:pPr>
        <w:tabs>
          <w:tab w:val="left" w:pos="1305"/>
        </w:tabs>
        <w:spacing w:line="400" w:lineRule="exact"/>
        <w:ind w:firstLine="42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工程渣土清运承诺书</w:t>
      </w:r>
      <w:r>
        <w:rPr>
          <w:rFonts w:hint="eastAsia" w:ascii="宋体" w:hAnsi="宋体" w:eastAsia="宋体" w:cs="宋体"/>
          <w:b/>
          <w:bCs/>
          <w:color w:val="auto"/>
          <w:kern w:val="0"/>
          <w:sz w:val="24"/>
          <w:szCs w:val="24"/>
          <w:highlight w:val="none"/>
          <w:lang w:val="en-US" w:eastAsia="zh-CN"/>
        </w:rPr>
        <w:t>（分标2必须提供）</w:t>
      </w:r>
      <w:r>
        <w:rPr>
          <w:rFonts w:hint="eastAsia" w:ascii="宋体" w:hAnsi="宋体" w:eastAsia="宋体" w:cs="宋体"/>
          <w:color w:val="auto"/>
          <w:kern w:val="0"/>
          <w:sz w:val="24"/>
          <w:szCs w:val="24"/>
          <w:highlight w:val="none"/>
        </w:rPr>
        <w:t>；</w:t>
      </w:r>
    </w:p>
    <w:p w14:paraId="4A482C26">
      <w:pPr>
        <w:tabs>
          <w:tab w:val="left" w:pos="1305"/>
        </w:tabs>
        <w:spacing w:line="400" w:lineRule="exact"/>
        <w:ind w:firstLine="420"/>
        <w:rPr>
          <w:rFonts w:hint="eastAsia" w:ascii="宋体" w:hAnsi="宋体" w:cs="宋体"/>
          <w:color w:val="auto"/>
          <w:kern w:val="0"/>
          <w:sz w:val="24"/>
          <w:szCs w:val="24"/>
          <w:highlight w:val="none"/>
          <w:lang w:eastAsia="zh-CN"/>
        </w:rPr>
      </w:pP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施工组织设计</w:t>
      </w:r>
      <w:r>
        <w:rPr>
          <w:rFonts w:hint="eastAsia" w:ascii="宋体" w:hAnsi="宋体" w:eastAsia="宋体" w:cs="宋体"/>
          <w:b/>
          <w:bCs/>
          <w:color w:val="auto"/>
          <w:kern w:val="0"/>
          <w:sz w:val="24"/>
          <w:szCs w:val="24"/>
          <w:highlight w:val="none"/>
        </w:rPr>
        <w:t>（如有，请提供）</w:t>
      </w:r>
      <w:r>
        <w:rPr>
          <w:rFonts w:hint="eastAsia" w:ascii="宋体" w:hAnsi="宋体" w:cs="宋体"/>
          <w:color w:val="auto"/>
          <w:kern w:val="0"/>
          <w:sz w:val="24"/>
          <w:szCs w:val="24"/>
          <w:highlight w:val="none"/>
          <w:lang w:eastAsia="zh-CN"/>
        </w:rPr>
        <w:t>；</w:t>
      </w:r>
    </w:p>
    <w:p w14:paraId="0B532603">
      <w:pPr>
        <w:bidi w:val="0"/>
        <w:rPr>
          <w:rFonts w:hint="eastAsia"/>
          <w:color w:val="auto"/>
          <w:highlight w:val="none"/>
          <w:lang w:eastAsia="zh-CN"/>
        </w:rPr>
      </w:pPr>
      <w:r>
        <w:rPr>
          <w:rFonts w:hint="eastAsia" w:ascii="宋体" w:hAnsi="宋体" w:eastAsia="宋体" w:cs="宋体"/>
          <w:color w:val="auto"/>
          <w:kern w:val="0"/>
          <w:sz w:val="24"/>
          <w:szCs w:val="24"/>
          <w:highlight w:val="none"/>
          <w:lang w:val="en-US" w:eastAsia="zh-CN"/>
        </w:rPr>
        <w:t>8.对应采购需求中的货物需求、商务条款提供的其他文件资料（如有，请提供）</w:t>
      </w:r>
    </w:p>
    <w:p w14:paraId="36F11559">
      <w:pPr>
        <w:tabs>
          <w:tab w:val="left" w:pos="1305"/>
        </w:tabs>
        <w:spacing w:line="400" w:lineRule="exact"/>
        <w:ind w:firstLine="482"/>
        <w:rPr>
          <w:rFonts w:hint="eastAsia" w:ascii="宋体" w:hAnsi="宋体" w:cs="宋体"/>
          <w:b/>
          <w:bCs/>
          <w:color w:val="auto"/>
          <w:kern w:val="0"/>
          <w:szCs w:val="24"/>
          <w:highlight w:val="none"/>
        </w:rPr>
      </w:pPr>
    </w:p>
    <w:p w14:paraId="522904CD">
      <w:pPr>
        <w:tabs>
          <w:tab w:val="left" w:pos="1305"/>
        </w:tabs>
        <w:spacing w:line="400" w:lineRule="exact"/>
        <w:ind w:firstLine="482"/>
        <w:rPr>
          <w:rFonts w:hint="eastAsia" w:ascii="宋体" w:hAnsi="宋体" w:cs="宋体"/>
          <w:b/>
          <w:bCs/>
          <w:color w:val="auto"/>
          <w:kern w:val="0"/>
          <w:szCs w:val="24"/>
          <w:highlight w:val="none"/>
        </w:rPr>
      </w:pPr>
    </w:p>
    <w:p w14:paraId="68084421">
      <w:pPr>
        <w:tabs>
          <w:tab w:val="left" w:pos="1305"/>
        </w:tabs>
        <w:spacing w:line="400" w:lineRule="exact"/>
        <w:ind w:firstLine="482"/>
        <w:rPr>
          <w:rFonts w:hint="eastAsia" w:ascii="宋体" w:hAnsi="宋体" w:cs="宋体"/>
          <w:b/>
          <w:bCs/>
          <w:color w:val="auto"/>
          <w:kern w:val="0"/>
          <w:szCs w:val="24"/>
          <w:highlight w:val="none"/>
        </w:rPr>
      </w:pPr>
    </w:p>
    <w:p w14:paraId="60F56E24">
      <w:pPr>
        <w:tabs>
          <w:tab w:val="left" w:pos="1305"/>
        </w:tabs>
        <w:spacing w:line="400" w:lineRule="exact"/>
        <w:ind w:firstLine="562"/>
        <w:rPr>
          <w:rFonts w:hint="eastAsia" w:ascii="宋体" w:hAnsi="宋体" w:cs="宋体"/>
          <w:b/>
          <w:color w:val="auto"/>
          <w:kern w:val="0"/>
          <w:sz w:val="28"/>
          <w:szCs w:val="28"/>
          <w:highlight w:val="none"/>
        </w:rPr>
      </w:pPr>
    </w:p>
    <w:p w14:paraId="3FF4A5F9">
      <w:pPr>
        <w:tabs>
          <w:tab w:val="left" w:pos="1305"/>
        </w:tabs>
        <w:spacing w:line="400" w:lineRule="exact"/>
        <w:ind w:firstLine="562"/>
        <w:rPr>
          <w:rFonts w:hint="eastAsia" w:ascii="宋体" w:hAnsi="宋体" w:cs="宋体"/>
          <w:b/>
          <w:color w:val="auto"/>
          <w:kern w:val="0"/>
          <w:sz w:val="28"/>
          <w:szCs w:val="28"/>
          <w:highlight w:val="none"/>
        </w:rPr>
      </w:pPr>
    </w:p>
    <w:p w14:paraId="4C88F269">
      <w:pPr>
        <w:tabs>
          <w:tab w:val="left" w:pos="1305"/>
        </w:tabs>
        <w:spacing w:line="400" w:lineRule="exact"/>
        <w:ind w:firstLine="562"/>
        <w:rPr>
          <w:rFonts w:hint="eastAsia" w:ascii="宋体" w:hAnsi="宋体" w:cs="宋体"/>
          <w:b/>
          <w:color w:val="auto"/>
          <w:kern w:val="0"/>
          <w:sz w:val="28"/>
          <w:szCs w:val="28"/>
          <w:highlight w:val="none"/>
        </w:rPr>
      </w:pPr>
    </w:p>
    <w:p w14:paraId="4AFA01AF">
      <w:pPr>
        <w:tabs>
          <w:tab w:val="left" w:pos="1305"/>
        </w:tabs>
        <w:spacing w:line="400" w:lineRule="exact"/>
        <w:ind w:firstLine="562"/>
        <w:rPr>
          <w:rFonts w:hint="eastAsia" w:ascii="宋体" w:hAnsi="宋体" w:cs="宋体"/>
          <w:b/>
          <w:color w:val="auto"/>
          <w:kern w:val="0"/>
          <w:sz w:val="28"/>
          <w:szCs w:val="28"/>
          <w:highlight w:val="none"/>
        </w:rPr>
      </w:pPr>
    </w:p>
    <w:p w14:paraId="1CF0C43F">
      <w:pPr>
        <w:tabs>
          <w:tab w:val="left" w:pos="1305"/>
        </w:tabs>
        <w:spacing w:line="400" w:lineRule="exact"/>
        <w:ind w:firstLine="562"/>
        <w:rPr>
          <w:rFonts w:hint="eastAsia" w:ascii="宋体" w:hAnsi="宋体" w:cs="宋体"/>
          <w:b/>
          <w:color w:val="auto"/>
          <w:kern w:val="0"/>
          <w:sz w:val="28"/>
          <w:szCs w:val="28"/>
          <w:highlight w:val="none"/>
        </w:rPr>
      </w:pPr>
    </w:p>
    <w:p w14:paraId="64B46374">
      <w:pPr>
        <w:tabs>
          <w:tab w:val="left" w:pos="1305"/>
        </w:tabs>
        <w:spacing w:line="400" w:lineRule="exact"/>
        <w:ind w:firstLine="562"/>
        <w:rPr>
          <w:rFonts w:hint="eastAsia" w:ascii="宋体" w:hAnsi="宋体" w:cs="宋体"/>
          <w:b/>
          <w:color w:val="auto"/>
          <w:kern w:val="0"/>
          <w:sz w:val="28"/>
          <w:szCs w:val="28"/>
          <w:highlight w:val="none"/>
        </w:rPr>
      </w:pPr>
    </w:p>
    <w:p w14:paraId="647549E2">
      <w:pPr>
        <w:tabs>
          <w:tab w:val="left" w:pos="1305"/>
        </w:tabs>
        <w:spacing w:line="400" w:lineRule="exact"/>
        <w:ind w:firstLine="562"/>
        <w:rPr>
          <w:rFonts w:hint="eastAsia" w:ascii="宋体" w:hAnsi="宋体" w:cs="宋体"/>
          <w:b/>
          <w:color w:val="auto"/>
          <w:kern w:val="0"/>
          <w:sz w:val="28"/>
          <w:szCs w:val="28"/>
          <w:highlight w:val="none"/>
        </w:rPr>
      </w:pPr>
    </w:p>
    <w:p w14:paraId="7E24FF83">
      <w:pPr>
        <w:tabs>
          <w:tab w:val="left" w:pos="1305"/>
        </w:tabs>
        <w:spacing w:line="400" w:lineRule="exact"/>
        <w:ind w:firstLine="562"/>
        <w:rPr>
          <w:rFonts w:hint="eastAsia" w:ascii="宋体" w:hAnsi="宋体" w:cs="宋体"/>
          <w:b/>
          <w:color w:val="auto"/>
          <w:kern w:val="0"/>
          <w:sz w:val="28"/>
          <w:szCs w:val="28"/>
          <w:highlight w:val="none"/>
        </w:rPr>
      </w:pPr>
    </w:p>
    <w:p w14:paraId="55B1A6EA">
      <w:pPr>
        <w:tabs>
          <w:tab w:val="left" w:pos="1305"/>
        </w:tabs>
        <w:spacing w:line="400" w:lineRule="exact"/>
        <w:ind w:firstLine="562"/>
        <w:rPr>
          <w:rFonts w:hint="eastAsia" w:ascii="宋体" w:hAnsi="宋体" w:cs="宋体"/>
          <w:b/>
          <w:color w:val="auto"/>
          <w:kern w:val="0"/>
          <w:sz w:val="28"/>
          <w:szCs w:val="28"/>
          <w:highlight w:val="none"/>
        </w:rPr>
      </w:pPr>
    </w:p>
    <w:p w14:paraId="4CDBF36D">
      <w:pPr>
        <w:tabs>
          <w:tab w:val="left" w:pos="1305"/>
        </w:tabs>
        <w:spacing w:line="400" w:lineRule="exact"/>
        <w:ind w:firstLine="562"/>
        <w:rPr>
          <w:rFonts w:hint="eastAsia" w:ascii="宋体" w:hAnsi="宋体" w:cs="宋体"/>
          <w:b/>
          <w:color w:val="auto"/>
          <w:kern w:val="0"/>
          <w:sz w:val="28"/>
          <w:szCs w:val="28"/>
          <w:highlight w:val="none"/>
        </w:rPr>
      </w:pPr>
    </w:p>
    <w:p w14:paraId="0934AD6B">
      <w:pPr>
        <w:tabs>
          <w:tab w:val="left" w:pos="1305"/>
        </w:tabs>
        <w:spacing w:line="400" w:lineRule="exact"/>
        <w:ind w:firstLine="562"/>
        <w:rPr>
          <w:rFonts w:hint="eastAsia" w:ascii="宋体" w:hAnsi="宋体" w:cs="宋体"/>
          <w:b/>
          <w:color w:val="auto"/>
          <w:kern w:val="0"/>
          <w:sz w:val="28"/>
          <w:szCs w:val="28"/>
          <w:highlight w:val="none"/>
        </w:rPr>
      </w:pPr>
    </w:p>
    <w:p w14:paraId="3DC18E25">
      <w:pPr>
        <w:tabs>
          <w:tab w:val="left" w:pos="1305"/>
        </w:tabs>
        <w:spacing w:line="400" w:lineRule="exact"/>
        <w:ind w:firstLine="562"/>
        <w:rPr>
          <w:rFonts w:hint="eastAsia" w:ascii="宋体" w:hAnsi="宋体" w:cs="宋体"/>
          <w:b/>
          <w:color w:val="auto"/>
          <w:kern w:val="0"/>
          <w:sz w:val="28"/>
          <w:szCs w:val="28"/>
          <w:highlight w:val="none"/>
        </w:rPr>
      </w:pPr>
    </w:p>
    <w:p w14:paraId="50F670C8">
      <w:pPr>
        <w:tabs>
          <w:tab w:val="left" w:pos="1305"/>
        </w:tabs>
        <w:spacing w:line="400" w:lineRule="exact"/>
        <w:ind w:firstLine="562"/>
        <w:rPr>
          <w:rFonts w:hint="eastAsia" w:ascii="宋体" w:hAnsi="宋体" w:cs="宋体"/>
          <w:b/>
          <w:color w:val="auto"/>
          <w:kern w:val="0"/>
          <w:sz w:val="28"/>
          <w:szCs w:val="28"/>
          <w:highlight w:val="none"/>
        </w:rPr>
      </w:pPr>
    </w:p>
    <w:p w14:paraId="118C8573">
      <w:pPr>
        <w:tabs>
          <w:tab w:val="left" w:pos="1305"/>
        </w:tabs>
        <w:spacing w:line="400" w:lineRule="exact"/>
        <w:ind w:firstLine="562"/>
        <w:rPr>
          <w:rFonts w:hint="eastAsia" w:ascii="宋体" w:hAnsi="宋体" w:cs="宋体"/>
          <w:b/>
          <w:color w:val="auto"/>
          <w:kern w:val="0"/>
          <w:sz w:val="28"/>
          <w:szCs w:val="28"/>
          <w:highlight w:val="none"/>
        </w:rPr>
      </w:pPr>
    </w:p>
    <w:p w14:paraId="085510E8">
      <w:pPr>
        <w:tabs>
          <w:tab w:val="left" w:pos="1305"/>
        </w:tabs>
        <w:spacing w:line="400" w:lineRule="exact"/>
        <w:ind w:firstLine="562"/>
        <w:rPr>
          <w:rFonts w:hint="eastAsia" w:ascii="宋体" w:hAnsi="宋体" w:cs="宋体"/>
          <w:b/>
          <w:color w:val="auto"/>
          <w:kern w:val="0"/>
          <w:sz w:val="28"/>
          <w:szCs w:val="28"/>
          <w:highlight w:val="none"/>
        </w:rPr>
      </w:pPr>
    </w:p>
    <w:p w14:paraId="1F051583">
      <w:pPr>
        <w:tabs>
          <w:tab w:val="left" w:pos="1305"/>
        </w:tabs>
        <w:spacing w:line="400" w:lineRule="exact"/>
        <w:ind w:firstLine="562"/>
        <w:rPr>
          <w:rFonts w:hint="eastAsia" w:ascii="宋体" w:hAnsi="宋体" w:cs="宋体"/>
          <w:b/>
          <w:color w:val="auto"/>
          <w:kern w:val="0"/>
          <w:sz w:val="28"/>
          <w:szCs w:val="28"/>
          <w:highlight w:val="none"/>
        </w:rPr>
      </w:pPr>
    </w:p>
    <w:p w14:paraId="3FD94A6E">
      <w:pPr>
        <w:tabs>
          <w:tab w:val="left" w:pos="1305"/>
        </w:tabs>
        <w:spacing w:line="400" w:lineRule="exact"/>
        <w:ind w:firstLine="562"/>
        <w:rPr>
          <w:rFonts w:hint="eastAsia" w:ascii="宋体" w:hAnsi="宋体" w:cs="宋体"/>
          <w:b/>
          <w:color w:val="auto"/>
          <w:kern w:val="0"/>
          <w:sz w:val="28"/>
          <w:szCs w:val="28"/>
          <w:highlight w:val="none"/>
        </w:rPr>
      </w:pPr>
    </w:p>
    <w:p w14:paraId="2B41E6C6">
      <w:pPr>
        <w:tabs>
          <w:tab w:val="left" w:pos="1305"/>
        </w:tabs>
        <w:spacing w:line="400" w:lineRule="exact"/>
        <w:ind w:firstLine="562"/>
        <w:rPr>
          <w:rFonts w:hint="eastAsia" w:ascii="宋体" w:hAnsi="宋体" w:cs="宋体"/>
          <w:b/>
          <w:color w:val="auto"/>
          <w:kern w:val="0"/>
          <w:sz w:val="28"/>
          <w:szCs w:val="28"/>
          <w:highlight w:val="none"/>
        </w:rPr>
      </w:pPr>
    </w:p>
    <w:p w14:paraId="6483F23A">
      <w:pPr>
        <w:tabs>
          <w:tab w:val="left" w:pos="1305"/>
        </w:tabs>
        <w:spacing w:line="400" w:lineRule="exact"/>
        <w:ind w:firstLine="562"/>
        <w:rPr>
          <w:rFonts w:hint="eastAsia" w:ascii="宋体" w:hAnsi="宋体" w:cs="宋体"/>
          <w:b/>
          <w:color w:val="auto"/>
          <w:kern w:val="0"/>
          <w:sz w:val="28"/>
          <w:szCs w:val="28"/>
          <w:highlight w:val="none"/>
        </w:rPr>
      </w:pPr>
    </w:p>
    <w:p w14:paraId="10A57F42">
      <w:pPr>
        <w:tabs>
          <w:tab w:val="left" w:pos="1305"/>
        </w:tabs>
        <w:spacing w:line="400" w:lineRule="exact"/>
        <w:ind w:firstLine="562"/>
        <w:rPr>
          <w:rFonts w:hint="eastAsia" w:ascii="宋体" w:hAnsi="宋体" w:cs="宋体"/>
          <w:b/>
          <w:color w:val="auto"/>
          <w:kern w:val="0"/>
          <w:sz w:val="28"/>
          <w:szCs w:val="28"/>
          <w:highlight w:val="none"/>
        </w:rPr>
      </w:pPr>
    </w:p>
    <w:p w14:paraId="1FB9C949">
      <w:pPr>
        <w:tabs>
          <w:tab w:val="left" w:pos="1305"/>
        </w:tabs>
        <w:spacing w:line="400" w:lineRule="exact"/>
        <w:ind w:firstLine="562"/>
        <w:rPr>
          <w:rFonts w:hint="eastAsia" w:ascii="宋体" w:hAnsi="宋体" w:cs="宋体"/>
          <w:b/>
          <w:color w:val="auto"/>
          <w:kern w:val="0"/>
          <w:sz w:val="28"/>
          <w:szCs w:val="28"/>
          <w:highlight w:val="none"/>
        </w:rPr>
      </w:pPr>
    </w:p>
    <w:p w14:paraId="0DD0DB90">
      <w:pPr>
        <w:tabs>
          <w:tab w:val="left" w:pos="1305"/>
        </w:tabs>
        <w:spacing w:line="400" w:lineRule="exact"/>
        <w:ind w:firstLine="0" w:firstLineChars="0"/>
        <w:jc w:val="left"/>
        <w:rPr>
          <w:rFonts w:hint="eastAsia" w:ascii="宋体" w:hAnsi="宋体" w:cs="宋体"/>
          <w:b/>
          <w:color w:val="auto"/>
          <w:kern w:val="0"/>
          <w:sz w:val="28"/>
          <w:szCs w:val="28"/>
          <w:highlight w:val="none"/>
        </w:rPr>
      </w:pPr>
    </w:p>
    <w:p w14:paraId="40A4F461">
      <w:pPr>
        <w:tabs>
          <w:tab w:val="left" w:pos="1305"/>
        </w:tabs>
        <w:spacing w:line="400" w:lineRule="exact"/>
        <w:ind w:firstLine="0" w:firstLineChars="0"/>
        <w:jc w:val="left"/>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1.响应函（必须提供）</w:t>
      </w:r>
    </w:p>
    <w:p w14:paraId="4FBEBF4A">
      <w:pPr>
        <w:spacing w:line="440" w:lineRule="atLeast"/>
        <w:ind w:firstLine="0" w:firstLineChars="0"/>
        <w:rPr>
          <w:rFonts w:hint="eastAsia" w:ascii="宋体" w:hAnsi="宋体" w:cs="宋体"/>
          <w:b/>
          <w:color w:val="auto"/>
          <w:kern w:val="0"/>
          <w:szCs w:val="24"/>
          <w:highlight w:val="none"/>
          <w:lang w:eastAsia="zh-CN"/>
        </w:rPr>
      </w:pPr>
      <w:r>
        <w:rPr>
          <w:rFonts w:hint="eastAsia" w:ascii="宋体" w:hAnsi="宋体" w:cs="宋体"/>
          <w:b/>
          <w:color w:val="auto"/>
          <w:kern w:val="0"/>
          <w:sz w:val="28"/>
          <w:szCs w:val="28"/>
          <w:highlight w:val="none"/>
          <w:lang w:eastAsia="zh-CN"/>
        </w:rPr>
        <w:t>分标</w:t>
      </w:r>
      <w:r>
        <w:rPr>
          <w:rFonts w:hint="eastAsia" w:ascii="宋体" w:hAnsi="宋体" w:cs="宋体"/>
          <w:b/>
          <w:color w:val="auto"/>
          <w:kern w:val="0"/>
          <w:sz w:val="28"/>
          <w:szCs w:val="28"/>
          <w:highlight w:val="none"/>
          <w:lang w:val="en-US" w:eastAsia="zh-CN"/>
        </w:rPr>
        <w:t>1：</w:t>
      </w:r>
    </w:p>
    <w:p w14:paraId="4ECD085D">
      <w:pPr>
        <w:spacing w:line="440" w:lineRule="atLeast"/>
        <w:ind w:firstLine="482" w:firstLineChars="200"/>
        <w:rPr>
          <w:rFonts w:hint="eastAsia" w:ascii="宋体" w:hAnsi="宋体" w:cs="宋体"/>
          <w:b/>
          <w:color w:val="auto"/>
          <w:kern w:val="0"/>
          <w:szCs w:val="24"/>
          <w:highlight w:val="none"/>
        </w:rPr>
      </w:pPr>
      <w:r>
        <w:rPr>
          <w:rFonts w:hint="eastAsia" w:ascii="宋体" w:hAnsi="宋体" w:cs="宋体"/>
          <w:b/>
          <w:color w:val="auto"/>
          <w:kern w:val="0"/>
          <w:szCs w:val="24"/>
          <w:highlight w:val="none"/>
        </w:rPr>
        <w:t>附件：</w:t>
      </w:r>
    </w:p>
    <w:p w14:paraId="42F3CFD1">
      <w:pPr>
        <w:spacing w:line="240" w:lineRule="auto"/>
        <w:ind w:firstLine="803" w:firstLineChars="250"/>
        <w:jc w:val="center"/>
        <w:outlineLvl w:val="2"/>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lang w:val="en-US" w:eastAsia="zh-CN"/>
        </w:rPr>
        <w:t>1.1</w:t>
      </w:r>
      <w:r>
        <w:rPr>
          <w:rFonts w:hint="eastAsia" w:ascii="宋体" w:hAnsi="宋体" w:cs="宋体"/>
          <w:b/>
          <w:color w:val="auto"/>
          <w:kern w:val="0"/>
          <w:sz w:val="32"/>
          <w:szCs w:val="20"/>
          <w:highlight w:val="none"/>
        </w:rPr>
        <w:t>响 应 函 （格 式）</w:t>
      </w:r>
    </w:p>
    <w:p w14:paraId="726F2C7A">
      <w:pPr>
        <w:spacing w:line="40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lang w:eastAsia="zh-CN"/>
        </w:rPr>
        <w:t>江西银信工程造价咨询有限公司</w:t>
      </w:r>
      <w:r>
        <w:rPr>
          <w:rFonts w:hint="eastAsia" w:ascii="宋体" w:hAnsi="宋体" w:cs="宋体"/>
          <w:color w:val="auto"/>
          <w:kern w:val="0"/>
          <w:sz w:val="21"/>
          <w:szCs w:val="21"/>
          <w:highlight w:val="none"/>
          <w:u w:val="single"/>
        </w:rPr>
        <w:t xml:space="preserve"> </w:t>
      </w:r>
    </w:p>
    <w:p w14:paraId="7C27F194">
      <w:pPr>
        <w:wordWrap w:val="0"/>
        <w:spacing w:line="320" w:lineRule="exact"/>
        <w:ind w:left="120" w:leftChars="50" w:firstLine="315" w:firstLineChars="150"/>
        <w:rPr>
          <w:rFonts w:hint="eastAsia" w:ascii="宋体" w:hAnsi="宋体" w:cs="宋体"/>
          <w:color w:val="auto"/>
          <w:kern w:val="0"/>
          <w:sz w:val="21"/>
          <w:szCs w:val="20"/>
          <w:highlight w:val="none"/>
        </w:rPr>
      </w:pP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3260725</wp:posOffset>
                </wp:positionH>
                <wp:positionV relativeFrom="paragraph">
                  <wp:posOffset>188595</wp:posOffset>
                </wp:positionV>
                <wp:extent cx="1000125" cy="0"/>
                <wp:effectExtent l="0" t="5080" r="0" b="4445"/>
                <wp:wrapNone/>
                <wp:docPr id="14" name="直接连接符 14"/>
                <wp:cNvGraphicFramePr/>
                <a:graphic xmlns:a="http://schemas.openxmlformats.org/drawingml/2006/main">
                  <a:graphicData uri="http://schemas.microsoft.com/office/word/2010/wordprocessingShape">
                    <wps:wsp>
                      <wps:cNvCnPr/>
                      <wps:spPr>
                        <a:xfrm>
                          <a:off x="4151630" y="3039110"/>
                          <a:ext cx="1000125"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6.75pt;margin-top:14.85pt;height:0pt;width:78.75pt;z-index:251664384;mso-width-relative:page;mso-height-relative:page;" filled="f" stroked="t" coordsize="21600,21600" o:gfxdata="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6Ac8/Z&#10;AAAACQEAAA8AAAAAAAAAAQAgAAAAIgAAAGRycy9kb3ducmV2LnhtbFBLAQIUABQAAAAIAIdO4kBU&#10;OxmY5gEAAKgDAAAOAAAAAAAAAAEAIAAAACgBAABkcnMvZTJvRG9jLnhtbFBLBQYAAAAABgAGAFkB&#10;AACABQAAAAA=&#10;">
                <v:fill on="f" focussize="0,0"/>
                <v:stroke weight="0.25pt" color="#000000 [3213]" joinstyle="round"/>
                <v:imagedata o:title=""/>
                <o:lock v:ext="edit" aspectratio="f"/>
              </v:lin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803275</wp:posOffset>
                </wp:positionH>
                <wp:positionV relativeFrom="paragraph">
                  <wp:posOffset>188595</wp:posOffset>
                </wp:positionV>
                <wp:extent cx="1028700" cy="0"/>
                <wp:effectExtent l="0" t="4445" r="0" b="5080"/>
                <wp:wrapNone/>
                <wp:docPr id="13" name="直接连接符 13"/>
                <wp:cNvGraphicFramePr/>
                <a:graphic xmlns:a="http://schemas.openxmlformats.org/drawingml/2006/main">
                  <a:graphicData uri="http://schemas.microsoft.com/office/word/2010/wordprocessingShape">
                    <wps:wsp>
                      <wps:cNvCnPr/>
                      <wps:spPr>
                        <a:xfrm>
                          <a:off x="1703705" y="2924810"/>
                          <a:ext cx="1028700"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3.25pt;margin-top:14.85pt;height:0pt;width:81pt;z-index:251663360;mso-width-relative:page;mso-height-relative:page;" filled="f" stroked="t" coordsize="21600,21600" o:gfxdata="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oQ/f2AAA&#10;AAkBAAAPAAAAAAAAAAEAIAAAACIAAABkcnMvZG93bnJldi54bWxQSwECFAAUAAAACACHTuJA+S1W&#10;meUBAACoAwAADgAAAAAAAAABACAAAAAnAQAAZHJzL2Uyb0RvYy54bWxQSwUGAAAAAAYABgBZAQAA&#10;fgUAAAAA&#10;">
                <v:fill on="f" focussize="0,0"/>
                <v:stroke weight="0.25pt" color="#000000 [3213]" joinstyle="round"/>
                <v:imagedata o:title=""/>
                <o:lock v:ext="edit" aspectratio="f"/>
              </v:line>
            </w:pict>
          </mc:Fallback>
        </mc:AlternateContent>
      </w:r>
      <w:r>
        <w:rPr>
          <w:rFonts w:hint="eastAsia" w:ascii="宋体" w:hAnsi="宋体" w:cs="宋体"/>
          <w:color w:val="auto"/>
          <w:kern w:val="0"/>
          <w:sz w:val="21"/>
          <w:szCs w:val="20"/>
          <w:highlight w:val="none"/>
        </w:rPr>
        <w:t>根据贵方</w:t>
      </w:r>
      <w:r>
        <w:rPr>
          <w:rFonts w:hint="eastAsia" w:ascii="宋体" w:hAnsi="宋体" w:cs="宋体"/>
          <w:color w:val="auto"/>
          <w:kern w:val="0"/>
          <w:sz w:val="21"/>
          <w:szCs w:val="20"/>
          <w:highlight w:val="none"/>
          <w:u w:val="none"/>
        </w:rPr>
        <w:t xml:space="preserve">               </w:t>
      </w:r>
      <w:r>
        <w:rPr>
          <w:rFonts w:hint="eastAsia" w:ascii="宋体" w:hAnsi="宋体" w:cs="宋体"/>
          <w:color w:val="auto"/>
          <w:kern w:val="0"/>
          <w:sz w:val="21"/>
          <w:szCs w:val="20"/>
          <w:highlight w:val="none"/>
        </w:rPr>
        <w:t>项目谈判文件，项目编号</w:t>
      </w:r>
      <w:r>
        <w:rPr>
          <w:rFonts w:hint="eastAsia" w:ascii="宋体" w:hAnsi="宋体" w:cs="宋体"/>
          <w:color w:val="auto"/>
          <w:kern w:val="0"/>
          <w:sz w:val="21"/>
          <w:szCs w:val="20"/>
          <w:highlight w:val="none"/>
          <w:u w:val="none"/>
        </w:rPr>
        <w:t xml:space="preserve">               </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标项：</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u w:val="single"/>
          <w:lang w:val="en-US" w:eastAsia="zh-CN"/>
        </w:rPr>
        <w:t xml:space="preserve">    </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（姓名）经正式授权并代表供应商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rPr>
        <w:t>供应商单位名称</w:t>
      </w:r>
      <w:r>
        <w:rPr>
          <w:rFonts w:hint="eastAsia" w:ascii="宋体" w:hAnsi="宋体" w:cs="宋体"/>
          <w:color w:val="auto"/>
          <w:kern w:val="0"/>
          <w:sz w:val="21"/>
          <w:szCs w:val="20"/>
          <w:highlight w:val="none"/>
        </w:rPr>
        <w:t>），提交响应文件。</w:t>
      </w:r>
    </w:p>
    <w:p w14:paraId="142E1CED">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42126BB6">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1.按谈判文件采购需求，谈判报价详见“谈判报价表”。</w:t>
      </w:r>
    </w:p>
    <w:p w14:paraId="1B978D6D">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2.我方承诺已具备谈判文件规定的供应商资格条件。</w:t>
      </w:r>
    </w:p>
    <w:p w14:paraId="03E3A672">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3.我方已详细审核谈判文件，包括修改文件（如有的话）和有关附件，将自行承担因对全部谈判文件理解不正确或误解而产生的相应后果。 </w:t>
      </w:r>
    </w:p>
    <w:p w14:paraId="7A2B3A6E">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02B74DDC">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42847936">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（1）我方承诺在收到成交通知书后，在成交通知书规定的期限内与采购人签订合同。</w:t>
      </w:r>
    </w:p>
    <w:p w14:paraId="62AE3FDA">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（2）我方承诺按照谈判文件规定提交履约担保。</w:t>
      </w:r>
    </w:p>
    <w:p w14:paraId="1ABBF31E">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（3）我方承诺本响应文件至本项目合同履行完毕止均保持有效，按谈判文件及政府采购法律、法规的规定履行合同责任和义务。</w:t>
      </w:r>
    </w:p>
    <w:p w14:paraId="67617625">
      <w:pPr>
        <w:spacing w:line="32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（4）保证在成交公告发布之日起5个工作日内，按本项目谈判文件的规定及标准向贵单位一次性足额支付代理服务费。代理服务费发票我方选择开具：</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u w:val="single"/>
        </w:rPr>
        <w:t>增值税普通发票</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u w:val="single"/>
        </w:rPr>
        <w:t>增值税专用发票。</w:t>
      </w:r>
    </w:p>
    <w:p w14:paraId="5D858060">
      <w:pPr>
        <w:spacing w:line="320" w:lineRule="exact"/>
        <w:ind w:firstLine="420" w:firstLineChars="0"/>
        <w:rPr>
          <w:rFonts w:hint="eastAsia" w:ascii="宋体" w:hAnsi="宋体" w:cs="宋体"/>
          <w:color w:val="auto"/>
          <w:kern w:val="0"/>
          <w:sz w:val="21"/>
          <w:szCs w:val="20"/>
          <w:highlight w:val="none"/>
        </w:rPr>
      </w:pPr>
    </w:p>
    <w:p w14:paraId="76FAC0A8">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r>
        <w:rPr>
          <w:rFonts w:hint="eastAsia" w:ascii="宋体" w:hAnsi="宋体" w:cs="宋体"/>
          <w:color w:val="auto"/>
          <w:kern w:val="0"/>
          <w:sz w:val="21"/>
          <w:szCs w:val="20"/>
          <w:highlight w:val="none"/>
          <w:u w:val="single"/>
        </w:rPr>
        <w:t xml:space="preserve">                      </w:t>
      </w:r>
    </w:p>
    <w:p w14:paraId="581879D1">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地址：邮编：邮箱：</w:t>
      </w:r>
      <w:r>
        <w:rPr>
          <w:rFonts w:hint="eastAsia" w:ascii="宋体" w:hAnsi="宋体" w:cs="宋体"/>
          <w:color w:val="auto"/>
          <w:kern w:val="0"/>
          <w:sz w:val="21"/>
          <w:szCs w:val="20"/>
          <w:highlight w:val="none"/>
          <w:u w:val="single"/>
        </w:rPr>
        <w:t xml:space="preserve">                                  </w:t>
      </w:r>
    </w:p>
    <w:p w14:paraId="217281A1">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办公电话：传真：</w:t>
      </w:r>
      <w:r>
        <w:rPr>
          <w:rFonts w:hint="eastAsia" w:ascii="宋体" w:hAnsi="宋体" w:cs="宋体"/>
          <w:color w:val="auto"/>
          <w:kern w:val="0"/>
          <w:sz w:val="21"/>
          <w:szCs w:val="20"/>
          <w:highlight w:val="none"/>
          <w:u w:val="single"/>
        </w:rPr>
        <w:t xml:space="preserve">                                    </w:t>
      </w:r>
    </w:p>
    <w:p w14:paraId="0236F402">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500C6EFB">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1E85AEF8">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06BD4423">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72F33693">
      <w:pPr>
        <w:spacing w:line="340" w:lineRule="exact"/>
        <w:ind w:firstLine="420" w:firstLineChars="0"/>
        <w:rPr>
          <w:rFonts w:hint="eastAsia" w:ascii="宋体" w:hAnsi="宋体" w:cs="宋体"/>
          <w:color w:val="auto"/>
          <w:kern w:val="0"/>
          <w:sz w:val="21"/>
          <w:szCs w:val="20"/>
          <w:highlight w:val="none"/>
        </w:rPr>
      </w:pPr>
    </w:p>
    <w:p w14:paraId="77A5090C">
      <w:pPr>
        <w:adjustRightInd w:val="0"/>
        <w:snapToGrid w:val="0"/>
        <w:spacing w:line="400" w:lineRule="exact"/>
        <w:ind w:firstLine="210" w:firstLineChars="10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6F7FB3C7">
      <w:pPr>
        <w:adjustRightInd w:val="0"/>
        <w:snapToGrid w:val="0"/>
        <w:spacing w:line="400" w:lineRule="exact"/>
        <w:ind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rPr>
        <w:t>法定代表人或委托代理人签字（或电子签名）：</w:t>
      </w:r>
    </w:p>
    <w:p w14:paraId="4177B18A">
      <w:pPr>
        <w:adjustRightInd w:val="0"/>
        <w:snapToGrid w:val="0"/>
        <w:spacing w:line="400" w:lineRule="exact"/>
        <w:ind w:firstLine="210" w:firstLineChars="100"/>
        <w:rPr>
          <w:rFonts w:hint="eastAsia" w:ascii="宋体" w:hAnsi="宋体" w:cs="宋体"/>
          <w:color w:val="auto"/>
          <w:sz w:val="24"/>
          <w:szCs w:val="24"/>
          <w:highlight w:val="none"/>
        </w:rPr>
      </w:pPr>
      <w:r>
        <w:rPr>
          <w:rFonts w:hint="eastAsia" w:ascii="宋体" w:hAnsi="宋体" w:cs="宋体"/>
          <w:color w:val="auto"/>
          <w:sz w:val="21"/>
          <w:szCs w:val="21"/>
          <w:highlight w:val="none"/>
        </w:rPr>
        <w:t>日          期：</w:t>
      </w:r>
    </w:p>
    <w:p w14:paraId="5D9BB019">
      <w:pPr>
        <w:spacing w:line="340" w:lineRule="exact"/>
        <w:ind w:left="0" w:leftChars="0" w:firstLine="0" w:firstLineChars="0"/>
        <w:rPr>
          <w:rFonts w:hint="eastAsia" w:ascii="宋体" w:hAnsi="宋体" w:cs="宋体"/>
          <w:bCs/>
          <w:color w:val="auto"/>
          <w:sz w:val="21"/>
          <w:szCs w:val="20"/>
          <w:highlight w:val="none"/>
        </w:rPr>
      </w:pPr>
    </w:p>
    <w:p w14:paraId="3931E38A">
      <w:pPr>
        <w:spacing w:line="34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注：1.未按照本响应函（格式）要求填报的响应函将被视为非实质性响应竞争性谈判文件要求，从而导致该响应被拒绝。</w:t>
      </w:r>
    </w:p>
    <w:p w14:paraId="346522D6">
      <w:pPr>
        <w:spacing w:line="340" w:lineRule="exact"/>
        <w:ind w:firstLine="420"/>
        <w:rPr>
          <w:rFonts w:hint="eastAsia" w:ascii="宋体" w:hAnsi="宋体" w:cs="宋体"/>
          <w:bCs/>
          <w:color w:val="auto"/>
          <w:sz w:val="21"/>
          <w:szCs w:val="21"/>
          <w:highlight w:val="none"/>
        </w:rPr>
        <w:sectPr>
          <w:pgSz w:w="11906" w:h="16838"/>
          <w:pgMar w:top="1440" w:right="1800" w:bottom="1440" w:left="1418" w:header="851" w:footer="992" w:gutter="0"/>
          <w:pgNumType w:fmt="decimal"/>
          <w:cols w:space="720" w:num="1"/>
          <w:docGrid w:type="lines" w:linePitch="326" w:charSpace="0"/>
        </w:sectPr>
      </w:pP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742246CF">
      <w:pPr>
        <w:spacing w:line="440" w:lineRule="atLeast"/>
        <w:ind w:firstLine="0" w:firstLineChars="0"/>
        <w:rPr>
          <w:rFonts w:hint="eastAsia" w:ascii="宋体" w:hAnsi="宋体" w:eastAsia="宋体" w:cs="宋体"/>
          <w:b/>
          <w:color w:val="auto"/>
          <w:kern w:val="0"/>
          <w:szCs w:val="24"/>
          <w:highlight w:val="none"/>
          <w:lang w:val="en-US" w:eastAsia="zh-CN"/>
        </w:rPr>
      </w:pPr>
      <w:r>
        <w:rPr>
          <w:rFonts w:hint="eastAsia" w:ascii="宋体" w:hAnsi="宋体" w:eastAsia="宋体" w:cs="宋体"/>
          <w:b/>
          <w:color w:val="auto"/>
          <w:kern w:val="0"/>
          <w:szCs w:val="24"/>
          <w:highlight w:val="none"/>
          <w:lang w:eastAsia="zh-CN"/>
        </w:rPr>
        <w:t>分标</w:t>
      </w:r>
      <w:r>
        <w:rPr>
          <w:rFonts w:hint="eastAsia" w:ascii="宋体" w:hAnsi="宋体" w:eastAsia="宋体" w:cs="宋体"/>
          <w:b/>
          <w:color w:val="auto"/>
          <w:kern w:val="0"/>
          <w:szCs w:val="24"/>
          <w:highlight w:val="none"/>
          <w:lang w:val="en-US" w:eastAsia="zh-CN"/>
        </w:rPr>
        <w:t>2：</w:t>
      </w:r>
    </w:p>
    <w:p w14:paraId="206B0A15">
      <w:pPr>
        <w:pageBreakBefore w:val="0"/>
        <w:kinsoku/>
        <w:wordWrap/>
        <w:overflowPunct/>
        <w:topLinePunct w:val="0"/>
        <w:bidi w:val="0"/>
        <w:adjustRightInd/>
        <w:spacing w:line="360" w:lineRule="auto"/>
        <w:ind w:left="0" w:leftChars="0" w:right="0"/>
        <w:jc w:val="center"/>
        <w:textAlignment w:val="auto"/>
        <w:outlineLvl w:val="2"/>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lang w:val="en-US" w:eastAsia="zh-CN"/>
        </w:rPr>
        <w:t>1.2</w:t>
      </w:r>
      <w:r>
        <w:rPr>
          <w:rFonts w:hint="eastAsia" w:ascii="宋体" w:hAnsi="宋体" w:cs="宋体"/>
          <w:b/>
          <w:color w:val="auto"/>
          <w:kern w:val="0"/>
          <w:sz w:val="32"/>
          <w:szCs w:val="20"/>
          <w:highlight w:val="none"/>
        </w:rPr>
        <w:t>响 应 函 （格 式）</w:t>
      </w:r>
    </w:p>
    <w:p w14:paraId="703FDAF3">
      <w:pPr>
        <w:pageBreakBefore w:val="0"/>
        <w:kinsoku/>
        <w:wordWrap/>
        <w:overflowPunct/>
        <w:topLinePunct w:val="0"/>
        <w:bidi w:val="0"/>
        <w:adjustRightInd/>
        <w:spacing w:line="360" w:lineRule="auto"/>
        <w:ind w:left="0" w:leftChars="0" w:right="0" w:firstLine="0" w:firstLineChars="0"/>
        <w:textAlignment w:val="auto"/>
        <w:rPr>
          <w:rFonts w:hint="eastAsia" w:ascii="宋体" w:hAnsi="宋体" w:eastAsia="宋体" w:cs="宋体"/>
          <w:color w:val="auto"/>
          <w:kern w:val="0"/>
          <w:sz w:val="21"/>
          <w:szCs w:val="21"/>
          <w:highlight w:val="none"/>
          <w:shd w:val="clear" w:color="auto" w:fill="auto"/>
          <w:lang w:eastAsia="zh-CN"/>
        </w:rPr>
      </w:pPr>
      <w:r>
        <w:rPr>
          <w:rFonts w:hint="eastAsia" w:ascii="宋体" w:hAnsi="宋体" w:eastAsia="宋体" w:cs="宋体"/>
          <w:b/>
          <w:bCs/>
          <w:color w:val="auto"/>
          <w:spacing w:val="-1"/>
          <w:kern w:val="0"/>
          <w:sz w:val="21"/>
          <w:szCs w:val="21"/>
          <w:highlight w:val="none"/>
          <w:shd w:val="clear" w:color="auto" w:fill="auto"/>
        </w:rPr>
        <w:t>致 ：</w:t>
      </w:r>
      <w:r>
        <w:rPr>
          <w:rFonts w:hint="eastAsia" w:ascii="宋体" w:hAnsi="宋体" w:eastAsia="宋体" w:cs="宋体"/>
          <w:b/>
          <w:bCs/>
          <w:color w:val="auto"/>
          <w:spacing w:val="-1"/>
          <w:kern w:val="0"/>
          <w:sz w:val="21"/>
          <w:szCs w:val="21"/>
          <w:highlight w:val="none"/>
          <w:shd w:val="clear" w:color="auto" w:fill="auto"/>
          <w:lang w:eastAsia="zh-CN"/>
        </w:rPr>
        <w:t>江西银信工程造价咨询有限公司</w:t>
      </w:r>
    </w:p>
    <w:p w14:paraId="534B933D">
      <w:pPr>
        <w:pageBreakBefore w:val="0"/>
        <w:kinsoku/>
        <w:wordWrap/>
        <w:overflowPunct/>
        <w:topLinePunct w:val="0"/>
        <w:bidi w:val="0"/>
        <w:adjustRightInd/>
        <w:spacing w:line="360" w:lineRule="auto"/>
        <w:ind w:left="0" w:leftChars="0" w:right="0" w:firstLine="42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1、根据你方项目编号为</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b/>
          <w:bCs/>
          <w:color w:val="auto"/>
          <w:sz w:val="21"/>
          <w:szCs w:val="21"/>
          <w:highlight w:val="none"/>
          <w:u w:val="single"/>
          <w:shd w:val="clear" w:color="auto" w:fill="auto"/>
        </w:rPr>
        <w:t xml:space="preserve"> </w:t>
      </w:r>
      <w:r>
        <w:rPr>
          <w:rFonts w:hint="eastAsia" w:ascii="宋体" w:hAnsi="宋体" w:cs="宋体"/>
          <w:b/>
          <w:bCs/>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rPr>
        <w:t>的</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cs="宋体"/>
          <w:color w:val="auto"/>
          <w:sz w:val="21"/>
          <w:szCs w:val="21"/>
          <w:highlight w:val="none"/>
          <w:u w:val="single"/>
          <w:shd w:val="clear" w:color="auto" w:fill="auto"/>
          <w:lang w:eastAsia="zh-CN"/>
        </w:rPr>
        <w:t>标项</w:t>
      </w:r>
      <w:r>
        <w:rPr>
          <w:rFonts w:hint="eastAsia" w:ascii="宋体" w:hAnsi="宋体" w:eastAsia="宋体" w:cs="宋体"/>
          <w:color w:val="auto"/>
          <w:sz w:val="21"/>
          <w:szCs w:val="21"/>
          <w:highlight w:val="none"/>
          <w:u w:val="single"/>
          <w:shd w:val="clear" w:color="auto" w:fill="auto"/>
        </w:rPr>
        <w:t xml:space="preserve">名称）  </w:t>
      </w:r>
      <w:r>
        <w:rPr>
          <w:rFonts w:hint="eastAsia" w:ascii="宋体" w:hAnsi="宋体" w:eastAsia="宋体" w:cs="宋体"/>
          <w:color w:val="auto"/>
          <w:sz w:val="21"/>
          <w:szCs w:val="21"/>
          <w:highlight w:val="none"/>
          <w:shd w:val="clear" w:color="auto" w:fill="auto"/>
        </w:rPr>
        <w:t>工程</w:t>
      </w:r>
      <w:r>
        <w:rPr>
          <w:rFonts w:hint="eastAsia" w:ascii="宋体" w:hAnsi="宋体" w:eastAsia="宋体" w:cs="宋体"/>
          <w:color w:val="auto"/>
          <w:sz w:val="21"/>
          <w:szCs w:val="21"/>
          <w:highlight w:val="none"/>
          <w:shd w:val="clear" w:color="auto" w:fill="auto"/>
          <w:lang w:val="en-US" w:eastAsia="zh-CN"/>
        </w:rPr>
        <w:t>竞争性谈判</w:t>
      </w:r>
      <w:r>
        <w:rPr>
          <w:rFonts w:hint="eastAsia" w:ascii="宋体" w:hAnsi="宋体" w:eastAsia="宋体" w:cs="宋体"/>
          <w:color w:val="auto"/>
          <w:sz w:val="21"/>
          <w:szCs w:val="21"/>
          <w:highlight w:val="none"/>
          <w:shd w:val="clear" w:color="auto" w:fill="auto"/>
        </w:rPr>
        <w:t>文件，遵照相关法律关规定，经踏勘项目现场和研究上述响应文件的供应商须知、合同条款、工程建设标准和工程量清单及其他有关文件后，我方愿意以</w:t>
      </w:r>
      <w:r>
        <w:rPr>
          <w:rFonts w:hint="eastAsia" w:ascii="宋体" w:hAnsi="宋体" w:eastAsia="宋体" w:cs="宋体"/>
          <w:color w:val="auto"/>
          <w:kern w:val="0"/>
          <w:sz w:val="21"/>
          <w:szCs w:val="21"/>
          <w:highlight w:val="none"/>
          <w:shd w:val="clear" w:color="auto" w:fill="auto"/>
          <w:lang w:eastAsia="zh-CN"/>
        </w:rPr>
        <w:t>响应</w:t>
      </w:r>
      <w:r>
        <w:rPr>
          <w:rFonts w:hint="eastAsia" w:ascii="宋体" w:hAnsi="宋体" w:eastAsia="宋体" w:cs="宋体"/>
          <w:color w:val="auto"/>
          <w:kern w:val="0"/>
          <w:sz w:val="21"/>
          <w:szCs w:val="21"/>
          <w:highlight w:val="none"/>
          <w:shd w:val="clear" w:color="auto" w:fill="auto"/>
        </w:rPr>
        <w:t>总报价</w:t>
      </w:r>
      <w:r>
        <w:rPr>
          <w:rFonts w:hint="eastAsia" w:ascii="宋体" w:hAnsi="宋体" w:eastAsia="宋体" w:cs="宋体"/>
          <w:color w:val="auto"/>
          <w:sz w:val="21"/>
          <w:szCs w:val="21"/>
          <w:highlight w:val="none"/>
          <w:shd w:val="clear" w:color="auto" w:fill="auto"/>
        </w:rPr>
        <w:t>人民币</w:t>
      </w:r>
      <w:r>
        <w:rPr>
          <w:rFonts w:hint="eastAsia" w:ascii="宋体" w:hAnsi="宋体" w:eastAsia="宋体" w:cs="宋体"/>
          <w:color w:val="auto"/>
          <w:sz w:val="21"/>
          <w:szCs w:val="21"/>
          <w:highlight w:val="none"/>
          <w:u w:val="single"/>
          <w:shd w:val="clear" w:color="auto" w:fill="auto"/>
        </w:rPr>
        <w:t xml:space="preserve">（大写）          </w:t>
      </w:r>
      <w:r>
        <w:rPr>
          <w:rFonts w:hint="eastAsia" w:ascii="宋体" w:hAnsi="宋体" w:eastAsia="宋体" w:cs="宋体"/>
          <w:color w:val="auto"/>
          <w:sz w:val="21"/>
          <w:szCs w:val="21"/>
          <w:highlight w:val="none"/>
          <w:shd w:val="clear" w:color="auto" w:fill="auto"/>
        </w:rPr>
        <w:t>元（</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rPr>
        <w:t>元），</w:t>
      </w:r>
      <w:r>
        <w:rPr>
          <w:rFonts w:hint="eastAsia" w:ascii="宋体" w:hAnsi="宋体" w:eastAsia="宋体" w:cs="宋体"/>
          <w:color w:val="auto"/>
          <w:sz w:val="21"/>
          <w:szCs w:val="21"/>
          <w:highlight w:val="none"/>
          <w:shd w:val="clear" w:color="auto" w:fill="auto"/>
          <w:lang w:val="en-US" w:eastAsia="zh-CN"/>
        </w:rPr>
        <w:t>质量标准</w:t>
      </w:r>
      <w:r>
        <w:rPr>
          <w:rFonts w:hint="eastAsia" w:ascii="宋体" w:hAnsi="宋体" w:eastAsia="宋体" w:cs="宋体"/>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按上述合同条件、技术规范、图纸、工程量清单的条件承包上述工程的施工、竣工和保修。</w:t>
      </w:r>
    </w:p>
    <w:p w14:paraId="1D6A5E3F">
      <w:pPr>
        <w:pageBreakBefore w:val="0"/>
        <w:tabs>
          <w:tab w:val="left" w:pos="7560"/>
        </w:tabs>
        <w:kinsoku/>
        <w:wordWrap/>
        <w:overflowPunct/>
        <w:topLinePunct w:val="0"/>
        <w:bidi w:val="0"/>
        <w:adjustRightInd/>
        <w:spacing w:line="360" w:lineRule="auto"/>
        <w:ind w:left="0" w:leftChars="0" w:right="0" w:firstLine="44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2、我方已详细审核全部</w:t>
      </w:r>
      <w:r>
        <w:rPr>
          <w:rFonts w:hint="eastAsia" w:ascii="宋体" w:hAnsi="宋体" w:eastAsia="宋体" w:cs="宋体"/>
          <w:color w:val="auto"/>
          <w:sz w:val="21"/>
          <w:szCs w:val="21"/>
          <w:highlight w:val="none"/>
          <w:shd w:val="clear" w:color="auto" w:fill="auto"/>
          <w:lang w:val="en-US" w:eastAsia="zh-CN"/>
        </w:rPr>
        <w:t>竞争性</w:t>
      </w:r>
      <w:r>
        <w:rPr>
          <w:rFonts w:hint="eastAsia" w:ascii="宋体" w:hAnsi="宋体" w:cs="宋体"/>
          <w:color w:val="auto"/>
          <w:sz w:val="21"/>
          <w:szCs w:val="21"/>
          <w:highlight w:val="none"/>
          <w:shd w:val="clear" w:color="auto" w:fill="auto"/>
          <w:lang w:val="en-US" w:eastAsia="zh-CN"/>
        </w:rPr>
        <w:t>谈判</w:t>
      </w:r>
      <w:r>
        <w:rPr>
          <w:rFonts w:hint="eastAsia" w:ascii="宋体" w:hAnsi="宋体" w:eastAsia="宋体" w:cs="宋体"/>
          <w:color w:val="auto"/>
          <w:sz w:val="21"/>
          <w:szCs w:val="21"/>
          <w:highlight w:val="none"/>
          <w:shd w:val="clear" w:color="auto" w:fill="auto"/>
        </w:rPr>
        <w:t>文</w:t>
      </w:r>
      <w:r>
        <w:rPr>
          <w:rFonts w:hint="eastAsia" w:ascii="宋体" w:hAnsi="宋体" w:eastAsia="宋体" w:cs="宋体"/>
          <w:color w:val="auto"/>
          <w:sz w:val="21"/>
          <w:szCs w:val="21"/>
          <w:highlight w:val="none"/>
          <w:shd w:val="clear" w:color="auto" w:fill="auto"/>
        </w:rPr>
        <w:t>件，包括修改文件（如有时）及有关附件。</w:t>
      </w:r>
    </w:p>
    <w:p w14:paraId="2C90297F">
      <w:pPr>
        <w:pageBreakBefore w:val="0"/>
        <w:kinsoku/>
        <w:wordWrap/>
        <w:overflowPunct/>
        <w:topLinePunct w:val="0"/>
        <w:bidi w:val="0"/>
        <w:adjustRightInd/>
        <w:spacing w:line="360" w:lineRule="auto"/>
        <w:ind w:left="0" w:leftChars="0" w:right="0" w:firstLine="44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3、我方承认</w:t>
      </w:r>
      <w:r>
        <w:rPr>
          <w:rFonts w:hint="eastAsia" w:ascii="宋体" w:hAnsi="宋体" w:eastAsia="宋体" w:cs="宋体"/>
          <w:color w:val="auto"/>
          <w:sz w:val="21"/>
          <w:szCs w:val="21"/>
          <w:highlight w:val="none"/>
          <w:shd w:val="clear" w:color="auto" w:fill="auto"/>
          <w:lang w:val="en-US" w:eastAsia="zh-CN"/>
        </w:rPr>
        <w:t>响应</w:t>
      </w:r>
      <w:r>
        <w:rPr>
          <w:rFonts w:hint="eastAsia" w:ascii="宋体" w:hAnsi="宋体" w:eastAsia="宋体" w:cs="宋体"/>
          <w:color w:val="auto"/>
          <w:sz w:val="21"/>
          <w:szCs w:val="21"/>
          <w:highlight w:val="none"/>
          <w:shd w:val="clear" w:color="auto" w:fill="auto"/>
        </w:rPr>
        <w:t>函附录是我方响应函的组成部分。</w:t>
      </w:r>
    </w:p>
    <w:p w14:paraId="472A4850">
      <w:pPr>
        <w:pageBreakBefore w:val="0"/>
        <w:kinsoku/>
        <w:wordWrap/>
        <w:overflowPunct/>
        <w:topLinePunct w:val="0"/>
        <w:bidi w:val="0"/>
        <w:adjustRightInd/>
        <w:spacing w:line="360" w:lineRule="auto"/>
        <w:ind w:left="0" w:leftChars="0" w:right="0" w:firstLine="44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4、一旦我方中标，我方保证按合同书中规定的工期</w:t>
      </w:r>
      <w:r>
        <w:rPr>
          <w:rFonts w:hint="eastAsia" w:ascii="宋体" w:hAnsi="宋体" w:eastAsia="宋体" w:cs="宋体"/>
          <w:color w:val="auto"/>
          <w:sz w:val="21"/>
          <w:szCs w:val="21"/>
          <w:highlight w:val="none"/>
          <w:u w:val="single"/>
          <w:shd w:val="clear" w:color="auto" w:fill="auto"/>
        </w:rPr>
        <w:t xml:space="preserve"> （工期）  </w:t>
      </w:r>
      <w:r>
        <w:rPr>
          <w:rFonts w:hint="eastAsia" w:ascii="宋体" w:hAnsi="宋体" w:eastAsia="宋体" w:cs="宋体"/>
          <w:color w:val="auto"/>
          <w:sz w:val="21"/>
          <w:szCs w:val="21"/>
          <w:highlight w:val="none"/>
          <w:shd w:val="clear" w:color="auto" w:fill="auto"/>
        </w:rPr>
        <w:t>日历天内完成并移交全部工程。</w:t>
      </w:r>
    </w:p>
    <w:p w14:paraId="27D0E372">
      <w:pPr>
        <w:pageBreakBefore w:val="0"/>
        <w:kinsoku/>
        <w:wordWrap/>
        <w:overflowPunct/>
        <w:topLinePunct w:val="0"/>
        <w:bidi w:val="0"/>
        <w:adjustRightInd/>
        <w:spacing w:line="360" w:lineRule="auto"/>
        <w:ind w:left="0" w:leftChars="0" w:right="0" w:firstLine="44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、我方同意所提交的响应文件在响应文件的供应商须知中规定的</w:t>
      </w:r>
      <w:r>
        <w:rPr>
          <w:rFonts w:hint="eastAsia" w:ascii="宋体" w:hAnsi="宋体" w:eastAsia="宋体" w:cs="宋体"/>
          <w:color w:val="auto"/>
          <w:kern w:val="0"/>
          <w:sz w:val="21"/>
          <w:szCs w:val="21"/>
          <w:highlight w:val="none"/>
          <w:shd w:val="clear" w:color="auto" w:fill="auto"/>
        </w:rPr>
        <w:t>响应文件有效期</w:t>
      </w:r>
      <w:r>
        <w:rPr>
          <w:rFonts w:hint="eastAsia" w:ascii="宋体" w:hAnsi="宋体" w:eastAsia="宋体" w:cs="宋体"/>
          <w:color w:val="auto"/>
          <w:sz w:val="21"/>
          <w:szCs w:val="21"/>
          <w:highlight w:val="none"/>
          <w:shd w:val="clear" w:color="auto" w:fill="auto"/>
        </w:rPr>
        <w:t>内有效，在此期间内如果中标，我方将受此约束。</w:t>
      </w:r>
    </w:p>
    <w:p w14:paraId="60EBC60A">
      <w:pPr>
        <w:pageBreakBefore w:val="0"/>
        <w:kinsoku/>
        <w:wordWrap/>
        <w:overflowPunct/>
        <w:topLinePunct w:val="0"/>
        <w:bidi w:val="0"/>
        <w:adjustRightInd/>
        <w:spacing w:line="360" w:lineRule="auto"/>
        <w:ind w:left="0" w:leftChars="0" w:right="0" w:firstLine="44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、除非另外达成协议并生效，你方的</w:t>
      </w:r>
      <w:r>
        <w:rPr>
          <w:rFonts w:hint="eastAsia" w:ascii="宋体" w:hAnsi="宋体" w:eastAsia="宋体" w:cs="宋体"/>
          <w:color w:val="auto"/>
          <w:sz w:val="21"/>
          <w:szCs w:val="21"/>
          <w:highlight w:val="none"/>
          <w:shd w:val="clear" w:color="auto" w:fill="auto"/>
          <w:lang w:eastAsia="zh-CN"/>
        </w:rPr>
        <w:t>成交</w:t>
      </w:r>
      <w:r>
        <w:rPr>
          <w:rFonts w:hint="eastAsia" w:ascii="宋体" w:hAnsi="宋体" w:eastAsia="宋体" w:cs="宋体"/>
          <w:color w:val="auto"/>
          <w:sz w:val="21"/>
          <w:szCs w:val="21"/>
          <w:highlight w:val="none"/>
          <w:shd w:val="clear" w:color="auto" w:fill="auto"/>
        </w:rPr>
        <w:t>通知书和本响应文件将成为约束双方的合同文件的组成部分。</w:t>
      </w:r>
    </w:p>
    <w:p w14:paraId="471F8A8B">
      <w:pPr>
        <w:pageBreakBefore w:val="0"/>
        <w:kinsoku/>
        <w:wordWrap/>
        <w:overflowPunct/>
        <w:topLinePunct w:val="0"/>
        <w:bidi w:val="0"/>
        <w:adjustRightInd/>
        <w:spacing w:line="360" w:lineRule="auto"/>
        <w:ind w:left="0" w:leftChars="0" w:right="0" w:firstLine="630" w:firstLineChars="300"/>
        <w:textAlignment w:val="auto"/>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注册建造师：</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施工员：</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none"/>
          <w:shd w:val="clear" w:color="auto" w:fill="auto"/>
          <w:lang w:eastAsia="zh-CN"/>
        </w:rPr>
        <w:t>；</w:t>
      </w:r>
      <w:r>
        <w:rPr>
          <w:rFonts w:hint="eastAsia" w:ascii="宋体" w:hAnsi="宋体" w:eastAsia="宋体" w:cs="宋体"/>
          <w:color w:val="auto"/>
          <w:sz w:val="21"/>
          <w:szCs w:val="21"/>
          <w:highlight w:val="none"/>
          <w:shd w:val="clear" w:color="auto" w:fill="auto"/>
        </w:rPr>
        <w:t>安全员：</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none"/>
          <w:shd w:val="clear" w:color="auto" w:fill="auto"/>
          <w:lang w:eastAsia="zh-CN"/>
        </w:rPr>
        <w:t>；</w:t>
      </w:r>
      <w:r>
        <w:rPr>
          <w:rFonts w:hint="eastAsia" w:ascii="宋体" w:hAnsi="宋体" w:eastAsia="宋体" w:cs="宋体"/>
          <w:color w:val="auto"/>
          <w:sz w:val="21"/>
          <w:szCs w:val="21"/>
          <w:highlight w:val="none"/>
          <w:shd w:val="clear" w:color="auto" w:fill="auto"/>
        </w:rPr>
        <w:t>质检员：</w:t>
      </w:r>
      <w:r>
        <w:rPr>
          <w:rFonts w:hint="eastAsia" w:ascii="宋体" w:hAnsi="宋体" w:eastAsia="宋体" w:cs="宋体"/>
          <w:color w:val="auto"/>
          <w:sz w:val="21"/>
          <w:szCs w:val="21"/>
          <w:highlight w:val="none"/>
          <w:u w:val="single"/>
          <w:shd w:val="clear" w:color="auto" w:fill="auto"/>
        </w:rPr>
        <w:t xml:space="preserve">                  </w:t>
      </w:r>
    </w:p>
    <w:p w14:paraId="053E3754">
      <w:pPr>
        <w:pageBreakBefore w:val="0"/>
        <w:kinsoku/>
        <w:wordWrap/>
        <w:overflowPunct/>
        <w:topLinePunct w:val="0"/>
        <w:bidi w:val="0"/>
        <w:adjustRightInd/>
        <w:spacing w:line="360" w:lineRule="auto"/>
        <w:ind w:right="0" w:firstLine="630" w:firstLineChars="3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上岗证编号：</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u w:val="single"/>
          <w:shd w:val="clear" w:color="auto" w:fill="auto"/>
        </w:rPr>
        <w:t xml:space="preserve">                          </w:t>
      </w:r>
    </w:p>
    <w:p w14:paraId="447304B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 xml:space="preserve">        供应商（电子签章）：</w:t>
      </w:r>
      <w:r>
        <w:rPr>
          <w:rFonts w:hint="eastAsia" w:ascii="宋体" w:hAnsi="宋体" w:eastAsia="宋体" w:cs="宋体"/>
          <w:color w:val="auto"/>
          <w:sz w:val="21"/>
          <w:szCs w:val="21"/>
          <w:highlight w:val="none"/>
          <w:u w:val="single"/>
          <w:shd w:val="clear" w:color="auto" w:fill="auto"/>
        </w:rPr>
        <w:t xml:space="preserve">                        </w:t>
      </w:r>
    </w:p>
    <w:p w14:paraId="294A5B6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 xml:space="preserve">         单位地址：</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36E0027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 xml:space="preserve">        法定代表人或委托代理人签字（或电子签名）：</w:t>
      </w:r>
      <w:r>
        <w:rPr>
          <w:rFonts w:hint="eastAsia" w:ascii="宋体" w:hAnsi="宋体" w:eastAsia="宋体" w:cs="宋体"/>
          <w:color w:val="auto"/>
          <w:sz w:val="21"/>
          <w:szCs w:val="21"/>
          <w:highlight w:val="none"/>
          <w:u w:val="single"/>
          <w:shd w:val="clear" w:color="auto" w:fill="auto"/>
        </w:rPr>
        <w:t xml:space="preserve">      </w:t>
      </w:r>
    </w:p>
    <w:p w14:paraId="586E1E48">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 xml:space="preserve">         邮政编码：</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shd w:val="clear" w:color="auto" w:fill="auto"/>
        </w:rPr>
        <w:t>电话：</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shd w:val="clear" w:color="auto" w:fill="auto"/>
        </w:rPr>
        <w:t xml:space="preserve"> 传真：</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233B47B8">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 xml:space="preserve">         开户银行名称：</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549BA282">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 xml:space="preserve">         开户银行账号：</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142E811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 xml:space="preserve">         开户银行地址：</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5AB282F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 xml:space="preserve">         开户银行电话：</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06EB21C8">
      <w:pPr>
        <w:pageBreakBefore w:val="0"/>
        <w:kinsoku/>
        <w:wordWrap/>
        <w:overflowPunct/>
        <w:topLinePunct w:val="0"/>
        <w:bidi w:val="0"/>
        <w:adjustRightInd/>
        <w:spacing w:line="360" w:lineRule="auto"/>
        <w:ind w:left="0" w:leftChars="0" w:right="0" w:firstLine="1050" w:firstLineChars="5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日期：</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rPr>
        <w:t>年</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rPr>
        <w:t>月</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rPr>
        <w:t>日</w:t>
      </w:r>
    </w:p>
    <w:p w14:paraId="66C8F4EC">
      <w:pPr>
        <w:pStyle w:val="4"/>
        <w:pageBreakBefore w:val="0"/>
        <w:numPr>
          <w:ilvl w:val="1"/>
          <w:numId w:val="0"/>
        </w:numPr>
        <w:tabs>
          <w:tab w:val="left" w:pos="567"/>
        </w:tabs>
        <w:kinsoku/>
        <w:wordWrap/>
        <w:overflowPunct/>
        <w:topLinePunct w:val="0"/>
        <w:bidi w:val="0"/>
        <w:adjustRightInd/>
        <w:spacing w:line="360" w:lineRule="auto"/>
        <w:ind w:leftChars="0" w:right="0" w:rightChars="0"/>
        <w:jc w:val="center"/>
        <w:textAlignment w:val="auto"/>
        <w:outlineLvl w:val="2"/>
        <w:rPr>
          <w:rFonts w:hint="eastAsia" w:ascii="宋体" w:hAnsi="宋体" w:eastAsia="宋体" w:cs="宋体"/>
          <w:b/>
          <w:bCs w:val="0"/>
          <w:color w:val="auto"/>
          <w:kern w:val="0"/>
          <w:sz w:val="21"/>
          <w:szCs w:val="21"/>
          <w:highlight w:val="none"/>
          <w:shd w:val="clear" w:color="auto" w:fill="auto"/>
        </w:rPr>
      </w:pPr>
      <w:bookmarkStart w:id="1805" w:name="_Toc267582090"/>
      <w:bookmarkStart w:id="1806" w:name="_Toc12735"/>
      <w:bookmarkStart w:id="1807" w:name="_Toc389146024"/>
      <w:bookmarkStart w:id="1808" w:name="_Toc369505657"/>
      <w:bookmarkStart w:id="1809" w:name="_Toc207443037"/>
      <w:bookmarkStart w:id="1810" w:name="_Toc455670873"/>
      <w:bookmarkStart w:id="1811" w:name="_Toc16206"/>
      <w:r>
        <w:rPr>
          <w:rFonts w:hint="eastAsia" w:ascii="宋体" w:hAnsi="宋体" w:eastAsia="宋体" w:cs="宋体"/>
          <w:b/>
          <w:bCs w:val="0"/>
          <w:color w:val="auto"/>
          <w:kern w:val="0"/>
          <w:sz w:val="21"/>
          <w:szCs w:val="21"/>
          <w:highlight w:val="none"/>
          <w:shd w:val="clear" w:color="auto" w:fill="auto"/>
        </w:rPr>
        <w:br w:type="page"/>
      </w:r>
      <w:r>
        <w:rPr>
          <w:rFonts w:hint="eastAsia" w:ascii="宋体" w:hAnsi="宋体" w:eastAsia="宋体" w:cs="宋体"/>
          <w:b/>
          <w:bCs w:val="0"/>
          <w:color w:val="auto"/>
          <w:kern w:val="0"/>
          <w:sz w:val="21"/>
          <w:szCs w:val="21"/>
          <w:highlight w:val="none"/>
          <w:shd w:val="clear" w:color="auto" w:fill="auto"/>
        </w:rPr>
        <w:t>（二）响应函附录</w:t>
      </w:r>
      <w:bookmarkEnd w:id="1805"/>
      <w:bookmarkEnd w:id="1806"/>
      <w:bookmarkEnd w:id="1807"/>
      <w:bookmarkEnd w:id="1808"/>
      <w:bookmarkEnd w:id="1809"/>
      <w:bookmarkEnd w:id="1810"/>
      <w:bookmarkEnd w:id="1811"/>
    </w:p>
    <w:p w14:paraId="5A4807E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bl>
      <w:tblPr>
        <w:tblStyle w:val="46"/>
        <w:tblW w:w="8350" w:type="dxa"/>
        <w:tblInd w:w="102" w:type="dxa"/>
        <w:tblLayout w:type="fixed"/>
        <w:tblCellMar>
          <w:top w:w="0" w:type="dxa"/>
          <w:left w:w="0" w:type="dxa"/>
          <w:bottom w:w="0" w:type="dxa"/>
          <w:right w:w="0" w:type="dxa"/>
        </w:tblCellMar>
      </w:tblPr>
      <w:tblGrid>
        <w:gridCol w:w="475"/>
        <w:gridCol w:w="2685"/>
        <w:gridCol w:w="2286"/>
        <w:gridCol w:w="2229"/>
        <w:gridCol w:w="675"/>
      </w:tblGrid>
      <w:tr w14:paraId="1289CE96">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67FDB1D0">
            <w:pPr>
              <w:pageBreakBefore w:val="0"/>
              <w:kinsoku/>
              <w:wordWrap/>
              <w:overflowPunct/>
              <w:topLinePunct w:val="0"/>
              <w:bidi w:val="0"/>
              <w:adjustRightInd/>
              <w:spacing w:line="360" w:lineRule="auto"/>
              <w:ind w:left="0" w:leftChars="0" w:right="0" w:firstLine="0" w:firstLineChars="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序号</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53F58E6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条款名称</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6429558F">
            <w:pPr>
              <w:pageBreakBefore w:val="0"/>
              <w:kinsoku/>
              <w:wordWrap/>
              <w:overflowPunct/>
              <w:topLinePunct w:val="0"/>
              <w:bidi w:val="0"/>
              <w:adjustRightInd/>
              <w:spacing w:line="360" w:lineRule="auto"/>
              <w:ind w:left="0" w:leftChars="0" w:right="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合同条款号</w:t>
            </w: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67A65D8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约定内容</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1718F78E">
            <w:pPr>
              <w:pageBreakBefore w:val="0"/>
              <w:kinsoku/>
              <w:wordWrap/>
              <w:overflowPunct/>
              <w:topLinePunct w:val="0"/>
              <w:bidi w:val="0"/>
              <w:adjustRightInd/>
              <w:spacing w:line="360" w:lineRule="auto"/>
              <w:ind w:left="0" w:leftChars="0" w:right="0" w:firstLine="0" w:firstLineChars="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备注</w:t>
            </w:r>
          </w:p>
        </w:tc>
      </w:tr>
      <w:tr w14:paraId="370789D8">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2ADA65A9">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1</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688271BC">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项目经理</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1CB2615B">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专用合同条款3.2.1</w:t>
            </w: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3D6BC72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姓名：</w:t>
            </w:r>
            <w:r>
              <w:rPr>
                <w:rFonts w:hint="eastAsia" w:ascii="宋体" w:hAnsi="宋体" w:eastAsia="宋体" w:cs="宋体"/>
                <w:color w:val="auto"/>
                <w:w w:val="200"/>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u w:val="single"/>
                <w:shd w:val="clear" w:color="auto" w:fill="auto"/>
              </w:rPr>
              <w:tab/>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4F8A5CF">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39EC18DB">
        <w:tblPrEx>
          <w:tblCellMar>
            <w:top w:w="0" w:type="dxa"/>
            <w:left w:w="0" w:type="dxa"/>
            <w:bottom w:w="0" w:type="dxa"/>
            <w:right w:w="0" w:type="dxa"/>
          </w:tblCellMar>
        </w:tblPrEx>
        <w:trPr>
          <w:trHeight w:val="74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4A26711E">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2</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3BBFB6B4">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工期</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5D52F237">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第一部分 合同协议书</w:t>
            </w: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116AA8A0">
            <w:pPr>
              <w:pageBreakBefore w:val="0"/>
              <w:kinsoku/>
              <w:wordWrap/>
              <w:overflowPunct/>
              <w:topLinePunct w:val="0"/>
              <w:bidi w:val="0"/>
              <w:adjustRightInd/>
              <w:spacing w:line="360" w:lineRule="auto"/>
              <w:ind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天数：</w:t>
            </w:r>
            <w:r>
              <w:rPr>
                <w:rFonts w:hint="eastAsia" w:ascii="宋体" w:hAnsi="宋体" w:eastAsia="宋体" w:cs="宋体"/>
                <w:color w:val="auto"/>
                <w:w w:val="200"/>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u w:val="single"/>
                <w:shd w:val="clear" w:color="auto" w:fill="auto"/>
                <w:lang w:eastAsia="zh-CN"/>
              </w:rPr>
              <w:t>日</w:t>
            </w:r>
            <w:r>
              <w:rPr>
                <w:rFonts w:hint="eastAsia" w:ascii="宋体" w:hAnsi="宋体" w:eastAsia="宋体" w:cs="宋体"/>
                <w:color w:val="auto"/>
                <w:kern w:val="0"/>
                <w:sz w:val="21"/>
                <w:szCs w:val="21"/>
                <w:highlight w:val="none"/>
                <w:shd w:val="clear" w:color="auto" w:fill="auto"/>
              </w:rPr>
              <w:t>历天</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4D98E69">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3810EB14">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0335A41F">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spacing w:val="1"/>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3</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7453D91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质量保证金额度</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546F120C">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spacing w:val="1"/>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专用合同条款15.3</w:t>
            </w: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34B331B2">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2D36709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691CCF7F">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7721560F">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spacing w:val="1"/>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4</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1BA2A8BC">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质量标准</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511F22CF">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spacing w:val="1"/>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第一部分 合同协议书</w:t>
            </w: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26AC855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6496CF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3F7149B8">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7B1CCF25">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5</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2599A30D">
            <w:pPr>
              <w:pageBreakBefore w:val="0"/>
              <w:kinsoku/>
              <w:wordWrap/>
              <w:overflowPunct/>
              <w:topLinePunct w:val="0"/>
              <w:bidi w:val="0"/>
              <w:adjustRightInd/>
              <w:spacing w:line="360" w:lineRule="auto"/>
              <w:ind w:left="0" w:leftChars="0" w:right="0"/>
              <w:textAlignment w:val="auto"/>
              <w:rPr>
                <w:rFonts w:hint="default"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技术标准和要求</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1FD8BE95">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67A50684">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489FD457">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167B0E51">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50117F20">
            <w:pPr>
              <w:pageBreakBefore w:val="0"/>
              <w:kinsoku/>
              <w:wordWrap/>
              <w:overflowPunct/>
              <w:topLinePunct w:val="0"/>
              <w:bidi w:val="0"/>
              <w:adjustRightInd/>
              <w:spacing w:line="360" w:lineRule="auto"/>
              <w:ind w:left="0" w:leftChars="0" w:right="0" w:firstLine="0" w:firstLineChars="0"/>
              <w:jc w:val="center"/>
              <w:textAlignment w:val="auto"/>
              <w:rPr>
                <w:rFonts w:hint="default"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3ACD5BD7">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lang w:val="en-US" w:eastAsia="zh-CN"/>
              </w:rPr>
            </w:pP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3597A85D">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410067DD">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6012ACB2">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5F72580E">
        <w:tblPrEx>
          <w:tblCellMar>
            <w:top w:w="0" w:type="dxa"/>
            <w:left w:w="0" w:type="dxa"/>
            <w:bottom w:w="0" w:type="dxa"/>
            <w:right w:w="0" w:type="dxa"/>
          </w:tblCellMar>
        </w:tblPrEx>
        <w:trPr>
          <w:trHeight w:val="1087" w:hRule="exact"/>
        </w:trPr>
        <w:tc>
          <w:tcPr>
            <w:tcW w:w="8350" w:type="dxa"/>
            <w:gridSpan w:val="5"/>
            <w:tcBorders>
              <w:top w:val="single" w:color="000000" w:sz="4" w:space="0"/>
              <w:left w:val="single" w:color="000000" w:sz="4" w:space="0"/>
              <w:bottom w:val="single" w:color="000000" w:sz="4" w:space="0"/>
              <w:right w:val="single" w:color="000000" w:sz="4" w:space="0"/>
            </w:tcBorders>
            <w:noWrap w:val="0"/>
            <w:vAlign w:val="center"/>
          </w:tcPr>
          <w:p w14:paraId="036779A8">
            <w:pPr>
              <w:pageBreakBefore w:val="0"/>
              <w:kinsoku/>
              <w:wordWrap/>
              <w:overflowPunct/>
              <w:topLinePunct w:val="0"/>
              <w:bidi w:val="0"/>
              <w:adjustRightInd/>
              <w:spacing w:line="360" w:lineRule="auto"/>
              <w:ind w:left="0" w:leftChars="0" w:right="0"/>
              <w:jc w:val="left"/>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备注：供应商在响应</w:t>
            </w:r>
            <w:r>
              <w:rPr>
                <w:rFonts w:hint="eastAsia" w:ascii="宋体" w:hAnsi="宋体" w:eastAsia="宋体" w:cs="宋体"/>
                <w:color w:val="auto"/>
                <w:sz w:val="21"/>
                <w:szCs w:val="21"/>
                <w:highlight w:val="none"/>
                <w:shd w:val="clear" w:color="auto" w:fill="auto"/>
                <w:lang w:val="en-US" w:eastAsia="zh-CN"/>
              </w:rPr>
              <w:t>采购</w:t>
            </w:r>
            <w:r>
              <w:rPr>
                <w:rFonts w:hint="eastAsia" w:ascii="宋体" w:hAnsi="宋体" w:eastAsia="宋体" w:cs="宋体"/>
                <w:color w:val="auto"/>
                <w:sz w:val="21"/>
                <w:szCs w:val="21"/>
                <w:highlight w:val="none"/>
                <w:shd w:val="clear" w:color="auto" w:fill="auto"/>
              </w:rPr>
              <w:t>文件中规定的实质性要求和条件的基础上，可做出其他有利于采购人的承诺。此类承诺可在本表中予以补充填写。</w:t>
            </w:r>
          </w:p>
        </w:tc>
      </w:tr>
    </w:tbl>
    <w:p w14:paraId="05EB02E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bCs/>
          <w:color w:val="auto"/>
          <w:w w:val="99"/>
          <w:kern w:val="0"/>
          <w:sz w:val="21"/>
          <w:szCs w:val="21"/>
          <w:highlight w:val="none"/>
          <w:shd w:val="clear" w:color="auto" w:fill="auto"/>
        </w:rPr>
      </w:pPr>
    </w:p>
    <w:p w14:paraId="2832C8B2">
      <w:pPr>
        <w:adjustRightInd w:val="0"/>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155F9B46">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法定代表人或委托代理人签字（或电子签名）：</w:t>
      </w:r>
    </w:p>
    <w:p w14:paraId="77240193">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日          期：</w:t>
      </w:r>
    </w:p>
    <w:p w14:paraId="0D64959E">
      <w:pPr>
        <w:pageBreakBefore w:val="0"/>
        <w:kinsoku/>
        <w:wordWrap/>
        <w:overflowPunct/>
        <w:topLinePunct w:val="0"/>
        <w:bidi w:val="0"/>
        <w:adjustRightInd/>
        <w:spacing w:line="360" w:lineRule="auto"/>
        <w:ind w:left="0" w:leftChars="0" w:right="0" w:firstLine="2730" w:firstLineChars="1300"/>
        <w:textAlignment w:val="auto"/>
        <w:rPr>
          <w:rFonts w:hint="eastAsia" w:ascii="宋体" w:hAnsi="宋体" w:eastAsia="宋体" w:cs="宋体"/>
          <w:color w:val="auto"/>
          <w:sz w:val="21"/>
          <w:szCs w:val="21"/>
          <w:highlight w:val="none"/>
          <w:shd w:val="clear" w:color="auto" w:fill="auto"/>
        </w:rPr>
      </w:pPr>
    </w:p>
    <w:p w14:paraId="1F87A3F6">
      <w:pPr>
        <w:spacing w:line="440" w:lineRule="atLeast"/>
        <w:ind w:firstLine="0" w:firstLineChars="0"/>
        <w:rPr>
          <w:rFonts w:hint="default" w:ascii="宋体" w:hAnsi="宋体" w:eastAsia="宋体" w:cs="宋体"/>
          <w:b/>
          <w:color w:val="auto"/>
          <w:kern w:val="0"/>
          <w:szCs w:val="24"/>
          <w:highlight w:val="none"/>
          <w:lang w:val="en-US" w:eastAsia="zh-CN"/>
        </w:rPr>
        <w:sectPr>
          <w:pgSz w:w="11906" w:h="16838"/>
          <w:pgMar w:top="1440" w:right="1800" w:bottom="1440" w:left="1418" w:header="851" w:footer="992" w:gutter="0"/>
          <w:pgNumType w:fmt="decimal"/>
          <w:cols w:space="720" w:num="1"/>
          <w:docGrid w:type="lines" w:linePitch="326" w:charSpace="0"/>
        </w:sectPr>
      </w:pPr>
    </w:p>
    <w:p w14:paraId="615CFC30">
      <w:pPr>
        <w:spacing w:line="320" w:lineRule="exact"/>
        <w:ind w:firstLine="0" w:firstLineChars="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2.谈判报价表（必须提供）</w:t>
      </w:r>
    </w:p>
    <w:p w14:paraId="217ACDC5">
      <w:pPr>
        <w:spacing w:line="320" w:lineRule="exact"/>
        <w:ind w:firstLine="0" w:firstLineChars="0"/>
        <w:outlineLvl w:val="9"/>
        <w:rPr>
          <w:rFonts w:hint="eastAsia" w:ascii="宋体" w:hAnsi="宋体" w:cs="宋体"/>
          <w:b/>
          <w:color w:val="auto"/>
          <w:kern w:val="0"/>
          <w:sz w:val="30"/>
          <w:szCs w:val="30"/>
          <w:highlight w:val="none"/>
        </w:rPr>
      </w:pPr>
      <w:r>
        <w:rPr>
          <w:rFonts w:hint="eastAsia" w:ascii="宋体" w:hAnsi="宋体" w:cs="宋体"/>
          <w:b/>
          <w:color w:val="auto"/>
          <w:kern w:val="0"/>
          <w:sz w:val="28"/>
          <w:szCs w:val="28"/>
          <w:highlight w:val="none"/>
          <w:lang w:eastAsia="zh-CN"/>
        </w:rPr>
        <w:t>分标</w:t>
      </w:r>
      <w:r>
        <w:rPr>
          <w:rFonts w:hint="eastAsia" w:ascii="宋体" w:hAnsi="宋体" w:cs="宋体"/>
          <w:b/>
          <w:color w:val="auto"/>
          <w:kern w:val="0"/>
          <w:sz w:val="28"/>
          <w:szCs w:val="28"/>
          <w:highlight w:val="none"/>
          <w:lang w:val="en-US" w:eastAsia="zh-CN"/>
        </w:rPr>
        <w:t>1</w:t>
      </w:r>
      <w:r>
        <w:rPr>
          <w:rFonts w:hint="eastAsia" w:ascii="宋体" w:hAnsi="宋体" w:cs="宋体"/>
          <w:b/>
          <w:color w:val="auto"/>
          <w:kern w:val="0"/>
          <w:sz w:val="30"/>
          <w:szCs w:val="30"/>
          <w:highlight w:val="none"/>
        </w:rPr>
        <w:t>附</w:t>
      </w:r>
      <w:r>
        <w:rPr>
          <w:rFonts w:hint="eastAsia" w:ascii="宋体" w:hAnsi="宋体" w:cs="宋体"/>
          <w:b/>
          <w:color w:val="auto"/>
          <w:kern w:val="0"/>
          <w:sz w:val="30"/>
          <w:szCs w:val="30"/>
          <w:highlight w:val="none"/>
        </w:rPr>
        <w:t xml:space="preserve">件：                                      </w:t>
      </w:r>
    </w:p>
    <w:p w14:paraId="04E9AD7D">
      <w:pPr>
        <w:spacing w:line="500" w:lineRule="exact"/>
        <w:ind w:left="420" w:firstLine="0" w:firstLineChars="0"/>
        <w:jc w:val="center"/>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rPr>
        <w:t>谈判报价表（格式）</w:t>
      </w:r>
    </w:p>
    <w:tbl>
      <w:tblPr>
        <w:tblStyle w:val="46"/>
        <w:tblW w:w="1389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7"/>
        <w:gridCol w:w="1410"/>
        <w:gridCol w:w="2150"/>
        <w:gridCol w:w="1110"/>
        <w:gridCol w:w="1276"/>
        <w:gridCol w:w="1825"/>
        <w:gridCol w:w="966"/>
        <w:gridCol w:w="841"/>
        <w:gridCol w:w="1530"/>
        <w:gridCol w:w="2067"/>
      </w:tblGrid>
      <w:tr w14:paraId="26BF1C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single" w:color="auto" w:sz="4" w:space="0"/>
              <w:right w:val="single" w:color="auto" w:sz="4" w:space="0"/>
            </w:tcBorders>
            <w:vAlign w:val="center"/>
          </w:tcPr>
          <w:p w14:paraId="69C662FE">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项号</w:t>
            </w:r>
          </w:p>
        </w:tc>
        <w:tc>
          <w:tcPr>
            <w:tcW w:w="1410" w:type="dxa"/>
            <w:tcBorders>
              <w:top w:val="single" w:color="auto" w:sz="4" w:space="0"/>
              <w:left w:val="single" w:color="auto" w:sz="4" w:space="0"/>
              <w:bottom w:val="single" w:color="auto" w:sz="4" w:space="0"/>
              <w:right w:val="single" w:color="auto" w:sz="4" w:space="0"/>
            </w:tcBorders>
            <w:vAlign w:val="center"/>
          </w:tcPr>
          <w:p w14:paraId="531FA45E">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标的名称</w:t>
            </w:r>
          </w:p>
        </w:tc>
        <w:tc>
          <w:tcPr>
            <w:tcW w:w="2150" w:type="dxa"/>
            <w:tcBorders>
              <w:top w:val="single" w:color="auto" w:sz="4" w:space="0"/>
              <w:left w:val="single" w:color="auto" w:sz="4" w:space="0"/>
              <w:bottom w:val="single" w:color="auto" w:sz="4" w:space="0"/>
              <w:right w:val="single" w:color="auto" w:sz="4" w:space="0"/>
            </w:tcBorders>
            <w:vAlign w:val="center"/>
          </w:tcPr>
          <w:p w14:paraId="4E21AD7E">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生产厂家（或制造商）</w:t>
            </w:r>
          </w:p>
        </w:tc>
        <w:tc>
          <w:tcPr>
            <w:tcW w:w="1110" w:type="dxa"/>
            <w:tcBorders>
              <w:top w:val="single" w:color="auto" w:sz="4" w:space="0"/>
              <w:left w:val="single" w:color="auto" w:sz="4" w:space="0"/>
              <w:bottom w:val="single" w:color="auto" w:sz="4" w:space="0"/>
              <w:right w:val="single" w:color="auto" w:sz="4" w:space="0"/>
            </w:tcBorders>
            <w:vAlign w:val="center"/>
          </w:tcPr>
          <w:p w14:paraId="772A2411">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品牌</w:t>
            </w:r>
          </w:p>
        </w:tc>
        <w:tc>
          <w:tcPr>
            <w:tcW w:w="1276" w:type="dxa"/>
            <w:tcBorders>
              <w:top w:val="single" w:color="auto" w:sz="4" w:space="0"/>
              <w:left w:val="single" w:color="auto" w:sz="4" w:space="0"/>
              <w:bottom w:val="single" w:color="auto" w:sz="4" w:space="0"/>
              <w:right w:val="single" w:color="auto" w:sz="4" w:space="0"/>
            </w:tcBorders>
            <w:vAlign w:val="center"/>
          </w:tcPr>
          <w:p w14:paraId="1762A684">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规格型号</w:t>
            </w:r>
          </w:p>
        </w:tc>
        <w:tc>
          <w:tcPr>
            <w:tcW w:w="1825" w:type="dxa"/>
            <w:tcBorders>
              <w:top w:val="single" w:color="auto" w:sz="4" w:space="0"/>
              <w:left w:val="single" w:color="auto" w:sz="4" w:space="0"/>
              <w:bottom w:val="single" w:color="auto" w:sz="4" w:space="0"/>
              <w:right w:val="single" w:color="auto" w:sz="4" w:space="0"/>
            </w:tcBorders>
            <w:vAlign w:val="center"/>
          </w:tcPr>
          <w:p w14:paraId="6511E347">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技术参数、性能、配置</w:t>
            </w:r>
          </w:p>
        </w:tc>
        <w:tc>
          <w:tcPr>
            <w:tcW w:w="966" w:type="dxa"/>
            <w:tcBorders>
              <w:top w:val="single" w:color="auto" w:sz="4" w:space="0"/>
              <w:left w:val="single" w:color="auto" w:sz="4" w:space="0"/>
              <w:bottom w:val="single" w:color="auto" w:sz="4" w:space="0"/>
              <w:right w:val="single" w:color="auto" w:sz="4" w:space="0"/>
            </w:tcBorders>
            <w:vAlign w:val="center"/>
          </w:tcPr>
          <w:p w14:paraId="4E4C9542">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数量①</w:t>
            </w:r>
          </w:p>
        </w:tc>
        <w:tc>
          <w:tcPr>
            <w:tcW w:w="841" w:type="dxa"/>
            <w:tcBorders>
              <w:top w:val="single" w:color="auto" w:sz="4" w:space="0"/>
              <w:left w:val="single" w:color="auto" w:sz="4" w:space="0"/>
              <w:bottom w:val="single" w:color="auto" w:sz="4" w:space="0"/>
              <w:right w:val="single" w:color="auto" w:sz="4" w:space="0"/>
            </w:tcBorders>
            <w:vAlign w:val="center"/>
          </w:tcPr>
          <w:p w14:paraId="21110E12">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单位</w:t>
            </w:r>
          </w:p>
        </w:tc>
        <w:tc>
          <w:tcPr>
            <w:tcW w:w="1530" w:type="dxa"/>
            <w:tcBorders>
              <w:top w:val="single" w:color="auto" w:sz="4" w:space="0"/>
              <w:left w:val="single" w:color="auto" w:sz="4" w:space="0"/>
              <w:bottom w:val="single" w:color="auto" w:sz="4" w:space="0"/>
              <w:right w:val="single" w:color="auto" w:sz="4" w:space="0"/>
            </w:tcBorders>
            <w:vAlign w:val="center"/>
          </w:tcPr>
          <w:p w14:paraId="1947FD9B">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单价（元）</w:t>
            </w:r>
          </w:p>
          <w:p w14:paraId="4A8DFF57">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②</w:t>
            </w:r>
          </w:p>
        </w:tc>
        <w:tc>
          <w:tcPr>
            <w:tcW w:w="2067" w:type="dxa"/>
            <w:tcBorders>
              <w:top w:val="single" w:color="auto" w:sz="4" w:space="0"/>
              <w:left w:val="single" w:color="auto" w:sz="4" w:space="0"/>
              <w:bottom w:val="single" w:color="auto" w:sz="4" w:space="0"/>
            </w:tcBorders>
            <w:vAlign w:val="center"/>
          </w:tcPr>
          <w:p w14:paraId="3315D54D">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合计金额=数量×单价③＝①×②</w:t>
            </w:r>
          </w:p>
        </w:tc>
      </w:tr>
      <w:tr w14:paraId="58535B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nil"/>
              <w:right w:val="single" w:color="auto" w:sz="4" w:space="0"/>
            </w:tcBorders>
            <w:vAlign w:val="center"/>
          </w:tcPr>
          <w:p w14:paraId="32C16B16">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1</w:t>
            </w:r>
          </w:p>
        </w:tc>
        <w:tc>
          <w:tcPr>
            <w:tcW w:w="1410" w:type="dxa"/>
            <w:tcBorders>
              <w:top w:val="single" w:color="auto" w:sz="4" w:space="0"/>
              <w:left w:val="single" w:color="auto" w:sz="4" w:space="0"/>
              <w:bottom w:val="nil"/>
              <w:right w:val="single" w:color="auto" w:sz="4" w:space="0"/>
            </w:tcBorders>
            <w:vAlign w:val="center"/>
          </w:tcPr>
          <w:p w14:paraId="294029D0">
            <w:pPr>
              <w:adjustRightInd w:val="0"/>
              <w:snapToGrid w:val="0"/>
              <w:spacing w:line="320" w:lineRule="exact"/>
              <w:ind w:firstLine="0" w:firstLineChars="0"/>
              <w:jc w:val="center"/>
              <w:rPr>
                <w:rFonts w:hint="eastAsia" w:ascii="宋体" w:hAnsi="宋体"/>
                <w:color w:val="auto"/>
                <w:sz w:val="21"/>
                <w:szCs w:val="21"/>
                <w:highlight w:val="none"/>
              </w:rPr>
            </w:pPr>
          </w:p>
        </w:tc>
        <w:tc>
          <w:tcPr>
            <w:tcW w:w="2150" w:type="dxa"/>
            <w:tcBorders>
              <w:top w:val="single" w:color="auto" w:sz="4" w:space="0"/>
              <w:left w:val="single" w:color="auto" w:sz="4" w:space="0"/>
              <w:bottom w:val="nil"/>
              <w:right w:val="single" w:color="auto" w:sz="4" w:space="0"/>
            </w:tcBorders>
            <w:vAlign w:val="center"/>
          </w:tcPr>
          <w:p w14:paraId="4BBC91EA">
            <w:pPr>
              <w:adjustRightInd w:val="0"/>
              <w:snapToGrid w:val="0"/>
              <w:spacing w:line="320" w:lineRule="exact"/>
              <w:ind w:firstLine="0" w:firstLineChars="0"/>
              <w:jc w:val="center"/>
              <w:rPr>
                <w:rFonts w:hint="eastAsia" w:ascii="宋体" w:hAnsi="宋体"/>
                <w:color w:val="auto"/>
                <w:sz w:val="21"/>
                <w:szCs w:val="21"/>
                <w:highlight w:val="none"/>
              </w:rPr>
            </w:pPr>
          </w:p>
        </w:tc>
        <w:tc>
          <w:tcPr>
            <w:tcW w:w="1110" w:type="dxa"/>
            <w:tcBorders>
              <w:top w:val="single" w:color="auto" w:sz="4" w:space="0"/>
              <w:left w:val="single" w:color="auto" w:sz="4" w:space="0"/>
              <w:bottom w:val="nil"/>
              <w:right w:val="single" w:color="auto" w:sz="4" w:space="0"/>
            </w:tcBorders>
            <w:vAlign w:val="center"/>
          </w:tcPr>
          <w:p w14:paraId="16A18B86">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276" w:type="dxa"/>
            <w:tcBorders>
              <w:top w:val="single" w:color="auto" w:sz="4" w:space="0"/>
              <w:left w:val="single" w:color="auto" w:sz="4" w:space="0"/>
              <w:bottom w:val="nil"/>
              <w:right w:val="single" w:color="auto" w:sz="4" w:space="0"/>
            </w:tcBorders>
            <w:vAlign w:val="center"/>
          </w:tcPr>
          <w:p w14:paraId="7761E0BD">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825" w:type="dxa"/>
            <w:vMerge w:val="restart"/>
            <w:tcBorders>
              <w:left w:val="single" w:color="auto" w:sz="4" w:space="0"/>
              <w:right w:val="single" w:color="auto" w:sz="4" w:space="0"/>
            </w:tcBorders>
            <w:vAlign w:val="center"/>
          </w:tcPr>
          <w:p w14:paraId="2D5DC306">
            <w:pPr>
              <w:adjustRightInd w:val="0"/>
              <w:snapToGrid w:val="0"/>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详见技术响应承诺书</w:t>
            </w:r>
          </w:p>
        </w:tc>
        <w:tc>
          <w:tcPr>
            <w:tcW w:w="966" w:type="dxa"/>
            <w:tcBorders>
              <w:top w:val="single" w:color="auto" w:sz="4" w:space="0"/>
              <w:left w:val="single" w:color="auto" w:sz="4" w:space="0"/>
              <w:bottom w:val="nil"/>
              <w:right w:val="single" w:color="auto" w:sz="4" w:space="0"/>
            </w:tcBorders>
            <w:vAlign w:val="center"/>
          </w:tcPr>
          <w:p w14:paraId="50940B17">
            <w:pPr>
              <w:adjustRightInd w:val="0"/>
              <w:snapToGrid w:val="0"/>
              <w:spacing w:line="320" w:lineRule="exact"/>
              <w:ind w:firstLine="0" w:firstLineChars="0"/>
              <w:jc w:val="center"/>
              <w:rPr>
                <w:rFonts w:hint="eastAsia" w:ascii="宋体" w:hAnsi="宋体"/>
                <w:color w:val="auto"/>
                <w:sz w:val="21"/>
                <w:szCs w:val="21"/>
                <w:highlight w:val="none"/>
              </w:rPr>
            </w:pPr>
          </w:p>
        </w:tc>
        <w:tc>
          <w:tcPr>
            <w:tcW w:w="841" w:type="dxa"/>
            <w:tcBorders>
              <w:top w:val="single" w:color="auto" w:sz="4" w:space="0"/>
              <w:left w:val="single" w:color="auto" w:sz="4" w:space="0"/>
              <w:bottom w:val="nil"/>
              <w:right w:val="single" w:color="auto" w:sz="4" w:space="0"/>
            </w:tcBorders>
            <w:vAlign w:val="center"/>
          </w:tcPr>
          <w:p w14:paraId="06D82739">
            <w:pPr>
              <w:adjustRightInd w:val="0"/>
              <w:snapToGrid w:val="0"/>
              <w:spacing w:line="320" w:lineRule="exact"/>
              <w:ind w:firstLine="0" w:firstLineChars="0"/>
              <w:jc w:val="center"/>
              <w:rPr>
                <w:rFonts w:hint="eastAsia" w:ascii="宋体" w:hAnsi="宋体"/>
                <w:color w:val="auto"/>
                <w:sz w:val="21"/>
                <w:szCs w:val="21"/>
                <w:highlight w:val="none"/>
              </w:rPr>
            </w:pPr>
          </w:p>
        </w:tc>
        <w:tc>
          <w:tcPr>
            <w:tcW w:w="1530" w:type="dxa"/>
            <w:tcBorders>
              <w:top w:val="single" w:color="auto" w:sz="4" w:space="0"/>
              <w:left w:val="single" w:color="auto" w:sz="4" w:space="0"/>
              <w:bottom w:val="nil"/>
              <w:right w:val="single" w:color="auto" w:sz="4" w:space="0"/>
            </w:tcBorders>
            <w:vAlign w:val="center"/>
          </w:tcPr>
          <w:p w14:paraId="4411AEF3">
            <w:pPr>
              <w:adjustRightInd w:val="0"/>
              <w:snapToGrid w:val="0"/>
              <w:spacing w:line="320" w:lineRule="exact"/>
              <w:ind w:firstLine="0" w:firstLineChars="0"/>
              <w:jc w:val="center"/>
              <w:rPr>
                <w:rFonts w:hint="eastAsia" w:ascii="宋体" w:hAnsi="宋体"/>
                <w:b/>
                <w:bCs/>
                <w:color w:val="auto"/>
                <w:sz w:val="21"/>
                <w:szCs w:val="21"/>
                <w:highlight w:val="none"/>
              </w:rPr>
            </w:pPr>
          </w:p>
        </w:tc>
        <w:tc>
          <w:tcPr>
            <w:tcW w:w="2067" w:type="dxa"/>
            <w:tcBorders>
              <w:top w:val="single" w:color="auto" w:sz="4" w:space="0"/>
              <w:left w:val="single" w:color="auto" w:sz="4" w:space="0"/>
              <w:bottom w:val="nil"/>
            </w:tcBorders>
            <w:vAlign w:val="center"/>
          </w:tcPr>
          <w:p w14:paraId="1932F5D7">
            <w:pPr>
              <w:adjustRightInd w:val="0"/>
              <w:snapToGrid w:val="0"/>
              <w:spacing w:line="320" w:lineRule="exact"/>
              <w:ind w:firstLine="0" w:firstLineChars="0"/>
              <w:jc w:val="center"/>
              <w:rPr>
                <w:rFonts w:hint="eastAsia" w:ascii="宋体" w:hAnsi="宋体"/>
                <w:b/>
                <w:bCs/>
                <w:color w:val="auto"/>
                <w:sz w:val="21"/>
                <w:szCs w:val="21"/>
                <w:highlight w:val="none"/>
              </w:rPr>
            </w:pPr>
          </w:p>
        </w:tc>
      </w:tr>
      <w:tr w14:paraId="6B6DB7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nil"/>
              <w:right w:val="single" w:color="auto" w:sz="4" w:space="0"/>
            </w:tcBorders>
            <w:vAlign w:val="center"/>
          </w:tcPr>
          <w:p w14:paraId="7F8E7312">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2</w:t>
            </w:r>
          </w:p>
        </w:tc>
        <w:tc>
          <w:tcPr>
            <w:tcW w:w="1410" w:type="dxa"/>
            <w:tcBorders>
              <w:top w:val="single" w:color="auto" w:sz="4" w:space="0"/>
              <w:left w:val="single" w:color="auto" w:sz="4" w:space="0"/>
              <w:bottom w:val="nil"/>
              <w:right w:val="single" w:color="auto" w:sz="4" w:space="0"/>
            </w:tcBorders>
            <w:vAlign w:val="center"/>
          </w:tcPr>
          <w:p w14:paraId="2732D6FB">
            <w:pPr>
              <w:adjustRightInd w:val="0"/>
              <w:snapToGrid w:val="0"/>
              <w:spacing w:line="320" w:lineRule="exact"/>
              <w:ind w:firstLine="0" w:firstLineChars="0"/>
              <w:jc w:val="center"/>
              <w:rPr>
                <w:rFonts w:hint="eastAsia" w:ascii="宋体" w:hAnsi="宋体"/>
                <w:color w:val="auto"/>
                <w:sz w:val="21"/>
                <w:szCs w:val="21"/>
                <w:highlight w:val="none"/>
              </w:rPr>
            </w:pPr>
          </w:p>
        </w:tc>
        <w:tc>
          <w:tcPr>
            <w:tcW w:w="2150" w:type="dxa"/>
            <w:tcBorders>
              <w:top w:val="single" w:color="auto" w:sz="4" w:space="0"/>
              <w:left w:val="single" w:color="auto" w:sz="4" w:space="0"/>
              <w:bottom w:val="nil"/>
              <w:right w:val="single" w:color="auto" w:sz="4" w:space="0"/>
            </w:tcBorders>
            <w:vAlign w:val="center"/>
          </w:tcPr>
          <w:p w14:paraId="3497D211">
            <w:pPr>
              <w:adjustRightInd w:val="0"/>
              <w:snapToGrid w:val="0"/>
              <w:spacing w:line="320" w:lineRule="exact"/>
              <w:ind w:firstLine="0" w:firstLineChars="0"/>
              <w:jc w:val="center"/>
              <w:rPr>
                <w:rFonts w:hint="eastAsia" w:ascii="宋体" w:hAnsi="宋体"/>
                <w:color w:val="auto"/>
                <w:sz w:val="21"/>
                <w:szCs w:val="21"/>
                <w:highlight w:val="none"/>
              </w:rPr>
            </w:pPr>
          </w:p>
        </w:tc>
        <w:tc>
          <w:tcPr>
            <w:tcW w:w="1110" w:type="dxa"/>
            <w:tcBorders>
              <w:top w:val="single" w:color="auto" w:sz="4" w:space="0"/>
              <w:left w:val="single" w:color="auto" w:sz="4" w:space="0"/>
              <w:bottom w:val="nil"/>
              <w:right w:val="single" w:color="auto" w:sz="4" w:space="0"/>
            </w:tcBorders>
            <w:vAlign w:val="center"/>
          </w:tcPr>
          <w:p w14:paraId="5BDE23A4">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276" w:type="dxa"/>
            <w:tcBorders>
              <w:top w:val="single" w:color="auto" w:sz="4" w:space="0"/>
              <w:left w:val="single" w:color="auto" w:sz="4" w:space="0"/>
              <w:bottom w:val="nil"/>
              <w:right w:val="single" w:color="auto" w:sz="4" w:space="0"/>
            </w:tcBorders>
            <w:vAlign w:val="center"/>
          </w:tcPr>
          <w:p w14:paraId="3B6DFC51">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825" w:type="dxa"/>
            <w:vMerge w:val="continue"/>
            <w:tcBorders>
              <w:left w:val="single" w:color="auto" w:sz="4" w:space="0"/>
              <w:right w:val="single" w:color="auto" w:sz="4" w:space="0"/>
            </w:tcBorders>
            <w:vAlign w:val="center"/>
          </w:tcPr>
          <w:p w14:paraId="04BF030C">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966" w:type="dxa"/>
            <w:tcBorders>
              <w:top w:val="single" w:color="auto" w:sz="4" w:space="0"/>
              <w:left w:val="single" w:color="auto" w:sz="4" w:space="0"/>
              <w:bottom w:val="nil"/>
              <w:right w:val="single" w:color="auto" w:sz="4" w:space="0"/>
            </w:tcBorders>
            <w:vAlign w:val="center"/>
          </w:tcPr>
          <w:p w14:paraId="7F49A146">
            <w:pPr>
              <w:adjustRightInd w:val="0"/>
              <w:snapToGrid w:val="0"/>
              <w:spacing w:line="320" w:lineRule="exact"/>
              <w:ind w:firstLine="0" w:firstLineChars="0"/>
              <w:jc w:val="center"/>
              <w:rPr>
                <w:rFonts w:hint="eastAsia" w:ascii="宋体" w:hAnsi="宋体"/>
                <w:color w:val="auto"/>
                <w:sz w:val="21"/>
                <w:szCs w:val="21"/>
                <w:highlight w:val="none"/>
              </w:rPr>
            </w:pPr>
          </w:p>
        </w:tc>
        <w:tc>
          <w:tcPr>
            <w:tcW w:w="841" w:type="dxa"/>
            <w:tcBorders>
              <w:top w:val="single" w:color="auto" w:sz="4" w:space="0"/>
              <w:left w:val="single" w:color="auto" w:sz="4" w:space="0"/>
              <w:bottom w:val="nil"/>
              <w:right w:val="single" w:color="auto" w:sz="4" w:space="0"/>
            </w:tcBorders>
            <w:vAlign w:val="center"/>
          </w:tcPr>
          <w:p w14:paraId="40121B26">
            <w:pPr>
              <w:adjustRightInd w:val="0"/>
              <w:snapToGrid w:val="0"/>
              <w:spacing w:line="320" w:lineRule="exact"/>
              <w:ind w:firstLine="0" w:firstLineChars="0"/>
              <w:jc w:val="center"/>
              <w:rPr>
                <w:rFonts w:hint="eastAsia" w:ascii="宋体" w:hAnsi="宋体"/>
                <w:color w:val="auto"/>
                <w:sz w:val="21"/>
                <w:szCs w:val="21"/>
                <w:highlight w:val="none"/>
              </w:rPr>
            </w:pPr>
          </w:p>
        </w:tc>
        <w:tc>
          <w:tcPr>
            <w:tcW w:w="1530" w:type="dxa"/>
            <w:tcBorders>
              <w:top w:val="single" w:color="auto" w:sz="4" w:space="0"/>
              <w:left w:val="single" w:color="auto" w:sz="4" w:space="0"/>
              <w:bottom w:val="nil"/>
              <w:right w:val="single" w:color="auto" w:sz="4" w:space="0"/>
            </w:tcBorders>
            <w:vAlign w:val="center"/>
          </w:tcPr>
          <w:p w14:paraId="6A81EC73">
            <w:pPr>
              <w:adjustRightInd w:val="0"/>
              <w:snapToGrid w:val="0"/>
              <w:spacing w:line="320" w:lineRule="exact"/>
              <w:ind w:firstLine="0" w:firstLineChars="0"/>
              <w:jc w:val="center"/>
              <w:rPr>
                <w:rFonts w:hint="eastAsia" w:ascii="宋体" w:hAnsi="宋体"/>
                <w:b/>
                <w:bCs/>
                <w:color w:val="auto"/>
                <w:sz w:val="21"/>
                <w:szCs w:val="21"/>
                <w:highlight w:val="none"/>
              </w:rPr>
            </w:pPr>
          </w:p>
        </w:tc>
        <w:tc>
          <w:tcPr>
            <w:tcW w:w="2067" w:type="dxa"/>
            <w:tcBorders>
              <w:top w:val="single" w:color="auto" w:sz="4" w:space="0"/>
              <w:left w:val="single" w:color="auto" w:sz="4" w:space="0"/>
              <w:bottom w:val="nil"/>
            </w:tcBorders>
            <w:vAlign w:val="center"/>
          </w:tcPr>
          <w:p w14:paraId="41132C70">
            <w:pPr>
              <w:adjustRightInd w:val="0"/>
              <w:snapToGrid w:val="0"/>
              <w:spacing w:line="320" w:lineRule="exact"/>
              <w:ind w:firstLine="0" w:firstLineChars="0"/>
              <w:jc w:val="center"/>
              <w:rPr>
                <w:rFonts w:hint="eastAsia" w:ascii="宋体" w:hAnsi="宋体"/>
                <w:b/>
                <w:bCs/>
                <w:color w:val="auto"/>
                <w:sz w:val="21"/>
                <w:szCs w:val="21"/>
                <w:highlight w:val="none"/>
              </w:rPr>
            </w:pPr>
          </w:p>
        </w:tc>
      </w:tr>
      <w:tr w14:paraId="4A5365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nil"/>
              <w:right w:val="single" w:color="auto" w:sz="4" w:space="0"/>
            </w:tcBorders>
            <w:vAlign w:val="center"/>
          </w:tcPr>
          <w:p w14:paraId="26C064FC">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3</w:t>
            </w:r>
          </w:p>
        </w:tc>
        <w:tc>
          <w:tcPr>
            <w:tcW w:w="1410" w:type="dxa"/>
            <w:tcBorders>
              <w:top w:val="single" w:color="auto" w:sz="4" w:space="0"/>
              <w:left w:val="single" w:color="auto" w:sz="4" w:space="0"/>
              <w:bottom w:val="nil"/>
              <w:right w:val="single" w:color="auto" w:sz="4" w:space="0"/>
            </w:tcBorders>
            <w:vAlign w:val="center"/>
          </w:tcPr>
          <w:p w14:paraId="7037C211">
            <w:pPr>
              <w:adjustRightInd w:val="0"/>
              <w:snapToGrid w:val="0"/>
              <w:spacing w:line="320" w:lineRule="exact"/>
              <w:ind w:firstLine="0" w:firstLineChars="0"/>
              <w:jc w:val="center"/>
              <w:rPr>
                <w:rFonts w:hint="eastAsia" w:ascii="宋体" w:hAnsi="宋体"/>
                <w:color w:val="auto"/>
                <w:sz w:val="21"/>
                <w:szCs w:val="21"/>
                <w:highlight w:val="none"/>
              </w:rPr>
            </w:pPr>
          </w:p>
        </w:tc>
        <w:tc>
          <w:tcPr>
            <w:tcW w:w="2150" w:type="dxa"/>
            <w:tcBorders>
              <w:top w:val="single" w:color="auto" w:sz="4" w:space="0"/>
              <w:left w:val="single" w:color="auto" w:sz="4" w:space="0"/>
              <w:bottom w:val="nil"/>
              <w:right w:val="single" w:color="auto" w:sz="4" w:space="0"/>
            </w:tcBorders>
            <w:vAlign w:val="center"/>
          </w:tcPr>
          <w:p w14:paraId="6E8DA2D1">
            <w:pPr>
              <w:adjustRightInd w:val="0"/>
              <w:snapToGrid w:val="0"/>
              <w:spacing w:line="320" w:lineRule="exact"/>
              <w:ind w:firstLine="0" w:firstLineChars="0"/>
              <w:jc w:val="center"/>
              <w:rPr>
                <w:rFonts w:hint="eastAsia" w:ascii="宋体" w:hAnsi="宋体"/>
                <w:color w:val="auto"/>
                <w:sz w:val="21"/>
                <w:szCs w:val="21"/>
                <w:highlight w:val="none"/>
              </w:rPr>
            </w:pPr>
          </w:p>
        </w:tc>
        <w:tc>
          <w:tcPr>
            <w:tcW w:w="1110" w:type="dxa"/>
            <w:tcBorders>
              <w:top w:val="single" w:color="auto" w:sz="4" w:space="0"/>
              <w:left w:val="single" w:color="auto" w:sz="4" w:space="0"/>
              <w:bottom w:val="nil"/>
              <w:right w:val="single" w:color="auto" w:sz="4" w:space="0"/>
            </w:tcBorders>
            <w:vAlign w:val="center"/>
          </w:tcPr>
          <w:p w14:paraId="1F1FA981">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276" w:type="dxa"/>
            <w:tcBorders>
              <w:top w:val="single" w:color="auto" w:sz="4" w:space="0"/>
              <w:left w:val="single" w:color="auto" w:sz="4" w:space="0"/>
              <w:bottom w:val="nil"/>
              <w:right w:val="single" w:color="auto" w:sz="4" w:space="0"/>
            </w:tcBorders>
            <w:vAlign w:val="center"/>
          </w:tcPr>
          <w:p w14:paraId="68850ECE">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825" w:type="dxa"/>
            <w:vMerge w:val="continue"/>
            <w:tcBorders>
              <w:left w:val="single" w:color="auto" w:sz="4" w:space="0"/>
              <w:right w:val="single" w:color="auto" w:sz="4" w:space="0"/>
            </w:tcBorders>
            <w:vAlign w:val="center"/>
          </w:tcPr>
          <w:p w14:paraId="65001AF9">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966" w:type="dxa"/>
            <w:tcBorders>
              <w:top w:val="single" w:color="auto" w:sz="4" w:space="0"/>
              <w:left w:val="single" w:color="auto" w:sz="4" w:space="0"/>
              <w:bottom w:val="nil"/>
              <w:right w:val="single" w:color="auto" w:sz="4" w:space="0"/>
            </w:tcBorders>
            <w:vAlign w:val="center"/>
          </w:tcPr>
          <w:p w14:paraId="3C36C9C2">
            <w:pPr>
              <w:adjustRightInd w:val="0"/>
              <w:snapToGrid w:val="0"/>
              <w:spacing w:line="320" w:lineRule="exact"/>
              <w:ind w:firstLine="0" w:firstLineChars="0"/>
              <w:jc w:val="center"/>
              <w:rPr>
                <w:rFonts w:hint="eastAsia" w:ascii="宋体" w:hAnsi="宋体"/>
                <w:color w:val="auto"/>
                <w:sz w:val="21"/>
                <w:szCs w:val="21"/>
                <w:highlight w:val="none"/>
              </w:rPr>
            </w:pPr>
          </w:p>
        </w:tc>
        <w:tc>
          <w:tcPr>
            <w:tcW w:w="841" w:type="dxa"/>
            <w:tcBorders>
              <w:top w:val="single" w:color="auto" w:sz="4" w:space="0"/>
              <w:left w:val="single" w:color="auto" w:sz="4" w:space="0"/>
              <w:bottom w:val="nil"/>
              <w:right w:val="single" w:color="auto" w:sz="4" w:space="0"/>
            </w:tcBorders>
            <w:vAlign w:val="center"/>
          </w:tcPr>
          <w:p w14:paraId="44D94B21">
            <w:pPr>
              <w:adjustRightInd w:val="0"/>
              <w:snapToGrid w:val="0"/>
              <w:spacing w:line="320" w:lineRule="exact"/>
              <w:ind w:firstLine="0" w:firstLineChars="0"/>
              <w:jc w:val="center"/>
              <w:rPr>
                <w:rFonts w:hint="eastAsia" w:ascii="宋体" w:hAnsi="宋体"/>
                <w:color w:val="auto"/>
                <w:sz w:val="21"/>
                <w:szCs w:val="21"/>
                <w:highlight w:val="none"/>
              </w:rPr>
            </w:pPr>
          </w:p>
        </w:tc>
        <w:tc>
          <w:tcPr>
            <w:tcW w:w="1530" w:type="dxa"/>
            <w:tcBorders>
              <w:top w:val="single" w:color="auto" w:sz="4" w:space="0"/>
              <w:left w:val="single" w:color="auto" w:sz="4" w:space="0"/>
              <w:bottom w:val="nil"/>
              <w:right w:val="single" w:color="auto" w:sz="4" w:space="0"/>
            </w:tcBorders>
            <w:vAlign w:val="center"/>
          </w:tcPr>
          <w:p w14:paraId="258E3672">
            <w:pPr>
              <w:adjustRightInd w:val="0"/>
              <w:snapToGrid w:val="0"/>
              <w:spacing w:line="320" w:lineRule="exact"/>
              <w:ind w:firstLine="0" w:firstLineChars="0"/>
              <w:jc w:val="center"/>
              <w:rPr>
                <w:rFonts w:hint="eastAsia" w:ascii="宋体" w:hAnsi="宋体"/>
                <w:b/>
                <w:bCs/>
                <w:color w:val="auto"/>
                <w:sz w:val="21"/>
                <w:szCs w:val="21"/>
                <w:highlight w:val="none"/>
              </w:rPr>
            </w:pPr>
          </w:p>
        </w:tc>
        <w:tc>
          <w:tcPr>
            <w:tcW w:w="2067" w:type="dxa"/>
            <w:tcBorders>
              <w:top w:val="single" w:color="auto" w:sz="4" w:space="0"/>
              <w:left w:val="single" w:color="auto" w:sz="4" w:space="0"/>
              <w:bottom w:val="nil"/>
            </w:tcBorders>
            <w:vAlign w:val="center"/>
          </w:tcPr>
          <w:p w14:paraId="3D2E6A0C">
            <w:pPr>
              <w:adjustRightInd w:val="0"/>
              <w:snapToGrid w:val="0"/>
              <w:spacing w:line="320" w:lineRule="exact"/>
              <w:ind w:firstLine="0" w:firstLineChars="0"/>
              <w:jc w:val="center"/>
              <w:rPr>
                <w:rFonts w:hint="eastAsia" w:ascii="宋体" w:hAnsi="宋体"/>
                <w:b/>
                <w:bCs/>
                <w:color w:val="auto"/>
                <w:sz w:val="21"/>
                <w:szCs w:val="21"/>
                <w:highlight w:val="none"/>
              </w:rPr>
            </w:pPr>
          </w:p>
        </w:tc>
      </w:tr>
      <w:tr w14:paraId="603B83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tcPr>
          <w:p w14:paraId="30EDF56B">
            <w:pPr>
              <w:adjustRightInd w:val="0"/>
              <w:snapToGrid w:val="0"/>
              <w:spacing w:line="320" w:lineRule="exact"/>
              <w:ind w:firstLine="0" w:firstLineChars="0"/>
              <w:rPr>
                <w:rFonts w:hint="eastAsia" w:ascii="宋体" w:hAnsi="宋体"/>
                <w:b/>
                <w:bCs/>
                <w:color w:val="auto"/>
                <w:szCs w:val="24"/>
                <w:highlight w:val="none"/>
              </w:rPr>
            </w:pPr>
            <w:r>
              <w:rPr>
                <w:rFonts w:hint="eastAsia" w:ascii="宋体" w:hAnsi="宋体"/>
                <w:color w:val="auto"/>
                <w:spacing w:val="-6"/>
                <w:szCs w:val="24"/>
                <w:highlight w:val="none"/>
              </w:rPr>
              <w:t>谈判</w:t>
            </w:r>
            <w:r>
              <w:rPr>
                <w:rFonts w:ascii="宋体" w:hAnsi="宋体"/>
                <w:color w:val="auto"/>
                <w:spacing w:val="-6"/>
                <w:szCs w:val="24"/>
                <w:highlight w:val="none"/>
              </w:rPr>
              <w:t>报价（</w:t>
            </w:r>
            <w:r>
              <w:rPr>
                <w:rFonts w:hint="eastAsia" w:ascii="宋体" w:hAnsi="宋体"/>
                <w:color w:val="auto"/>
                <w:spacing w:val="-6"/>
                <w:szCs w:val="24"/>
                <w:highlight w:val="none"/>
              </w:rPr>
              <w:t>即合计金额</w:t>
            </w:r>
            <w:r>
              <w:rPr>
                <w:rFonts w:ascii="宋体" w:hAnsi="宋体"/>
                <w:color w:val="auto"/>
                <w:spacing w:val="-6"/>
                <w:szCs w:val="24"/>
                <w:highlight w:val="none"/>
              </w:rPr>
              <w:t>）大写：</w:t>
            </w:r>
            <w:r>
              <w:rPr>
                <w:rFonts w:hint="eastAsia" w:ascii="宋体" w:hAnsi="宋体" w:cs="宋体"/>
                <w:color w:val="auto"/>
                <w:kern w:val="0"/>
                <w:sz w:val="21"/>
                <w:szCs w:val="20"/>
                <w:highlight w:val="none"/>
                <w:u w:val="single"/>
              </w:rPr>
              <w:t xml:space="preserve">                      </w:t>
            </w:r>
            <w:r>
              <w:rPr>
                <w:rFonts w:hint="eastAsia" w:ascii="宋体" w:hAnsi="宋体"/>
                <w:color w:val="auto"/>
                <w:spacing w:val="-6"/>
                <w:szCs w:val="24"/>
                <w:highlight w:val="none"/>
              </w:rPr>
              <w:t>元</w:t>
            </w:r>
            <w:r>
              <w:rPr>
                <w:rFonts w:ascii="宋体" w:hAnsi="宋体"/>
                <w:color w:val="auto"/>
                <w:spacing w:val="-6"/>
                <w:szCs w:val="24"/>
                <w:highlight w:val="none"/>
              </w:rPr>
              <w:t>人民币（¥</w:t>
            </w:r>
            <w:r>
              <w:rPr>
                <w:rFonts w:hint="eastAsia" w:ascii="宋体" w:hAnsi="宋体" w:cs="宋体"/>
                <w:color w:val="auto"/>
                <w:kern w:val="0"/>
                <w:sz w:val="21"/>
                <w:szCs w:val="20"/>
                <w:highlight w:val="none"/>
                <w:u w:val="single"/>
              </w:rPr>
              <w:t xml:space="preserve">                      </w:t>
            </w:r>
            <w:r>
              <w:rPr>
                <w:rFonts w:ascii="宋体" w:hAnsi="宋体"/>
                <w:color w:val="auto"/>
                <w:spacing w:val="-6"/>
                <w:szCs w:val="24"/>
                <w:highlight w:val="none"/>
              </w:rPr>
              <w:t>）</w:t>
            </w:r>
          </w:p>
        </w:tc>
      </w:tr>
      <w:tr w14:paraId="6C066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tcPr>
          <w:p w14:paraId="16B79414">
            <w:pPr>
              <w:adjustRightInd w:val="0"/>
              <w:snapToGrid w:val="0"/>
              <w:spacing w:line="320" w:lineRule="exact"/>
              <w:ind w:firstLine="0" w:firstLineChars="0"/>
              <w:rPr>
                <w:rFonts w:hint="eastAsia" w:ascii="宋体" w:hAnsi="宋体"/>
                <w:color w:val="auto"/>
                <w:spacing w:val="-6"/>
                <w:sz w:val="21"/>
                <w:szCs w:val="21"/>
                <w:highlight w:val="none"/>
              </w:rPr>
            </w:pPr>
            <w:r>
              <w:rPr>
                <w:rFonts w:hint="eastAsia" w:ascii="宋体" w:hAnsi="宋体"/>
                <w:color w:val="auto"/>
                <w:spacing w:val="-6"/>
                <w:sz w:val="21"/>
                <w:szCs w:val="21"/>
                <w:highlight w:val="none"/>
              </w:rPr>
              <w:t>其中：属于财政部</w:t>
            </w:r>
            <w:r>
              <w:rPr>
                <w:rFonts w:hint="eastAsia" w:hAnsi="宋体"/>
                <w:bCs/>
                <w:color w:val="auto"/>
                <w:sz w:val="21"/>
                <w:szCs w:val="21"/>
                <w:highlight w:val="none"/>
              </w:rPr>
              <w:t>《节能产品政府采购品目清单》</w:t>
            </w:r>
            <w:r>
              <w:rPr>
                <w:rFonts w:hint="eastAsia" w:ascii="宋体" w:hAnsi="宋体"/>
                <w:color w:val="auto"/>
                <w:spacing w:val="-6"/>
                <w:sz w:val="21"/>
                <w:szCs w:val="21"/>
                <w:highlight w:val="none"/>
              </w:rPr>
              <w:t>内产品的总金额为</w:t>
            </w:r>
            <w:r>
              <w:rPr>
                <w:rFonts w:ascii="宋体" w:hAnsi="宋体"/>
                <w:color w:val="auto"/>
                <w:spacing w:val="-6"/>
                <w:sz w:val="21"/>
                <w:szCs w:val="21"/>
                <w:highlight w:val="none"/>
              </w:rPr>
              <w:t>人民币</w:t>
            </w:r>
            <w:r>
              <w:rPr>
                <w:rFonts w:hint="eastAsia" w:ascii="宋体" w:hAnsi="宋体"/>
                <w:color w:val="auto"/>
                <w:spacing w:val="-6"/>
                <w:sz w:val="21"/>
                <w:szCs w:val="21"/>
                <w:highlight w:val="none"/>
              </w:rPr>
              <w:t>（大写）：元</w:t>
            </w:r>
            <w:r>
              <w:rPr>
                <w:rFonts w:ascii="宋体" w:hAnsi="宋体"/>
                <w:color w:val="auto"/>
                <w:spacing w:val="-6"/>
                <w:sz w:val="21"/>
                <w:szCs w:val="21"/>
                <w:highlight w:val="none"/>
              </w:rPr>
              <w:t>（¥）</w:t>
            </w:r>
            <w:r>
              <w:rPr>
                <w:rFonts w:hint="eastAsia" w:ascii="宋体" w:hAnsi="宋体"/>
                <w:color w:val="auto"/>
                <w:spacing w:val="-6"/>
                <w:sz w:val="21"/>
                <w:szCs w:val="21"/>
                <w:highlight w:val="none"/>
              </w:rPr>
              <w:t>；</w:t>
            </w:r>
          </w:p>
          <w:p w14:paraId="64A2B265">
            <w:pPr>
              <w:adjustRightInd w:val="0"/>
              <w:snapToGrid w:val="0"/>
              <w:spacing w:line="320" w:lineRule="exact"/>
              <w:ind w:firstLine="0" w:firstLineChars="0"/>
              <w:rPr>
                <w:rFonts w:hint="eastAsia" w:ascii="宋体" w:hAnsi="宋体"/>
                <w:color w:val="auto"/>
                <w:spacing w:val="-6"/>
                <w:sz w:val="21"/>
                <w:szCs w:val="21"/>
                <w:highlight w:val="none"/>
              </w:rPr>
            </w:pPr>
            <w:r>
              <w:rPr>
                <w:rFonts w:hint="eastAsia" w:ascii="宋体" w:hAnsi="宋体"/>
                <w:color w:val="auto"/>
                <w:spacing w:val="-6"/>
                <w:sz w:val="21"/>
                <w:szCs w:val="21"/>
                <w:highlight w:val="none"/>
              </w:rPr>
              <w:t>属于财政部</w:t>
            </w:r>
            <w:r>
              <w:rPr>
                <w:rFonts w:hint="eastAsia" w:hAnsi="宋体"/>
                <w:bCs/>
                <w:color w:val="auto"/>
                <w:sz w:val="21"/>
                <w:szCs w:val="21"/>
                <w:highlight w:val="none"/>
              </w:rPr>
              <w:t>《环境标志产品政府采购品目清单》</w:t>
            </w:r>
            <w:r>
              <w:rPr>
                <w:rFonts w:hint="eastAsia" w:ascii="宋体" w:hAnsi="宋体"/>
                <w:color w:val="auto"/>
                <w:spacing w:val="-6"/>
                <w:sz w:val="21"/>
                <w:szCs w:val="21"/>
                <w:highlight w:val="none"/>
              </w:rPr>
              <w:t>内产品的总金额为</w:t>
            </w:r>
            <w:r>
              <w:rPr>
                <w:rFonts w:ascii="宋体" w:hAnsi="宋体"/>
                <w:color w:val="auto"/>
                <w:spacing w:val="-6"/>
                <w:sz w:val="21"/>
                <w:szCs w:val="21"/>
                <w:highlight w:val="none"/>
              </w:rPr>
              <w:t>人民币</w:t>
            </w:r>
            <w:r>
              <w:rPr>
                <w:rFonts w:hint="eastAsia" w:ascii="宋体" w:hAnsi="宋体"/>
                <w:color w:val="auto"/>
                <w:spacing w:val="-6"/>
                <w:sz w:val="21"/>
                <w:szCs w:val="21"/>
                <w:highlight w:val="none"/>
              </w:rPr>
              <w:t>（大写）： 元</w:t>
            </w:r>
            <w:r>
              <w:rPr>
                <w:rFonts w:ascii="宋体" w:hAnsi="宋体"/>
                <w:color w:val="auto"/>
                <w:spacing w:val="-6"/>
                <w:sz w:val="21"/>
                <w:szCs w:val="21"/>
                <w:highlight w:val="none"/>
              </w:rPr>
              <w:t>（¥）</w:t>
            </w:r>
            <w:r>
              <w:rPr>
                <w:rFonts w:hint="eastAsia" w:ascii="宋体" w:hAnsi="宋体"/>
                <w:color w:val="auto"/>
                <w:spacing w:val="-6"/>
                <w:sz w:val="21"/>
                <w:szCs w:val="21"/>
                <w:highlight w:val="none"/>
              </w:rPr>
              <w:t>。</w:t>
            </w:r>
          </w:p>
          <w:p w14:paraId="55B9228B">
            <w:pPr>
              <w:adjustRightInd w:val="0"/>
              <w:snapToGrid w:val="0"/>
              <w:spacing w:line="320" w:lineRule="exact"/>
              <w:ind w:firstLine="0" w:firstLineChars="0"/>
              <w:rPr>
                <w:rFonts w:hint="eastAsia" w:ascii="宋体" w:hAnsi="宋体"/>
                <w:b/>
                <w:bCs/>
                <w:color w:val="auto"/>
                <w:sz w:val="21"/>
                <w:szCs w:val="21"/>
                <w:highlight w:val="none"/>
              </w:rPr>
            </w:pPr>
            <w:r>
              <w:rPr>
                <w:rFonts w:hint="eastAsia" w:ascii="宋体" w:hAnsi="宋体"/>
                <w:b/>
                <w:color w:val="auto"/>
                <w:spacing w:val="-6"/>
                <w:sz w:val="21"/>
                <w:szCs w:val="21"/>
                <w:highlight w:val="none"/>
              </w:rPr>
              <w:t>备注：若不属于财政部《节能产品政府采购品目清单》及《环境标志产品政府采购品目清单》内产品的，则该处填写“无”字样。</w:t>
            </w:r>
          </w:p>
        </w:tc>
      </w:tr>
      <w:tr w14:paraId="50C456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tcPr>
          <w:p w14:paraId="5D3A7544">
            <w:pPr>
              <w:adjustRightInd w:val="0"/>
              <w:snapToGrid w:val="0"/>
              <w:spacing w:line="320" w:lineRule="exact"/>
              <w:ind w:firstLine="0" w:firstLineChars="0"/>
              <w:rPr>
                <w:rFonts w:hint="eastAsia" w:ascii="宋体" w:hAnsi="宋体"/>
                <w:b/>
                <w:bCs/>
                <w:color w:val="auto"/>
                <w:sz w:val="21"/>
                <w:szCs w:val="21"/>
                <w:highlight w:val="none"/>
              </w:rPr>
            </w:pPr>
            <w:r>
              <w:rPr>
                <w:rFonts w:hint="eastAsia" w:ascii="宋体" w:hAnsi="宋体"/>
                <w:color w:val="auto"/>
                <w:sz w:val="21"/>
                <w:szCs w:val="21"/>
                <w:highlight w:val="none"/>
              </w:rPr>
              <w:t>说明：供应商谈判报价应包括本次采购范围内货物价款、货物随配标准附件、包装、运输、装卸、保险、税金、货到位以及安装、安装所需辅材、调试、检验、售后服务、培训、保修</w:t>
            </w:r>
            <w:r>
              <w:rPr>
                <w:rFonts w:hint="eastAsia" w:ascii="宋体" w:hAnsi="宋体"/>
                <w:color w:val="auto"/>
                <w:sz w:val="21"/>
                <w:szCs w:val="21"/>
                <w:highlight w:val="none"/>
                <w:lang w:eastAsia="zh-CN"/>
              </w:rPr>
              <w:t>（质保）</w:t>
            </w:r>
            <w:r>
              <w:rPr>
                <w:rFonts w:hint="eastAsia" w:ascii="宋体" w:hAnsi="宋体"/>
                <w:color w:val="auto"/>
                <w:sz w:val="21"/>
                <w:szCs w:val="21"/>
                <w:highlight w:val="none"/>
              </w:rPr>
              <w:t>、验收及其他所有成本费用的总和，供应商应综合考虑在报价中。</w:t>
            </w:r>
          </w:p>
        </w:tc>
      </w:tr>
    </w:tbl>
    <w:p w14:paraId="7FCC53EA">
      <w:pPr>
        <w:adjustRightInd w:val="0"/>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3CB8A78F">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法定代表人或委托代理人签字（或电子签名）：</w:t>
      </w:r>
    </w:p>
    <w:p w14:paraId="7DFEE8C6">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日          期：</w:t>
      </w:r>
    </w:p>
    <w:p w14:paraId="7BF95DC6">
      <w:pPr>
        <w:tabs>
          <w:tab w:val="left" w:pos="1305"/>
        </w:tabs>
        <w:spacing w:line="390" w:lineRule="exact"/>
        <w:ind w:firstLine="0" w:firstLineChars="0"/>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注：</w:t>
      </w:r>
    </w:p>
    <w:p w14:paraId="41FC6A20">
      <w:pPr>
        <w:spacing w:line="260" w:lineRule="exact"/>
        <w:ind w:firstLine="422"/>
        <w:rPr>
          <w:rFonts w:hint="eastAsia" w:ascii="宋体" w:hAnsi="宋体" w:cs="宋体"/>
          <w:b/>
          <w:color w:val="auto"/>
          <w:sz w:val="21"/>
          <w:szCs w:val="21"/>
          <w:highlight w:val="none"/>
        </w:rPr>
      </w:pPr>
      <w:r>
        <w:rPr>
          <w:rFonts w:hint="eastAsia" w:ascii="宋体" w:hAnsi="宋体" w:cs="宋体"/>
          <w:b/>
          <w:color w:val="auto"/>
          <w:sz w:val="21"/>
          <w:szCs w:val="21"/>
          <w:highlight w:val="none"/>
        </w:rPr>
        <w:t>1.以上</w:t>
      </w:r>
      <w:r>
        <w:rPr>
          <w:rFonts w:hint="eastAsia" w:ascii="宋体" w:hAnsi="宋体" w:cs="宋体"/>
          <w:b/>
          <w:bCs/>
          <w:color w:val="auto"/>
          <w:kern w:val="0"/>
          <w:sz w:val="21"/>
          <w:szCs w:val="21"/>
          <w:highlight w:val="none"/>
        </w:rPr>
        <w:t>“谈判报价表”中标的名称、数量、单位、单价、合计金额必须如实填写</w:t>
      </w:r>
      <w:r>
        <w:rPr>
          <w:rFonts w:hint="eastAsia"/>
          <w:color w:val="auto"/>
          <w:highlight w:val="none"/>
          <w:lang w:eastAsia="zh-CN"/>
        </w:rPr>
        <w:t>，</w:t>
      </w:r>
      <w:r>
        <w:rPr>
          <w:rFonts w:hint="eastAsia" w:ascii="宋体" w:hAnsi="宋体" w:cs="宋体"/>
          <w:b/>
          <w:bCs/>
          <w:color w:val="auto"/>
          <w:kern w:val="0"/>
          <w:sz w:val="21"/>
          <w:szCs w:val="21"/>
          <w:highlight w:val="none"/>
          <w:lang w:val="en-US" w:eastAsia="zh-CN"/>
        </w:rPr>
        <w:t>如</w:t>
      </w:r>
      <w:r>
        <w:rPr>
          <w:rFonts w:hint="eastAsia" w:ascii="宋体" w:hAnsi="宋体" w:cs="宋体"/>
          <w:b/>
          <w:bCs/>
          <w:color w:val="auto"/>
          <w:kern w:val="0"/>
          <w:sz w:val="21"/>
          <w:szCs w:val="21"/>
          <w:highlight w:val="none"/>
        </w:rPr>
        <w:t>有缺漏的，响应文件按无效处理。</w:t>
      </w:r>
    </w:p>
    <w:p w14:paraId="0C0C664E">
      <w:pPr>
        <w:spacing w:line="260" w:lineRule="exact"/>
        <w:ind w:firstLine="422"/>
        <w:rPr>
          <w:rFonts w:hint="eastAsia" w:ascii="宋体" w:hAnsi="宋体" w:cs="宋体"/>
          <w:b/>
          <w:color w:val="auto"/>
          <w:sz w:val="21"/>
          <w:szCs w:val="21"/>
          <w:highlight w:val="none"/>
        </w:rPr>
      </w:pPr>
      <w:r>
        <w:rPr>
          <w:rFonts w:hint="eastAsia" w:ascii="宋体" w:hAnsi="宋体" w:cs="宋体"/>
          <w:b/>
          <w:color w:val="auto"/>
          <w:sz w:val="21"/>
          <w:szCs w:val="21"/>
          <w:highlight w:val="none"/>
        </w:rPr>
        <w:t>2.供应商必须就“采购需求”中的所有内容作完整唯一报价，响应文件只允许有一个报价方案，不接受有选择的或有条件的报价，否则响应文件按无效处理。</w:t>
      </w:r>
    </w:p>
    <w:p w14:paraId="6D805EB4">
      <w:pPr>
        <w:spacing w:line="260" w:lineRule="exact"/>
        <w:ind w:firstLine="422"/>
        <w:rPr>
          <w:rFonts w:hint="eastAsia" w:ascii="宋体" w:hAnsi="宋体" w:cs="宋体"/>
          <w:b/>
          <w:color w:val="auto"/>
          <w:sz w:val="21"/>
          <w:szCs w:val="21"/>
          <w:highlight w:val="none"/>
        </w:rPr>
      </w:pPr>
      <w:r>
        <w:rPr>
          <w:rFonts w:hint="eastAsia" w:ascii="宋体" w:hAnsi="宋体" w:cs="宋体"/>
          <w:b/>
          <w:color w:val="auto"/>
          <w:sz w:val="21"/>
          <w:szCs w:val="21"/>
          <w:highlight w:val="none"/>
        </w:rPr>
        <w:t>3.供应商应如实填写谈判报价表的各项内容，否则，响应无效。</w:t>
      </w:r>
    </w:p>
    <w:p w14:paraId="14387918">
      <w:pPr>
        <w:pStyle w:val="44"/>
        <w:ind w:left="0" w:leftChars="0" w:firstLine="420" w:firstLineChars="200"/>
        <w:rPr>
          <w:rFonts w:hint="default" w:eastAsia="宋体"/>
          <w:color w:val="auto"/>
          <w:highlight w:val="none"/>
          <w:lang w:val="en-US" w:eastAsia="zh-CN"/>
        </w:rPr>
      </w:pPr>
      <w:r>
        <w:rPr>
          <w:rFonts w:hint="eastAsia" w:cs="宋体"/>
          <w:b/>
          <w:color w:val="auto"/>
          <w:sz w:val="21"/>
          <w:szCs w:val="21"/>
          <w:highlight w:val="none"/>
          <w:lang w:val="en-US" w:eastAsia="zh-CN"/>
        </w:rPr>
        <w:t>4.本表如与广西政府采购云平台不一致的，以广西政府采购云平台为准。</w:t>
      </w:r>
    </w:p>
    <w:p w14:paraId="1839D1B0">
      <w:pPr>
        <w:spacing w:line="260" w:lineRule="exact"/>
        <w:ind w:firstLine="422"/>
        <w:rPr>
          <w:rFonts w:hint="eastAsia" w:ascii="宋体" w:hAnsi="宋体" w:cs="宋体"/>
          <w:b/>
          <w:color w:val="auto"/>
          <w:sz w:val="21"/>
          <w:szCs w:val="21"/>
          <w:highlight w:val="none"/>
        </w:rPr>
        <w:sectPr>
          <w:pgSz w:w="16838" w:h="11906" w:orient="landscape"/>
          <w:pgMar w:top="1418" w:right="1440" w:bottom="1797" w:left="1440" w:header="851" w:footer="992" w:gutter="0"/>
          <w:pgNumType w:fmt="decimal"/>
          <w:cols w:space="720" w:num="1"/>
          <w:docGrid w:type="linesAndChars" w:linePitch="326" w:charSpace="0"/>
        </w:sectPr>
      </w:pPr>
    </w:p>
    <w:p w14:paraId="30E99D05">
      <w:pPr>
        <w:pageBreakBefore w:val="0"/>
        <w:kinsoku/>
        <w:wordWrap/>
        <w:overflowPunct/>
        <w:topLinePunct w:val="0"/>
        <w:bidi w:val="0"/>
        <w:adjustRightInd/>
        <w:spacing w:line="360" w:lineRule="auto"/>
        <w:ind w:left="0" w:leftChars="0" w:right="0"/>
        <w:textAlignment w:val="auto"/>
        <w:outlineLvl w:val="1"/>
        <w:rPr>
          <w:rFonts w:hint="eastAsia" w:ascii="宋体" w:hAnsi="宋体" w:cs="宋体"/>
          <w:b/>
          <w:color w:val="auto"/>
          <w:kern w:val="0"/>
          <w:sz w:val="28"/>
          <w:szCs w:val="28"/>
          <w:highlight w:val="none"/>
          <w:lang w:val="en-US" w:eastAsia="zh-CN"/>
        </w:rPr>
      </w:pPr>
      <w:bookmarkStart w:id="1812" w:name="_Toc17974"/>
      <w:r>
        <w:rPr>
          <w:rFonts w:hint="eastAsia" w:ascii="宋体" w:hAnsi="宋体" w:cs="宋体"/>
          <w:b/>
          <w:color w:val="auto"/>
          <w:kern w:val="0"/>
          <w:sz w:val="28"/>
          <w:szCs w:val="28"/>
          <w:highlight w:val="none"/>
          <w:lang w:eastAsia="zh-CN"/>
        </w:rPr>
        <w:t>分标</w:t>
      </w:r>
      <w:r>
        <w:rPr>
          <w:rFonts w:hint="eastAsia" w:ascii="宋体" w:hAnsi="宋体" w:cs="宋体"/>
          <w:b/>
          <w:color w:val="auto"/>
          <w:kern w:val="0"/>
          <w:sz w:val="28"/>
          <w:szCs w:val="28"/>
          <w:highlight w:val="none"/>
          <w:lang w:val="en-US" w:eastAsia="zh-CN"/>
        </w:rPr>
        <w:t>1：</w:t>
      </w:r>
    </w:p>
    <w:p w14:paraId="79A6D6D9">
      <w:pPr>
        <w:pageBreakBefore w:val="0"/>
        <w:kinsoku/>
        <w:wordWrap/>
        <w:overflowPunct/>
        <w:topLinePunct w:val="0"/>
        <w:bidi w:val="0"/>
        <w:adjustRightInd/>
        <w:spacing w:line="360" w:lineRule="auto"/>
        <w:ind w:left="0" w:leftChars="0" w:right="0"/>
        <w:jc w:val="center"/>
        <w:textAlignment w:val="auto"/>
        <w:outlineLvl w:val="1"/>
        <w:rPr>
          <w:rFonts w:hint="eastAsia" w:ascii="宋体" w:hAnsi="宋体" w:cs="宋体"/>
          <w:b/>
          <w:color w:val="auto"/>
          <w:kern w:val="0"/>
          <w:sz w:val="28"/>
          <w:szCs w:val="28"/>
          <w:highlight w:val="none"/>
          <w:lang w:val="en-US" w:eastAsia="zh-CN"/>
        </w:rPr>
      </w:pPr>
      <w:r>
        <w:rPr>
          <w:rFonts w:hint="eastAsia" w:ascii="宋体" w:hAnsi="宋体" w:cs="宋体"/>
          <w:b/>
          <w:color w:val="auto"/>
          <w:kern w:val="0"/>
          <w:sz w:val="28"/>
          <w:szCs w:val="28"/>
          <w:highlight w:val="none"/>
          <w:lang w:val="en-US" w:eastAsia="zh-CN"/>
        </w:rPr>
        <w:t>最后谈判报价表（格式）：</w:t>
      </w:r>
    </w:p>
    <w:p w14:paraId="62E7927C">
      <w:pPr>
        <w:pStyle w:val="18"/>
        <w:jc w:val="center"/>
        <w:rPr>
          <w:rFonts w:hint="eastAsia"/>
          <w:b/>
          <w:bCs/>
          <w:color w:val="auto"/>
          <w:sz w:val="28"/>
          <w:szCs w:val="28"/>
          <w:highlight w:val="none"/>
        </w:rPr>
      </w:pPr>
      <w:r>
        <w:rPr>
          <w:rFonts w:hint="eastAsia"/>
          <w:b/>
          <w:bCs/>
          <w:color w:val="auto"/>
          <w:sz w:val="28"/>
          <w:szCs w:val="28"/>
          <w:highlight w:val="none"/>
        </w:rPr>
        <w:t>桂林市叠彩实验小学功能室设备采购总预算清单</w:t>
      </w:r>
    </w:p>
    <w:p w14:paraId="3F050BC5">
      <w:pPr>
        <w:pStyle w:val="19"/>
        <w:rPr>
          <w:rFonts w:hint="eastAsia"/>
          <w:color w:val="auto"/>
          <w:highlight w:val="none"/>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3815"/>
        <w:gridCol w:w="1920"/>
        <w:gridCol w:w="1062"/>
      </w:tblGrid>
      <w:tr w14:paraId="369D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tcPr>
          <w:p w14:paraId="6AD1F93D">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3815" w:type="dxa"/>
          </w:tcPr>
          <w:p w14:paraId="3E6A9ABD">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类别名称</w:t>
            </w:r>
          </w:p>
        </w:tc>
        <w:tc>
          <w:tcPr>
            <w:tcW w:w="1920" w:type="dxa"/>
          </w:tcPr>
          <w:p w14:paraId="1FF3A9B8">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最后报价（元）</w:t>
            </w:r>
          </w:p>
        </w:tc>
        <w:tc>
          <w:tcPr>
            <w:tcW w:w="1062" w:type="dxa"/>
          </w:tcPr>
          <w:p w14:paraId="5FD110B0">
            <w:pPr>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备注</w:t>
            </w:r>
          </w:p>
        </w:tc>
      </w:tr>
      <w:tr w14:paraId="3A6F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30FECCC4">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3815" w:type="dxa"/>
            <w:shd w:val="clear" w:color="auto" w:fill="auto"/>
            <w:vAlign w:val="center"/>
          </w:tcPr>
          <w:p w14:paraId="31FA44DE">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电脑室</w:t>
            </w:r>
          </w:p>
        </w:tc>
        <w:tc>
          <w:tcPr>
            <w:tcW w:w="1920" w:type="dxa"/>
            <w:vAlign w:val="center"/>
          </w:tcPr>
          <w:p w14:paraId="12825AC9">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0F61B3AD">
            <w:pPr>
              <w:jc w:val="center"/>
              <w:rPr>
                <w:rFonts w:hint="eastAsia" w:ascii="宋体" w:hAnsi="宋体" w:eastAsia="宋体" w:cs="宋体"/>
                <w:color w:val="auto"/>
                <w:sz w:val="24"/>
                <w:szCs w:val="24"/>
                <w:highlight w:val="none"/>
                <w:vertAlign w:val="baseline"/>
                <w:lang w:val="en-US" w:eastAsia="zh-CN"/>
              </w:rPr>
            </w:pPr>
          </w:p>
        </w:tc>
      </w:tr>
      <w:tr w14:paraId="709D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07A7B196">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3815" w:type="dxa"/>
            <w:shd w:val="clear" w:color="auto" w:fill="auto"/>
            <w:vAlign w:val="center"/>
          </w:tcPr>
          <w:p w14:paraId="2B4C83AE">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精品互动录播室</w:t>
            </w:r>
          </w:p>
        </w:tc>
        <w:tc>
          <w:tcPr>
            <w:tcW w:w="1920" w:type="dxa"/>
            <w:vAlign w:val="center"/>
          </w:tcPr>
          <w:p w14:paraId="2A4F9D82">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53AFA19A">
            <w:pPr>
              <w:jc w:val="center"/>
              <w:rPr>
                <w:rFonts w:hint="eastAsia" w:ascii="宋体" w:hAnsi="宋体" w:eastAsia="宋体" w:cs="宋体"/>
                <w:color w:val="auto"/>
                <w:sz w:val="24"/>
                <w:szCs w:val="24"/>
                <w:highlight w:val="none"/>
                <w:vertAlign w:val="baseline"/>
                <w:lang w:val="en-US" w:eastAsia="zh-CN"/>
              </w:rPr>
            </w:pPr>
          </w:p>
        </w:tc>
      </w:tr>
      <w:tr w14:paraId="25F2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3DCEA87E">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3815" w:type="dxa"/>
            <w:shd w:val="clear" w:color="auto" w:fill="auto"/>
            <w:vAlign w:val="center"/>
          </w:tcPr>
          <w:p w14:paraId="53E46AE0">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实验室设备</w:t>
            </w:r>
          </w:p>
        </w:tc>
        <w:tc>
          <w:tcPr>
            <w:tcW w:w="1920" w:type="dxa"/>
            <w:vAlign w:val="center"/>
          </w:tcPr>
          <w:p w14:paraId="14FC0BBB">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3004828D">
            <w:pPr>
              <w:jc w:val="center"/>
              <w:rPr>
                <w:rFonts w:hint="eastAsia" w:ascii="宋体" w:hAnsi="宋体" w:eastAsia="宋体" w:cs="宋体"/>
                <w:color w:val="auto"/>
                <w:sz w:val="24"/>
                <w:szCs w:val="24"/>
                <w:highlight w:val="none"/>
                <w:vertAlign w:val="baseline"/>
                <w:lang w:val="en-US" w:eastAsia="zh-CN"/>
              </w:rPr>
            </w:pPr>
          </w:p>
        </w:tc>
      </w:tr>
      <w:tr w14:paraId="48EC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2C2D0698">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3815" w:type="dxa"/>
            <w:shd w:val="clear" w:color="auto" w:fill="auto"/>
            <w:vAlign w:val="center"/>
          </w:tcPr>
          <w:p w14:paraId="0061F284">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仪器室</w:t>
            </w:r>
          </w:p>
        </w:tc>
        <w:tc>
          <w:tcPr>
            <w:tcW w:w="1920" w:type="dxa"/>
            <w:vAlign w:val="center"/>
          </w:tcPr>
          <w:p w14:paraId="38215A38">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08475FE4">
            <w:pPr>
              <w:jc w:val="center"/>
              <w:rPr>
                <w:rFonts w:hint="eastAsia" w:ascii="宋体" w:hAnsi="宋体" w:eastAsia="宋体" w:cs="宋体"/>
                <w:color w:val="auto"/>
                <w:sz w:val="24"/>
                <w:szCs w:val="24"/>
                <w:highlight w:val="none"/>
                <w:vertAlign w:val="baseline"/>
                <w:lang w:val="en-US" w:eastAsia="zh-CN"/>
              </w:rPr>
            </w:pPr>
          </w:p>
        </w:tc>
      </w:tr>
      <w:tr w14:paraId="3D80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12464CF6">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3815" w:type="dxa"/>
            <w:shd w:val="clear" w:color="auto" w:fill="auto"/>
            <w:vAlign w:val="center"/>
          </w:tcPr>
          <w:p w14:paraId="61F69ADD">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心理咨询室</w:t>
            </w:r>
          </w:p>
        </w:tc>
        <w:tc>
          <w:tcPr>
            <w:tcW w:w="1920" w:type="dxa"/>
            <w:vAlign w:val="center"/>
          </w:tcPr>
          <w:p w14:paraId="76BEE01D">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35343A54">
            <w:pPr>
              <w:jc w:val="center"/>
              <w:rPr>
                <w:rFonts w:hint="eastAsia" w:ascii="宋体" w:hAnsi="宋体" w:eastAsia="宋体" w:cs="宋体"/>
                <w:color w:val="auto"/>
                <w:sz w:val="24"/>
                <w:szCs w:val="24"/>
                <w:highlight w:val="none"/>
                <w:vertAlign w:val="baseline"/>
                <w:lang w:val="en-US" w:eastAsia="zh-CN"/>
              </w:rPr>
            </w:pPr>
          </w:p>
        </w:tc>
      </w:tr>
      <w:tr w14:paraId="40B5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4A63C9E1">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w:t>
            </w:r>
          </w:p>
        </w:tc>
        <w:tc>
          <w:tcPr>
            <w:tcW w:w="3815" w:type="dxa"/>
            <w:shd w:val="clear" w:color="auto" w:fill="auto"/>
            <w:vAlign w:val="center"/>
          </w:tcPr>
          <w:p w14:paraId="5CFD433A">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管乐队器材</w:t>
            </w:r>
          </w:p>
        </w:tc>
        <w:tc>
          <w:tcPr>
            <w:tcW w:w="1920" w:type="dxa"/>
            <w:vAlign w:val="center"/>
          </w:tcPr>
          <w:p w14:paraId="2901745D">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572152DD">
            <w:pPr>
              <w:jc w:val="center"/>
              <w:rPr>
                <w:rFonts w:hint="eastAsia" w:ascii="宋体" w:hAnsi="宋体" w:eastAsia="宋体" w:cs="宋体"/>
                <w:color w:val="auto"/>
                <w:sz w:val="24"/>
                <w:szCs w:val="24"/>
                <w:highlight w:val="none"/>
                <w:vertAlign w:val="baseline"/>
                <w:lang w:val="en-US" w:eastAsia="zh-CN"/>
              </w:rPr>
            </w:pPr>
          </w:p>
        </w:tc>
      </w:tr>
      <w:tr w14:paraId="0CBB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57E51899">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w:t>
            </w:r>
          </w:p>
        </w:tc>
        <w:tc>
          <w:tcPr>
            <w:tcW w:w="3815" w:type="dxa"/>
            <w:shd w:val="clear" w:color="auto" w:fill="auto"/>
            <w:vAlign w:val="center"/>
          </w:tcPr>
          <w:p w14:paraId="097E7403">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图书阅览室</w:t>
            </w:r>
          </w:p>
        </w:tc>
        <w:tc>
          <w:tcPr>
            <w:tcW w:w="1920" w:type="dxa"/>
            <w:vAlign w:val="center"/>
          </w:tcPr>
          <w:p w14:paraId="714DB100">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7254DDF8">
            <w:pPr>
              <w:jc w:val="center"/>
              <w:rPr>
                <w:rFonts w:hint="eastAsia" w:ascii="宋体" w:hAnsi="宋体" w:eastAsia="宋体" w:cs="宋体"/>
                <w:color w:val="auto"/>
                <w:sz w:val="24"/>
                <w:szCs w:val="24"/>
                <w:highlight w:val="none"/>
                <w:vertAlign w:val="baseline"/>
                <w:lang w:val="en-US" w:eastAsia="zh-CN"/>
              </w:rPr>
            </w:pPr>
          </w:p>
        </w:tc>
      </w:tr>
      <w:tr w14:paraId="7124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1713F343">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w:t>
            </w:r>
          </w:p>
        </w:tc>
        <w:tc>
          <w:tcPr>
            <w:tcW w:w="3815" w:type="dxa"/>
            <w:shd w:val="clear" w:color="auto" w:fill="auto"/>
            <w:vAlign w:val="center"/>
          </w:tcPr>
          <w:p w14:paraId="0F2A4098">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舞台室外led屏</w:t>
            </w:r>
          </w:p>
        </w:tc>
        <w:tc>
          <w:tcPr>
            <w:tcW w:w="1920" w:type="dxa"/>
            <w:vAlign w:val="center"/>
          </w:tcPr>
          <w:p w14:paraId="1819EF4E">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0C29E54A">
            <w:pPr>
              <w:jc w:val="center"/>
              <w:rPr>
                <w:rFonts w:hint="eastAsia" w:ascii="宋体" w:hAnsi="宋体" w:eastAsia="宋体" w:cs="宋体"/>
                <w:color w:val="auto"/>
                <w:sz w:val="24"/>
                <w:szCs w:val="24"/>
                <w:highlight w:val="none"/>
                <w:vertAlign w:val="baseline"/>
                <w:lang w:val="en-US" w:eastAsia="zh-CN"/>
              </w:rPr>
            </w:pPr>
          </w:p>
        </w:tc>
      </w:tr>
      <w:tr w14:paraId="33F2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37EBA868">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w:t>
            </w:r>
          </w:p>
        </w:tc>
        <w:tc>
          <w:tcPr>
            <w:tcW w:w="3815" w:type="dxa"/>
            <w:shd w:val="clear" w:color="auto" w:fill="auto"/>
            <w:vAlign w:val="center"/>
          </w:tcPr>
          <w:p w14:paraId="1C06DC4B">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录播室</w:t>
            </w:r>
          </w:p>
        </w:tc>
        <w:tc>
          <w:tcPr>
            <w:tcW w:w="1920" w:type="dxa"/>
            <w:vAlign w:val="center"/>
          </w:tcPr>
          <w:p w14:paraId="2722A8A8">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744E10CF">
            <w:pPr>
              <w:jc w:val="center"/>
              <w:rPr>
                <w:rFonts w:hint="eastAsia" w:ascii="宋体" w:hAnsi="宋体" w:eastAsia="宋体" w:cs="宋体"/>
                <w:color w:val="auto"/>
                <w:sz w:val="24"/>
                <w:szCs w:val="24"/>
                <w:highlight w:val="none"/>
                <w:vertAlign w:val="baseline"/>
                <w:lang w:val="en-US" w:eastAsia="zh-CN"/>
              </w:rPr>
            </w:pPr>
          </w:p>
        </w:tc>
      </w:tr>
      <w:tr w14:paraId="7A05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79ACBA5D">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w:t>
            </w:r>
          </w:p>
        </w:tc>
        <w:tc>
          <w:tcPr>
            <w:tcW w:w="3815" w:type="dxa"/>
            <w:shd w:val="clear" w:color="auto" w:fill="auto"/>
            <w:vAlign w:val="center"/>
          </w:tcPr>
          <w:p w14:paraId="7C2A23D3">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体育器材室</w:t>
            </w:r>
          </w:p>
        </w:tc>
        <w:tc>
          <w:tcPr>
            <w:tcW w:w="1920" w:type="dxa"/>
            <w:vAlign w:val="center"/>
          </w:tcPr>
          <w:p w14:paraId="18365E92">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3820E0DE">
            <w:pPr>
              <w:jc w:val="center"/>
              <w:rPr>
                <w:rFonts w:hint="eastAsia" w:ascii="宋体" w:hAnsi="宋体" w:eastAsia="宋体" w:cs="宋体"/>
                <w:color w:val="auto"/>
                <w:sz w:val="24"/>
                <w:szCs w:val="24"/>
                <w:highlight w:val="none"/>
                <w:vertAlign w:val="baseline"/>
                <w:lang w:val="en-US" w:eastAsia="zh-CN"/>
              </w:rPr>
            </w:pPr>
          </w:p>
        </w:tc>
      </w:tr>
      <w:tr w14:paraId="3000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6570645A">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w:t>
            </w:r>
          </w:p>
        </w:tc>
        <w:tc>
          <w:tcPr>
            <w:tcW w:w="3815" w:type="dxa"/>
            <w:shd w:val="clear" w:color="auto" w:fill="auto"/>
            <w:vAlign w:val="center"/>
          </w:tcPr>
          <w:p w14:paraId="03ECBFF7">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音、美、舞蹈室设备</w:t>
            </w:r>
          </w:p>
        </w:tc>
        <w:tc>
          <w:tcPr>
            <w:tcW w:w="1920" w:type="dxa"/>
            <w:vAlign w:val="center"/>
          </w:tcPr>
          <w:p w14:paraId="16398705">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0F5152AA">
            <w:pPr>
              <w:jc w:val="center"/>
              <w:rPr>
                <w:rFonts w:hint="eastAsia" w:ascii="宋体" w:hAnsi="宋体" w:eastAsia="宋体" w:cs="宋体"/>
                <w:color w:val="auto"/>
                <w:sz w:val="24"/>
                <w:szCs w:val="24"/>
                <w:highlight w:val="none"/>
                <w:vertAlign w:val="baseline"/>
                <w:lang w:val="en-US" w:eastAsia="zh-CN"/>
              </w:rPr>
            </w:pPr>
          </w:p>
        </w:tc>
      </w:tr>
      <w:tr w14:paraId="72B3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12098D0E">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12</w:t>
            </w:r>
          </w:p>
        </w:tc>
        <w:tc>
          <w:tcPr>
            <w:tcW w:w="3815" w:type="dxa"/>
            <w:shd w:val="clear" w:color="auto" w:fill="auto"/>
            <w:vAlign w:val="center"/>
          </w:tcPr>
          <w:p w14:paraId="5CF3BDE1">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摄像头</w:t>
            </w:r>
          </w:p>
        </w:tc>
        <w:tc>
          <w:tcPr>
            <w:tcW w:w="1920" w:type="dxa"/>
            <w:vAlign w:val="center"/>
          </w:tcPr>
          <w:p w14:paraId="1E24F255">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3730A505">
            <w:pPr>
              <w:jc w:val="center"/>
              <w:rPr>
                <w:rFonts w:hint="eastAsia" w:ascii="宋体" w:hAnsi="宋体" w:eastAsia="宋体" w:cs="宋体"/>
                <w:color w:val="auto"/>
                <w:sz w:val="24"/>
                <w:szCs w:val="24"/>
                <w:highlight w:val="none"/>
                <w:vertAlign w:val="baseline"/>
                <w:lang w:val="en-US" w:eastAsia="zh-CN"/>
              </w:rPr>
            </w:pPr>
          </w:p>
        </w:tc>
      </w:tr>
      <w:tr w14:paraId="35F8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29F43BBE">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13</w:t>
            </w:r>
          </w:p>
        </w:tc>
        <w:tc>
          <w:tcPr>
            <w:tcW w:w="3815" w:type="dxa"/>
            <w:shd w:val="clear" w:color="auto" w:fill="auto"/>
            <w:vAlign w:val="center"/>
          </w:tcPr>
          <w:p w14:paraId="11695E2A">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cs="宋体"/>
                <w:i w:val="0"/>
                <w:iCs w:val="0"/>
                <w:color w:val="auto"/>
                <w:kern w:val="0"/>
                <w:sz w:val="24"/>
                <w:szCs w:val="24"/>
                <w:highlight w:val="none"/>
                <w:u w:val="none"/>
                <w:lang w:val="en-US" w:eastAsia="zh-CN" w:bidi="ar"/>
              </w:rPr>
              <w:t>科技角</w:t>
            </w:r>
          </w:p>
        </w:tc>
        <w:tc>
          <w:tcPr>
            <w:tcW w:w="1920" w:type="dxa"/>
            <w:vAlign w:val="center"/>
          </w:tcPr>
          <w:p w14:paraId="5CC1BFD1">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1D185100">
            <w:pPr>
              <w:jc w:val="center"/>
              <w:rPr>
                <w:rFonts w:hint="eastAsia" w:ascii="宋体" w:hAnsi="宋体" w:eastAsia="宋体" w:cs="宋体"/>
                <w:color w:val="auto"/>
                <w:sz w:val="24"/>
                <w:szCs w:val="24"/>
                <w:highlight w:val="none"/>
                <w:vertAlign w:val="baseline"/>
                <w:lang w:val="en-US" w:eastAsia="zh-CN"/>
              </w:rPr>
            </w:pPr>
          </w:p>
        </w:tc>
      </w:tr>
      <w:tr w14:paraId="1014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6" w:type="dxa"/>
            <w:gridSpan w:val="2"/>
            <w:vAlign w:val="center"/>
          </w:tcPr>
          <w:p w14:paraId="460F459A">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合计</w:t>
            </w:r>
          </w:p>
        </w:tc>
        <w:tc>
          <w:tcPr>
            <w:tcW w:w="1920" w:type="dxa"/>
            <w:vAlign w:val="center"/>
          </w:tcPr>
          <w:p w14:paraId="541672A1">
            <w:pPr>
              <w:ind w:left="0" w:leftChars="0" w:firstLine="0" w:firstLineChars="0"/>
              <w:jc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20A48AF3">
            <w:pPr>
              <w:jc w:val="center"/>
              <w:rPr>
                <w:rFonts w:hint="eastAsia" w:ascii="宋体" w:hAnsi="宋体" w:eastAsia="宋体" w:cs="宋体"/>
                <w:color w:val="auto"/>
                <w:sz w:val="24"/>
                <w:szCs w:val="24"/>
                <w:highlight w:val="none"/>
                <w:vertAlign w:val="baseline"/>
                <w:lang w:val="en-US" w:eastAsia="zh-CN"/>
              </w:rPr>
            </w:pPr>
          </w:p>
        </w:tc>
      </w:tr>
    </w:tbl>
    <w:p w14:paraId="2DF855B3">
      <w:pPr>
        <w:adjustRightInd w:val="0"/>
        <w:snapToGrid w:val="0"/>
        <w:spacing w:line="400" w:lineRule="exact"/>
        <w:ind w:firstLine="0" w:firstLineChars="0"/>
        <w:rPr>
          <w:rFonts w:hint="eastAsia" w:ascii="宋体" w:hAnsi="宋体" w:cs="宋体"/>
          <w:color w:val="auto"/>
          <w:sz w:val="21"/>
          <w:szCs w:val="21"/>
          <w:highlight w:val="none"/>
          <w:u w:val="single"/>
        </w:rPr>
      </w:pPr>
      <w:r>
        <w:rPr>
          <w:rFonts w:hint="default"/>
          <w:color w:val="auto"/>
          <w:highlight w:val="none"/>
          <w:lang w:val="en-US" w:eastAsia="zh-CN"/>
        </w:rPr>
        <w:br w:type="textWrapping"/>
      </w:r>
      <w:r>
        <w:rPr>
          <w:rFonts w:hint="eastAsia" w:ascii="宋体" w:hAnsi="宋体" w:cs="宋体"/>
          <w:color w:val="auto"/>
          <w:sz w:val="21"/>
          <w:szCs w:val="21"/>
          <w:highlight w:val="none"/>
        </w:rPr>
        <w:t>供应商（电子签章）：</w:t>
      </w:r>
    </w:p>
    <w:p w14:paraId="5ABC4314">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法定代表人或委托代理人签字（或电子签名）：</w:t>
      </w:r>
    </w:p>
    <w:p w14:paraId="55ED8915">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日          期：</w:t>
      </w:r>
    </w:p>
    <w:p w14:paraId="7E4304B3">
      <w:pPr>
        <w:bidi w:val="0"/>
        <w:rPr>
          <w:rFonts w:hint="default"/>
          <w:color w:val="auto"/>
          <w:highlight w:val="none"/>
          <w:lang w:val="en-US" w:eastAsia="zh-CN"/>
        </w:rPr>
        <w:sectPr>
          <w:pgSz w:w="11906" w:h="16838"/>
          <w:pgMar w:top="1440" w:right="1797" w:bottom="1440" w:left="1418" w:header="851" w:footer="992" w:gutter="0"/>
          <w:pgNumType w:fmt="decimal"/>
          <w:cols w:space="720" w:num="1"/>
          <w:docGrid w:type="lines" w:linePitch="326" w:charSpace="0"/>
        </w:sectPr>
      </w:pPr>
    </w:p>
    <w:p w14:paraId="0CA8C92F">
      <w:pPr>
        <w:pageBreakBefore w:val="0"/>
        <w:kinsoku/>
        <w:wordWrap/>
        <w:overflowPunct/>
        <w:topLinePunct w:val="0"/>
        <w:bidi w:val="0"/>
        <w:adjustRightInd/>
        <w:spacing w:line="360" w:lineRule="auto"/>
        <w:ind w:left="0" w:leftChars="0" w:right="0"/>
        <w:textAlignment w:val="auto"/>
        <w:outlineLvl w:val="1"/>
        <w:rPr>
          <w:rFonts w:hint="eastAsia" w:ascii="宋体" w:hAnsi="宋体" w:eastAsia="宋体" w:cs="宋体"/>
          <w:b/>
          <w:color w:val="auto"/>
          <w:kern w:val="0"/>
          <w:sz w:val="28"/>
          <w:szCs w:val="28"/>
          <w:highlight w:val="none"/>
          <w:lang w:eastAsia="zh-CN"/>
        </w:rPr>
      </w:pPr>
      <w:r>
        <w:rPr>
          <w:rFonts w:hint="eastAsia" w:ascii="宋体" w:hAnsi="宋体" w:cs="宋体"/>
          <w:b/>
          <w:color w:val="auto"/>
          <w:kern w:val="0"/>
          <w:sz w:val="28"/>
          <w:szCs w:val="28"/>
          <w:highlight w:val="none"/>
          <w:lang w:eastAsia="zh-CN"/>
        </w:rPr>
        <w:t>分标</w:t>
      </w:r>
      <w:r>
        <w:rPr>
          <w:rFonts w:hint="eastAsia" w:ascii="宋体" w:hAnsi="宋体" w:cs="宋体"/>
          <w:b/>
          <w:color w:val="auto"/>
          <w:kern w:val="0"/>
          <w:sz w:val="28"/>
          <w:szCs w:val="28"/>
          <w:highlight w:val="none"/>
          <w:lang w:val="en-US" w:eastAsia="zh-CN"/>
        </w:rPr>
        <w:t>2：</w:t>
      </w:r>
      <w:r>
        <w:rPr>
          <w:rFonts w:hint="eastAsia" w:ascii="宋体" w:hAnsi="宋体" w:eastAsia="宋体" w:cs="宋体"/>
          <w:b/>
          <w:color w:val="auto"/>
          <w:kern w:val="0"/>
          <w:sz w:val="28"/>
          <w:szCs w:val="28"/>
          <w:highlight w:val="none"/>
          <w:lang w:eastAsia="zh-CN"/>
        </w:rPr>
        <w:t>已标价工程量清单（</w:t>
      </w:r>
      <w:r>
        <w:rPr>
          <w:rFonts w:hint="eastAsia" w:ascii="宋体" w:hAnsi="宋体" w:cs="宋体"/>
          <w:b/>
          <w:color w:val="auto"/>
          <w:kern w:val="0"/>
          <w:sz w:val="28"/>
          <w:szCs w:val="28"/>
          <w:highlight w:val="none"/>
          <w:lang w:eastAsia="zh-CN"/>
        </w:rPr>
        <w:t>分标</w:t>
      </w:r>
      <w:r>
        <w:rPr>
          <w:rFonts w:hint="eastAsia" w:ascii="宋体" w:hAnsi="宋体" w:cs="宋体"/>
          <w:b/>
          <w:color w:val="auto"/>
          <w:kern w:val="0"/>
          <w:sz w:val="28"/>
          <w:szCs w:val="28"/>
          <w:highlight w:val="none"/>
          <w:lang w:val="en-US" w:eastAsia="zh-CN"/>
        </w:rPr>
        <w:t>2</w:t>
      </w:r>
      <w:r>
        <w:rPr>
          <w:rFonts w:hint="eastAsia" w:ascii="宋体" w:hAnsi="宋体" w:eastAsia="宋体" w:cs="宋体"/>
          <w:b/>
          <w:color w:val="auto"/>
          <w:kern w:val="0"/>
          <w:sz w:val="28"/>
          <w:szCs w:val="28"/>
          <w:highlight w:val="none"/>
          <w:lang w:eastAsia="zh-CN"/>
        </w:rPr>
        <w:t>必须提供）</w:t>
      </w:r>
      <w:bookmarkEnd w:id="1812"/>
    </w:p>
    <w:p w14:paraId="7C2400B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bCs/>
          <w:color w:val="auto"/>
          <w:w w:val="99"/>
          <w:kern w:val="0"/>
          <w:sz w:val="21"/>
          <w:szCs w:val="21"/>
          <w:highlight w:val="none"/>
          <w:shd w:val="clear" w:color="auto" w:fill="auto"/>
        </w:rPr>
      </w:pPr>
    </w:p>
    <w:p w14:paraId="75EC8BCE">
      <w:pPr>
        <w:pageBreakBefore w:val="0"/>
        <w:kinsoku/>
        <w:wordWrap/>
        <w:overflowPunct/>
        <w:topLinePunct w:val="0"/>
        <w:bidi w:val="0"/>
        <w:adjustRightInd/>
        <w:spacing w:line="360" w:lineRule="auto"/>
        <w:ind w:left="0" w:leftChars="0" w:right="0" w:firstLine="420" w:firstLineChars="200"/>
        <w:textAlignment w:val="auto"/>
        <w:rPr>
          <w:rFonts w:hint="eastAsia"/>
          <w:b/>
          <w:color w:val="auto"/>
          <w:sz w:val="28"/>
          <w:szCs w:val="28"/>
          <w:highlight w:val="none"/>
          <w:lang w:val="en-US"/>
        </w:rPr>
      </w:pPr>
      <w:r>
        <w:rPr>
          <w:rFonts w:hint="eastAsia" w:ascii="宋体" w:hAnsi="宋体" w:eastAsia="宋体" w:cs="宋体"/>
          <w:color w:val="auto"/>
          <w:kern w:val="0"/>
          <w:sz w:val="21"/>
          <w:szCs w:val="21"/>
          <w:highlight w:val="none"/>
          <w:shd w:val="clear" w:color="auto" w:fill="auto"/>
        </w:rPr>
        <w:t>说明：已标价工程量清单按第</w:t>
      </w:r>
      <w:r>
        <w:rPr>
          <w:rFonts w:hint="eastAsia" w:ascii="宋体" w:hAnsi="宋体" w:eastAsia="宋体" w:cs="宋体"/>
          <w:color w:val="auto"/>
          <w:kern w:val="0"/>
          <w:sz w:val="21"/>
          <w:szCs w:val="21"/>
          <w:highlight w:val="none"/>
          <w:shd w:val="clear" w:color="auto" w:fill="auto"/>
          <w:lang w:eastAsia="zh-CN"/>
        </w:rPr>
        <w:t>三</w:t>
      </w:r>
      <w:r>
        <w:rPr>
          <w:rFonts w:hint="eastAsia" w:ascii="宋体" w:hAnsi="宋体" w:eastAsia="宋体" w:cs="宋体"/>
          <w:color w:val="auto"/>
          <w:kern w:val="0"/>
          <w:sz w:val="21"/>
          <w:szCs w:val="21"/>
          <w:highlight w:val="none"/>
          <w:shd w:val="clear" w:color="auto" w:fill="auto"/>
        </w:rPr>
        <w:t>章</w:t>
      </w:r>
      <w:r>
        <w:rPr>
          <w:rFonts w:hint="eastAsia" w:ascii="宋体" w:hAnsi="宋体" w:cs="宋体"/>
          <w:color w:val="auto"/>
          <w:kern w:val="0"/>
          <w:sz w:val="21"/>
          <w:szCs w:val="21"/>
          <w:highlight w:val="none"/>
          <w:shd w:val="clear" w:color="auto" w:fill="auto"/>
          <w:lang w:eastAsia="zh-CN"/>
        </w:rPr>
        <w:t>“”分标</w:t>
      </w:r>
      <w:r>
        <w:rPr>
          <w:rFonts w:hint="eastAsia" w:ascii="宋体" w:hAnsi="宋体" w:cs="宋体"/>
          <w:color w:val="auto"/>
          <w:kern w:val="0"/>
          <w:sz w:val="21"/>
          <w:szCs w:val="21"/>
          <w:highlight w:val="none"/>
          <w:shd w:val="clear" w:color="auto" w:fill="auto"/>
          <w:lang w:val="en-US" w:eastAsia="zh-CN"/>
        </w:rPr>
        <w:t xml:space="preserve">2 </w:t>
      </w:r>
      <w:r>
        <w:rPr>
          <w:rFonts w:hint="eastAsia" w:ascii="宋体" w:hAnsi="宋体" w:eastAsia="宋体" w:cs="宋体"/>
          <w:color w:val="auto"/>
          <w:kern w:val="0"/>
          <w:sz w:val="21"/>
          <w:szCs w:val="21"/>
          <w:highlight w:val="none"/>
          <w:shd w:val="clear" w:color="auto" w:fill="auto"/>
        </w:rPr>
        <w:t>工程量清单”中的相关清单表格式填写。构成合同文件已标价工程量清单包括第</w:t>
      </w:r>
      <w:r>
        <w:rPr>
          <w:rFonts w:hint="eastAsia" w:ascii="宋体" w:hAnsi="宋体" w:eastAsia="宋体" w:cs="宋体"/>
          <w:color w:val="auto"/>
          <w:kern w:val="0"/>
          <w:sz w:val="21"/>
          <w:szCs w:val="21"/>
          <w:highlight w:val="none"/>
          <w:shd w:val="clear" w:color="auto" w:fill="auto"/>
          <w:lang w:eastAsia="zh-CN"/>
        </w:rPr>
        <w:t>三</w:t>
      </w:r>
      <w:r>
        <w:rPr>
          <w:rFonts w:hint="eastAsia" w:ascii="宋体" w:hAnsi="宋体" w:eastAsia="宋体" w:cs="宋体"/>
          <w:color w:val="auto"/>
          <w:kern w:val="0"/>
          <w:sz w:val="21"/>
          <w:szCs w:val="21"/>
          <w:highlight w:val="none"/>
          <w:shd w:val="clear" w:color="auto" w:fill="auto"/>
        </w:rPr>
        <w:t>章“工程量清单”有关工程量清单、报价以及其他说明的内容。</w:t>
      </w:r>
    </w:p>
    <w:p w14:paraId="617CEA1B">
      <w:pPr>
        <w:rPr>
          <w:rFonts w:hint="eastAsia"/>
          <w:b/>
          <w:color w:val="auto"/>
          <w:sz w:val="28"/>
          <w:szCs w:val="28"/>
          <w:highlight w:val="none"/>
          <w:lang w:val="en-US"/>
        </w:rPr>
      </w:pPr>
      <w:r>
        <w:rPr>
          <w:rFonts w:hint="eastAsia"/>
          <w:b/>
          <w:color w:val="auto"/>
          <w:sz w:val="28"/>
          <w:szCs w:val="28"/>
          <w:highlight w:val="none"/>
          <w:lang w:val="en-US"/>
        </w:rPr>
        <w:br w:type="page"/>
      </w:r>
    </w:p>
    <w:p w14:paraId="419FCE37">
      <w:pPr>
        <w:pStyle w:val="26"/>
        <w:spacing w:line="340" w:lineRule="exact"/>
        <w:rPr>
          <w:b/>
          <w:color w:val="auto"/>
          <w:sz w:val="28"/>
          <w:szCs w:val="28"/>
          <w:highlight w:val="none"/>
        </w:rPr>
      </w:pPr>
      <w:r>
        <w:rPr>
          <w:rFonts w:hint="eastAsia"/>
          <w:b/>
          <w:color w:val="auto"/>
          <w:sz w:val="28"/>
          <w:szCs w:val="28"/>
          <w:highlight w:val="none"/>
          <w:lang w:val="en-US"/>
        </w:rPr>
        <w:t>3</w:t>
      </w:r>
      <w:r>
        <w:rPr>
          <w:rFonts w:hint="eastAsia"/>
          <w:b/>
          <w:color w:val="auto"/>
          <w:sz w:val="28"/>
          <w:szCs w:val="28"/>
          <w:highlight w:val="none"/>
        </w:rPr>
        <w:t>.技术响应</w:t>
      </w:r>
      <w:r>
        <w:rPr>
          <w:rFonts w:hint="eastAsia"/>
          <w:b/>
          <w:color w:val="auto"/>
          <w:sz w:val="28"/>
          <w:szCs w:val="28"/>
          <w:highlight w:val="none"/>
        </w:rPr>
        <w:t>承诺书（</w:t>
      </w:r>
      <w:r>
        <w:rPr>
          <w:rFonts w:hint="eastAsia"/>
          <w:b/>
          <w:color w:val="auto"/>
          <w:sz w:val="28"/>
          <w:szCs w:val="28"/>
          <w:highlight w:val="none"/>
          <w:lang w:eastAsia="zh-CN"/>
        </w:rPr>
        <w:t>分标</w:t>
      </w:r>
      <w:r>
        <w:rPr>
          <w:rFonts w:hint="eastAsia"/>
          <w:b/>
          <w:color w:val="auto"/>
          <w:sz w:val="28"/>
          <w:szCs w:val="28"/>
          <w:highlight w:val="none"/>
          <w:lang w:val="en-US" w:eastAsia="zh-CN"/>
        </w:rPr>
        <w:t>1</w:t>
      </w:r>
      <w:r>
        <w:rPr>
          <w:rFonts w:hint="eastAsia"/>
          <w:b/>
          <w:color w:val="auto"/>
          <w:sz w:val="28"/>
          <w:szCs w:val="28"/>
          <w:highlight w:val="none"/>
        </w:rPr>
        <w:t>必须提</w:t>
      </w:r>
      <w:r>
        <w:rPr>
          <w:rFonts w:hint="eastAsia"/>
          <w:b/>
          <w:color w:val="auto"/>
          <w:sz w:val="28"/>
          <w:szCs w:val="28"/>
          <w:highlight w:val="none"/>
        </w:rPr>
        <w:t>供）</w:t>
      </w:r>
    </w:p>
    <w:p w14:paraId="27F0D0E0">
      <w:pPr>
        <w:pStyle w:val="26"/>
        <w:rPr>
          <w:rFonts w:hint="eastAsia" w:hAnsi="宋体"/>
          <w:b/>
          <w:color w:val="auto"/>
          <w:szCs w:val="24"/>
          <w:highlight w:val="none"/>
        </w:rPr>
      </w:pPr>
      <w:r>
        <w:rPr>
          <w:rFonts w:hint="eastAsia" w:hAnsi="宋体"/>
          <w:b/>
          <w:bCs/>
          <w:color w:val="auto"/>
          <w:sz w:val="32"/>
          <w:szCs w:val="32"/>
          <w:highlight w:val="none"/>
        </w:rPr>
        <w:t>附件：</w:t>
      </w:r>
    </w:p>
    <w:p w14:paraId="0730D52A">
      <w:pPr>
        <w:pStyle w:val="26"/>
        <w:ind w:firstLine="472" w:firstLineChars="147"/>
        <w:jc w:val="center"/>
        <w:rPr>
          <w:rFonts w:hint="eastAsia" w:hAnsi="宋体"/>
          <w:b/>
          <w:bCs/>
          <w:color w:val="auto"/>
          <w:sz w:val="32"/>
          <w:highlight w:val="none"/>
        </w:rPr>
      </w:pPr>
      <w:r>
        <w:rPr>
          <w:rFonts w:hint="eastAsia" w:hAnsi="宋体"/>
          <w:b/>
          <w:bCs/>
          <w:color w:val="auto"/>
          <w:sz w:val="32"/>
          <w:highlight w:val="none"/>
        </w:rPr>
        <w:t>技术响应承诺书（格式）</w:t>
      </w:r>
    </w:p>
    <w:p w14:paraId="30555147">
      <w:pPr>
        <w:pStyle w:val="26"/>
        <w:rPr>
          <w:rFonts w:hint="eastAsia" w:hAnsi="宋体"/>
          <w:b/>
          <w:color w:val="auto"/>
          <w:szCs w:val="24"/>
          <w:highlight w:val="none"/>
        </w:rPr>
      </w:pPr>
    </w:p>
    <w:tbl>
      <w:tblPr>
        <w:tblStyle w:val="46"/>
        <w:tblW w:w="4851"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232"/>
        <w:gridCol w:w="5525"/>
      </w:tblGrid>
      <w:tr w14:paraId="4768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2" w:type="pct"/>
            <w:vAlign w:val="center"/>
          </w:tcPr>
          <w:p w14:paraId="6B7425A3">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rPr>
              <w:t>项号</w:t>
            </w:r>
          </w:p>
        </w:tc>
        <w:tc>
          <w:tcPr>
            <w:tcW w:w="1291" w:type="pct"/>
            <w:vAlign w:val="center"/>
          </w:tcPr>
          <w:p w14:paraId="43770146">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eastAsia="zh-CN"/>
              </w:rPr>
              <w:t>标的</w:t>
            </w:r>
            <w:r>
              <w:rPr>
                <w:rFonts w:hint="eastAsia" w:hAnsi="宋体"/>
                <w:color w:val="auto"/>
                <w:kern w:val="2"/>
                <w:sz w:val="21"/>
                <w:szCs w:val="21"/>
                <w:highlight w:val="none"/>
              </w:rPr>
              <w:t>名称</w:t>
            </w:r>
          </w:p>
        </w:tc>
        <w:tc>
          <w:tcPr>
            <w:tcW w:w="3196" w:type="pct"/>
            <w:vAlign w:val="center"/>
          </w:tcPr>
          <w:p w14:paraId="3F6E5213">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rPr>
              <w:t>对应</w:t>
            </w:r>
            <w:r>
              <w:rPr>
                <w:rFonts w:hint="eastAsia" w:ascii="宋体" w:hAnsi="宋体"/>
                <w:color w:val="auto"/>
                <w:kern w:val="2"/>
                <w:sz w:val="21"/>
                <w:szCs w:val="21"/>
                <w:highlight w:val="none"/>
              </w:rPr>
              <w:t>竞争性谈判文件第三章 采购需求的</w:t>
            </w:r>
            <w:r>
              <w:rPr>
                <w:rFonts w:hint="eastAsia" w:hAnsi="宋体"/>
                <w:color w:val="auto"/>
                <w:kern w:val="2"/>
                <w:sz w:val="21"/>
                <w:szCs w:val="21"/>
                <w:highlight w:val="none"/>
              </w:rPr>
              <w:t>“技术要求”，供应商的详细技术要求响应承诺</w:t>
            </w:r>
          </w:p>
        </w:tc>
      </w:tr>
      <w:tr w14:paraId="6C7D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1047CCE6">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rPr>
              <w:t>1</w:t>
            </w:r>
          </w:p>
        </w:tc>
        <w:tc>
          <w:tcPr>
            <w:tcW w:w="2232" w:type="dxa"/>
            <w:vAlign w:val="center"/>
          </w:tcPr>
          <w:p w14:paraId="5F32B1D8">
            <w:pPr>
              <w:pStyle w:val="26"/>
              <w:adjustRightInd w:val="0"/>
              <w:snapToGrid w:val="0"/>
              <w:spacing w:line="320" w:lineRule="exact"/>
              <w:jc w:val="center"/>
              <w:rPr>
                <w:rFonts w:hint="eastAsia" w:hAnsi="宋体"/>
                <w:color w:val="auto"/>
                <w:kern w:val="2"/>
                <w:sz w:val="21"/>
                <w:szCs w:val="21"/>
                <w:highlight w:val="none"/>
              </w:rPr>
            </w:pPr>
          </w:p>
        </w:tc>
        <w:tc>
          <w:tcPr>
            <w:tcW w:w="3196" w:type="pct"/>
            <w:vAlign w:val="center"/>
          </w:tcPr>
          <w:p w14:paraId="371874A4">
            <w:pPr>
              <w:ind w:firstLine="420"/>
              <w:rPr>
                <w:rFonts w:hint="eastAsia" w:hAnsi="宋体"/>
                <w:color w:val="auto"/>
                <w:sz w:val="21"/>
                <w:szCs w:val="21"/>
                <w:highlight w:val="none"/>
              </w:rPr>
            </w:pPr>
          </w:p>
        </w:tc>
      </w:tr>
      <w:tr w14:paraId="4B20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596F8C9D">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rPr>
              <w:t>2</w:t>
            </w:r>
          </w:p>
        </w:tc>
        <w:tc>
          <w:tcPr>
            <w:tcW w:w="2232" w:type="dxa"/>
            <w:vAlign w:val="center"/>
          </w:tcPr>
          <w:p w14:paraId="375901F3">
            <w:pPr>
              <w:pStyle w:val="26"/>
              <w:adjustRightInd w:val="0"/>
              <w:snapToGrid w:val="0"/>
              <w:spacing w:line="320" w:lineRule="exact"/>
              <w:jc w:val="center"/>
              <w:rPr>
                <w:rFonts w:hint="eastAsia" w:hAnsi="宋体"/>
                <w:color w:val="auto"/>
                <w:kern w:val="2"/>
                <w:sz w:val="21"/>
                <w:szCs w:val="21"/>
                <w:highlight w:val="none"/>
              </w:rPr>
            </w:pPr>
          </w:p>
        </w:tc>
        <w:tc>
          <w:tcPr>
            <w:tcW w:w="3196" w:type="pct"/>
            <w:vAlign w:val="center"/>
          </w:tcPr>
          <w:p w14:paraId="2741DBAA">
            <w:pPr>
              <w:ind w:firstLine="420"/>
              <w:rPr>
                <w:rFonts w:hint="eastAsia" w:hAnsi="宋体"/>
                <w:color w:val="auto"/>
                <w:sz w:val="21"/>
                <w:szCs w:val="21"/>
                <w:highlight w:val="none"/>
              </w:rPr>
            </w:pPr>
          </w:p>
        </w:tc>
      </w:tr>
      <w:tr w14:paraId="602A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3D9DA27F">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rPr>
              <w:t>3</w:t>
            </w:r>
          </w:p>
        </w:tc>
        <w:tc>
          <w:tcPr>
            <w:tcW w:w="2232" w:type="dxa"/>
            <w:vAlign w:val="center"/>
          </w:tcPr>
          <w:p w14:paraId="17E2DB1D">
            <w:pPr>
              <w:pStyle w:val="26"/>
              <w:adjustRightInd w:val="0"/>
              <w:snapToGrid w:val="0"/>
              <w:spacing w:line="320" w:lineRule="exact"/>
              <w:jc w:val="center"/>
              <w:rPr>
                <w:rFonts w:hint="eastAsia" w:hAnsi="宋体"/>
                <w:color w:val="auto"/>
                <w:kern w:val="2"/>
                <w:sz w:val="21"/>
                <w:szCs w:val="21"/>
                <w:highlight w:val="none"/>
              </w:rPr>
            </w:pPr>
          </w:p>
        </w:tc>
        <w:tc>
          <w:tcPr>
            <w:tcW w:w="3196" w:type="pct"/>
            <w:vAlign w:val="center"/>
          </w:tcPr>
          <w:p w14:paraId="74F6F330">
            <w:pPr>
              <w:ind w:firstLine="420"/>
              <w:rPr>
                <w:rFonts w:hint="eastAsia" w:hAnsi="宋体"/>
                <w:color w:val="auto"/>
                <w:sz w:val="21"/>
                <w:szCs w:val="21"/>
                <w:highlight w:val="none"/>
              </w:rPr>
            </w:pPr>
          </w:p>
        </w:tc>
      </w:tr>
    </w:tbl>
    <w:p w14:paraId="1D75F81C">
      <w:pPr>
        <w:adjustRightInd w:val="0"/>
        <w:snapToGrid w:val="0"/>
        <w:spacing w:line="360" w:lineRule="exact"/>
        <w:ind w:firstLine="0" w:firstLineChars="0"/>
        <w:jc w:val="center"/>
        <w:rPr>
          <w:rFonts w:hint="eastAsia" w:ascii="宋体" w:hAnsi="宋体"/>
          <w:b/>
          <w:bCs/>
          <w:color w:val="auto"/>
          <w:kern w:val="44"/>
          <w:szCs w:val="24"/>
          <w:highlight w:val="none"/>
          <w:lang w:val="zh-CN"/>
        </w:rPr>
      </w:pPr>
    </w:p>
    <w:p w14:paraId="0A14042F">
      <w:pPr>
        <w:snapToGrid w:val="0"/>
        <w:spacing w:line="400" w:lineRule="exact"/>
        <w:ind w:firstLine="0" w:firstLineChars="0"/>
        <w:rPr>
          <w:rFonts w:hint="eastAsia" w:hAnsi="宋体"/>
          <w:color w:val="auto"/>
          <w:sz w:val="21"/>
          <w:szCs w:val="21"/>
          <w:highlight w:val="none"/>
        </w:rPr>
      </w:pPr>
      <w:r>
        <w:rPr>
          <w:rFonts w:hint="eastAsia" w:hAnsi="宋体"/>
          <w:color w:val="auto"/>
          <w:sz w:val="21"/>
          <w:szCs w:val="21"/>
          <w:highlight w:val="none"/>
        </w:rPr>
        <w:t>注：</w:t>
      </w:r>
    </w:p>
    <w:p w14:paraId="7DB1CFAE">
      <w:pPr>
        <w:snapToGrid w:val="0"/>
        <w:spacing w:line="400" w:lineRule="exact"/>
        <w:ind w:firstLine="0" w:firstLineChars="0"/>
        <w:rPr>
          <w:rFonts w:hint="eastAsia" w:hAnsi="宋体"/>
          <w:color w:val="auto"/>
          <w:sz w:val="21"/>
          <w:szCs w:val="21"/>
          <w:highlight w:val="none"/>
        </w:rPr>
      </w:pPr>
      <w:r>
        <w:rPr>
          <w:rFonts w:hint="eastAsia" w:hAnsi="宋体"/>
          <w:color w:val="auto"/>
          <w:sz w:val="21"/>
          <w:szCs w:val="21"/>
          <w:highlight w:val="none"/>
          <w:lang w:val="en-US" w:eastAsia="zh-CN"/>
        </w:rPr>
        <w:t>1.</w:t>
      </w:r>
      <w:r>
        <w:rPr>
          <w:rFonts w:hint="eastAsia" w:hAnsi="宋体"/>
          <w:color w:val="auto"/>
          <w:sz w:val="21"/>
          <w:szCs w:val="21"/>
          <w:highlight w:val="none"/>
        </w:rPr>
        <w:t>应对照谈判文件“第三章采购需求”中的技术要求逐条实质性响应。</w:t>
      </w:r>
    </w:p>
    <w:p w14:paraId="570DD610">
      <w:pPr>
        <w:snapToGrid w:val="0"/>
        <w:spacing w:line="400" w:lineRule="exact"/>
        <w:ind w:firstLine="0" w:firstLineChars="0"/>
        <w:rPr>
          <w:rFonts w:hint="default" w:hAnsi="宋体"/>
          <w:color w:val="auto"/>
          <w:sz w:val="21"/>
          <w:szCs w:val="21"/>
          <w:highlight w:val="none"/>
          <w:lang w:val="en-US" w:eastAsia="zh-CN"/>
        </w:rPr>
      </w:pPr>
      <w:r>
        <w:rPr>
          <w:rFonts w:hint="eastAsia" w:hAnsi="宋体"/>
          <w:color w:val="auto"/>
          <w:sz w:val="21"/>
          <w:szCs w:val="21"/>
          <w:highlight w:val="none"/>
          <w:lang w:val="en-US" w:eastAsia="zh-CN"/>
        </w:rPr>
        <w:t>2.如</w:t>
      </w:r>
      <w:r>
        <w:rPr>
          <w:rFonts w:hint="eastAsia" w:hAnsi="宋体"/>
          <w:color w:val="auto"/>
          <w:sz w:val="21"/>
          <w:szCs w:val="21"/>
          <w:highlight w:val="none"/>
        </w:rPr>
        <w:t>“第三章采购需求”中</w:t>
      </w:r>
      <w:r>
        <w:rPr>
          <w:rFonts w:hint="eastAsia" w:hAnsi="宋体"/>
          <w:color w:val="auto"/>
          <w:sz w:val="21"/>
          <w:szCs w:val="21"/>
          <w:highlight w:val="none"/>
          <w:lang w:val="en-US" w:eastAsia="zh-CN"/>
        </w:rPr>
        <w:t>要求必须提供相关证明材料的，供应商须对应如实提供。</w:t>
      </w:r>
    </w:p>
    <w:p w14:paraId="1F67A89E">
      <w:pPr>
        <w:snapToGrid w:val="0"/>
        <w:spacing w:line="400" w:lineRule="exact"/>
        <w:ind w:firstLine="4200" w:firstLineChars="2000"/>
        <w:rPr>
          <w:rFonts w:hint="eastAsia" w:ascii="宋体" w:hAnsi="宋体" w:cs="宋体"/>
          <w:color w:val="auto"/>
          <w:sz w:val="21"/>
          <w:szCs w:val="21"/>
          <w:highlight w:val="none"/>
        </w:rPr>
      </w:pPr>
    </w:p>
    <w:p w14:paraId="0B12361B">
      <w:pPr>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0C21A87B">
      <w:pPr>
        <w:spacing w:line="340" w:lineRule="exact"/>
        <w:ind w:firstLine="0" w:firstLineChars="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5AE3A77E">
      <w:pPr>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5A7D1B5A">
      <w:pPr>
        <w:spacing w:line="240" w:lineRule="auto"/>
        <w:ind w:firstLine="4200" w:firstLineChars="2000"/>
        <w:rPr>
          <w:rFonts w:hint="eastAsia" w:ascii="宋体" w:hAnsi="宋体"/>
          <w:color w:val="auto"/>
          <w:sz w:val="21"/>
          <w:szCs w:val="20"/>
          <w:highlight w:val="none"/>
          <w:u w:val="single"/>
        </w:rPr>
      </w:pPr>
    </w:p>
    <w:p w14:paraId="6F5D26A2">
      <w:pPr>
        <w:spacing w:line="240" w:lineRule="auto"/>
        <w:ind w:firstLine="4200" w:firstLineChars="2000"/>
        <w:rPr>
          <w:rFonts w:hint="eastAsia" w:ascii="宋体" w:hAnsi="宋体"/>
          <w:color w:val="auto"/>
          <w:sz w:val="21"/>
          <w:szCs w:val="20"/>
          <w:highlight w:val="none"/>
          <w:u w:val="single"/>
        </w:rPr>
      </w:pPr>
    </w:p>
    <w:p w14:paraId="3503161D">
      <w:pPr>
        <w:pStyle w:val="26"/>
        <w:adjustRightInd w:val="0"/>
        <w:snapToGrid w:val="0"/>
        <w:spacing w:line="320" w:lineRule="exact"/>
        <w:jc w:val="left"/>
        <w:rPr>
          <w:rFonts w:hint="eastAsia" w:hAnsi="宋体"/>
          <w:color w:val="auto"/>
          <w:kern w:val="2"/>
          <w:sz w:val="21"/>
          <w:szCs w:val="21"/>
          <w:highlight w:val="none"/>
        </w:rPr>
      </w:pPr>
    </w:p>
    <w:p w14:paraId="124DA3C5">
      <w:pPr>
        <w:spacing w:line="240" w:lineRule="auto"/>
        <w:ind w:firstLine="4200" w:firstLineChars="2000"/>
        <w:rPr>
          <w:rFonts w:hint="eastAsia" w:ascii="宋体" w:hAnsi="宋体"/>
          <w:color w:val="auto"/>
          <w:sz w:val="21"/>
          <w:szCs w:val="20"/>
          <w:highlight w:val="none"/>
          <w:u w:val="single"/>
        </w:rPr>
      </w:pPr>
    </w:p>
    <w:p w14:paraId="45275276">
      <w:pPr>
        <w:pStyle w:val="26"/>
        <w:spacing w:line="340" w:lineRule="exact"/>
        <w:rPr>
          <w:b/>
          <w:color w:val="auto"/>
          <w:sz w:val="28"/>
          <w:szCs w:val="28"/>
          <w:highlight w:val="none"/>
        </w:rPr>
      </w:pPr>
    </w:p>
    <w:p w14:paraId="1DE6B2BF">
      <w:pPr>
        <w:pStyle w:val="26"/>
        <w:spacing w:line="340" w:lineRule="exact"/>
        <w:rPr>
          <w:b/>
          <w:color w:val="auto"/>
          <w:sz w:val="28"/>
          <w:szCs w:val="28"/>
          <w:highlight w:val="none"/>
        </w:rPr>
      </w:pPr>
    </w:p>
    <w:p w14:paraId="18BCBA2B">
      <w:pPr>
        <w:ind w:firstLine="480"/>
        <w:rPr>
          <w:color w:val="auto"/>
          <w:highlight w:val="none"/>
          <w:lang w:val="en-GB"/>
        </w:rPr>
      </w:pPr>
    </w:p>
    <w:p w14:paraId="3A788376">
      <w:pPr>
        <w:pStyle w:val="23"/>
        <w:rPr>
          <w:color w:val="auto"/>
          <w:highlight w:val="none"/>
          <w:lang w:val="en-GB"/>
        </w:rPr>
      </w:pPr>
    </w:p>
    <w:p w14:paraId="018DFBBA">
      <w:pPr>
        <w:pStyle w:val="23"/>
        <w:rPr>
          <w:color w:val="auto"/>
          <w:highlight w:val="none"/>
          <w:lang w:val="en-GB"/>
        </w:rPr>
      </w:pPr>
    </w:p>
    <w:p w14:paraId="53836C17">
      <w:pPr>
        <w:pStyle w:val="23"/>
        <w:rPr>
          <w:color w:val="auto"/>
          <w:highlight w:val="none"/>
          <w:lang w:val="en-GB"/>
        </w:rPr>
      </w:pPr>
    </w:p>
    <w:p w14:paraId="043B2F0D">
      <w:pPr>
        <w:pStyle w:val="26"/>
        <w:spacing w:line="340" w:lineRule="exact"/>
        <w:outlineLvl w:val="2"/>
        <w:rPr>
          <w:rFonts w:hint="eastAsia" w:ascii="宋体" w:hAnsi="宋体" w:cs="宋体"/>
          <w:b/>
          <w:color w:val="auto"/>
          <w:sz w:val="28"/>
          <w:szCs w:val="28"/>
          <w:highlight w:val="none"/>
        </w:rPr>
      </w:pPr>
      <w:r>
        <w:rPr>
          <w:color w:val="auto"/>
          <w:highlight w:val="none"/>
        </w:rPr>
        <w:br w:type="page"/>
      </w:r>
      <w:r>
        <w:rPr>
          <w:rFonts w:hint="eastAsia" w:ascii="宋体" w:hAnsi="宋体" w:cs="宋体"/>
          <w:b/>
          <w:color w:val="auto"/>
          <w:sz w:val="28"/>
          <w:szCs w:val="28"/>
          <w:highlight w:val="none"/>
          <w:lang w:val="en-US"/>
        </w:rPr>
        <w:t>4.</w:t>
      </w:r>
      <w:r>
        <w:rPr>
          <w:rFonts w:hint="eastAsia" w:ascii="宋体" w:hAnsi="宋体" w:cs="宋体"/>
          <w:b/>
          <w:color w:val="auto"/>
          <w:sz w:val="28"/>
          <w:szCs w:val="28"/>
          <w:highlight w:val="none"/>
        </w:rPr>
        <w:t>商务要求响应承</w:t>
      </w:r>
      <w:r>
        <w:rPr>
          <w:rFonts w:hint="eastAsia" w:ascii="宋体" w:hAnsi="宋体" w:cs="宋体"/>
          <w:b/>
          <w:color w:val="auto"/>
          <w:sz w:val="28"/>
          <w:szCs w:val="28"/>
          <w:highlight w:val="none"/>
        </w:rPr>
        <w:t>诺书（</w:t>
      </w:r>
      <w:r>
        <w:rPr>
          <w:rFonts w:hint="eastAsia"/>
          <w:b/>
          <w:color w:val="auto"/>
          <w:sz w:val="28"/>
          <w:szCs w:val="28"/>
          <w:highlight w:val="none"/>
          <w:lang w:eastAsia="zh-CN"/>
        </w:rPr>
        <w:t>分标</w:t>
      </w:r>
      <w:r>
        <w:rPr>
          <w:rFonts w:hint="eastAsia"/>
          <w:b/>
          <w:color w:val="auto"/>
          <w:sz w:val="28"/>
          <w:szCs w:val="28"/>
          <w:highlight w:val="none"/>
          <w:lang w:val="en-US" w:eastAsia="zh-CN"/>
        </w:rPr>
        <w:t>1</w:t>
      </w:r>
      <w:r>
        <w:rPr>
          <w:rFonts w:hint="eastAsia" w:ascii="宋体" w:hAnsi="宋体" w:cs="宋体"/>
          <w:b/>
          <w:color w:val="auto"/>
          <w:sz w:val="28"/>
          <w:szCs w:val="28"/>
          <w:highlight w:val="none"/>
        </w:rPr>
        <w:t>必</w:t>
      </w:r>
      <w:r>
        <w:rPr>
          <w:rFonts w:hint="eastAsia" w:ascii="宋体" w:hAnsi="宋体" w:cs="宋体"/>
          <w:b/>
          <w:color w:val="auto"/>
          <w:sz w:val="28"/>
          <w:szCs w:val="28"/>
          <w:highlight w:val="none"/>
        </w:rPr>
        <w:t>须提供）</w:t>
      </w:r>
    </w:p>
    <w:p w14:paraId="209D56EF">
      <w:pPr>
        <w:pStyle w:val="26"/>
        <w:rPr>
          <w:rFonts w:hint="eastAsia" w:hAnsi="宋体"/>
          <w:b/>
          <w:bCs/>
          <w:color w:val="auto"/>
          <w:sz w:val="32"/>
          <w:szCs w:val="32"/>
          <w:highlight w:val="none"/>
        </w:rPr>
      </w:pPr>
      <w:r>
        <w:rPr>
          <w:rFonts w:hint="eastAsia" w:hAnsi="宋体"/>
          <w:b/>
          <w:bCs/>
          <w:color w:val="auto"/>
          <w:sz w:val="32"/>
          <w:szCs w:val="32"/>
          <w:highlight w:val="none"/>
        </w:rPr>
        <w:t>附件：</w:t>
      </w:r>
    </w:p>
    <w:p w14:paraId="373B742F">
      <w:pPr>
        <w:pStyle w:val="26"/>
        <w:jc w:val="center"/>
        <w:rPr>
          <w:b/>
          <w:bCs/>
          <w:color w:val="auto"/>
          <w:sz w:val="28"/>
          <w:szCs w:val="28"/>
          <w:highlight w:val="none"/>
        </w:rPr>
      </w:pPr>
      <w:r>
        <w:rPr>
          <w:rFonts w:hint="eastAsia"/>
          <w:b/>
          <w:color w:val="auto"/>
          <w:sz w:val="28"/>
          <w:szCs w:val="28"/>
          <w:highlight w:val="none"/>
        </w:rPr>
        <w:t>商务要求响应承诺书</w:t>
      </w:r>
      <w:r>
        <w:rPr>
          <w:rFonts w:hint="eastAsia"/>
          <w:b/>
          <w:bCs/>
          <w:color w:val="auto"/>
          <w:sz w:val="28"/>
          <w:szCs w:val="28"/>
          <w:highlight w:val="none"/>
        </w:rPr>
        <w:t>（格式）</w:t>
      </w:r>
    </w:p>
    <w:p w14:paraId="198A5579">
      <w:pPr>
        <w:pStyle w:val="26"/>
        <w:jc w:val="left"/>
        <w:rPr>
          <w:b/>
          <w:bCs/>
          <w:color w:val="auto"/>
          <w:sz w:val="28"/>
          <w:szCs w:val="28"/>
          <w:highlight w:val="none"/>
        </w:rPr>
      </w:pPr>
    </w:p>
    <w:tbl>
      <w:tblPr>
        <w:tblStyle w:val="46"/>
        <w:tblW w:w="446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040"/>
        <w:gridCol w:w="5909"/>
      </w:tblGrid>
      <w:tr w14:paraId="47221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415A8686">
            <w:pPr>
              <w:snapToGrid w:val="0"/>
              <w:spacing w:line="300" w:lineRule="exact"/>
              <w:ind w:firstLine="0" w:firstLineChars="0"/>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条款内容</w:t>
            </w:r>
          </w:p>
        </w:tc>
        <w:tc>
          <w:tcPr>
            <w:tcW w:w="3716" w:type="pct"/>
            <w:tcBorders>
              <w:top w:val="single" w:color="auto" w:sz="4" w:space="0"/>
              <w:left w:val="single" w:color="auto" w:sz="4" w:space="0"/>
              <w:bottom w:val="single" w:color="auto" w:sz="4" w:space="0"/>
              <w:right w:val="single" w:color="auto" w:sz="4" w:space="0"/>
            </w:tcBorders>
            <w:vAlign w:val="center"/>
          </w:tcPr>
          <w:p w14:paraId="35EF64AA">
            <w:pPr>
              <w:snapToGrid w:val="0"/>
              <w:spacing w:line="300" w:lineRule="exact"/>
              <w:ind w:firstLine="0" w:firstLineChars="0"/>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对应竞争性谈判文件第三章采购需求的“商务要求”，供应商的详细响应承诺</w:t>
            </w:r>
          </w:p>
        </w:tc>
      </w:tr>
      <w:tr w14:paraId="01DB6F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4EBC03F4">
            <w:pPr>
              <w:tabs>
                <w:tab w:val="left" w:pos="180"/>
                <w:tab w:val="left" w:pos="1620"/>
              </w:tabs>
              <w:adjustRightInd w:val="0"/>
              <w:snapToGrid w:val="0"/>
              <w:spacing w:line="400" w:lineRule="exact"/>
              <w:ind w:firstLine="0" w:firstLineChars="0"/>
              <w:jc w:val="center"/>
              <w:rPr>
                <w:rFonts w:hint="eastAsia" w:ascii="宋体" w:hAnsi="宋体"/>
                <w:b/>
                <w:color w:val="auto"/>
                <w:sz w:val="21"/>
                <w:szCs w:val="21"/>
                <w:highlight w:val="none"/>
              </w:rPr>
            </w:pPr>
            <w:r>
              <w:rPr>
                <w:rFonts w:hint="eastAsia" w:ascii="宋体" w:hAnsi="宋体" w:cs="新宋体"/>
                <w:b/>
                <w:color w:val="auto"/>
                <w:sz w:val="21"/>
                <w:szCs w:val="21"/>
                <w:highlight w:val="none"/>
              </w:rPr>
              <w:t>（一）</w:t>
            </w:r>
            <w:r>
              <w:rPr>
                <w:rFonts w:hint="eastAsia" w:ascii="宋体" w:hAnsi="宋体" w:cs="新宋体"/>
                <w:b/>
                <w:color w:val="auto"/>
                <w:kern w:val="0"/>
                <w:sz w:val="21"/>
                <w:szCs w:val="21"/>
                <w:highlight w:val="none"/>
              </w:rPr>
              <w:t>售后服务</w:t>
            </w:r>
          </w:p>
        </w:tc>
        <w:tc>
          <w:tcPr>
            <w:tcW w:w="3716" w:type="pct"/>
            <w:tcBorders>
              <w:top w:val="single" w:color="auto" w:sz="4" w:space="0"/>
              <w:left w:val="single" w:color="auto" w:sz="4" w:space="0"/>
              <w:bottom w:val="single" w:color="auto" w:sz="4" w:space="0"/>
              <w:right w:val="single" w:color="auto" w:sz="4" w:space="0"/>
            </w:tcBorders>
            <w:vAlign w:val="center"/>
          </w:tcPr>
          <w:p w14:paraId="433CE9BF">
            <w:pPr>
              <w:pStyle w:val="26"/>
              <w:snapToGrid w:val="0"/>
              <w:spacing w:before="295" w:after="295" w:line="300" w:lineRule="exact"/>
              <w:jc w:val="center"/>
              <w:outlineLvl w:val="0"/>
              <w:rPr>
                <w:rFonts w:cs="宋体"/>
                <w:b/>
                <w:color w:val="auto"/>
                <w:kern w:val="2"/>
                <w:sz w:val="21"/>
                <w:szCs w:val="21"/>
                <w:highlight w:val="none"/>
              </w:rPr>
            </w:pPr>
          </w:p>
        </w:tc>
      </w:tr>
      <w:tr w14:paraId="1EB9B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2B80552B">
            <w:pPr>
              <w:adjustRightInd w:val="0"/>
              <w:snapToGrid w:val="0"/>
              <w:spacing w:line="400" w:lineRule="exact"/>
              <w:ind w:firstLine="0" w:firstLineChars="0"/>
              <w:jc w:val="center"/>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（二）核心产品</w:t>
            </w:r>
          </w:p>
        </w:tc>
        <w:tc>
          <w:tcPr>
            <w:tcW w:w="3716" w:type="pct"/>
            <w:tcBorders>
              <w:top w:val="single" w:color="auto" w:sz="4" w:space="0"/>
              <w:left w:val="single" w:color="auto" w:sz="4" w:space="0"/>
              <w:bottom w:val="single" w:color="auto" w:sz="4" w:space="0"/>
              <w:right w:val="single" w:color="auto" w:sz="4" w:space="0"/>
            </w:tcBorders>
            <w:vAlign w:val="center"/>
          </w:tcPr>
          <w:p w14:paraId="1B7F0EDA">
            <w:pPr>
              <w:pStyle w:val="26"/>
              <w:snapToGrid w:val="0"/>
              <w:spacing w:before="295" w:after="295" w:line="300" w:lineRule="exact"/>
              <w:jc w:val="center"/>
              <w:outlineLvl w:val="0"/>
              <w:rPr>
                <w:rFonts w:cs="宋体"/>
                <w:b/>
                <w:color w:val="auto"/>
                <w:kern w:val="2"/>
                <w:sz w:val="21"/>
                <w:szCs w:val="21"/>
                <w:highlight w:val="none"/>
              </w:rPr>
            </w:pPr>
          </w:p>
        </w:tc>
      </w:tr>
      <w:tr w14:paraId="19407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382D93E6">
            <w:pPr>
              <w:tabs>
                <w:tab w:val="left" w:pos="180"/>
                <w:tab w:val="left" w:pos="1620"/>
              </w:tabs>
              <w:adjustRightInd w:val="0"/>
              <w:snapToGrid w:val="0"/>
              <w:spacing w:line="400" w:lineRule="exact"/>
              <w:ind w:firstLine="0" w:firstLineChars="0"/>
              <w:jc w:val="center"/>
              <w:rPr>
                <w:rFonts w:hint="eastAsia" w:ascii="宋体" w:hAnsi="宋体"/>
                <w:b/>
                <w:color w:val="auto"/>
                <w:spacing w:val="-2"/>
                <w:sz w:val="21"/>
                <w:szCs w:val="21"/>
                <w:highlight w:val="none"/>
              </w:rPr>
            </w:pPr>
            <w:r>
              <w:rPr>
                <w:rFonts w:hint="eastAsia" w:ascii="宋体" w:hAnsi="宋体" w:cs="新宋体"/>
                <w:b/>
                <w:color w:val="auto"/>
                <w:kern w:val="0"/>
                <w:sz w:val="21"/>
                <w:szCs w:val="21"/>
                <w:highlight w:val="none"/>
              </w:rPr>
              <w:t>（三）</w:t>
            </w:r>
            <w:r>
              <w:rPr>
                <w:rFonts w:hint="eastAsia" w:ascii="宋体" w:hAnsi="宋体" w:cs="新宋体"/>
                <w:b/>
                <w:color w:val="auto"/>
                <w:kern w:val="0"/>
                <w:sz w:val="21"/>
                <w:szCs w:val="21"/>
                <w:highlight w:val="none"/>
                <w:lang w:eastAsia="zh-CN"/>
              </w:rPr>
              <w:t>软件安装调试、培训要求</w:t>
            </w:r>
          </w:p>
        </w:tc>
        <w:tc>
          <w:tcPr>
            <w:tcW w:w="3716" w:type="pct"/>
            <w:tcBorders>
              <w:top w:val="single" w:color="auto" w:sz="4" w:space="0"/>
              <w:left w:val="single" w:color="auto" w:sz="4" w:space="0"/>
              <w:bottom w:val="single" w:color="auto" w:sz="4" w:space="0"/>
              <w:right w:val="single" w:color="auto" w:sz="4" w:space="0"/>
            </w:tcBorders>
            <w:vAlign w:val="center"/>
          </w:tcPr>
          <w:p w14:paraId="6A2DA839">
            <w:pPr>
              <w:pStyle w:val="26"/>
              <w:snapToGrid w:val="0"/>
              <w:spacing w:before="295" w:after="295" w:line="300" w:lineRule="exact"/>
              <w:jc w:val="center"/>
              <w:outlineLvl w:val="0"/>
              <w:rPr>
                <w:rFonts w:cs="宋体"/>
                <w:b/>
                <w:color w:val="auto"/>
                <w:kern w:val="2"/>
                <w:sz w:val="21"/>
                <w:szCs w:val="21"/>
                <w:highlight w:val="none"/>
              </w:rPr>
            </w:pPr>
          </w:p>
        </w:tc>
      </w:tr>
      <w:tr w14:paraId="1E85C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61009586">
            <w:pPr>
              <w:tabs>
                <w:tab w:val="left" w:pos="180"/>
                <w:tab w:val="left" w:pos="1620"/>
              </w:tabs>
              <w:adjustRightInd w:val="0"/>
              <w:snapToGrid w:val="0"/>
              <w:spacing w:line="400" w:lineRule="exact"/>
              <w:ind w:firstLine="0" w:firstLineChars="0"/>
              <w:jc w:val="center"/>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（四）交货方式及地点</w:t>
            </w:r>
          </w:p>
        </w:tc>
        <w:tc>
          <w:tcPr>
            <w:tcW w:w="3716" w:type="pct"/>
            <w:tcBorders>
              <w:top w:val="single" w:color="auto" w:sz="4" w:space="0"/>
              <w:left w:val="single" w:color="auto" w:sz="4" w:space="0"/>
              <w:bottom w:val="single" w:color="auto" w:sz="4" w:space="0"/>
              <w:right w:val="single" w:color="auto" w:sz="4" w:space="0"/>
            </w:tcBorders>
            <w:vAlign w:val="center"/>
          </w:tcPr>
          <w:p w14:paraId="01AA3711">
            <w:pPr>
              <w:pStyle w:val="26"/>
              <w:snapToGrid w:val="0"/>
              <w:spacing w:before="295" w:after="295" w:line="300" w:lineRule="exact"/>
              <w:jc w:val="center"/>
              <w:outlineLvl w:val="0"/>
              <w:rPr>
                <w:rFonts w:cs="宋体"/>
                <w:b/>
                <w:color w:val="auto"/>
                <w:kern w:val="2"/>
                <w:sz w:val="21"/>
                <w:szCs w:val="21"/>
                <w:highlight w:val="none"/>
              </w:rPr>
            </w:pPr>
          </w:p>
        </w:tc>
      </w:tr>
      <w:tr w14:paraId="14E4D0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0AA97EB1">
            <w:pPr>
              <w:adjustRightInd w:val="0"/>
              <w:snapToGrid w:val="0"/>
              <w:spacing w:line="400" w:lineRule="exact"/>
              <w:ind w:firstLine="0" w:firstLineChars="0"/>
              <w:jc w:val="center"/>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（五）付款方式</w:t>
            </w:r>
          </w:p>
        </w:tc>
        <w:tc>
          <w:tcPr>
            <w:tcW w:w="3716" w:type="pct"/>
            <w:tcBorders>
              <w:top w:val="single" w:color="auto" w:sz="4" w:space="0"/>
              <w:left w:val="single" w:color="auto" w:sz="4" w:space="0"/>
              <w:bottom w:val="single" w:color="auto" w:sz="4" w:space="0"/>
              <w:right w:val="single" w:color="auto" w:sz="4" w:space="0"/>
            </w:tcBorders>
            <w:vAlign w:val="center"/>
          </w:tcPr>
          <w:p w14:paraId="480A9566">
            <w:pPr>
              <w:pStyle w:val="26"/>
              <w:snapToGrid w:val="0"/>
              <w:spacing w:before="295" w:after="295" w:line="300" w:lineRule="exact"/>
              <w:jc w:val="center"/>
              <w:outlineLvl w:val="0"/>
              <w:rPr>
                <w:rFonts w:cs="宋体"/>
                <w:b/>
                <w:color w:val="auto"/>
                <w:kern w:val="2"/>
                <w:sz w:val="21"/>
                <w:szCs w:val="21"/>
                <w:highlight w:val="none"/>
              </w:rPr>
            </w:pPr>
          </w:p>
        </w:tc>
      </w:tr>
      <w:tr w14:paraId="28140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135A2534">
            <w:pPr>
              <w:adjustRightInd w:val="0"/>
              <w:snapToGrid w:val="0"/>
              <w:spacing w:line="400" w:lineRule="exact"/>
              <w:ind w:firstLine="0" w:firstLineChars="0"/>
              <w:jc w:val="center"/>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（六）验收标准</w:t>
            </w:r>
          </w:p>
        </w:tc>
        <w:tc>
          <w:tcPr>
            <w:tcW w:w="3716" w:type="pct"/>
            <w:tcBorders>
              <w:top w:val="single" w:color="auto" w:sz="4" w:space="0"/>
              <w:left w:val="single" w:color="auto" w:sz="4" w:space="0"/>
              <w:bottom w:val="single" w:color="auto" w:sz="4" w:space="0"/>
              <w:right w:val="single" w:color="auto" w:sz="4" w:space="0"/>
            </w:tcBorders>
            <w:vAlign w:val="center"/>
          </w:tcPr>
          <w:p w14:paraId="382F4927">
            <w:pPr>
              <w:pStyle w:val="26"/>
              <w:snapToGrid w:val="0"/>
              <w:spacing w:before="295" w:after="295" w:line="300" w:lineRule="exact"/>
              <w:jc w:val="center"/>
              <w:outlineLvl w:val="0"/>
              <w:rPr>
                <w:rFonts w:cs="宋体"/>
                <w:b/>
                <w:color w:val="auto"/>
                <w:kern w:val="2"/>
                <w:sz w:val="21"/>
                <w:szCs w:val="21"/>
                <w:highlight w:val="none"/>
              </w:rPr>
            </w:pPr>
          </w:p>
        </w:tc>
      </w:tr>
      <w:tr w14:paraId="771399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49B89C4D">
            <w:pPr>
              <w:adjustRightInd w:val="0"/>
              <w:snapToGrid w:val="0"/>
              <w:spacing w:line="400" w:lineRule="exact"/>
              <w:ind w:firstLine="0" w:firstLineChars="0"/>
              <w:jc w:val="center"/>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w:t>
            </w:r>
            <w:r>
              <w:rPr>
                <w:rFonts w:hint="eastAsia" w:ascii="宋体" w:hAnsi="宋体" w:cs="新宋体"/>
                <w:b/>
                <w:color w:val="auto"/>
                <w:kern w:val="0"/>
                <w:sz w:val="21"/>
                <w:szCs w:val="21"/>
                <w:highlight w:val="none"/>
                <w:lang w:eastAsia="zh-CN"/>
              </w:rPr>
              <w:t>七</w:t>
            </w:r>
            <w:r>
              <w:rPr>
                <w:rFonts w:hint="eastAsia" w:ascii="宋体" w:hAnsi="宋体" w:cs="新宋体"/>
                <w:b/>
                <w:color w:val="auto"/>
                <w:kern w:val="0"/>
                <w:sz w:val="21"/>
                <w:szCs w:val="21"/>
                <w:highlight w:val="none"/>
              </w:rPr>
              <w:t>）</w:t>
            </w:r>
            <w:r>
              <w:rPr>
                <w:rFonts w:hint="eastAsia" w:cs="新宋体"/>
                <w:b/>
                <w:color w:val="auto"/>
                <w:kern w:val="0"/>
                <w:sz w:val="21"/>
                <w:szCs w:val="21"/>
                <w:highlight w:val="none"/>
              </w:rPr>
              <w:t>其他要求</w:t>
            </w:r>
          </w:p>
        </w:tc>
        <w:tc>
          <w:tcPr>
            <w:tcW w:w="3716" w:type="pct"/>
            <w:tcBorders>
              <w:top w:val="single" w:color="auto" w:sz="4" w:space="0"/>
              <w:left w:val="single" w:color="auto" w:sz="4" w:space="0"/>
              <w:bottom w:val="single" w:color="auto" w:sz="4" w:space="0"/>
              <w:right w:val="single" w:color="auto" w:sz="4" w:space="0"/>
            </w:tcBorders>
            <w:vAlign w:val="center"/>
          </w:tcPr>
          <w:p w14:paraId="3F4B51D0">
            <w:pPr>
              <w:pStyle w:val="26"/>
              <w:snapToGrid w:val="0"/>
              <w:spacing w:before="295" w:after="295" w:line="300" w:lineRule="exact"/>
              <w:jc w:val="center"/>
              <w:outlineLvl w:val="0"/>
              <w:rPr>
                <w:rFonts w:cs="宋体"/>
                <w:b/>
                <w:color w:val="auto"/>
                <w:kern w:val="2"/>
                <w:sz w:val="21"/>
                <w:szCs w:val="21"/>
                <w:highlight w:val="none"/>
              </w:rPr>
            </w:pPr>
          </w:p>
        </w:tc>
      </w:tr>
    </w:tbl>
    <w:p w14:paraId="5F087043">
      <w:pPr>
        <w:snapToGrid w:val="0"/>
        <w:spacing w:line="400" w:lineRule="exact"/>
        <w:ind w:firstLine="0" w:firstLineChars="0"/>
        <w:rPr>
          <w:rFonts w:hint="eastAsia" w:ascii="宋体" w:hAnsi="宋体" w:cs="宋体"/>
          <w:color w:val="auto"/>
          <w:sz w:val="21"/>
          <w:szCs w:val="21"/>
          <w:highlight w:val="none"/>
        </w:rPr>
      </w:pPr>
    </w:p>
    <w:p w14:paraId="1C091E5A">
      <w:pPr>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注：应对照谈判文件“第三章 采购需求”中的商务要求逐条明确响应承诺。</w:t>
      </w:r>
    </w:p>
    <w:p w14:paraId="3163B4DD">
      <w:pPr>
        <w:snapToGrid w:val="0"/>
        <w:spacing w:line="400" w:lineRule="exact"/>
        <w:ind w:firstLine="0" w:firstLineChars="0"/>
        <w:rPr>
          <w:rFonts w:hint="eastAsia" w:ascii="宋体" w:hAnsi="宋体" w:cs="宋体"/>
          <w:color w:val="auto"/>
          <w:sz w:val="21"/>
          <w:szCs w:val="21"/>
          <w:highlight w:val="none"/>
        </w:rPr>
      </w:pPr>
    </w:p>
    <w:p w14:paraId="66EE5DF4">
      <w:pPr>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68D8B807">
      <w:pPr>
        <w:spacing w:line="340" w:lineRule="exact"/>
        <w:ind w:firstLine="0" w:firstLineChars="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4CB7670F">
      <w:pPr>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2B2AF5F9">
      <w:pPr>
        <w:spacing w:line="240" w:lineRule="auto"/>
        <w:ind w:firstLine="4200" w:firstLineChars="2000"/>
        <w:rPr>
          <w:rFonts w:hint="eastAsia" w:ascii="宋体" w:hAnsi="宋体"/>
          <w:color w:val="auto"/>
          <w:sz w:val="21"/>
          <w:szCs w:val="20"/>
          <w:highlight w:val="none"/>
          <w:u w:val="single"/>
        </w:rPr>
      </w:pPr>
    </w:p>
    <w:p w14:paraId="5A5AA5A5">
      <w:pPr>
        <w:pStyle w:val="23"/>
        <w:rPr>
          <w:rFonts w:hint="eastAsia" w:ascii="宋体" w:hAnsi="宋体" w:cs="宋体"/>
          <w:b/>
          <w:color w:val="auto"/>
          <w:sz w:val="21"/>
          <w:szCs w:val="21"/>
          <w:highlight w:val="none"/>
        </w:rPr>
      </w:pPr>
    </w:p>
    <w:p w14:paraId="64A8BA54">
      <w:pPr>
        <w:pStyle w:val="23"/>
        <w:rPr>
          <w:rFonts w:hint="eastAsia" w:ascii="宋体" w:hAnsi="宋体" w:cs="宋体"/>
          <w:b/>
          <w:color w:val="auto"/>
          <w:sz w:val="21"/>
          <w:szCs w:val="21"/>
          <w:highlight w:val="none"/>
        </w:rPr>
      </w:pPr>
    </w:p>
    <w:p w14:paraId="66822AB3">
      <w:pPr>
        <w:pStyle w:val="23"/>
        <w:rPr>
          <w:rFonts w:hint="eastAsia" w:ascii="宋体" w:hAnsi="宋体" w:cs="宋体"/>
          <w:b/>
          <w:color w:val="auto"/>
          <w:sz w:val="21"/>
          <w:szCs w:val="21"/>
          <w:highlight w:val="none"/>
        </w:rPr>
      </w:pPr>
    </w:p>
    <w:p w14:paraId="4EBD8E04">
      <w:pPr>
        <w:pStyle w:val="23"/>
        <w:rPr>
          <w:rFonts w:hint="eastAsia" w:ascii="宋体" w:hAnsi="宋体" w:cs="宋体"/>
          <w:b/>
          <w:color w:val="auto"/>
          <w:sz w:val="21"/>
          <w:szCs w:val="21"/>
          <w:highlight w:val="none"/>
        </w:rPr>
      </w:pPr>
    </w:p>
    <w:p w14:paraId="618EE44B">
      <w:pPr>
        <w:pStyle w:val="26"/>
        <w:spacing w:line="340" w:lineRule="exact"/>
        <w:rPr>
          <w:rFonts w:hint="eastAsia" w:ascii="宋体" w:hAnsi="宋体" w:cs="宋体"/>
          <w:b/>
          <w:color w:val="auto"/>
          <w:sz w:val="28"/>
          <w:szCs w:val="28"/>
          <w:highlight w:val="none"/>
        </w:rPr>
      </w:pPr>
    </w:p>
    <w:p w14:paraId="6FD05BF5">
      <w:pPr>
        <w:spacing w:line="400" w:lineRule="exact"/>
        <w:ind w:firstLine="0" w:firstLineChars="0"/>
        <w:jc w:val="center"/>
        <w:rPr>
          <w:color w:val="auto"/>
          <w:kern w:val="0"/>
          <w:szCs w:val="20"/>
          <w:highlight w:val="none"/>
        </w:rPr>
        <w:sectPr>
          <w:pgSz w:w="11906" w:h="16838"/>
          <w:pgMar w:top="1440" w:right="1797" w:bottom="1440" w:left="1418" w:header="851" w:footer="992" w:gutter="0"/>
          <w:pgNumType w:fmt="decimal"/>
          <w:cols w:space="720" w:num="1"/>
          <w:docGrid w:type="lines" w:linePitch="326" w:charSpace="0"/>
        </w:sectPr>
      </w:pPr>
      <w:r>
        <w:rPr>
          <w:color w:val="auto"/>
          <w:kern w:val="0"/>
          <w:szCs w:val="20"/>
          <w:highlight w:val="none"/>
        </w:rPr>
        <w:br w:type="page"/>
      </w:r>
    </w:p>
    <w:p w14:paraId="07C710D3">
      <w:pPr>
        <w:pStyle w:val="26"/>
        <w:spacing w:line="340" w:lineRule="exact"/>
        <w:outlineLvl w:val="2"/>
        <w:rPr>
          <w:rFonts w:hint="eastAsia" w:ascii="宋体" w:hAnsi="宋体" w:eastAsia="宋体" w:cs="宋体"/>
          <w:b/>
          <w:color w:val="auto"/>
          <w:sz w:val="28"/>
          <w:szCs w:val="28"/>
          <w:highlight w:val="none"/>
          <w:lang w:val="en-US"/>
        </w:rPr>
      </w:pPr>
      <w:r>
        <w:rPr>
          <w:rFonts w:hint="eastAsia" w:ascii="宋体" w:hAnsi="宋体" w:eastAsia="宋体" w:cs="宋体"/>
          <w:b/>
          <w:color w:val="auto"/>
          <w:sz w:val="28"/>
          <w:szCs w:val="28"/>
          <w:highlight w:val="none"/>
          <w:lang w:val="en-US" w:eastAsia="zh-CN"/>
        </w:rPr>
        <w:t>5.</w:t>
      </w:r>
      <w:r>
        <w:rPr>
          <w:rFonts w:hint="eastAsia" w:ascii="宋体" w:hAnsi="宋体" w:eastAsia="宋体" w:cs="宋体"/>
          <w:b/>
          <w:color w:val="auto"/>
          <w:sz w:val="28"/>
          <w:szCs w:val="28"/>
          <w:highlight w:val="none"/>
          <w:lang w:val="en-US"/>
        </w:rPr>
        <w:t>农</w:t>
      </w:r>
      <w:r>
        <w:rPr>
          <w:rFonts w:hint="eastAsia" w:ascii="宋体" w:hAnsi="宋体" w:eastAsia="宋体" w:cs="宋体"/>
          <w:b/>
          <w:color w:val="auto"/>
          <w:sz w:val="28"/>
          <w:szCs w:val="28"/>
          <w:highlight w:val="none"/>
          <w:lang w:val="en-US"/>
        </w:rPr>
        <w:t>民工工资保证金的交纳与使用承诺书（</w:t>
      </w:r>
      <w:r>
        <w:rPr>
          <w:rFonts w:hint="eastAsia" w:ascii="宋体" w:hAnsi="宋体" w:eastAsia="宋体" w:cs="宋体"/>
          <w:b/>
          <w:color w:val="auto"/>
          <w:sz w:val="28"/>
          <w:szCs w:val="28"/>
          <w:highlight w:val="none"/>
          <w:lang w:val="en-US" w:eastAsia="zh-CN"/>
        </w:rPr>
        <w:t>分标</w:t>
      </w: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lang w:val="en-US"/>
        </w:rPr>
        <w:t>必须提供）</w:t>
      </w:r>
    </w:p>
    <w:p w14:paraId="57E50F28">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w w:val="99"/>
          <w:kern w:val="0"/>
          <w:sz w:val="21"/>
          <w:szCs w:val="21"/>
          <w:highlight w:val="none"/>
          <w:shd w:val="clear" w:color="auto" w:fill="auto"/>
        </w:rPr>
      </w:pPr>
    </w:p>
    <w:p w14:paraId="686530E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color w:val="auto"/>
          <w:kern w:val="0"/>
          <w:sz w:val="21"/>
          <w:szCs w:val="21"/>
          <w:highlight w:val="none"/>
          <w:u w:val="single"/>
          <w:shd w:val="clear" w:color="auto" w:fill="auto"/>
        </w:rPr>
      </w:pPr>
      <w:r>
        <w:rPr>
          <w:rFonts w:hint="eastAsia" w:ascii="宋体" w:hAnsi="宋体" w:eastAsia="宋体" w:cs="宋体"/>
          <w:color w:val="auto"/>
          <w:kern w:val="0"/>
          <w:sz w:val="21"/>
          <w:szCs w:val="21"/>
          <w:highlight w:val="none"/>
          <w:shd w:val="clear" w:color="auto" w:fill="auto"/>
        </w:rPr>
        <w:t>致：</w:t>
      </w:r>
      <w:r>
        <w:rPr>
          <w:rFonts w:hint="eastAsia" w:ascii="宋体" w:hAnsi="宋体" w:eastAsia="宋体" w:cs="宋体"/>
          <w:color w:val="auto"/>
          <w:kern w:val="0"/>
          <w:sz w:val="21"/>
          <w:szCs w:val="21"/>
          <w:highlight w:val="none"/>
          <w:u w:val="single"/>
          <w:shd w:val="clear" w:color="auto" w:fill="auto"/>
        </w:rPr>
        <w:t>（采购人）</w:t>
      </w:r>
    </w:p>
    <w:p w14:paraId="0615694E">
      <w:pPr>
        <w:pageBreakBefore w:val="0"/>
        <w:kinsoku/>
        <w:wordWrap/>
        <w:overflowPunct/>
        <w:topLinePunct w:val="0"/>
        <w:bidi w:val="0"/>
        <w:adjustRightInd/>
        <w:spacing w:line="360" w:lineRule="auto"/>
        <w:ind w:left="0" w:leftChars="0" w:right="0" w:firstLine="420" w:firstLineChars="20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我方在此承诺：</w:t>
      </w:r>
    </w:p>
    <w:p w14:paraId="2AD533C2">
      <w:pPr>
        <w:pageBreakBefore w:val="0"/>
        <w:kinsoku/>
        <w:wordWrap/>
        <w:overflowPunct/>
        <w:topLinePunct w:val="0"/>
        <w:bidi w:val="0"/>
        <w:adjustRightInd/>
        <w:spacing w:line="360" w:lineRule="auto"/>
        <w:ind w:left="0" w:leftChars="0" w:right="0" w:firstLine="525" w:firstLineChars="25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1.我方在本项目</w:t>
      </w:r>
      <w:r>
        <w:rPr>
          <w:rFonts w:hint="eastAsia" w:ascii="宋体" w:hAnsi="宋体" w:eastAsia="宋体" w:cs="宋体"/>
          <w:color w:val="auto"/>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shd w:val="clear" w:color="auto" w:fill="auto"/>
        </w:rPr>
        <w:t>（项目名称及编号）响应文件递交截止之日前所承建工程中，无拖欠或克扣农民工工资的行为。</w:t>
      </w:r>
    </w:p>
    <w:p w14:paraId="2A19521F">
      <w:pPr>
        <w:pageBreakBefore w:val="0"/>
        <w:kinsoku/>
        <w:wordWrap/>
        <w:overflowPunct/>
        <w:topLinePunct w:val="0"/>
        <w:bidi w:val="0"/>
        <w:adjustRightInd/>
        <w:spacing w:line="360" w:lineRule="auto"/>
        <w:ind w:left="0" w:leftChars="0" w:right="0" w:firstLine="495"/>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 我方参与</w:t>
      </w:r>
      <w:r>
        <w:rPr>
          <w:rFonts w:hint="eastAsia" w:ascii="宋体" w:hAnsi="宋体" w:eastAsia="宋体" w:cs="宋体"/>
          <w:color w:val="auto"/>
          <w:kern w:val="0"/>
          <w:sz w:val="21"/>
          <w:szCs w:val="21"/>
          <w:highlight w:val="none"/>
          <w:shd w:val="clear" w:color="auto" w:fill="auto"/>
          <w:lang w:eastAsia="zh-CN"/>
        </w:rPr>
        <w:t>谈判</w:t>
      </w:r>
      <w:r>
        <w:rPr>
          <w:rFonts w:hint="eastAsia" w:ascii="宋体" w:hAnsi="宋体" w:eastAsia="宋体" w:cs="宋体"/>
          <w:color w:val="auto"/>
          <w:kern w:val="0"/>
          <w:sz w:val="21"/>
          <w:szCs w:val="21"/>
          <w:highlight w:val="none"/>
          <w:shd w:val="clear" w:color="auto" w:fill="auto"/>
        </w:rPr>
        <w:t>的</w:t>
      </w:r>
      <w:r>
        <w:rPr>
          <w:rFonts w:hint="eastAsia" w:ascii="宋体" w:hAnsi="宋体" w:eastAsia="宋体" w:cs="宋体"/>
          <w:color w:val="auto"/>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shd w:val="clear" w:color="auto" w:fill="auto"/>
        </w:rPr>
        <w:t>项目，一旦成交，我方保证在签订施工合同后，及时并足额将农民工工资保证金足额存入指定的账户，作为本项目农民工工资保证金。</w:t>
      </w:r>
    </w:p>
    <w:p w14:paraId="2C3A296B">
      <w:pPr>
        <w:pageBreakBefore w:val="0"/>
        <w:kinsoku/>
        <w:wordWrap/>
        <w:overflowPunct/>
        <w:topLinePunct w:val="0"/>
        <w:bidi w:val="0"/>
        <w:adjustRightInd/>
        <w:spacing w:line="360" w:lineRule="auto"/>
        <w:ind w:left="0" w:leftChars="0" w:right="0" w:firstLine="495"/>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3. 如我方在承包的</w:t>
      </w:r>
      <w:r>
        <w:rPr>
          <w:rFonts w:hint="eastAsia" w:ascii="宋体" w:hAnsi="宋体" w:eastAsia="宋体" w:cs="宋体"/>
          <w:color w:val="auto"/>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shd w:val="clear" w:color="auto" w:fill="auto"/>
        </w:rPr>
        <w:t>项目中出现拖欠农民工和工人工资情况的，由相关部门从其农民工工资保证金中先予划支。</w:t>
      </w:r>
    </w:p>
    <w:p w14:paraId="5C28C247">
      <w:pPr>
        <w:pageBreakBefore w:val="0"/>
        <w:kinsoku/>
        <w:wordWrap/>
        <w:overflowPunct/>
        <w:topLinePunct w:val="0"/>
        <w:bidi w:val="0"/>
        <w:adjustRightInd/>
        <w:spacing w:line="360" w:lineRule="auto"/>
        <w:ind w:left="0" w:leftChars="0" w:right="0" w:firstLine="495"/>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4. 如我方不按时、足额存入农民工工资保证金，采购人有权取消我方承包资格。</w:t>
      </w:r>
    </w:p>
    <w:p w14:paraId="0ACAC318">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b/>
          <w:bCs/>
          <w:color w:val="auto"/>
          <w:sz w:val="21"/>
          <w:szCs w:val="21"/>
          <w:highlight w:val="none"/>
          <w:shd w:val="clear" w:color="auto" w:fill="auto"/>
        </w:rPr>
      </w:pPr>
    </w:p>
    <w:p w14:paraId="3481D59E">
      <w:pPr>
        <w:snapToGrid w:val="0"/>
        <w:spacing w:line="400" w:lineRule="exact"/>
        <w:ind w:firstLine="210" w:firstLineChars="100"/>
        <w:rPr>
          <w:rFonts w:hint="eastAsia" w:ascii="宋体" w:hAnsi="宋体" w:cs="宋体"/>
          <w:color w:val="auto"/>
          <w:sz w:val="21"/>
          <w:szCs w:val="21"/>
          <w:highlight w:val="none"/>
          <w:u w:val="single"/>
        </w:rPr>
      </w:pPr>
      <w:r>
        <w:rPr>
          <w:rFonts w:hint="eastAsia" w:ascii="宋体" w:hAnsi="宋体" w:eastAsia="宋体" w:cs="宋体"/>
          <w:color w:val="auto"/>
          <w:kern w:val="0"/>
          <w:sz w:val="21"/>
          <w:szCs w:val="21"/>
          <w:highlight w:val="none"/>
          <w:shd w:val="clear" w:color="auto" w:fill="auto"/>
        </w:rPr>
        <w:t xml:space="preserve"> </w:t>
      </w:r>
      <w:r>
        <w:rPr>
          <w:rFonts w:hint="eastAsia" w:ascii="宋体" w:hAnsi="宋体" w:cs="宋体"/>
          <w:color w:val="auto"/>
          <w:sz w:val="21"/>
          <w:szCs w:val="21"/>
          <w:highlight w:val="none"/>
        </w:rPr>
        <w:t>供应商（电子签章）：</w:t>
      </w:r>
    </w:p>
    <w:p w14:paraId="046CDECC">
      <w:pPr>
        <w:spacing w:line="340" w:lineRule="exact"/>
        <w:ind w:firstLine="210" w:firstLineChars="10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3287993F">
      <w:pPr>
        <w:spacing w:line="400" w:lineRule="exact"/>
        <w:ind w:firstLine="210" w:firstLineChars="10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42BBF41A">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sz w:val="21"/>
          <w:szCs w:val="21"/>
          <w:highlight w:val="none"/>
          <w:shd w:val="clear" w:color="auto" w:fill="auto"/>
        </w:rPr>
      </w:pPr>
    </w:p>
    <w:p w14:paraId="3674BFB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bCs/>
          <w:color w:val="auto"/>
          <w:w w:val="99"/>
          <w:kern w:val="0"/>
          <w:sz w:val="21"/>
          <w:szCs w:val="21"/>
          <w:highlight w:val="none"/>
          <w:shd w:val="clear" w:color="auto" w:fill="auto"/>
        </w:rPr>
      </w:pPr>
    </w:p>
    <w:p w14:paraId="4A58DF73">
      <w:pPr>
        <w:rPr>
          <w:rFonts w:hint="eastAsia" w:ascii="宋体" w:hAnsi="宋体" w:eastAsia="宋体" w:cs="宋体"/>
          <w:b/>
          <w:color w:val="auto"/>
          <w:kern w:val="0"/>
          <w:sz w:val="28"/>
          <w:szCs w:val="28"/>
          <w:highlight w:val="none"/>
          <w:lang w:val="en-US" w:eastAsia="zh-CN" w:bidi="ar-SA"/>
        </w:rPr>
      </w:pPr>
      <w:bookmarkStart w:id="1813" w:name="_Toc26022"/>
      <w:r>
        <w:rPr>
          <w:rFonts w:hint="eastAsia" w:ascii="宋体" w:hAnsi="宋体" w:eastAsia="宋体" w:cs="宋体"/>
          <w:b/>
          <w:color w:val="auto"/>
          <w:kern w:val="0"/>
          <w:sz w:val="28"/>
          <w:szCs w:val="28"/>
          <w:highlight w:val="none"/>
          <w:lang w:val="en-US" w:eastAsia="zh-CN" w:bidi="ar-SA"/>
        </w:rPr>
        <w:br w:type="page"/>
      </w:r>
    </w:p>
    <w:p w14:paraId="4304C11C">
      <w:pPr>
        <w:pageBreakBefore w:val="0"/>
        <w:kinsoku/>
        <w:wordWrap/>
        <w:overflowPunct/>
        <w:topLinePunct w:val="0"/>
        <w:bidi w:val="0"/>
        <w:adjustRightInd/>
        <w:spacing w:line="360" w:lineRule="auto"/>
        <w:ind w:left="0" w:leftChars="0" w:right="0"/>
        <w:textAlignment w:val="auto"/>
        <w:outlineLvl w:val="1"/>
        <w:rPr>
          <w:rFonts w:hint="eastAsia"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6、工程渣土清运承诺书 （</w:t>
      </w:r>
      <w:r>
        <w:rPr>
          <w:rFonts w:hint="eastAsia" w:ascii="宋体" w:hAnsi="宋体" w:eastAsia="宋体" w:cs="宋体"/>
          <w:b/>
          <w:color w:val="auto"/>
          <w:sz w:val="28"/>
          <w:szCs w:val="28"/>
          <w:highlight w:val="none"/>
          <w:lang w:val="en-US" w:eastAsia="zh-CN"/>
        </w:rPr>
        <w:t>分标</w:t>
      </w: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kern w:val="0"/>
          <w:sz w:val="28"/>
          <w:szCs w:val="28"/>
          <w:highlight w:val="none"/>
          <w:lang w:val="en-US" w:eastAsia="zh-CN" w:bidi="ar-SA"/>
        </w:rPr>
        <w:t>必须提供）。</w:t>
      </w:r>
      <w:bookmarkEnd w:id="1813"/>
    </w:p>
    <w:p w14:paraId="2B9EF05C">
      <w:pPr>
        <w:pageBreakBefore w:val="0"/>
        <w:widowControl/>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p w14:paraId="2C90DEE7">
      <w:pPr>
        <w:pageBreakBefore w:val="0"/>
        <w:widowControl/>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p w14:paraId="5840A021">
      <w:pPr>
        <w:pageBreakBefore w:val="0"/>
        <w:widowControl/>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按照桂林市建设工程招标站市建招字[2011]02 号的规定承诺；</w:t>
      </w:r>
    </w:p>
    <w:p w14:paraId="6A8734E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bCs/>
          <w:color w:val="auto"/>
          <w:w w:val="99"/>
          <w:kern w:val="0"/>
          <w:sz w:val="21"/>
          <w:szCs w:val="21"/>
          <w:highlight w:val="none"/>
          <w:shd w:val="clear" w:color="auto" w:fill="auto"/>
        </w:rPr>
      </w:pPr>
    </w:p>
    <w:p w14:paraId="11D80E2F">
      <w:pPr>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1DD02DD5">
      <w:pPr>
        <w:spacing w:line="340" w:lineRule="exact"/>
        <w:ind w:firstLine="0" w:firstLineChars="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2176D70A">
      <w:pPr>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0378C29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bCs/>
          <w:color w:val="auto"/>
          <w:w w:val="99"/>
          <w:kern w:val="0"/>
          <w:sz w:val="21"/>
          <w:szCs w:val="21"/>
          <w:highlight w:val="none"/>
          <w:shd w:val="clear" w:color="auto" w:fill="auto"/>
        </w:rPr>
      </w:pPr>
    </w:p>
    <w:p w14:paraId="76545FF3">
      <w:pPr>
        <w:pageBreakBefore w:val="0"/>
        <w:kinsoku/>
        <w:wordWrap/>
        <w:overflowPunct/>
        <w:topLinePunct w:val="0"/>
        <w:bidi w:val="0"/>
        <w:adjustRightInd/>
        <w:spacing w:line="360" w:lineRule="auto"/>
        <w:ind w:left="0" w:leftChars="0" w:right="0"/>
        <w:textAlignment w:val="auto"/>
        <w:outlineLvl w:val="1"/>
        <w:rPr>
          <w:rFonts w:hint="eastAsia" w:ascii="宋体" w:hAnsi="宋体" w:eastAsia="宋体" w:cs="宋体"/>
          <w:b/>
          <w:color w:val="auto"/>
          <w:kern w:val="0"/>
          <w:sz w:val="28"/>
          <w:szCs w:val="28"/>
          <w:highlight w:val="none"/>
          <w:lang w:val="en-US" w:eastAsia="zh-CN" w:bidi="ar-SA"/>
        </w:rPr>
      </w:pPr>
      <w:r>
        <w:rPr>
          <w:rFonts w:hint="eastAsia" w:ascii="宋体" w:hAnsi="宋体" w:eastAsia="宋体" w:cs="宋体"/>
          <w:b/>
          <w:bCs/>
          <w:color w:val="auto"/>
          <w:w w:val="99"/>
          <w:kern w:val="0"/>
          <w:sz w:val="21"/>
          <w:szCs w:val="21"/>
          <w:highlight w:val="none"/>
          <w:shd w:val="clear" w:color="auto" w:fill="auto"/>
          <w:lang w:val="en-US" w:eastAsia="zh-CN"/>
        </w:rPr>
        <w:br w:type="page"/>
      </w:r>
      <w:r>
        <w:rPr>
          <w:rFonts w:hint="eastAsia" w:ascii="宋体" w:hAnsi="宋体" w:eastAsia="宋体" w:cs="宋体"/>
          <w:b/>
          <w:color w:val="auto"/>
          <w:kern w:val="0"/>
          <w:sz w:val="28"/>
          <w:szCs w:val="28"/>
          <w:highlight w:val="none"/>
          <w:lang w:val="en-US" w:eastAsia="zh-CN" w:bidi="ar-SA"/>
        </w:rPr>
        <w:t>7、施工组织设计（如有，请提供）</w:t>
      </w:r>
      <w:bookmarkStart w:id="1814" w:name="_Toc369505647"/>
      <w:bookmarkStart w:id="1815" w:name="_Toc455670863"/>
      <w:bookmarkStart w:id="1816" w:name="_Toc207443043"/>
      <w:bookmarkStart w:id="1817" w:name="_Toc389146014"/>
      <w:bookmarkStart w:id="1818" w:name="_Toc267582080"/>
    </w:p>
    <w:bookmarkEnd w:id="1814"/>
    <w:bookmarkEnd w:id="1815"/>
    <w:bookmarkEnd w:id="1816"/>
    <w:bookmarkEnd w:id="1817"/>
    <w:bookmarkEnd w:id="1818"/>
    <w:p w14:paraId="418163F2">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1.供应商编制施工组织设计的要求：</w:t>
      </w:r>
    </w:p>
    <w:p w14:paraId="4BF8A9BB">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编制时应按以下章顺序采用文字并结合图表形式进行说明：</w:t>
      </w:r>
    </w:p>
    <w:p w14:paraId="1FCFC43F">
      <w:pPr>
        <w:pStyle w:val="204"/>
        <w:pageBreakBefore w:val="0"/>
        <w:numPr>
          <w:ilvl w:val="0"/>
          <w:numId w:val="31"/>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19" w:name="_Toc20288_WPSOffice_Level1"/>
      <w:bookmarkStart w:id="1820" w:name="_Toc3638_WPSOffice_Level1"/>
      <w:r>
        <w:rPr>
          <w:rFonts w:hint="eastAsia" w:ascii="宋体" w:hAnsi="宋体" w:eastAsia="宋体" w:cs="宋体"/>
          <w:color w:val="auto"/>
          <w:sz w:val="21"/>
          <w:szCs w:val="21"/>
          <w:highlight w:val="none"/>
          <w:shd w:val="clear" w:color="auto" w:fill="auto"/>
        </w:rPr>
        <w:t>总体概述；</w:t>
      </w:r>
      <w:bookmarkEnd w:id="1819"/>
      <w:bookmarkEnd w:id="1820"/>
    </w:p>
    <w:p w14:paraId="04520930">
      <w:pPr>
        <w:pStyle w:val="204"/>
        <w:pageBreakBefore w:val="0"/>
        <w:numPr>
          <w:ilvl w:val="0"/>
          <w:numId w:val="31"/>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21" w:name="_Toc21835_WPSOffice_Level1"/>
      <w:bookmarkStart w:id="1822" w:name="_Toc22988_WPSOffice_Level1"/>
      <w:r>
        <w:rPr>
          <w:rFonts w:hint="eastAsia" w:ascii="宋体" w:hAnsi="宋体" w:eastAsia="宋体" w:cs="宋体"/>
          <w:color w:val="auto"/>
          <w:sz w:val="21"/>
          <w:szCs w:val="21"/>
          <w:highlight w:val="none"/>
          <w:shd w:val="clear" w:color="auto" w:fill="auto"/>
        </w:rPr>
        <w:t>主要施工方法；</w:t>
      </w:r>
      <w:bookmarkEnd w:id="1821"/>
      <w:bookmarkEnd w:id="1822"/>
    </w:p>
    <w:p w14:paraId="68B08263">
      <w:pPr>
        <w:pStyle w:val="204"/>
        <w:pageBreakBefore w:val="0"/>
        <w:numPr>
          <w:ilvl w:val="0"/>
          <w:numId w:val="31"/>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23" w:name="_Toc1533_WPSOffice_Level1"/>
      <w:bookmarkStart w:id="1824" w:name="_Toc29323_WPSOffice_Level1"/>
      <w:r>
        <w:rPr>
          <w:rFonts w:hint="eastAsia" w:ascii="宋体" w:hAnsi="宋体" w:eastAsia="宋体" w:cs="宋体"/>
          <w:color w:val="auto"/>
          <w:sz w:val="21"/>
          <w:szCs w:val="21"/>
          <w:highlight w:val="none"/>
          <w:shd w:val="clear" w:color="auto" w:fill="auto"/>
        </w:rPr>
        <w:t>施工进度计划和各阶段进度的保证措施及违约责任承诺；</w:t>
      </w:r>
      <w:bookmarkEnd w:id="1823"/>
      <w:bookmarkEnd w:id="1824"/>
    </w:p>
    <w:p w14:paraId="05076F72">
      <w:pPr>
        <w:pStyle w:val="204"/>
        <w:pageBreakBefore w:val="0"/>
        <w:numPr>
          <w:ilvl w:val="0"/>
          <w:numId w:val="31"/>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25" w:name="_Toc19224_WPSOffice_Level1"/>
      <w:bookmarkStart w:id="1826" w:name="_Toc12741_WPSOffice_Level1"/>
      <w:r>
        <w:rPr>
          <w:rFonts w:hint="eastAsia" w:ascii="宋体" w:hAnsi="宋体" w:eastAsia="宋体" w:cs="宋体"/>
          <w:color w:val="auto"/>
          <w:sz w:val="21"/>
          <w:szCs w:val="21"/>
          <w:highlight w:val="none"/>
          <w:shd w:val="clear" w:color="auto" w:fill="auto"/>
        </w:rPr>
        <w:t>劳动力和材料投入计划及其保证措施；</w:t>
      </w:r>
      <w:bookmarkEnd w:id="1825"/>
      <w:bookmarkEnd w:id="1826"/>
    </w:p>
    <w:p w14:paraId="1CB8B6F4">
      <w:pPr>
        <w:pStyle w:val="204"/>
        <w:pageBreakBefore w:val="0"/>
        <w:numPr>
          <w:ilvl w:val="0"/>
          <w:numId w:val="31"/>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27" w:name="_Toc13636_WPSOffice_Level1"/>
      <w:bookmarkStart w:id="1828" w:name="_Toc17856_WPSOffice_Level1"/>
      <w:r>
        <w:rPr>
          <w:rFonts w:hint="eastAsia" w:ascii="宋体" w:hAnsi="宋体" w:eastAsia="宋体" w:cs="宋体"/>
          <w:color w:val="auto"/>
          <w:sz w:val="21"/>
          <w:szCs w:val="21"/>
          <w:highlight w:val="none"/>
          <w:shd w:val="clear" w:color="auto" w:fill="auto"/>
        </w:rPr>
        <w:t>施工平面布置和临时设施布置总体布置；</w:t>
      </w:r>
      <w:bookmarkEnd w:id="1827"/>
      <w:bookmarkEnd w:id="1828"/>
    </w:p>
    <w:p w14:paraId="7A05F252">
      <w:pPr>
        <w:pStyle w:val="204"/>
        <w:pageBreakBefore w:val="0"/>
        <w:numPr>
          <w:ilvl w:val="0"/>
          <w:numId w:val="31"/>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29" w:name="_Toc4363_WPSOffice_Level1"/>
      <w:bookmarkStart w:id="1830" w:name="_Toc18099_WPSOffice_Level1"/>
      <w:r>
        <w:rPr>
          <w:rFonts w:hint="eastAsia" w:ascii="宋体" w:hAnsi="宋体" w:eastAsia="宋体" w:cs="宋体"/>
          <w:color w:val="auto"/>
          <w:sz w:val="21"/>
          <w:szCs w:val="21"/>
          <w:highlight w:val="none"/>
          <w:shd w:val="clear" w:color="auto" w:fill="auto"/>
        </w:rPr>
        <w:t>关键施工技术、工艺及工程实施的重点、难点和解决方案；</w:t>
      </w:r>
      <w:bookmarkEnd w:id="1829"/>
      <w:bookmarkEnd w:id="1830"/>
    </w:p>
    <w:p w14:paraId="2CF83814">
      <w:pPr>
        <w:pStyle w:val="204"/>
        <w:pageBreakBefore w:val="0"/>
        <w:numPr>
          <w:ilvl w:val="0"/>
          <w:numId w:val="31"/>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31" w:name="_Toc29158_WPSOffice_Level1"/>
      <w:bookmarkStart w:id="1832" w:name="_Toc24635_WPSOffice_Level1"/>
      <w:r>
        <w:rPr>
          <w:rFonts w:hint="eastAsia" w:ascii="宋体" w:hAnsi="宋体" w:eastAsia="宋体" w:cs="宋体"/>
          <w:color w:val="auto"/>
          <w:sz w:val="21"/>
          <w:szCs w:val="21"/>
          <w:highlight w:val="none"/>
          <w:shd w:val="clear" w:color="auto" w:fill="auto"/>
        </w:rPr>
        <w:t>安全文明施工措施；</w:t>
      </w:r>
      <w:bookmarkEnd w:id="1831"/>
      <w:bookmarkEnd w:id="1832"/>
    </w:p>
    <w:p w14:paraId="00B8CA0A">
      <w:pPr>
        <w:pStyle w:val="204"/>
        <w:pageBreakBefore w:val="0"/>
        <w:numPr>
          <w:ilvl w:val="0"/>
          <w:numId w:val="31"/>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33" w:name="_Toc15821_WPSOffice_Level1"/>
      <w:bookmarkStart w:id="1834" w:name="_Toc12565_WPSOffice_Level1"/>
      <w:r>
        <w:rPr>
          <w:rFonts w:hint="eastAsia" w:ascii="宋体" w:hAnsi="宋体" w:eastAsia="宋体" w:cs="宋体"/>
          <w:color w:val="auto"/>
          <w:sz w:val="21"/>
          <w:szCs w:val="21"/>
          <w:highlight w:val="none"/>
          <w:shd w:val="clear" w:color="auto" w:fill="auto"/>
        </w:rPr>
        <w:t>质量保证与承诺；</w:t>
      </w:r>
      <w:bookmarkEnd w:id="1833"/>
      <w:bookmarkEnd w:id="1834"/>
    </w:p>
    <w:p w14:paraId="480C937C">
      <w:pPr>
        <w:pStyle w:val="204"/>
        <w:pageBreakBefore w:val="0"/>
        <w:numPr>
          <w:ilvl w:val="0"/>
          <w:numId w:val="31"/>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35" w:name="_Toc10917_WPSOffice_Level1"/>
      <w:bookmarkStart w:id="1836" w:name="_Toc4452_WPSOffice_Level1"/>
      <w:r>
        <w:rPr>
          <w:rFonts w:hint="eastAsia" w:ascii="宋体" w:hAnsi="宋体" w:eastAsia="宋体" w:cs="宋体"/>
          <w:color w:val="auto"/>
          <w:sz w:val="21"/>
          <w:szCs w:val="21"/>
          <w:highlight w:val="none"/>
          <w:shd w:val="clear" w:color="auto" w:fill="auto"/>
        </w:rPr>
        <w:t>新技术应用与承诺等方面进行说明。</w:t>
      </w:r>
      <w:bookmarkEnd w:id="1835"/>
      <w:bookmarkEnd w:id="1836"/>
    </w:p>
    <w:p w14:paraId="058BC397">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2.施工组织设计除采用文字表述外可附下列图表，图表及格式要求附后。</w:t>
      </w:r>
    </w:p>
    <w:p w14:paraId="667EADEF">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37" w:name="_Toc13905_WPSOffice_Level1"/>
      <w:bookmarkStart w:id="1838" w:name="_Toc24230_WPSOffice_Level1"/>
      <w:r>
        <w:rPr>
          <w:rFonts w:hint="eastAsia" w:ascii="宋体" w:hAnsi="宋体" w:eastAsia="宋体" w:cs="宋体"/>
          <w:color w:val="auto"/>
          <w:sz w:val="21"/>
          <w:szCs w:val="21"/>
          <w:highlight w:val="none"/>
          <w:shd w:val="clear" w:color="auto" w:fill="auto"/>
        </w:rPr>
        <w:t>附表一</w:t>
      </w:r>
      <w:r>
        <w:rPr>
          <w:rFonts w:hint="eastAsia" w:ascii="宋体" w:hAnsi="宋体" w:eastAsia="宋体" w:cs="宋体"/>
          <w:color w:val="auto"/>
          <w:sz w:val="21"/>
          <w:szCs w:val="21"/>
          <w:highlight w:val="none"/>
          <w:shd w:val="clear" w:color="auto" w:fill="auto"/>
        </w:rPr>
        <w:tab/>
      </w:r>
      <w:r>
        <w:rPr>
          <w:rFonts w:hint="eastAsia" w:ascii="宋体" w:hAnsi="宋体" w:eastAsia="宋体" w:cs="宋体"/>
          <w:color w:val="auto"/>
          <w:spacing w:val="-1"/>
          <w:sz w:val="21"/>
          <w:szCs w:val="21"/>
          <w:highlight w:val="none"/>
          <w:shd w:val="clear" w:color="auto" w:fill="auto"/>
        </w:rPr>
        <w:t>拟</w:t>
      </w:r>
      <w:r>
        <w:rPr>
          <w:rFonts w:hint="eastAsia" w:ascii="宋体" w:hAnsi="宋体" w:eastAsia="宋体" w:cs="宋体"/>
          <w:color w:val="auto"/>
          <w:sz w:val="21"/>
          <w:szCs w:val="21"/>
          <w:highlight w:val="none"/>
          <w:shd w:val="clear" w:color="auto" w:fill="auto"/>
        </w:rPr>
        <w:t>投入本标段的主要施工设备表</w:t>
      </w:r>
      <w:bookmarkEnd w:id="1837"/>
      <w:bookmarkEnd w:id="1838"/>
    </w:p>
    <w:p w14:paraId="06CF2AA4">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39" w:name="_Toc20088_WPSOffice_Level1"/>
      <w:bookmarkStart w:id="1840" w:name="_Toc31407_WPSOffice_Level1"/>
      <w:r>
        <w:rPr>
          <w:rFonts w:hint="eastAsia" w:ascii="宋体" w:hAnsi="宋体" w:eastAsia="宋体" w:cs="宋体"/>
          <w:color w:val="auto"/>
          <w:sz w:val="21"/>
          <w:szCs w:val="21"/>
          <w:highlight w:val="none"/>
          <w:shd w:val="clear" w:color="auto" w:fill="auto"/>
        </w:rPr>
        <w:t>附表二</w:t>
      </w:r>
      <w:r>
        <w:rPr>
          <w:rFonts w:hint="eastAsia" w:ascii="宋体" w:hAnsi="宋体" w:eastAsia="宋体" w:cs="宋体"/>
          <w:color w:val="auto"/>
          <w:sz w:val="21"/>
          <w:szCs w:val="21"/>
          <w:highlight w:val="none"/>
          <w:shd w:val="clear" w:color="auto" w:fill="auto"/>
        </w:rPr>
        <w:tab/>
      </w:r>
      <w:r>
        <w:rPr>
          <w:rFonts w:hint="eastAsia" w:ascii="宋体" w:hAnsi="宋体" w:eastAsia="宋体" w:cs="宋体"/>
          <w:color w:val="auto"/>
          <w:spacing w:val="-1"/>
          <w:sz w:val="21"/>
          <w:szCs w:val="21"/>
          <w:highlight w:val="none"/>
          <w:shd w:val="clear" w:color="auto" w:fill="auto"/>
        </w:rPr>
        <w:t>拟</w:t>
      </w:r>
      <w:r>
        <w:rPr>
          <w:rFonts w:hint="eastAsia" w:ascii="宋体" w:hAnsi="宋体" w:eastAsia="宋体" w:cs="宋体"/>
          <w:color w:val="auto"/>
          <w:sz w:val="21"/>
          <w:szCs w:val="21"/>
          <w:highlight w:val="none"/>
          <w:shd w:val="clear" w:color="auto" w:fill="auto"/>
        </w:rPr>
        <w:t>配备本标段的试验和检测仪器设备表</w:t>
      </w:r>
      <w:bookmarkEnd w:id="1839"/>
      <w:bookmarkEnd w:id="1840"/>
    </w:p>
    <w:p w14:paraId="330A2045">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41" w:name="_Toc17946_WPSOffice_Level1"/>
      <w:bookmarkStart w:id="1842" w:name="_Toc10539_WPSOffice_Level1"/>
      <w:r>
        <w:rPr>
          <w:rFonts w:hint="eastAsia" w:ascii="宋体" w:hAnsi="宋体" w:eastAsia="宋体" w:cs="宋体"/>
          <w:color w:val="auto"/>
          <w:sz w:val="21"/>
          <w:szCs w:val="21"/>
          <w:highlight w:val="none"/>
          <w:shd w:val="clear" w:color="auto" w:fill="auto"/>
        </w:rPr>
        <w:t>附表三</w:t>
      </w:r>
      <w:r>
        <w:rPr>
          <w:rFonts w:hint="eastAsia" w:ascii="宋体" w:hAnsi="宋体" w:eastAsia="宋体" w:cs="宋体"/>
          <w:color w:val="auto"/>
          <w:sz w:val="21"/>
          <w:szCs w:val="21"/>
          <w:highlight w:val="none"/>
          <w:shd w:val="clear" w:color="auto" w:fill="auto"/>
        </w:rPr>
        <w:tab/>
      </w:r>
      <w:r>
        <w:rPr>
          <w:rFonts w:hint="eastAsia" w:ascii="宋体" w:hAnsi="宋体" w:eastAsia="宋体" w:cs="宋体"/>
          <w:color w:val="auto"/>
          <w:spacing w:val="-1"/>
          <w:sz w:val="21"/>
          <w:szCs w:val="21"/>
          <w:highlight w:val="none"/>
          <w:shd w:val="clear" w:color="auto" w:fill="auto"/>
        </w:rPr>
        <w:t>劳</w:t>
      </w:r>
      <w:r>
        <w:rPr>
          <w:rFonts w:hint="eastAsia" w:ascii="宋体" w:hAnsi="宋体" w:eastAsia="宋体" w:cs="宋体"/>
          <w:color w:val="auto"/>
          <w:sz w:val="21"/>
          <w:szCs w:val="21"/>
          <w:highlight w:val="none"/>
          <w:shd w:val="clear" w:color="auto" w:fill="auto"/>
        </w:rPr>
        <w:t>动力计划表</w:t>
      </w:r>
      <w:bookmarkEnd w:id="1841"/>
      <w:bookmarkEnd w:id="1842"/>
    </w:p>
    <w:p w14:paraId="35004999">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43" w:name="_Toc29064_WPSOffice_Level1"/>
      <w:bookmarkStart w:id="1844" w:name="_Toc17530_WPSOffice_Level1"/>
      <w:r>
        <w:rPr>
          <w:rFonts w:hint="eastAsia" w:ascii="宋体" w:hAnsi="宋体" w:eastAsia="宋体" w:cs="宋体"/>
          <w:color w:val="auto"/>
          <w:sz w:val="21"/>
          <w:szCs w:val="21"/>
          <w:highlight w:val="none"/>
          <w:shd w:val="clear" w:color="auto" w:fill="auto"/>
        </w:rPr>
        <w:t>附表四</w:t>
      </w:r>
      <w:r>
        <w:rPr>
          <w:rFonts w:hint="eastAsia" w:ascii="宋体" w:hAnsi="宋体" w:eastAsia="宋体" w:cs="宋体"/>
          <w:color w:val="auto"/>
          <w:sz w:val="21"/>
          <w:szCs w:val="21"/>
          <w:highlight w:val="none"/>
          <w:shd w:val="clear" w:color="auto" w:fill="auto"/>
        </w:rPr>
        <w:tab/>
      </w:r>
      <w:r>
        <w:rPr>
          <w:rFonts w:hint="eastAsia" w:ascii="宋体" w:hAnsi="宋体" w:eastAsia="宋体" w:cs="宋体"/>
          <w:color w:val="auto"/>
          <w:spacing w:val="-1"/>
          <w:sz w:val="21"/>
          <w:szCs w:val="21"/>
          <w:highlight w:val="none"/>
          <w:shd w:val="clear" w:color="auto" w:fill="auto"/>
        </w:rPr>
        <w:t>计</w:t>
      </w:r>
      <w:r>
        <w:rPr>
          <w:rFonts w:hint="eastAsia" w:ascii="宋体" w:hAnsi="宋体" w:eastAsia="宋体" w:cs="宋体"/>
          <w:color w:val="auto"/>
          <w:sz w:val="21"/>
          <w:szCs w:val="21"/>
          <w:highlight w:val="none"/>
          <w:shd w:val="clear" w:color="auto" w:fill="auto"/>
        </w:rPr>
        <w:t>划开、竣工日期和施工进度网络图</w:t>
      </w:r>
      <w:bookmarkEnd w:id="1843"/>
      <w:bookmarkEnd w:id="1844"/>
    </w:p>
    <w:p w14:paraId="7F4860A7">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45" w:name="_Toc19010_WPSOffice_Level1"/>
      <w:bookmarkStart w:id="1846" w:name="_Toc26852_WPSOffice_Level1"/>
      <w:r>
        <w:rPr>
          <w:rFonts w:hint="eastAsia" w:ascii="宋体" w:hAnsi="宋体" w:eastAsia="宋体" w:cs="宋体"/>
          <w:color w:val="auto"/>
          <w:sz w:val="21"/>
          <w:szCs w:val="21"/>
          <w:highlight w:val="none"/>
          <w:shd w:val="clear" w:color="auto" w:fill="auto"/>
        </w:rPr>
        <w:t>附表五</w:t>
      </w:r>
      <w:r>
        <w:rPr>
          <w:rFonts w:hint="eastAsia" w:ascii="宋体" w:hAnsi="宋体" w:eastAsia="宋体" w:cs="宋体"/>
          <w:color w:val="auto"/>
          <w:sz w:val="21"/>
          <w:szCs w:val="21"/>
          <w:highlight w:val="none"/>
          <w:shd w:val="clear" w:color="auto" w:fill="auto"/>
        </w:rPr>
        <w:tab/>
      </w:r>
      <w:r>
        <w:rPr>
          <w:rFonts w:hint="eastAsia" w:ascii="宋体" w:hAnsi="宋体" w:eastAsia="宋体" w:cs="宋体"/>
          <w:color w:val="auto"/>
          <w:spacing w:val="-1"/>
          <w:sz w:val="21"/>
          <w:szCs w:val="21"/>
          <w:highlight w:val="none"/>
          <w:shd w:val="clear" w:color="auto" w:fill="auto"/>
        </w:rPr>
        <w:t>施</w:t>
      </w:r>
      <w:r>
        <w:rPr>
          <w:rFonts w:hint="eastAsia" w:ascii="宋体" w:hAnsi="宋体" w:eastAsia="宋体" w:cs="宋体"/>
          <w:color w:val="auto"/>
          <w:sz w:val="21"/>
          <w:szCs w:val="21"/>
          <w:highlight w:val="none"/>
          <w:shd w:val="clear" w:color="auto" w:fill="auto"/>
        </w:rPr>
        <w:t>工总平面图</w:t>
      </w:r>
      <w:bookmarkEnd w:id="1845"/>
      <w:bookmarkEnd w:id="1846"/>
    </w:p>
    <w:p w14:paraId="4F2D0CEA">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47" w:name="_Toc6323_WPSOffice_Level1"/>
      <w:bookmarkStart w:id="1848" w:name="_Toc14611_WPSOffice_Level1"/>
      <w:r>
        <w:rPr>
          <w:rFonts w:hint="eastAsia" w:ascii="宋体" w:hAnsi="宋体" w:eastAsia="宋体" w:cs="宋体"/>
          <w:color w:val="auto"/>
          <w:position w:val="-2"/>
          <w:sz w:val="21"/>
          <w:szCs w:val="21"/>
          <w:highlight w:val="none"/>
          <w:shd w:val="clear" w:color="auto" w:fill="auto"/>
        </w:rPr>
        <w:t>附表六</w:t>
      </w:r>
      <w:r>
        <w:rPr>
          <w:rFonts w:hint="eastAsia" w:ascii="宋体" w:hAnsi="宋体" w:eastAsia="宋体" w:cs="宋体"/>
          <w:color w:val="auto"/>
          <w:position w:val="-2"/>
          <w:sz w:val="21"/>
          <w:szCs w:val="21"/>
          <w:highlight w:val="none"/>
          <w:shd w:val="clear" w:color="auto" w:fill="auto"/>
        </w:rPr>
        <w:tab/>
      </w:r>
      <w:r>
        <w:rPr>
          <w:rFonts w:hint="eastAsia" w:ascii="宋体" w:hAnsi="宋体" w:eastAsia="宋体" w:cs="宋体"/>
          <w:color w:val="auto"/>
          <w:spacing w:val="-1"/>
          <w:position w:val="-2"/>
          <w:sz w:val="21"/>
          <w:szCs w:val="21"/>
          <w:highlight w:val="none"/>
          <w:shd w:val="clear" w:color="auto" w:fill="auto"/>
        </w:rPr>
        <w:t>临</w:t>
      </w:r>
      <w:r>
        <w:rPr>
          <w:rFonts w:hint="eastAsia" w:ascii="宋体" w:hAnsi="宋体" w:eastAsia="宋体" w:cs="宋体"/>
          <w:color w:val="auto"/>
          <w:position w:val="-2"/>
          <w:sz w:val="21"/>
          <w:szCs w:val="21"/>
          <w:highlight w:val="none"/>
          <w:shd w:val="clear" w:color="auto" w:fill="auto"/>
        </w:rPr>
        <w:t>时用地表</w:t>
      </w:r>
      <w:bookmarkEnd w:id="1847"/>
      <w:bookmarkEnd w:id="1848"/>
    </w:p>
    <w:p w14:paraId="11AC224E">
      <w:pPr>
        <w:pStyle w:val="4"/>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color w:val="auto"/>
          <w:sz w:val="21"/>
          <w:szCs w:val="21"/>
          <w:highlight w:val="none"/>
          <w:shd w:val="clear" w:color="auto" w:fill="auto"/>
        </w:rPr>
      </w:pPr>
      <w:bookmarkStart w:id="1849" w:name="_Toc26843"/>
      <w:bookmarkStart w:id="1850" w:name="_Toc267582081"/>
      <w:bookmarkStart w:id="1851" w:name="_Toc13894"/>
      <w:bookmarkStart w:id="1852" w:name="_Toc207443044"/>
      <w:bookmarkStart w:id="1853" w:name="_Toc389146015"/>
      <w:bookmarkStart w:id="1854" w:name="_Toc455670864"/>
      <w:bookmarkStart w:id="1855" w:name="_Toc369505648"/>
      <w:r>
        <w:rPr>
          <w:rFonts w:hint="eastAsia" w:ascii="宋体" w:hAnsi="宋体" w:eastAsia="宋体" w:cs="宋体"/>
          <w:color w:val="auto"/>
          <w:sz w:val="21"/>
          <w:szCs w:val="21"/>
          <w:highlight w:val="none"/>
          <w:shd w:val="clear" w:color="auto" w:fill="auto"/>
        </w:rPr>
        <w:br w:type="page"/>
      </w:r>
      <w:r>
        <w:rPr>
          <w:rFonts w:hint="eastAsia" w:ascii="宋体" w:hAnsi="宋体" w:eastAsia="宋体" w:cs="宋体"/>
          <w:color w:val="auto"/>
          <w:sz w:val="21"/>
          <w:szCs w:val="21"/>
          <w:highlight w:val="none"/>
          <w:shd w:val="clear" w:color="auto" w:fill="auto"/>
        </w:rPr>
        <w:t>附表一：拟投入本标段的主要施工设备表</w:t>
      </w:r>
      <w:bookmarkEnd w:id="1849"/>
      <w:bookmarkEnd w:id="1850"/>
      <w:bookmarkEnd w:id="1851"/>
      <w:bookmarkEnd w:id="1852"/>
      <w:bookmarkEnd w:id="1853"/>
      <w:bookmarkEnd w:id="1854"/>
      <w:bookmarkEnd w:id="1855"/>
    </w:p>
    <w:tbl>
      <w:tblPr>
        <w:tblStyle w:val="46"/>
        <w:tblW w:w="8920" w:type="dxa"/>
        <w:tblInd w:w="114" w:type="dxa"/>
        <w:tblLayout w:type="fixed"/>
        <w:tblCellMar>
          <w:top w:w="0" w:type="dxa"/>
          <w:left w:w="0" w:type="dxa"/>
          <w:bottom w:w="0" w:type="dxa"/>
          <w:right w:w="0" w:type="dxa"/>
        </w:tblCellMar>
      </w:tblPr>
      <w:tblGrid>
        <w:gridCol w:w="678"/>
        <w:gridCol w:w="1108"/>
        <w:gridCol w:w="948"/>
        <w:gridCol w:w="510"/>
        <w:gridCol w:w="1014"/>
        <w:gridCol w:w="861"/>
        <w:gridCol w:w="1128"/>
        <w:gridCol w:w="892"/>
        <w:gridCol w:w="1325"/>
        <w:gridCol w:w="456"/>
      </w:tblGrid>
      <w:tr w14:paraId="1AE119D5">
        <w:tblPrEx>
          <w:tblCellMar>
            <w:top w:w="0" w:type="dxa"/>
            <w:left w:w="0" w:type="dxa"/>
            <w:bottom w:w="0" w:type="dxa"/>
            <w:right w:w="0" w:type="dxa"/>
          </w:tblCellMar>
        </w:tblPrEx>
        <w:trPr>
          <w:trHeight w:val="971" w:hRule="exact"/>
        </w:trPr>
        <w:tc>
          <w:tcPr>
            <w:tcW w:w="678" w:type="dxa"/>
            <w:tcBorders>
              <w:top w:val="single" w:color="000000" w:sz="4" w:space="0"/>
              <w:left w:val="single" w:color="000000" w:sz="4" w:space="0"/>
              <w:bottom w:val="single" w:color="000000" w:sz="4" w:space="0"/>
              <w:right w:val="single" w:color="000000" w:sz="4" w:space="0"/>
            </w:tcBorders>
            <w:noWrap w:val="0"/>
            <w:vAlign w:val="center"/>
          </w:tcPr>
          <w:p w14:paraId="64C754DF">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序号</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14:paraId="06A970B0">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设备名称</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500E201C">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型号规格</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14:paraId="24F173D3">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数量</w:t>
            </w:r>
          </w:p>
        </w:tc>
        <w:tc>
          <w:tcPr>
            <w:tcW w:w="1014" w:type="dxa"/>
            <w:tcBorders>
              <w:top w:val="single" w:color="000000" w:sz="4" w:space="0"/>
              <w:left w:val="single" w:color="000000" w:sz="4" w:space="0"/>
              <w:bottom w:val="single" w:color="000000" w:sz="4" w:space="0"/>
              <w:right w:val="single" w:color="000000" w:sz="4" w:space="0"/>
            </w:tcBorders>
            <w:noWrap w:val="0"/>
            <w:vAlign w:val="center"/>
          </w:tcPr>
          <w:p w14:paraId="03DBE43D">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国别产地</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246A31A7">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制造年份</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284AF193">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额定功率（KW）</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7B5034E8">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生产能力</w:t>
            </w:r>
          </w:p>
        </w:tc>
        <w:tc>
          <w:tcPr>
            <w:tcW w:w="1325" w:type="dxa"/>
            <w:tcBorders>
              <w:top w:val="single" w:color="000000" w:sz="4" w:space="0"/>
              <w:left w:val="single" w:color="000000" w:sz="4" w:space="0"/>
              <w:bottom w:val="single" w:color="000000" w:sz="4" w:space="0"/>
              <w:right w:val="single" w:color="000000" w:sz="4" w:space="0"/>
            </w:tcBorders>
            <w:noWrap w:val="0"/>
            <w:vAlign w:val="center"/>
          </w:tcPr>
          <w:p w14:paraId="600BA5B1">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用于施工部位</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1F937F28">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备注</w:t>
            </w:r>
          </w:p>
        </w:tc>
      </w:tr>
      <w:tr w14:paraId="1C05E76E">
        <w:tblPrEx>
          <w:tblCellMar>
            <w:top w:w="0" w:type="dxa"/>
            <w:left w:w="0" w:type="dxa"/>
            <w:bottom w:w="0" w:type="dxa"/>
            <w:right w:w="0" w:type="dxa"/>
          </w:tblCellMar>
        </w:tblPrEx>
        <w:trPr>
          <w:trHeight w:val="472" w:hRule="exact"/>
        </w:trPr>
        <w:tc>
          <w:tcPr>
            <w:tcW w:w="678" w:type="dxa"/>
            <w:tcBorders>
              <w:top w:val="single" w:color="000000" w:sz="4" w:space="0"/>
              <w:left w:val="single" w:color="000000" w:sz="4" w:space="0"/>
              <w:bottom w:val="single" w:color="000000" w:sz="4" w:space="0"/>
              <w:right w:val="single" w:color="000000" w:sz="4" w:space="0"/>
            </w:tcBorders>
            <w:noWrap w:val="0"/>
            <w:vAlign w:val="top"/>
          </w:tcPr>
          <w:p w14:paraId="750ECAB6">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08" w:type="dxa"/>
            <w:tcBorders>
              <w:top w:val="single" w:color="000000" w:sz="4" w:space="0"/>
              <w:left w:val="single" w:color="000000" w:sz="4" w:space="0"/>
              <w:bottom w:val="single" w:color="000000" w:sz="4" w:space="0"/>
              <w:right w:val="single" w:color="000000" w:sz="4" w:space="0"/>
            </w:tcBorders>
            <w:noWrap w:val="0"/>
            <w:vAlign w:val="top"/>
          </w:tcPr>
          <w:p w14:paraId="7A637127">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948" w:type="dxa"/>
            <w:tcBorders>
              <w:top w:val="single" w:color="000000" w:sz="4" w:space="0"/>
              <w:left w:val="single" w:color="000000" w:sz="4" w:space="0"/>
              <w:bottom w:val="single" w:color="000000" w:sz="4" w:space="0"/>
              <w:right w:val="single" w:color="000000" w:sz="4" w:space="0"/>
            </w:tcBorders>
            <w:noWrap w:val="0"/>
            <w:vAlign w:val="top"/>
          </w:tcPr>
          <w:p w14:paraId="2C64B596">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510" w:type="dxa"/>
            <w:tcBorders>
              <w:top w:val="single" w:color="000000" w:sz="4" w:space="0"/>
              <w:left w:val="single" w:color="000000" w:sz="4" w:space="0"/>
              <w:bottom w:val="single" w:color="000000" w:sz="4" w:space="0"/>
              <w:right w:val="single" w:color="000000" w:sz="4" w:space="0"/>
            </w:tcBorders>
            <w:noWrap w:val="0"/>
            <w:vAlign w:val="top"/>
          </w:tcPr>
          <w:p w14:paraId="5DDA431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4" w:type="dxa"/>
            <w:tcBorders>
              <w:top w:val="single" w:color="000000" w:sz="4" w:space="0"/>
              <w:left w:val="single" w:color="000000" w:sz="4" w:space="0"/>
              <w:bottom w:val="single" w:color="000000" w:sz="4" w:space="0"/>
              <w:right w:val="single" w:color="000000" w:sz="4" w:space="0"/>
            </w:tcBorders>
            <w:noWrap w:val="0"/>
            <w:vAlign w:val="top"/>
          </w:tcPr>
          <w:p w14:paraId="3C5E102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61" w:type="dxa"/>
            <w:tcBorders>
              <w:top w:val="single" w:color="000000" w:sz="4" w:space="0"/>
              <w:left w:val="single" w:color="000000" w:sz="4" w:space="0"/>
              <w:bottom w:val="single" w:color="000000" w:sz="4" w:space="0"/>
              <w:right w:val="single" w:color="000000" w:sz="4" w:space="0"/>
            </w:tcBorders>
            <w:noWrap w:val="0"/>
            <w:vAlign w:val="top"/>
          </w:tcPr>
          <w:p w14:paraId="5DA287A8">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8" w:type="dxa"/>
            <w:tcBorders>
              <w:top w:val="single" w:color="000000" w:sz="4" w:space="0"/>
              <w:left w:val="single" w:color="000000" w:sz="4" w:space="0"/>
              <w:bottom w:val="single" w:color="000000" w:sz="4" w:space="0"/>
              <w:right w:val="single" w:color="000000" w:sz="4" w:space="0"/>
            </w:tcBorders>
            <w:noWrap w:val="0"/>
            <w:vAlign w:val="top"/>
          </w:tcPr>
          <w:p w14:paraId="2DCFDD4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721D6F52">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325" w:type="dxa"/>
            <w:tcBorders>
              <w:top w:val="single" w:color="000000" w:sz="4" w:space="0"/>
              <w:left w:val="single" w:color="000000" w:sz="4" w:space="0"/>
              <w:bottom w:val="single" w:color="000000" w:sz="4" w:space="0"/>
              <w:right w:val="single" w:color="000000" w:sz="4" w:space="0"/>
            </w:tcBorders>
            <w:noWrap w:val="0"/>
            <w:vAlign w:val="top"/>
          </w:tcPr>
          <w:p w14:paraId="0BEAE5E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456" w:type="dxa"/>
            <w:tcBorders>
              <w:top w:val="single" w:color="000000" w:sz="4" w:space="0"/>
              <w:left w:val="single" w:color="000000" w:sz="4" w:space="0"/>
              <w:bottom w:val="single" w:color="000000" w:sz="4" w:space="0"/>
              <w:right w:val="single" w:color="000000" w:sz="4" w:space="0"/>
            </w:tcBorders>
            <w:noWrap w:val="0"/>
            <w:vAlign w:val="top"/>
          </w:tcPr>
          <w:p w14:paraId="43546DFB">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63D3CC1A">
        <w:tblPrEx>
          <w:tblCellMar>
            <w:top w:w="0" w:type="dxa"/>
            <w:left w:w="0" w:type="dxa"/>
            <w:bottom w:w="0" w:type="dxa"/>
            <w:right w:w="0" w:type="dxa"/>
          </w:tblCellMar>
        </w:tblPrEx>
        <w:trPr>
          <w:trHeight w:val="472" w:hRule="exact"/>
        </w:trPr>
        <w:tc>
          <w:tcPr>
            <w:tcW w:w="678" w:type="dxa"/>
            <w:tcBorders>
              <w:top w:val="single" w:color="000000" w:sz="4" w:space="0"/>
              <w:left w:val="single" w:color="000000" w:sz="4" w:space="0"/>
              <w:bottom w:val="single" w:color="000000" w:sz="4" w:space="0"/>
              <w:right w:val="single" w:color="000000" w:sz="4" w:space="0"/>
            </w:tcBorders>
            <w:noWrap w:val="0"/>
            <w:vAlign w:val="top"/>
          </w:tcPr>
          <w:p w14:paraId="6EFE88E9">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08" w:type="dxa"/>
            <w:tcBorders>
              <w:top w:val="single" w:color="000000" w:sz="4" w:space="0"/>
              <w:left w:val="single" w:color="000000" w:sz="4" w:space="0"/>
              <w:bottom w:val="single" w:color="000000" w:sz="4" w:space="0"/>
              <w:right w:val="single" w:color="000000" w:sz="4" w:space="0"/>
            </w:tcBorders>
            <w:noWrap w:val="0"/>
            <w:vAlign w:val="top"/>
          </w:tcPr>
          <w:p w14:paraId="6B8D729F">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948" w:type="dxa"/>
            <w:tcBorders>
              <w:top w:val="single" w:color="000000" w:sz="4" w:space="0"/>
              <w:left w:val="single" w:color="000000" w:sz="4" w:space="0"/>
              <w:bottom w:val="single" w:color="000000" w:sz="4" w:space="0"/>
              <w:right w:val="single" w:color="000000" w:sz="4" w:space="0"/>
            </w:tcBorders>
            <w:noWrap w:val="0"/>
            <w:vAlign w:val="top"/>
          </w:tcPr>
          <w:p w14:paraId="0EB873B4">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510" w:type="dxa"/>
            <w:tcBorders>
              <w:top w:val="single" w:color="000000" w:sz="4" w:space="0"/>
              <w:left w:val="single" w:color="000000" w:sz="4" w:space="0"/>
              <w:bottom w:val="single" w:color="000000" w:sz="4" w:space="0"/>
              <w:right w:val="single" w:color="000000" w:sz="4" w:space="0"/>
            </w:tcBorders>
            <w:noWrap w:val="0"/>
            <w:vAlign w:val="top"/>
          </w:tcPr>
          <w:p w14:paraId="0C295BD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4" w:type="dxa"/>
            <w:tcBorders>
              <w:top w:val="single" w:color="000000" w:sz="4" w:space="0"/>
              <w:left w:val="single" w:color="000000" w:sz="4" w:space="0"/>
              <w:bottom w:val="single" w:color="000000" w:sz="4" w:space="0"/>
              <w:right w:val="single" w:color="000000" w:sz="4" w:space="0"/>
            </w:tcBorders>
            <w:noWrap w:val="0"/>
            <w:vAlign w:val="top"/>
          </w:tcPr>
          <w:p w14:paraId="104E6A78">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61" w:type="dxa"/>
            <w:tcBorders>
              <w:top w:val="single" w:color="000000" w:sz="4" w:space="0"/>
              <w:left w:val="single" w:color="000000" w:sz="4" w:space="0"/>
              <w:bottom w:val="single" w:color="000000" w:sz="4" w:space="0"/>
              <w:right w:val="single" w:color="000000" w:sz="4" w:space="0"/>
            </w:tcBorders>
            <w:noWrap w:val="0"/>
            <w:vAlign w:val="top"/>
          </w:tcPr>
          <w:p w14:paraId="0B151D5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8" w:type="dxa"/>
            <w:tcBorders>
              <w:top w:val="single" w:color="000000" w:sz="4" w:space="0"/>
              <w:left w:val="single" w:color="000000" w:sz="4" w:space="0"/>
              <w:bottom w:val="single" w:color="000000" w:sz="4" w:space="0"/>
              <w:right w:val="single" w:color="000000" w:sz="4" w:space="0"/>
            </w:tcBorders>
            <w:noWrap w:val="0"/>
            <w:vAlign w:val="top"/>
          </w:tcPr>
          <w:p w14:paraId="420E2889">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4AE1A24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325" w:type="dxa"/>
            <w:tcBorders>
              <w:top w:val="single" w:color="000000" w:sz="4" w:space="0"/>
              <w:left w:val="single" w:color="000000" w:sz="4" w:space="0"/>
              <w:bottom w:val="single" w:color="000000" w:sz="4" w:space="0"/>
              <w:right w:val="single" w:color="000000" w:sz="4" w:space="0"/>
            </w:tcBorders>
            <w:noWrap w:val="0"/>
            <w:vAlign w:val="top"/>
          </w:tcPr>
          <w:p w14:paraId="2867C7BC">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456" w:type="dxa"/>
            <w:tcBorders>
              <w:top w:val="single" w:color="000000" w:sz="4" w:space="0"/>
              <w:left w:val="single" w:color="000000" w:sz="4" w:space="0"/>
              <w:bottom w:val="single" w:color="000000" w:sz="4" w:space="0"/>
              <w:right w:val="single" w:color="000000" w:sz="4" w:space="0"/>
            </w:tcBorders>
            <w:noWrap w:val="0"/>
            <w:vAlign w:val="top"/>
          </w:tcPr>
          <w:p w14:paraId="53A33E7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bl>
    <w:p w14:paraId="2A928008">
      <w:pPr>
        <w:pStyle w:val="4"/>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color w:val="auto"/>
          <w:sz w:val="21"/>
          <w:szCs w:val="21"/>
          <w:highlight w:val="none"/>
          <w:shd w:val="clear" w:color="auto" w:fill="auto"/>
        </w:rPr>
      </w:pPr>
      <w:bookmarkStart w:id="1856" w:name="_Toc369505649"/>
      <w:bookmarkStart w:id="1857" w:name="_Toc15587"/>
      <w:bookmarkStart w:id="1858" w:name="_Toc267582082"/>
      <w:bookmarkStart w:id="1859" w:name="_Toc207443045"/>
      <w:bookmarkStart w:id="1860" w:name="_Toc389146016"/>
      <w:bookmarkStart w:id="1861" w:name="_Toc455670865"/>
      <w:bookmarkStart w:id="1862" w:name="_Toc19045"/>
      <w:r>
        <w:rPr>
          <w:rFonts w:hint="eastAsia" w:ascii="宋体" w:hAnsi="宋体" w:eastAsia="宋体" w:cs="宋体"/>
          <w:color w:val="auto"/>
          <w:sz w:val="21"/>
          <w:szCs w:val="21"/>
          <w:highlight w:val="none"/>
          <w:shd w:val="clear" w:color="auto" w:fill="auto"/>
        </w:rPr>
        <w:t>附表二：拟配备本标段的试验和检测仪器设备表</w:t>
      </w:r>
      <w:bookmarkEnd w:id="1856"/>
      <w:bookmarkEnd w:id="1857"/>
      <w:bookmarkEnd w:id="1858"/>
      <w:bookmarkEnd w:id="1859"/>
      <w:bookmarkEnd w:id="1860"/>
      <w:bookmarkEnd w:id="1861"/>
      <w:bookmarkEnd w:id="1862"/>
    </w:p>
    <w:tbl>
      <w:tblPr>
        <w:tblStyle w:val="46"/>
        <w:tblW w:w="7804" w:type="dxa"/>
        <w:tblInd w:w="114" w:type="dxa"/>
        <w:tblLayout w:type="fixed"/>
        <w:tblCellMar>
          <w:top w:w="0" w:type="dxa"/>
          <w:left w:w="0" w:type="dxa"/>
          <w:bottom w:w="0" w:type="dxa"/>
          <w:right w:w="0" w:type="dxa"/>
        </w:tblCellMar>
      </w:tblPr>
      <w:tblGrid>
        <w:gridCol w:w="801"/>
        <w:gridCol w:w="1015"/>
        <w:gridCol w:w="780"/>
        <w:gridCol w:w="1118"/>
        <w:gridCol w:w="888"/>
        <w:gridCol w:w="1457"/>
        <w:gridCol w:w="1010"/>
        <w:gridCol w:w="735"/>
      </w:tblGrid>
      <w:tr w14:paraId="105300EC">
        <w:tblPrEx>
          <w:tblCellMar>
            <w:top w:w="0" w:type="dxa"/>
            <w:left w:w="0" w:type="dxa"/>
            <w:bottom w:w="0" w:type="dxa"/>
            <w:right w:w="0" w:type="dxa"/>
          </w:tblCellMar>
        </w:tblPrEx>
        <w:trPr>
          <w:trHeight w:val="936" w:hRule="exact"/>
        </w:trPr>
        <w:tc>
          <w:tcPr>
            <w:tcW w:w="801" w:type="dxa"/>
            <w:tcBorders>
              <w:top w:val="single" w:color="000000" w:sz="4" w:space="0"/>
              <w:left w:val="single" w:color="000000" w:sz="4" w:space="0"/>
              <w:bottom w:val="single" w:color="000000" w:sz="4" w:space="0"/>
              <w:right w:val="single" w:color="000000" w:sz="4" w:space="0"/>
            </w:tcBorders>
            <w:noWrap w:val="0"/>
            <w:vAlign w:val="center"/>
          </w:tcPr>
          <w:p w14:paraId="0E9CC956">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序号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0E42ADA">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型号规格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EFD020E">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数量</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F663E3A">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国别产地</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D6799A1">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制造年份</w:t>
            </w:r>
          </w:p>
        </w:tc>
        <w:tc>
          <w:tcPr>
            <w:tcW w:w="1457" w:type="dxa"/>
            <w:tcBorders>
              <w:top w:val="single" w:color="000000" w:sz="4" w:space="0"/>
              <w:left w:val="single" w:color="000000" w:sz="4" w:space="0"/>
              <w:bottom w:val="single" w:color="000000" w:sz="4" w:space="0"/>
              <w:right w:val="single" w:color="000000" w:sz="4" w:space="0"/>
            </w:tcBorders>
            <w:noWrap w:val="0"/>
            <w:vAlign w:val="center"/>
          </w:tcPr>
          <w:p w14:paraId="3044FB13">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已使用台时数</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14:paraId="0D8E1090">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用途</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1883DCD7">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备注</w:t>
            </w:r>
          </w:p>
        </w:tc>
      </w:tr>
      <w:tr w14:paraId="5E2D5D51">
        <w:tblPrEx>
          <w:tblCellMar>
            <w:top w:w="0" w:type="dxa"/>
            <w:left w:w="0" w:type="dxa"/>
            <w:bottom w:w="0" w:type="dxa"/>
            <w:right w:w="0" w:type="dxa"/>
          </w:tblCellMar>
        </w:tblPrEx>
        <w:trPr>
          <w:trHeight w:val="438" w:hRule="exact"/>
        </w:trPr>
        <w:tc>
          <w:tcPr>
            <w:tcW w:w="801" w:type="dxa"/>
            <w:tcBorders>
              <w:top w:val="single" w:color="000000" w:sz="4" w:space="0"/>
              <w:left w:val="single" w:color="000000" w:sz="4" w:space="0"/>
              <w:bottom w:val="single" w:color="000000" w:sz="4" w:space="0"/>
              <w:right w:val="single" w:color="000000" w:sz="4" w:space="0"/>
            </w:tcBorders>
            <w:noWrap w:val="0"/>
            <w:vAlign w:val="top"/>
          </w:tcPr>
          <w:p w14:paraId="4DBFD9B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5" w:type="dxa"/>
            <w:tcBorders>
              <w:top w:val="single" w:color="000000" w:sz="4" w:space="0"/>
              <w:left w:val="single" w:color="000000" w:sz="4" w:space="0"/>
              <w:bottom w:val="single" w:color="000000" w:sz="4" w:space="0"/>
              <w:right w:val="single" w:color="000000" w:sz="4" w:space="0"/>
            </w:tcBorders>
            <w:noWrap w:val="0"/>
            <w:vAlign w:val="top"/>
          </w:tcPr>
          <w:p w14:paraId="0FBB5A9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780" w:type="dxa"/>
            <w:tcBorders>
              <w:top w:val="single" w:color="000000" w:sz="4" w:space="0"/>
              <w:left w:val="single" w:color="000000" w:sz="4" w:space="0"/>
              <w:bottom w:val="single" w:color="000000" w:sz="4" w:space="0"/>
              <w:right w:val="single" w:color="000000" w:sz="4" w:space="0"/>
            </w:tcBorders>
            <w:noWrap w:val="0"/>
            <w:vAlign w:val="top"/>
          </w:tcPr>
          <w:p w14:paraId="478FEFF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18" w:type="dxa"/>
            <w:tcBorders>
              <w:top w:val="single" w:color="000000" w:sz="4" w:space="0"/>
              <w:left w:val="single" w:color="000000" w:sz="4" w:space="0"/>
              <w:bottom w:val="single" w:color="000000" w:sz="4" w:space="0"/>
              <w:right w:val="single" w:color="000000" w:sz="4" w:space="0"/>
            </w:tcBorders>
            <w:noWrap w:val="0"/>
            <w:vAlign w:val="top"/>
          </w:tcPr>
          <w:p w14:paraId="400EFB3F">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top"/>
          </w:tcPr>
          <w:p w14:paraId="72236F0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457" w:type="dxa"/>
            <w:tcBorders>
              <w:top w:val="single" w:color="000000" w:sz="4" w:space="0"/>
              <w:left w:val="single" w:color="000000" w:sz="4" w:space="0"/>
              <w:bottom w:val="single" w:color="000000" w:sz="4" w:space="0"/>
              <w:right w:val="single" w:color="000000" w:sz="4" w:space="0"/>
            </w:tcBorders>
            <w:noWrap w:val="0"/>
            <w:vAlign w:val="top"/>
          </w:tcPr>
          <w:p w14:paraId="79B8CB09">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0" w:type="dxa"/>
            <w:tcBorders>
              <w:top w:val="single" w:color="000000" w:sz="4" w:space="0"/>
              <w:left w:val="single" w:color="000000" w:sz="4" w:space="0"/>
              <w:bottom w:val="single" w:color="000000" w:sz="4" w:space="0"/>
              <w:right w:val="single" w:color="000000" w:sz="4" w:space="0"/>
            </w:tcBorders>
            <w:noWrap w:val="0"/>
            <w:vAlign w:val="top"/>
          </w:tcPr>
          <w:p w14:paraId="6E1ED00F">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14:paraId="175FEDF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1BCC5CCC">
        <w:tblPrEx>
          <w:tblCellMar>
            <w:top w:w="0" w:type="dxa"/>
            <w:left w:w="0" w:type="dxa"/>
            <w:bottom w:w="0" w:type="dxa"/>
            <w:right w:w="0" w:type="dxa"/>
          </w:tblCellMar>
        </w:tblPrEx>
        <w:trPr>
          <w:trHeight w:val="448" w:hRule="exact"/>
        </w:trPr>
        <w:tc>
          <w:tcPr>
            <w:tcW w:w="801" w:type="dxa"/>
            <w:tcBorders>
              <w:top w:val="single" w:color="000000" w:sz="4" w:space="0"/>
              <w:left w:val="single" w:color="000000" w:sz="4" w:space="0"/>
              <w:bottom w:val="single" w:color="000000" w:sz="4" w:space="0"/>
              <w:right w:val="single" w:color="000000" w:sz="4" w:space="0"/>
            </w:tcBorders>
            <w:noWrap w:val="0"/>
            <w:vAlign w:val="top"/>
          </w:tcPr>
          <w:p w14:paraId="3C8523B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5" w:type="dxa"/>
            <w:tcBorders>
              <w:top w:val="single" w:color="000000" w:sz="4" w:space="0"/>
              <w:left w:val="single" w:color="000000" w:sz="4" w:space="0"/>
              <w:bottom w:val="single" w:color="000000" w:sz="4" w:space="0"/>
              <w:right w:val="single" w:color="000000" w:sz="4" w:space="0"/>
            </w:tcBorders>
            <w:noWrap w:val="0"/>
            <w:vAlign w:val="top"/>
          </w:tcPr>
          <w:p w14:paraId="2AEDC4E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780" w:type="dxa"/>
            <w:tcBorders>
              <w:top w:val="single" w:color="000000" w:sz="4" w:space="0"/>
              <w:left w:val="single" w:color="000000" w:sz="4" w:space="0"/>
              <w:bottom w:val="single" w:color="000000" w:sz="4" w:space="0"/>
              <w:right w:val="single" w:color="000000" w:sz="4" w:space="0"/>
            </w:tcBorders>
            <w:noWrap w:val="0"/>
            <w:vAlign w:val="top"/>
          </w:tcPr>
          <w:p w14:paraId="030C3C54">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18" w:type="dxa"/>
            <w:tcBorders>
              <w:top w:val="single" w:color="000000" w:sz="4" w:space="0"/>
              <w:left w:val="single" w:color="000000" w:sz="4" w:space="0"/>
              <w:bottom w:val="single" w:color="000000" w:sz="4" w:space="0"/>
              <w:right w:val="single" w:color="000000" w:sz="4" w:space="0"/>
            </w:tcBorders>
            <w:noWrap w:val="0"/>
            <w:vAlign w:val="top"/>
          </w:tcPr>
          <w:p w14:paraId="03CF61C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top"/>
          </w:tcPr>
          <w:p w14:paraId="5082A4B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457" w:type="dxa"/>
            <w:tcBorders>
              <w:top w:val="single" w:color="000000" w:sz="4" w:space="0"/>
              <w:left w:val="single" w:color="000000" w:sz="4" w:space="0"/>
              <w:bottom w:val="single" w:color="000000" w:sz="4" w:space="0"/>
              <w:right w:val="single" w:color="000000" w:sz="4" w:space="0"/>
            </w:tcBorders>
            <w:noWrap w:val="0"/>
            <w:vAlign w:val="top"/>
          </w:tcPr>
          <w:p w14:paraId="483EB57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0" w:type="dxa"/>
            <w:tcBorders>
              <w:top w:val="single" w:color="000000" w:sz="4" w:space="0"/>
              <w:left w:val="single" w:color="000000" w:sz="4" w:space="0"/>
              <w:bottom w:val="single" w:color="000000" w:sz="4" w:space="0"/>
              <w:right w:val="single" w:color="000000" w:sz="4" w:space="0"/>
            </w:tcBorders>
            <w:noWrap w:val="0"/>
            <w:vAlign w:val="top"/>
          </w:tcPr>
          <w:p w14:paraId="53763DB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14:paraId="6EA89FFF">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bl>
    <w:p w14:paraId="0817207C">
      <w:pPr>
        <w:pStyle w:val="4"/>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color w:val="auto"/>
          <w:sz w:val="21"/>
          <w:szCs w:val="21"/>
          <w:highlight w:val="none"/>
          <w:shd w:val="clear" w:color="auto" w:fill="auto"/>
        </w:rPr>
      </w:pPr>
      <w:bookmarkStart w:id="1863" w:name="_Toc389146017"/>
      <w:bookmarkStart w:id="1864" w:name="_Toc207443046"/>
      <w:bookmarkStart w:id="1865" w:name="_Toc267582083"/>
      <w:bookmarkStart w:id="1866" w:name="_Toc369505650"/>
      <w:bookmarkStart w:id="1867" w:name="_Toc455670866"/>
      <w:bookmarkStart w:id="1868" w:name="_Toc24901"/>
      <w:bookmarkStart w:id="1869" w:name="_Toc25125"/>
      <w:r>
        <w:rPr>
          <w:rFonts w:hint="eastAsia" w:ascii="宋体" w:hAnsi="宋体" w:eastAsia="宋体" w:cs="宋体"/>
          <w:color w:val="auto"/>
          <w:sz w:val="21"/>
          <w:szCs w:val="21"/>
          <w:highlight w:val="none"/>
          <w:shd w:val="clear" w:color="auto" w:fill="auto"/>
        </w:rPr>
        <w:t>附表三：劳动力计划表</w:t>
      </w:r>
      <w:bookmarkEnd w:id="1863"/>
      <w:bookmarkEnd w:id="1864"/>
      <w:bookmarkEnd w:id="1865"/>
      <w:bookmarkEnd w:id="1866"/>
      <w:bookmarkEnd w:id="1867"/>
      <w:bookmarkEnd w:id="1868"/>
      <w:bookmarkEnd w:id="1869"/>
    </w:p>
    <w:p w14:paraId="2FFE770F">
      <w:pPr>
        <w:pageBreakBefore w:val="0"/>
        <w:kinsoku/>
        <w:wordWrap/>
        <w:overflowPunct/>
        <w:topLinePunct w:val="0"/>
        <w:bidi w:val="0"/>
        <w:adjustRightInd/>
        <w:spacing w:line="360" w:lineRule="auto"/>
        <w:ind w:left="0" w:leftChars="0" w:right="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                                                           单位：人</w:t>
      </w:r>
    </w:p>
    <w:tbl>
      <w:tblPr>
        <w:tblStyle w:val="46"/>
        <w:tblW w:w="0" w:type="auto"/>
        <w:tblInd w:w="102" w:type="dxa"/>
        <w:tblLayout w:type="fixed"/>
        <w:tblCellMar>
          <w:top w:w="0" w:type="dxa"/>
          <w:left w:w="0" w:type="dxa"/>
          <w:bottom w:w="0" w:type="dxa"/>
          <w:right w:w="0" w:type="dxa"/>
        </w:tblCellMar>
      </w:tblPr>
      <w:tblGrid>
        <w:gridCol w:w="877"/>
        <w:gridCol w:w="1381"/>
        <w:gridCol w:w="1126"/>
        <w:gridCol w:w="1128"/>
        <w:gridCol w:w="1126"/>
        <w:gridCol w:w="1129"/>
        <w:gridCol w:w="1126"/>
        <w:gridCol w:w="1127"/>
      </w:tblGrid>
      <w:tr w14:paraId="66927D75">
        <w:tblPrEx>
          <w:tblCellMar>
            <w:top w:w="0" w:type="dxa"/>
            <w:left w:w="0" w:type="dxa"/>
            <w:bottom w:w="0" w:type="dxa"/>
            <w:right w:w="0" w:type="dxa"/>
          </w:tblCellMar>
        </w:tblPrEx>
        <w:trPr>
          <w:trHeight w:val="448" w:hRule="exact"/>
        </w:trPr>
        <w:tc>
          <w:tcPr>
            <w:tcW w:w="877" w:type="dxa"/>
            <w:tcBorders>
              <w:top w:val="single" w:color="000000" w:sz="4" w:space="0"/>
              <w:left w:val="single" w:color="000000" w:sz="4" w:space="0"/>
              <w:bottom w:val="single" w:color="000000" w:sz="4" w:space="0"/>
              <w:right w:val="single" w:color="000000" w:sz="4" w:space="0"/>
            </w:tcBorders>
            <w:noWrap w:val="0"/>
            <w:vAlign w:val="top"/>
          </w:tcPr>
          <w:p w14:paraId="55C45E2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工种</w:t>
            </w:r>
          </w:p>
        </w:tc>
        <w:tc>
          <w:tcPr>
            <w:tcW w:w="8143" w:type="dxa"/>
            <w:gridSpan w:val="7"/>
            <w:tcBorders>
              <w:top w:val="single" w:color="000000" w:sz="4" w:space="0"/>
              <w:left w:val="single" w:color="000000" w:sz="4" w:space="0"/>
              <w:bottom w:val="single" w:color="000000" w:sz="4" w:space="0"/>
              <w:right w:val="single" w:color="000000" w:sz="4" w:space="0"/>
            </w:tcBorders>
            <w:noWrap w:val="0"/>
            <w:vAlign w:val="top"/>
          </w:tcPr>
          <w:p w14:paraId="3C1CE2C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按工程施工阶段投入劳动力情况</w:t>
            </w:r>
          </w:p>
        </w:tc>
      </w:tr>
      <w:tr w14:paraId="4547EC95">
        <w:tblPrEx>
          <w:tblCellMar>
            <w:top w:w="0" w:type="dxa"/>
            <w:left w:w="0" w:type="dxa"/>
            <w:bottom w:w="0" w:type="dxa"/>
            <w:right w:w="0" w:type="dxa"/>
          </w:tblCellMar>
        </w:tblPrEx>
        <w:trPr>
          <w:trHeight w:val="448" w:hRule="exact"/>
        </w:trPr>
        <w:tc>
          <w:tcPr>
            <w:tcW w:w="877" w:type="dxa"/>
            <w:tcBorders>
              <w:top w:val="single" w:color="000000" w:sz="4" w:space="0"/>
              <w:left w:val="single" w:color="000000" w:sz="4" w:space="0"/>
              <w:bottom w:val="single" w:color="000000" w:sz="4" w:space="0"/>
              <w:right w:val="single" w:color="000000" w:sz="4" w:space="0"/>
            </w:tcBorders>
            <w:noWrap w:val="0"/>
            <w:vAlign w:val="top"/>
          </w:tcPr>
          <w:p w14:paraId="10187E9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381" w:type="dxa"/>
            <w:tcBorders>
              <w:top w:val="single" w:color="000000" w:sz="4" w:space="0"/>
              <w:left w:val="single" w:color="000000" w:sz="4" w:space="0"/>
              <w:bottom w:val="single" w:color="000000" w:sz="4" w:space="0"/>
              <w:right w:val="single" w:color="000000" w:sz="4" w:space="0"/>
            </w:tcBorders>
            <w:noWrap w:val="0"/>
            <w:vAlign w:val="top"/>
          </w:tcPr>
          <w:p w14:paraId="7B9E8042">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4AFB664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8" w:type="dxa"/>
            <w:tcBorders>
              <w:top w:val="single" w:color="000000" w:sz="4" w:space="0"/>
              <w:left w:val="single" w:color="000000" w:sz="4" w:space="0"/>
              <w:bottom w:val="single" w:color="000000" w:sz="4" w:space="0"/>
              <w:right w:val="single" w:color="000000" w:sz="4" w:space="0"/>
            </w:tcBorders>
            <w:noWrap w:val="0"/>
            <w:vAlign w:val="top"/>
          </w:tcPr>
          <w:p w14:paraId="1262F54B">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2EED6CC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9" w:type="dxa"/>
            <w:tcBorders>
              <w:top w:val="single" w:color="000000" w:sz="4" w:space="0"/>
              <w:left w:val="single" w:color="000000" w:sz="4" w:space="0"/>
              <w:bottom w:val="single" w:color="000000" w:sz="4" w:space="0"/>
              <w:right w:val="single" w:color="000000" w:sz="4" w:space="0"/>
            </w:tcBorders>
            <w:noWrap w:val="0"/>
            <w:vAlign w:val="top"/>
          </w:tcPr>
          <w:p w14:paraId="2EB77B94">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315C78EB">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7" w:type="dxa"/>
            <w:tcBorders>
              <w:top w:val="single" w:color="000000" w:sz="4" w:space="0"/>
              <w:left w:val="single" w:color="000000" w:sz="4" w:space="0"/>
              <w:bottom w:val="single" w:color="000000" w:sz="4" w:space="0"/>
              <w:right w:val="single" w:color="000000" w:sz="4" w:space="0"/>
            </w:tcBorders>
            <w:noWrap w:val="0"/>
            <w:vAlign w:val="top"/>
          </w:tcPr>
          <w:p w14:paraId="2962C5B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082CFDFF">
        <w:tblPrEx>
          <w:tblCellMar>
            <w:top w:w="0" w:type="dxa"/>
            <w:left w:w="0" w:type="dxa"/>
            <w:bottom w:w="0" w:type="dxa"/>
            <w:right w:w="0" w:type="dxa"/>
          </w:tblCellMar>
        </w:tblPrEx>
        <w:trPr>
          <w:trHeight w:val="458" w:hRule="exact"/>
        </w:trPr>
        <w:tc>
          <w:tcPr>
            <w:tcW w:w="877" w:type="dxa"/>
            <w:tcBorders>
              <w:top w:val="single" w:color="000000" w:sz="4" w:space="0"/>
              <w:left w:val="single" w:color="000000" w:sz="4" w:space="0"/>
              <w:bottom w:val="single" w:color="000000" w:sz="4" w:space="0"/>
              <w:right w:val="single" w:color="000000" w:sz="4" w:space="0"/>
            </w:tcBorders>
            <w:noWrap w:val="0"/>
            <w:vAlign w:val="top"/>
          </w:tcPr>
          <w:p w14:paraId="182C038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381" w:type="dxa"/>
            <w:tcBorders>
              <w:top w:val="single" w:color="000000" w:sz="4" w:space="0"/>
              <w:left w:val="single" w:color="000000" w:sz="4" w:space="0"/>
              <w:bottom w:val="single" w:color="000000" w:sz="4" w:space="0"/>
              <w:right w:val="single" w:color="000000" w:sz="4" w:space="0"/>
            </w:tcBorders>
            <w:noWrap w:val="0"/>
            <w:vAlign w:val="top"/>
          </w:tcPr>
          <w:p w14:paraId="55FD4DAB">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5A58330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8" w:type="dxa"/>
            <w:tcBorders>
              <w:top w:val="single" w:color="000000" w:sz="4" w:space="0"/>
              <w:left w:val="single" w:color="000000" w:sz="4" w:space="0"/>
              <w:bottom w:val="single" w:color="000000" w:sz="4" w:space="0"/>
              <w:right w:val="single" w:color="000000" w:sz="4" w:space="0"/>
            </w:tcBorders>
            <w:noWrap w:val="0"/>
            <w:vAlign w:val="top"/>
          </w:tcPr>
          <w:p w14:paraId="1AA11CE7">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5B2FAE5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9" w:type="dxa"/>
            <w:tcBorders>
              <w:top w:val="single" w:color="000000" w:sz="4" w:space="0"/>
              <w:left w:val="single" w:color="000000" w:sz="4" w:space="0"/>
              <w:bottom w:val="single" w:color="000000" w:sz="4" w:space="0"/>
              <w:right w:val="single" w:color="000000" w:sz="4" w:space="0"/>
            </w:tcBorders>
            <w:noWrap w:val="0"/>
            <w:vAlign w:val="top"/>
          </w:tcPr>
          <w:p w14:paraId="779C8787">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75D674A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7" w:type="dxa"/>
            <w:tcBorders>
              <w:top w:val="single" w:color="000000" w:sz="4" w:space="0"/>
              <w:left w:val="single" w:color="000000" w:sz="4" w:space="0"/>
              <w:bottom w:val="single" w:color="000000" w:sz="4" w:space="0"/>
              <w:right w:val="single" w:color="000000" w:sz="4" w:space="0"/>
            </w:tcBorders>
            <w:noWrap w:val="0"/>
            <w:vAlign w:val="top"/>
          </w:tcPr>
          <w:p w14:paraId="6F90C844">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bl>
    <w:p w14:paraId="09EB4F6A">
      <w:pPr>
        <w:pStyle w:val="4"/>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color w:val="auto"/>
          <w:sz w:val="21"/>
          <w:szCs w:val="21"/>
          <w:highlight w:val="none"/>
          <w:shd w:val="clear" w:color="auto" w:fill="auto"/>
        </w:rPr>
      </w:pPr>
      <w:bookmarkStart w:id="1870" w:name="_Toc267582084"/>
      <w:bookmarkStart w:id="1871" w:name="_Toc369505651"/>
      <w:bookmarkStart w:id="1872" w:name="_Toc32738"/>
      <w:bookmarkStart w:id="1873" w:name="_Toc455670867"/>
      <w:bookmarkStart w:id="1874" w:name="_Toc207443047"/>
      <w:bookmarkStart w:id="1875" w:name="_Toc389146018"/>
      <w:bookmarkStart w:id="1876" w:name="_Toc8444"/>
      <w:r>
        <w:rPr>
          <w:rFonts w:hint="eastAsia" w:ascii="宋体" w:hAnsi="宋体" w:eastAsia="宋体" w:cs="宋体"/>
          <w:color w:val="auto"/>
          <w:sz w:val="21"/>
          <w:szCs w:val="21"/>
          <w:highlight w:val="none"/>
          <w:shd w:val="clear" w:color="auto" w:fill="auto"/>
        </w:rPr>
        <w:t>附表四：计划开、竣工日期和施工进度网络图</w:t>
      </w:r>
      <w:bookmarkEnd w:id="1870"/>
      <w:bookmarkEnd w:id="1871"/>
      <w:bookmarkEnd w:id="1872"/>
      <w:bookmarkEnd w:id="1873"/>
      <w:bookmarkEnd w:id="1874"/>
      <w:bookmarkEnd w:id="1875"/>
      <w:bookmarkEnd w:id="1876"/>
    </w:p>
    <w:p w14:paraId="09C85DC1">
      <w:pPr>
        <w:pageBreakBefore w:val="0"/>
        <w:kinsoku/>
        <w:wordWrap/>
        <w:overflowPunct/>
        <w:topLinePunct w:val="0"/>
        <w:bidi w:val="0"/>
        <w:adjustRightInd/>
        <w:spacing w:line="360" w:lineRule="auto"/>
        <w:ind w:left="0" w:leftChars="0" w:right="0" w:firstLine="424" w:firstLineChars="20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1. </w:t>
      </w:r>
      <w:r>
        <w:rPr>
          <w:rFonts w:hint="eastAsia" w:ascii="宋体" w:hAnsi="宋体" w:eastAsia="宋体" w:cs="宋体"/>
          <w:color w:val="auto"/>
          <w:spacing w:val="1"/>
          <w:kern w:val="0"/>
          <w:sz w:val="21"/>
          <w:szCs w:val="21"/>
          <w:highlight w:val="none"/>
          <w:shd w:val="clear" w:color="auto" w:fill="auto"/>
        </w:rPr>
        <w:t>供应商</w:t>
      </w:r>
      <w:r>
        <w:rPr>
          <w:rFonts w:hint="eastAsia" w:ascii="宋体" w:hAnsi="宋体" w:eastAsia="宋体" w:cs="宋体"/>
          <w:color w:val="auto"/>
          <w:spacing w:val="2"/>
          <w:kern w:val="0"/>
          <w:sz w:val="21"/>
          <w:szCs w:val="21"/>
          <w:highlight w:val="none"/>
          <w:shd w:val="clear" w:color="auto" w:fill="auto"/>
        </w:rPr>
        <w:t>应</w:t>
      </w:r>
      <w:r>
        <w:rPr>
          <w:rFonts w:hint="eastAsia" w:ascii="宋体" w:hAnsi="宋体" w:eastAsia="宋体" w:cs="宋体"/>
          <w:color w:val="auto"/>
          <w:spacing w:val="1"/>
          <w:kern w:val="0"/>
          <w:sz w:val="21"/>
          <w:szCs w:val="21"/>
          <w:highlight w:val="none"/>
          <w:shd w:val="clear" w:color="auto" w:fill="auto"/>
        </w:rPr>
        <w:t>递交</w:t>
      </w:r>
      <w:r>
        <w:rPr>
          <w:rFonts w:hint="eastAsia" w:ascii="宋体" w:hAnsi="宋体" w:eastAsia="宋体" w:cs="宋体"/>
          <w:color w:val="auto"/>
          <w:spacing w:val="2"/>
          <w:kern w:val="0"/>
          <w:sz w:val="21"/>
          <w:szCs w:val="21"/>
          <w:highlight w:val="none"/>
          <w:shd w:val="clear" w:color="auto" w:fill="auto"/>
        </w:rPr>
        <w:t>施</w:t>
      </w:r>
      <w:r>
        <w:rPr>
          <w:rFonts w:hint="eastAsia" w:ascii="宋体" w:hAnsi="宋体" w:eastAsia="宋体" w:cs="宋体"/>
          <w:color w:val="auto"/>
          <w:spacing w:val="1"/>
          <w:kern w:val="0"/>
          <w:sz w:val="21"/>
          <w:szCs w:val="21"/>
          <w:highlight w:val="none"/>
          <w:shd w:val="clear" w:color="auto" w:fill="auto"/>
        </w:rPr>
        <w:t>工</w:t>
      </w:r>
      <w:r>
        <w:rPr>
          <w:rFonts w:hint="eastAsia" w:ascii="宋体" w:hAnsi="宋体" w:eastAsia="宋体" w:cs="宋体"/>
          <w:color w:val="auto"/>
          <w:spacing w:val="2"/>
          <w:kern w:val="0"/>
          <w:sz w:val="21"/>
          <w:szCs w:val="21"/>
          <w:highlight w:val="none"/>
          <w:shd w:val="clear" w:color="auto" w:fill="auto"/>
        </w:rPr>
        <w:t>进</w:t>
      </w:r>
      <w:r>
        <w:rPr>
          <w:rFonts w:hint="eastAsia" w:ascii="宋体" w:hAnsi="宋体" w:eastAsia="宋体" w:cs="宋体"/>
          <w:color w:val="auto"/>
          <w:spacing w:val="1"/>
          <w:kern w:val="0"/>
          <w:sz w:val="21"/>
          <w:szCs w:val="21"/>
          <w:highlight w:val="none"/>
          <w:shd w:val="clear" w:color="auto" w:fill="auto"/>
        </w:rPr>
        <w:t>度网</w:t>
      </w:r>
      <w:r>
        <w:rPr>
          <w:rFonts w:hint="eastAsia" w:ascii="宋体" w:hAnsi="宋体" w:eastAsia="宋体" w:cs="宋体"/>
          <w:color w:val="auto"/>
          <w:spacing w:val="2"/>
          <w:kern w:val="0"/>
          <w:sz w:val="21"/>
          <w:szCs w:val="21"/>
          <w:highlight w:val="none"/>
          <w:shd w:val="clear" w:color="auto" w:fill="auto"/>
        </w:rPr>
        <w:t>络</w:t>
      </w:r>
      <w:r>
        <w:rPr>
          <w:rFonts w:hint="eastAsia" w:ascii="宋体" w:hAnsi="宋体" w:eastAsia="宋体" w:cs="宋体"/>
          <w:color w:val="auto"/>
          <w:spacing w:val="1"/>
          <w:kern w:val="0"/>
          <w:sz w:val="21"/>
          <w:szCs w:val="21"/>
          <w:highlight w:val="none"/>
          <w:shd w:val="clear" w:color="auto" w:fill="auto"/>
        </w:rPr>
        <w:t>图</w:t>
      </w:r>
      <w:r>
        <w:rPr>
          <w:rFonts w:hint="eastAsia" w:ascii="宋体" w:hAnsi="宋体" w:eastAsia="宋体" w:cs="宋体"/>
          <w:color w:val="auto"/>
          <w:spacing w:val="2"/>
          <w:kern w:val="0"/>
          <w:sz w:val="21"/>
          <w:szCs w:val="21"/>
          <w:highlight w:val="none"/>
          <w:shd w:val="clear" w:color="auto" w:fill="auto"/>
        </w:rPr>
        <w:t>及横</w:t>
      </w:r>
      <w:r>
        <w:rPr>
          <w:rFonts w:hint="eastAsia" w:ascii="宋体" w:hAnsi="宋体" w:eastAsia="宋体" w:cs="宋体"/>
          <w:color w:val="auto"/>
          <w:kern w:val="0"/>
          <w:sz w:val="21"/>
          <w:szCs w:val="21"/>
          <w:highlight w:val="none"/>
          <w:shd w:val="clear" w:color="auto" w:fill="auto"/>
        </w:rPr>
        <w:t>道图</w:t>
      </w:r>
      <w:r>
        <w:rPr>
          <w:rFonts w:hint="eastAsia" w:ascii="宋体" w:hAnsi="宋体" w:eastAsia="宋体" w:cs="宋体"/>
          <w:color w:val="auto"/>
          <w:spacing w:val="1"/>
          <w:kern w:val="0"/>
          <w:sz w:val="21"/>
          <w:szCs w:val="21"/>
          <w:highlight w:val="none"/>
          <w:shd w:val="clear" w:color="auto" w:fill="auto"/>
        </w:rPr>
        <w:t>，说</w:t>
      </w:r>
      <w:r>
        <w:rPr>
          <w:rFonts w:hint="eastAsia" w:ascii="宋体" w:hAnsi="宋体" w:eastAsia="宋体" w:cs="宋体"/>
          <w:color w:val="auto"/>
          <w:spacing w:val="2"/>
          <w:kern w:val="0"/>
          <w:sz w:val="21"/>
          <w:szCs w:val="21"/>
          <w:highlight w:val="none"/>
          <w:shd w:val="clear" w:color="auto" w:fill="auto"/>
        </w:rPr>
        <w:t>明</w:t>
      </w:r>
      <w:r>
        <w:rPr>
          <w:rFonts w:hint="eastAsia" w:ascii="宋体" w:hAnsi="宋体" w:eastAsia="宋体" w:cs="宋体"/>
          <w:color w:val="auto"/>
          <w:spacing w:val="1"/>
          <w:kern w:val="0"/>
          <w:sz w:val="21"/>
          <w:szCs w:val="21"/>
          <w:highlight w:val="none"/>
          <w:shd w:val="clear" w:color="auto" w:fill="auto"/>
        </w:rPr>
        <w:t>按</w:t>
      </w:r>
      <w:r>
        <w:rPr>
          <w:rFonts w:hint="eastAsia" w:ascii="宋体" w:hAnsi="宋体" w:eastAsia="宋体" w:cs="宋体"/>
          <w:color w:val="auto"/>
          <w:spacing w:val="2"/>
          <w:kern w:val="0"/>
          <w:sz w:val="21"/>
          <w:szCs w:val="21"/>
          <w:highlight w:val="none"/>
          <w:shd w:val="clear" w:color="auto" w:fill="auto"/>
        </w:rPr>
        <w:t>竞争</w:t>
      </w:r>
      <w:r>
        <w:rPr>
          <w:rFonts w:hint="eastAsia" w:ascii="宋体" w:hAnsi="宋体" w:eastAsia="宋体" w:cs="宋体"/>
          <w:color w:val="auto"/>
          <w:spacing w:val="2"/>
          <w:kern w:val="0"/>
          <w:sz w:val="21"/>
          <w:szCs w:val="21"/>
          <w:highlight w:val="none"/>
          <w:shd w:val="clear" w:color="auto" w:fill="auto"/>
        </w:rPr>
        <w:t>性</w:t>
      </w:r>
      <w:r>
        <w:rPr>
          <w:rFonts w:hint="eastAsia" w:ascii="宋体" w:hAnsi="宋体" w:cs="宋体"/>
          <w:color w:val="auto"/>
          <w:spacing w:val="2"/>
          <w:kern w:val="0"/>
          <w:sz w:val="21"/>
          <w:szCs w:val="21"/>
          <w:highlight w:val="none"/>
          <w:shd w:val="clear" w:color="auto" w:fill="auto"/>
          <w:lang w:eastAsia="zh-CN"/>
        </w:rPr>
        <w:t>谈判</w:t>
      </w:r>
      <w:r>
        <w:rPr>
          <w:rFonts w:hint="eastAsia" w:ascii="宋体" w:hAnsi="宋体" w:eastAsia="宋体" w:cs="宋体"/>
          <w:color w:val="auto"/>
          <w:spacing w:val="2"/>
          <w:kern w:val="0"/>
          <w:sz w:val="21"/>
          <w:szCs w:val="21"/>
          <w:highlight w:val="none"/>
          <w:shd w:val="clear" w:color="auto" w:fill="auto"/>
        </w:rPr>
        <w:t>文</w:t>
      </w:r>
      <w:r>
        <w:rPr>
          <w:rFonts w:hint="eastAsia" w:ascii="宋体" w:hAnsi="宋体" w:eastAsia="宋体" w:cs="宋体"/>
          <w:color w:val="auto"/>
          <w:spacing w:val="2"/>
          <w:kern w:val="0"/>
          <w:sz w:val="21"/>
          <w:szCs w:val="21"/>
          <w:highlight w:val="none"/>
          <w:shd w:val="clear" w:color="auto" w:fill="auto"/>
        </w:rPr>
        <w:t>件</w:t>
      </w:r>
      <w:r>
        <w:rPr>
          <w:rFonts w:hint="eastAsia" w:ascii="宋体" w:hAnsi="宋体" w:eastAsia="宋体" w:cs="宋体"/>
          <w:color w:val="auto"/>
          <w:spacing w:val="1"/>
          <w:kern w:val="0"/>
          <w:sz w:val="21"/>
          <w:szCs w:val="21"/>
          <w:highlight w:val="none"/>
          <w:shd w:val="clear" w:color="auto" w:fill="auto"/>
        </w:rPr>
        <w:t>要</w:t>
      </w:r>
      <w:r>
        <w:rPr>
          <w:rFonts w:hint="eastAsia" w:ascii="宋体" w:hAnsi="宋体" w:eastAsia="宋体" w:cs="宋体"/>
          <w:color w:val="auto"/>
          <w:spacing w:val="2"/>
          <w:kern w:val="0"/>
          <w:sz w:val="21"/>
          <w:szCs w:val="21"/>
          <w:highlight w:val="none"/>
          <w:shd w:val="clear" w:color="auto" w:fill="auto"/>
        </w:rPr>
        <w:t>求</w:t>
      </w:r>
      <w:r>
        <w:rPr>
          <w:rFonts w:hint="eastAsia" w:ascii="宋体" w:hAnsi="宋体" w:eastAsia="宋体" w:cs="宋体"/>
          <w:color w:val="auto"/>
          <w:spacing w:val="1"/>
          <w:kern w:val="0"/>
          <w:sz w:val="21"/>
          <w:szCs w:val="21"/>
          <w:highlight w:val="none"/>
          <w:shd w:val="clear" w:color="auto" w:fill="auto"/>
        </w:rPr>
        <w:t>的计</w:t>
      </w:r>
      <w:r>
        <w:rPr>
          <w:rFonts w:hint="eastAsia" w:ascii="宋体" w:hAnsi="宋体" w:eastAsia="宋体" w:cs="宋体"/>
          <w:color w:val="auto"/>
          <w:spacing w:val="2"/>
          <w:kern w:val="0"/>
          <w:sz w:val="21"/>
          <w:szCs w:val="21"/>
          <w:highlight w:val="none"/>
          <w:shd w:val="clear" w:color="auto" w:fill="auto"/>
        </w:rPr>
        <w:t>划</w:t>
      </w:r>
      <w:r>
        <w:rPr>
          <w:rFonts w:hint="eastAsia" w:ascii="宋体" w:hAnsi="宋体" w:eastAsia="宋体" w:cs="宋体"/>
          <w:color w:val="auto"/>
          <w:spacing w:val="1"/>
          <w:kern w:val="0"/>
          <w:sz w:val="21"/>
          <w:szCs w:val="21"/>
          <w:highlight w:val="none"/>
          <w:shd w:val="clear" w:color="auto" w:fill="auto"/>
        </w:rPr>
        <w:t>工</w:t>
      </w:r>
      <w:r>
        <w:rPr>
          <w:rFonts w:hint="eastAsia" w:ascii="宋体" w:hAnsi="宋体" w:eastAsia="宋体" w:cs="宋体"/>
          <w:color w:val="auto"/>
          <w:spacing w:val="4"/>
          <w:kern w:val="0"/>
          <w:sz w:val="21"/>
          <w:szCs w:val="21"/>
          <w:highlight w:val="none"/>
          <w:shd w:val="clear" w:color="auto" w:fill="auto"/>
        </w:rPr>
        <w:t>期</w:t>
      </w:r>
      <w:r>
        <w:rPr>
          <w:rFonts w:hint="eastAsia" w:ascii="宋体" w:hAnsi="宋体" w:eastAsia="宋体" w:cs="宋体"/>
          <w:color w:val="auto"/>
          <w:spacing w:val="2"/>
          <w:kern w:val="0"/>
          <w:sz w:val="21"/>
          <w:szCs w:val="21"/>
          <w:highlight w:val="none"/>
          <w:shd w:val="clear" w:color="auto" w:fill="auto"/>
        </w:rPr>
        <w:t>进</w:t>
      </w:r>
      <w:r>
        <w:rPr>
          <w:rFonts w:hint="eastAsia" w:ascii="宋体" w:hAnsi="宋体" w:eastAsia="宋体" w:cs="宋体"/>
          <w:color w:val="auto"/>
          <w:spacing w:val="1"/>
          <w:kern w:val="0"/>
          <w:sz w:val="21"/>
          <w:szCs w:val="21"/>
          <w:highlight w:val="none"/>
          <w:shd w:val="clear" w:color="auto" w:fill="auto"/>
        </w:rPr>
        <w:t>行</w:t>
      </w:r>
      <w:r>
        <w:rPr>
          <w:rFonts w:hint="eastAsia" w:ascii="宋体" w:hAnsi="宋体" w:eastAsia="宋体" w:cs="宋体"/>
          <w:color w:val="auto"/>
          <w:kern w:val="0"/>
          <w:sz w:val="21"/>
          <w:szCs w:val="21"/>
          <w:highlight w:val="none"/>
          <w:shd w:val="clear" w:color="auto" w:fill="auto"/>
        </w:rPr>
        <w:t>施工的各个关键日期。</w:t>
      </w:r>
      <w:bookmarkStart w:id="1877" w:name="_Toc267582085"/>
      <w:bookmarkStart w:id="1878" w:name="_Toc389146019"/>
      <w:bookmarkStart w:id="1879" w:name="_Toc455670868"/>
      <w:bookmarkStart w:id="1880" w:name="_Toc369505652"/>
      <w:bookmarkStart w:id="1881" w:name="_Toc207443048"/>
    </w:p>
    <w:p w14:paraId="374EBBD3">
      <w:pPr>
        <w:pStyle w:val="4"/>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color w:val="auto"/>
          <w:sz w:val="21"/>
          <w:szCs w:val="21"/>
          <w:highlight w:val="none"/>
          <w:shd w:val="clear" w:color="auto" w:fill="auto"/>
        </w:rPr>
      </w:pPr>
      <w:bookmarkStart w:id="1882" w:name="_Toc2788"/>
      <w:bookmarkStart w:id="1883" w:name="_Toc31024"/>
      <w:r>
        <w:rPr>
          <w:rFonts w:hint="eastAsia" w:ascii="宋体" w:hAnsi="宋体" w:eastAsia="宋体" w:cs="宋体"/>
          <w:color w:val="auto"/>
          <w:sz w:val="21"/>
          <w:szCs w:val="21"/>
          <w:highlight w:val="none"/>
          <w:shd w:val="clear" w:color="auto" w:fill="auto"/>
        </w:rPr>
        <w:t>附表五：施工总平面图</w:t>
      </w:r>
      <w:bookmarkEnd w:id="1877"/>
      <w:bookmarkEnd w:id="1878"/>
      <w:bookmarkEnd w:id="1879"/>
      <w:bookmarkEnd w:id="1880"/>
      <w:bookmarkEnd w:id="1881"/>
      <w:bookmarkEnd w:id="1882"/>
      <w:bookmarkEnd w:id="1883"/>
    </w:p>
    <w:p w14:paraId="7D18C40D">
      <w:pPr>
        <w:pageBreakBefore w:val="0"/>
        <w:kinsoku/>
        <w:wordWrap/>
        <w:overflowPunct/>
        <w:topLinePunct w:val="0"/>
        <w:bidi w:val="0"/>
        <w:adjustRightInd/>
        <w:spacing w:line="360" w:lineRule="auto"/>
        <w:ind w:left="0" w:leftChars="0" w:right="0" w:firstLine="424" w:firstLineChars="202"/>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供应商应递交一份施工总平面图</w:t>
      </w:r>
      <w:r>
        <w:rPr>
          <w:rFonts w:hint="eastAsia" w:ascii="宋体" w:hAnsi="宋体" w:eastAsia="宋体" w:cs="宋体"/>
          <w:color w:val="auto"/>
          <w:spacing w:val="-47"/>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绘出现场临时设施布置图表并附文字说明</w:t>
      </w:r>
      <w:r>
        <w:rPr>
          <w:rFonts w:hint="eastAsia" w:ascii="宋体" w:hAnsi="宋体" w:eastAsia="宋体" w:cs="宋体"/>
          <w:color w:val="auto"/>
          <w:spacing w:val="-47"/>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说明临时 设施</w:t>
      </w:r>
      <w:r>
        <w:rPr>
          <w:rFonts w:hint="eastAsia" w:ascii="宋体" w:hAnsi="宋体" w:eastAsia="宋体" w:cs="宋体"/>
          <w:color w:val="auto"/>
          <w:spacing w:val="-11"/>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加工车间</w:t>
      </w:r>
      <w:r>
        <w:rPr>
          <w:rFonts w:hint="eastAsia" w:ascii="宋体" w:hAnsi="宋体" w:eastAsia="宋体" w:cs="宋体"/>
          <w:color w:val="auto"/>
          <w:spacing w:val="-11"/>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现场办公</w:t>
      </w:r>
      <w:r>
        <w:rPr>
          <w:rFonts w:hint="eastAsia" w:ascii="宋体" w:hAnsi="宋体" w:eastAsia="宋体" w:cs="宋体"/>
          <w:color w:val="auto"/>
          <w:spacing w:val="-11"/>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设备及仓储</w:t>
      </w:r>
      <w:r>
        <w:rPr>
          <w:rFonts w:hint="eastAsia" w:ascii="宋体" w:hAnsi="宋体" w:eastAsia="宋体" w:cs="宋体"/>
          <w:color w:val="auto"/>
          <w:spacing w:val="-11"/>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供电</w:t>
      </w:r>
      <w:r>
        <w:rPr>
          <w:rFonts w:hint="eastAsia" w:ascii="宋体" w:hAnsi="宋体" w:eastAsia="宋体" w:cs="宋体"/>
          <w:color w:val="auto"/>
          <w:spacing w:val="-11"/>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供水</w:t>
      </w:r>
      <w:r>
        <w:rPr>
          <w:rFonts w:hint="eastAsia" w:ascii="宋体" w:hAnsi="宋体" w:eastAsia="宋体" w:cs="宋体"/>
          <w:color w:val="auto"/>
          <w:spacing w:val="-10"/>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卫生</w:t>
      </w:r>
      <w:r>
        <w:rPr>
          <w:rFonts w:hint="eastAsia" w:ascii="宋体" w:hAnsi="宋体" w:eastAsia="宋体" w:cs="宋体"/>
          <w:color w:val="auto"/>
          <w:spacing w:val="-11"/>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生活</w:t>
      </w:r>
      <w:r>
        <w:rPr>
          <w:rFonts w:hint="eastAsia" w:ascii="宋体" w:hAnsi="宋体" w:eastAsia="宋体" w:cs="宋体"/>
          <w:color w:val="auto"/>
          <w:spacing w:val="-11"/>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道路</w:t>
      </w:r>
      <w:r>
        <w:rPr>
          <w:rFonts w:hint="eastAsia" w:ascii="宋体" w:hAnsi="宋体" w:eastAsia="宋体" w:cs="宋体"/>
          <w:color w:val="auto"/>
          <w:spacing w:val="-11"/>
          <w:kern w:val="0"/>
          <w:sz w:val="21"/>
          <w:szCs w:val="21"/>
          <w:highlight w:val="none"/>
          <w:shd w:val="clear" w:color="auto" w:fill="auto"/>
        </w:rPr>
        <w:t>、</w:t>
      </w:r>
      <w:r>
        <w:rPr>
          <w:rFonts w:hint="eastAsia" w:ascii="宋体" w:hAnsi="宋体" w:eastAsia="宋体" w:cs="宋体"/>
          <w:color w:val="auto"/>
          <w:spacing w:val="1"/>
          <w:kern w:val="0"/>
          <w:sz w:val="21"/>
          <w:szCs w:val="21"/>
          <w:highlight w:val="none"/>
          <w:shd w:val="clear" w:color="auto" w:fill="auto"/>
        </w:rPr>
        <w:t>消</w:t>
      </w:r>
      <w:r>
        <w:rPr>
          <w:rFonts w:hint="eastAsia" w:ascii="宋体" w:hAnsi="宋体" w:eastAsia="宋体" w:cs="宋体"/>
          <w:color w:val="auto"/>
          <w:kern w:val="0"/>
          <w:sz w:val="21"/>
          <w:szCs w:val="21"/>
          <w:highlight w:val="none"/>
          <w:shd w:val="clear" w:color="auto" w:fill="auto"/>
        </w:rPr>
        <w:t>防等设施的 情况和布置。</w:t>
      </w:r>
    </w:p>
    <w:p w14:paraId="1EE6A1D4">
      <w:pPr>
        <w:pStyle w:val="4"/>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color w:val="auto"/>
          <w:sz w:val="21"/>
          <w:szCs w:val="21"/>
          <w:highlight w:val="none"/>
          <w:shd w:val="clear" w:color="auto" w:fill="auto"/>
        </w:rPr>
      </w:pPr>
      <w:bookmarkStart w:id="1884" w:name="_Toc207443049"/>
      <w:bookmarkStart w:id="1885" w:name="_Toc25733"/>
      <w:bookmarkStart w:id="1886" w:name="_Toc389146020"/>
      <w:bookmarkStart w:id="1887" w:name="_Toc267582086"/>
      <w:bookmarkStart w:id="1888" w:name="_Toc28629"/>
      <w:bookmarkStart w:id="1889" w:name="_Toc369505653"/>
      <w:bookmarkStart w:id="1890" w:name="_Toc455670869"/>
      <w:r>
        <w:rPr>
          <w:rFonts w:hint="eastAsia" w:ascii="宋体" w:hAnsi="宋体" w:eastAsia="宋体" w:cs="宋体"/>
          <w:color w:val="auto"/>
          <w:sz w:val="21"/>
          <w:szCs w:val="21"/>
          <w:highlight w:val="none"/>
          <w:shd w:val="clear" w:color="auto" w:fill="auto"/>
        </w:rPr>
        <w:t>附表六：临时用地表</w:t>
      </w:r>
      <w:bookmarkEnd w:id="1884"/>
      <w:bookmarkEnd w:id="1885"/>
      <w:bookmarkEnd w:id="1886"/>
      <w:bookmarkEnd w:id="1887"/>
      <w:bookmarkEnd w:id="1888"/>
      <w:bookmarkEnd w:id="1889"/>
      <w:bookmarkEnd w:id="1890"/>
    </w:p>
    <w:tbl>
      <w:tblPr>
        <w:tblStyle w:val="46"/>
        <w:tblW w:w="0" w:type="auto"/>
        <w:tblInd w:w="102" w:type="dxa"/>
        <w:tblLayout w:type="fixed"/>
        <w:tblCellMar>
          <w:top w:w="0" w:type="dxa"/>
          <w:left w:w="0" w:type="dxa"/>
          <w:bottom w:w="0" w:type="dxa"/>
          <w:right w:w="0" w:type="dxa"/>
        </w:tblCellMar>
      </w:tblPr>
      <w:tblGrid>
        <w:gridCol w:w="2130"/>
        <w:gridCol w:w="2130"/>
        <w:gridCol w:w="2131"/>
        <w:gridCol w:w="2132"/>
      </w:tblGrid>
      <w:tr w14:paraId="21C44AEB">
        <w:tblPrEx>
          <w:tblCellMar>
            <w:top w:w="0" w:type="dxa"/>
            <w:left w:w="0" w:type="dxa"/>
            <w:bottom w:w="0" w:type="dxa"/>
            <w:right w:w="0" w:type="dxa"/>
          </w:tblCellMar>
        </w:tblPrEx>
        <w:trPr>
          <w:trHeight w:val="450" w:hRule="exact"/>
        </w:trPr>
        <w:tc>
          <w:tcPr>
            <w:tcW w:w="2130" w:type="dxa"/>
            <w:tcBorders>
              <w:top w:val="single" w:color="000000" w:sz="4" w:space="0"/>
              <w:left w:val="single" w:color="000000" w:sz="4" w:space="0"/>
              <w:bottom w:val="single" w:color="000000" w:sz="4" w:space="0"/>
              <w:right w:val="single" w:color="000000" w:sz="4" w:space="0"/>
            </w:tcBorders>
            <w:noWrap w:val="0"/>
            <w:vAlign w:val="center"/>
          </w:tcPr>
          <w:p w14:paraId="43EDE6AD">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用 </w:t>
            </w:r>
            <w:r>
              <w:rPr>
                <w:rFonts w:hint="eastAsia" w:ascii="宋体" w:hAnsi="宋体" w:eastAsia="宋体" w:cs="宋体"/>
                <w:color w:val="auto"/>
                <w:spacing w:val="1"/>
                <w:kern w:val="0"/>
                <w:sz w:val="21"/>
                <w:szCs w:val="21"/>
                <w:highlight w:val="none"/>
                <w:shd w:val="clear" w:color="auto" w:fill="auto"/>
              </w:rPr>
              <w:t xml:space="preserve"> </w:t>
            </w:r>
            <w:r>
              <w:rPr>
                <w:rFonts w:hint="eastAsia" w:ascii="宋体" w:hAnsi="宋体" w:eastAsia="宋体" w:cs="宋体"/>
                <w:color w:val="auto"/>
                <w:kern w:val="0"/>
                <w:sz w:val="21"/>
                <w:szCs w:val="21"/>
                <w:highlight w:val="none"/>
                <w:shd w:val="clear" w:color="auto" w:fill="auto"/>
              </w:rPr>
              <w:t>途</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F1CF832">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面 </w:t>
            </w:r>
            <w:r>
              <w:rPr>
                <w:rFonts w:hint="eastAsia" w:ascii="宋体" w:hAnsi="宋体" w:eastAsia="宋体" w:cs="宋体"/>
                <w:color w:val="auto"/>
                <w:spacing w:val="1"/>
                <w:kern w:val="0"/>
                <w:sz w:val="21"/>
                <w:szCs w:val="21"/>
                <w:highlight w:val="none"/>
                <w:shd w:val="clear" w:color="auto" w:fill="auto"/>
              </w:rPr>
              <w:t xml:space="preserve"> </w:t>
            </w:r>
            <w:r>
              <w:rPr>
                <w:rFonts w:hint="eastAsia" w:ascii="宋体" w:hAnsi="宋体" w:eastAsia="宋体" w:cs="宋体"/>
                <w:color w:val="auto"/>
                <w:kern w:val="0"/>
                <w:sz w:val="21"/>
                <w:szCs w:val="21"/>
                <w:highlight w:val="none"/>
                <w:shd w:val="clear" w:color="auto" w:fill="auto"/>
              </w:rPr>
              <w:t>积（平</w:t>
            </w:r>
            <w:r>
              <w:rPr>
                <w:rFonts w:hint="eastAsia" w:ascii="宋体" w:hAnsi="宋体" w:eastAsia="宋体" w:cs="宋体"/>
                <w:color w:val="auto"/>
                <w:spacing w:val="-1"/>
                <w:kern w:val="0"/>
                <w:sz w:val="21"/>
                <w:szCs w:val="21"/>
                <w:highlight w:val="none"/>
                <w:shd w:val="clear" w:color="auto" w:fill="auto"/>
              </w:rPr>
              <w:t>方</w:t>
            </w:r>
            <w:r>
              <w:rPr>
                <w:rFonts w:hint="eastAsia" w:ascii="宋体" w:hAnsi="宋体" w:eastAsia="宋体" w:cs="宋体"/>
                <w:color w:val="auto"/>
                <w:kern w:val="0"/>
                <w:sz w:val="21"/>
                <w:szCs w:val="21"/>
                <w:highlight w:val="none"/>
                <w:shd w:val="clear" w:color="auto" w:fill="auto"/>
              </w:rPr>
              <w:t>米）</w:t>
            </w:r>
          </w:p>
        </w:tc>
        <w:tc>
          <w:tcPr>
            <w:tcW w:w="2131" w:type="dxa"/>
            <w:tcBorders>
              <w:top w:val="single" w:color="000000" w:sz="4" w:space="0"/>
              <w:left w:val="single" w:color="000000" w:sz="4" w:space="0"/>
              <w:bottom w:val="single" w:color="000000" w:sz="4" w:space="0"/>
              <w:right w:val="single" w:color="000000" w:sz="4" w:space="0"/>
            </w:tcBorders>
            <w:noWrap w:val="0"/>
            <w:vAlign w:val="center"/>
          </w:tcPr>
          <w:p w14:paraId="0B90BF41">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位 </w:t>
            </w:r>
            <w:r>
              <w:rPr>
                <w:rFonts w:hint="eastAsia" w:ascii="宋体" w:hAnsi="宋体" w:eastAsia="宋体" w:cs="宋体"/>
                <w:color w:val="auto"/>
                <w:spacing w:val="1"/>
                <w:kern w:val="0"/>
                <w:sz w:val="21"/>
                <w:szCs w:val="21"/>
                <w:highlight w:val="none"/>
                <w:shd w:val="clear" w:color="auto" w:fill="auto"/>
              </w:rPr>
              <w:t xml:space="preserve"> </w:t>
            </w:r>
            <w:r>
              <w:rPr>
                <w:rFonts w:hint="eastAsia" w:ascii="宋体" w:hAnsi="宋体" w:eastAsia="宋体" w:cs="宋体"/>
                <w:color w:val="auto"/>
                <w:kern w:val="0"/>
                <w:sz w:val="21"/>
                <w:szCs w:val="21"/>
                <w:highlight w:val="none"/>
                <w:shd w:val="clear" w:color="auto" w:fill="auto"/>
              </w:rPr>
              <w:t>置</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14:paraId="06D98698">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需用时间</w:t>
            </w:r>
          </w:p>
        </w:tc>
      </w:tr>
      <w:tr w14:paraId="70220237">
        <w:tblPrEx>
          <w:tblCellMar>
            <w:top w:w="0" w:type="dxa"/>
            <w:left w:w="0" w:type="dxa"/>
            <w:bottom w:w="0" w:type="dxa"/>
            <w:right w:w="0" w:type="dxa"/>
          </w:tblCellMar>
        </w:tblPrEx>
        <w:trPr>
          <w:trHeight w:val="450" w:hRule="exact"/>
        </w:trPr>
        <w:tc>
          <w:tcPr>
            <w:tcW w:w="2130" w:type="dxa"/>
            <w:tcBorders>
              <w:top w:val="single" w:color="000000" w:sz="4" w:space="0"/>
              <w:left w:val="single" w:color="000000" w:sz="4" w:space="0"/>
              <w:bottom w:val="single" w:color="000000" w:sz="4" w:space="0"/>
              <w:right w:val="single" w:color="000000" w:sz="4" w:space="0"/>
            </w:tcBorders>
            <w:noWrap w:val="0"/>
            <w:vAlign w:val="top"/>
          </w:tcPr>
          <w:p w14:paraId="40447A1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2130" w:type="dxa"/>
            <w:tcBorders>
              <w:top w:val="single" w:color="000000" w:sz="4" w:space="0"/>
              <w:left w:val="single" w:color="000000" w:sz="4" w:space="0"/>
              <w:bottom w:val="single" w:color="000000" w:sz="4" w:space="0"/>
              <w:right w:val="single" w:color="000000" w:sz="4" w:space="0"/>
            </w:tcBorders>
            <w:noWrap w:val="0"/>
            <w:vAlign w:val="top"/>
          </w:tcPr>
          <w:p w14:paraId="7EDDB19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2131" w:type="dxa"/>
            <w:tcBorders>
              <w:top w:val="single" w:color="000000" w:sz="4" w:space="0"/>
              <w:left w:val="single" w:color="000000" w:sz="4" w:space="0"/>
              <w:bottom w:val="single" w:color="000000" w:sz="4" w:space="0"/>
              <w:right w:val="single" w:color="000000" w:sz="4" w:space="0"/>
            </w:tcBorders>
            <w:noWrap w:val="0"/>
            <w:vAlign w:val="top"/>
          </w:tcPr>
          <w:p w14:paraId="7AE7DA7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2132" w:type="dxa"/>
            <w:tcBorders>
              <w:top w:val="single" w:color="000000" w:sz="4" w:space="0"/>
              <w:left w:val="single" w:color="000000" w:sz="4" w:space="0"/>
              <w:bottom w:val="single" w:color="000000" w:sz="4" w:space="0"/>
              <w:right w:val="single" w:color="000000" w:sz="4" w:space="0"/>
            </w:tcBorders>
            <w:noWrap w:val="0"/>
            <w:vAlign w:val="top"/>
          </w:tcPr>
          <w:p w14:paraId="0843DFB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bl>
    <w:p w14:paraId="00F31C71">
      <w:pPr>
        <w:bidi w:val="0"/>
        <w:rPr>
          <w:rFonts w:hint="eastAsia" w:ascii="宋体" w:hAnsi="宋体" w:eastAsia="宋体" w:cs="宋体"/>
          <w:color w:val="auto"/>
          <w:kern w:val="0"/>
          <w:sz w:val="24"/>
          <w:szCs w:val="24"/>
          <w:highlight w:val="none"/>
          <w:lang w:val="en-US" w:eastAsia="zh-CN"/>
        </w:rPr>
      </w:pPr>
    </w:p>
    <w:p w14:paraId="5C6D88AB">
      <w:pPr>
        <w:bidi w:val="0"/>
        <w:rPr>
          <w:rFonts w:hint="eastAsia" w:ascii="宋体" w:hAnsi="宋体" w:eastAsia="宋体" w:cs="宋体"/>
          <w:color w:val="auto"/>
          <w:kern w:val="0"/>
          <w:sz w:val="24"/>
          <w:szCs w:val="24"/>
          <w:highlight w:val="none"/>
          <w:lang w:val="en-US" w:eastAsia="zh-CN"/>
        </w:rPr>
      </w:pPr>
    </w:p>
    <w:p w14:paraId="13E9A70F">
      <w:pPr>
        <w:bidi w:val="0"/>
        <w:rPr>
          <w:rFonts w:hint="eastAsia"/>
          <w:color w:val="auto"/>
          <w:highlight w:val="none"/>
          <w:lang w:eastAsia="zh-CN"/>
        </w:rPr>
      </w:pPr>
      <w:r>
        <w:rPr>
          <w:rFonts w:hint="eastAsia" w:ascii="宋体" w:hAnsi="宋体" w:eastAsia="宋体" w:cs="宋体"/>
          <w:color w:val="auto"/>
          <w:kern w:val="0"/>
          <w:sz w:val="24"/>
          <w:szCs w:val="24"/>
          <w:highlight w:val="none"/>
          <w:lang w:val="en-US" w:eastAsia="zh-CN"/>
        </w:rPr>
        <w:t>8.对应采购需求中的货物需求、商务条款提供的其他文件资料（如有，请提供）</w:t>
      </w:r>
    </w:p>
    <w:p w14:paraId="068032BF">
      <w:pPr>
        <w:spacing w:line="400" w:lineRule="exact"/>
        <w:ind w:firstLine="0" w:firstLineChars="0"/>
        <w:jc w:val="both"/>
        <w:rPr>
          <w:rFonts w:hint="eastAsia" w:ascii="宋体" w:hAnsi="宋体"/>
          <w:b/>
          <w:color w:val="auto"/>
          <w:kern w:val="0"/>
          <w:sz w:val="32"/>
          <w:szCs w:val="32"/>
          <w:highlight w:val="none"/>
        </w:rPr>
      </w:pPr>
    </w:p>
    <w:p w14:paraId="0418B3A1">
      <w:pPr>
        <w:rPr>
          <w:rFonts w:hint="eastAsia" w:ascii="宋体" w:hAnsi="宋体"/>
          <w:b/>
          <w:color w:val="auto"/>
          <w:kern w:val="0"/>
          <w:sz w:val="32"/>
          <w:szCs w:val="32"/>
          <w:highlight w:val="none"/>
        </w:rPr>
      </w:pPr>
      <w:r>
        <w:rPr>
          <w:rFonts w:hint="eastAsia" w:ascii="宋体" w:hAnsi="宋体"/>
          <w:b/>
          <w:color w:val="auto"/>
          <w:kern w:val="0"/>
          <w:sz w:val="32"/>
          <w:szCs w:val="32"/>
          <w:highlight w:val="none"/>
        </w:rPr>
        <w:br w:type="page"/>
      </w:r>
    </w:p>
    <w:p w14:paraId="2A83F3EF">
      <w:pPr>
        <w:spacing w:line="400" w:lineRule="exact"/>
        <w:ind w:firstLine="0" w:firstLineChars="0"/>
        <w:jc w:val="center"/>
        <w:outlineLvl w:val="1"/>
        <w:rPr>
          <w:rFonts w:hint="eastAsia" w:ascii="宋体" w:hAnsi="宋体"/>
          <w:b/>
          <w:color w:val="auto"/>
          <w:kern w:val="0"/>
          <w:sz w:val="32"/>
          <w:szCs w:val="32"/>
          <w:highlight w:val="none"/>
        </w:rPr>
      </w:pPr>
      <w:r>
        <w:rPr>
          <w:rFonts w:hint="eastAsia" w:ascii="宋体" w:hAnsi="宋体"/>
          <w:b/>
          <w:color w:val="auto"/>
          <w:kern w:val="0"/>
          <w:sz w:val="32"/>
          <w:szCs w:val="32"/>
          <w:highlight w:val="none"/>
        </w:rPr>
        <w:t>（三）其他有效证明材料目录</w:t>
      </w:r>
    </w:p>
    <w:p w14:paraId="2244AA84">
      <w:pPr>
        <w:tabs>
          <w:tab w:val="left" w:pos="1305"/>
        </w:tabs>
        <w:spacing w:line="380" w:lineRule="exact"/>
        <w:ind w:firstLine="420"/>
        <w:rPr>
          <w:rFonts w:hint="eastAsia" w:ascii="宋体" w:hAnsi="宋体" w:cs="宋体"/>
          <w:color w:val="auto"/>
          <w:kern w:val="0"/>
          <w:sz w:val="21"/>
          <w:szCs w:val="21"/>
          <w:highlight w:val="none"/>
        </w:rPr>
      </w:pPr>
    </w:p>
    <w:p w14:paraId="6DEB91C5">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cs="新宋体"/>
          <w:color w:val="auto"/>
          <w:szCs w:val="24"/>
          <w:highlight w:val="none"/>
        </w:rPr>
      </w:pPr>
      <w:r>
        <w:rPr>
          <w:rFonts w:hint="eastAsia" w:ascii="宋体" w:hAnsi="宋体" w:cs="新宋体"/>
          <w:color w:val="auto"/>
          <w:szCs w:val="24"/>
          <w:highlight w:val="none"/>
        </w:rPr>
        <w:t>1.节能、环保产品相关证明材料复印件</w:t>
      </w:r>
      <w:r>
        <w:rPr>
          <w:rFonts w:hint="eastAsia" w:ascii="宋体" w:hAnsi="宋体" w:cs="新宋体"/>
          <w:b/>
          <w:color w:val="auto"/>
          <w:szCs w:val="24"/>
          <w:highlight w:val="none"/>
        </w:rPr>
        <w:t>（如有，请提供）</w:t>
      </w:r>
    </w:p>
    <w:p w14:paraId="3EDC0726">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color w:val="auto"/>
          <w:kern w:val="0"/>
          <w:szCs w:val="24"/>
          <w:highlight w:val="none"/>
        </w:rPr>
      </w:pPr>
      <w:r>
        <w:rPr>
          <w:rFonts w:hint="eastAsia" w:ascii="宋体" w:hAnsi="宋体" w:cs="宋体"/>
          <w:color w:val="auto"/>
          <w:kern w:val="0"/>
          <w:szCs w:val="24"/>
          <w:highlight w:val="none"/>
        </w:rPr>
        <w:t>2.中小</w:t>
      </w:r>
      <w:r>
        <w:rPr>
          <w:rFonts w:hint="eastAsia" w:ascii="宋体" w:hAnsi="宋体" w:cs="宋体"/>
          <w:color w:val="auto"/>
          <w:kern w:val="0"/>
          <w:szCs w:val="24"/>
          <w:highlight w:val="none"/>
          <w:lang w:eastAsia="zh-CN"/>
        </w:rPr>
        <w:t>企业或监狱企业或残疾人福利性单位的证明材料</w:t>
      </w:r>
      <w:r>
        <w:rPr>
          <w:rFonts w:hint="eastAsia" w:ascii="宋体" w:hAnsi="宋体" w:cs="宋体"/>
          <w:b/>
          <w:bCs/>
          <w:color w:val="auto"/>
          <w:kern w:val="0"/>
          <w:szCs w:val="24"/>
          <w:highlight w:val="none"/>
        </w:rPr>
        <w:t>（如有，请提供）</w:t>
      </w:r>
      <w:r>
        <w:rPr>
          <w:rFonts w:hint="eastAsia" w:ascii="宋体" w:hAnsi="宋体" w:cs="宋体"/>
          <w:color w:val="auto"/>
          <w:kern w:val="0"/>
          <w:szCs w:val="24"/>
          <w:highlight w:val="none"/>
        </w:rPr>
        <w:t>【①如属于中小型、微型企业</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中小微型企业划分标准按照《国家统计局关于印发《统计上大中小微型企业划分办法〔2017〕》的通知》（国统字〔2017〕213号）执行</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具体划分标准见第四章评标办法中附表《统计上大中小微型企业划分标准》】，以提供的《中小企业声明函》（见附件）为准；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p>
    <w:p w14:paraId="77E5E98B">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eastAsia="宋体" w:cs="宋体"/>
          <w:b/>
          <w:bCs/>
          <w:color w:val="auto"/>
          <w:kern w:val="0"/>
          <w:szCs w:val="24"/>
          <w:highlight w:val="none"/>
        </w:rPr>
      </w:pPr>
      <w:r>
        <w:rPr>
          <w:rFonts w:hint="eastAsia" w:ascii="宋体" w:hAnsi="宋体" w:eastAsia="宋体" w:cs="新宋体"/>
          <w:color w:val="auto"/>
          <w:szCs w:val="24"/>
          <w:highlight w:val="none"/>
          <w:lang w:val="en-US" w:eastAsia="zh-CN"/>
        </w:rPr>
        <w:t>3.</w:t>
      </w:r>
      <w:r>
        <w:rPr>
          <w:rFonts w:hint="eastAsia" w:ascii="宋体" w:hAnsi="宋体" w:eastAsia="宋体" w:cs="新宋体"/>
          <w:color w:val="auto"/>
          <w:szCs w:val="24"/>
          <w:highlight w:val="none"/>
        </w:rPr>
        <w:t>供应商可结合本项目的评审办法视自身情况自行提交相关证明材料</w:t>
      </w:r>
      <w:r>
        <w:rPr>
          <w:rFonts w:hint="eastAsia" w:ascii="宋体" w:hAnsi="宋体" w:eastAsia="宋体" w:cs="宋体"/>
          <w:b/>
          <w:bCs/>
          <w:color w:val="auto"/>
          <w:kern w:val="0"/>
          <w:szCs w:val="24"/>
          <w:highlight w:val="none"/>
        </w:rPr>
        <w:t>（如有，请提供）</w:t>
      </w:r>
    </w:p>
    <w:p w14:paraId="37F41E25">
      <w:pPr>
        <w:spacing w:line="240" w:lineRule="auto"/>
        <w:ind w:firstLine="0" w:firstLineChars="0"/>
        <w:rPr>
          <w:rFonts w:hint="eastAsia" w:ascii="宋体" w:hAnsi="宋体"/>
          <w:b/>
          <w:bCs/>
          <w:color w:val="auto"/>
          <w:kern w:val="0"/>
          <w:sz w:val="32"/>
          <w:szCs w:val="32"/>
          <w:highlight w:val="none"/>
        </w:rPr>
      </w:pPr>
    </w:p>
    <w:p w14:paraId="18517B89">
      <w:pPr>
        <w:spacing w:line="240" w:lineRule="auto"/>
        <w:ind w:firstLine="0" w:firstLineChars="0"/>
        <w:rPr>
          <w:rFonts w:hint="eastAsia" w:ascii="宋体" w:hAnsi="宋体"/>
          <w:b/>
          <w:bCs/>
          <w:color w:val="auto"/>
          <w:kern w:val="0"/>
          <w:sz w:val="32"/>
          <w:szCs w:val="32"/>
          <w:highlight w:val="none"/>
        </w:rPr>
      </w:pPr>
    </w:p>
    <w:p w14:paraId="3CD93D9E">
      <w:pPr>
        <w:spacing w:line="240" w:lineRule="auto"/>
        <w:ind w:firstLine="0" w:firstLineChars="0"/>
        <w:rPr>
          <w:rFonts w:hint="eastAsia" w:ascii="宋体" w:hAnsi="宋体"/>
          <w:b/>
          <w:bCs/>
          <w:color w:val="auto"/>
          <w:kern w:val="0"/>
          <w:sz w:val="32"/>
          <w:szCs w:val="32"/>
          <w:highlight w:val="none"/>
        </w:rPr>
      </w:pPr>
    </w:p>
    <w:p w14:paraId="038A2D03">
      <w:pPr>
        <w:spacing w:line="240" w:lineRule="auto"/>
        <w:ind w:firstLine="0" w:firstLineChars="0"/>
        <w:rPr>
          <w:rFonts w:hint="eastAsia" w:ascii="宋体" w:hAnsi="宋体"/>
          <w:b/>
          <w:color w:val="auto"/>
          <w:kern w:val="0"/>
          <w:sz w:val="32"/>
          <w:szCs w:val="20"/>
          <w:highlight w:val="none"/>
        </w:rPr>
      </w:pPr>
    </w:p>
    <w:p w14:paraId="00DA09B0">
      <w:pPr>
        <w:pStyle w:val="23"/>
        <w:rPr>
          <w:color w:val="auto"/>
          <w:highlight w:val="none"/>
        </w:rPr>
      </w:pPr>
    </w:p>
    <w:p w14:paraId="73E92618">
      <w:pPr>
        <w:pStyle w:val="23"/>
        <w:rPr>
          <w:color w:val="auto"/>
          <w:highlight w:val="none"/>
        </w:rPr>
      </w:pPr>
    </w:p>
    <w:p w14:paraId="3F2DF2FB">
      <w:pPr>
        <w:pStyle w:val="23"/>
        <w:rPr>
          <w:color w:val="auto"/>
          <w:highlight w:val="none"/>
        </w:rPr>
      </w:pPr>
    </w:p>
    <w:p w14:paraId="3F107BB1">
      <w:pPr>
        <w:pStyle w:val="23"/>
        <w:rPr>
          <w:color w:val="auto"/>
          <w:highlight w:val="none"/>
        </w:rPr>
      </w:pPr>
    </w:p>
    <w:p w14:paraId="10011BC6">
      <w:pPr>
        <w:pStyle w:val="23"/>
        <w:rPr>
          <w:color w:val="auto"/>
          <w:highlight w:val="none"/>
        </w:rPr>
      </w:pPr>
    </w:p>
    <w:p w14:paraId="74C27EE8">
      <w:pPr>
        <w:pStyle w:val="23"/>
        <w:rPr>
          <w:color w:val="auto"/>
          <w:highlight w:val="none"/>
        </w:rPr>
      </w:pPr>
    </w:p>
    <w:p w14:paraId="3C568BDF">
      <w:pPr>
        <w:pStyle w:val="23"/>
        <w:rPr>
          <w:color w:val="auto"/>
          <w:highlight w:val="none"/>
        </w:rPr>
      </w:pPr>
    </w:p>
    <w:p w14:paraId="7D389B11">
      <w:pPr>
        <w:pStyle w:val="23"/>
        <w:rPr>
          <w:color w:val="auto"/>
          <w:highlight w:val="none"/>
        </w:rPr>
      </w:pPr>
    </w:p>
    <w:p w14:paraId="0C7ABCAB">
      <w:pPr>
        <w:spacing w:after="120" w:line="240" w:lineRule="auto"/>
        <w:ind w:firstLine="0" w:firstLineChars="0"/>
        <w:rPr>
          <w:rFonts w:hint="eastAsia" w:ascii="宋体" w:hAnsi="宋体"/>
          <w:color w:val="auto"/>
          <w:sz w:val="21"/>
          <w:szCs w:val="20"/>
          <w:highlight w:val="none"/>
          <w:u w:val="single"/>
        </w:rPr>
      </w:pPr>
    </w:p>
    <w:p w14:paraId="605CA223">
      <w:pPr>
        <w:pStyle w:val="23"/>
        <w:rPr>
          <w:color w:val="auto"/>
          <w:highlight w:val="none"/>
        </w:rPr>
      </w:pPr>
    </w:p>
    <w:p w14:paraId="3202BA7A">
      <w:pPr>
        <w:pStyle w:val="23"/>
        <w:rPr>
          <w:color w:val="auto"/>
          <w:highlight w:val="none"/>
        </w:rPr>
      </w:pPr>
    </w:p>
    <w:p w14:paraId="21AD9CBA">
      <w:pPr>
        <w:pStyle w:val="23"/>
        <w:rPr>
          <w:color w:val="auto"/>
          <w:highlight w:val="none"/>
        </w:rPr>
      </w:pPr>
    </w:p>
    <w:p w14:paraId="31D965A8">
      <w:pPr>
        <w:pStyle w:val="23"/>
        <w:rPr>
          <w:color w:val="auto"/>
          <w:highlight w:val="none"/>
        </w:rPr>
      </w:pPr>
    </w:p>
    <w:p w14:paraId="2C805872">
      <w:pPr>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rPr>
        <w:br w:type="page"/>
      </w:r>
    </w:p>
    <w:p w14:paraId="64F64F73">
      <w:pPr>
        <w:spacing w:line="400" w:lineRule="exact"/>
        <w:ind w:firstLine="0" w:firstLineChars="0"/>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rPr>
        <w:t>1.节能、环保产品相关证明材料复印件（如有，请提供）</w:t>
      </w:r>
    </w:p>
    <w:p w14:paraId="5416832D">
      <w:pPr>
        <w:pStyle w:val="23"/>
        <w:spacing w:line="400" w:lineRule="exact"/>
        <w:rPr>
          <w:color w:val="auto"/>
          <w:highlight w:val="none"/>
        </w:rPr>
      </w:pPr>
    </w:p>
    <w:p w14:paraId="53FA3AF5">
      <w:pPr>
        <w:pStyle w:val="23"/>
        <w:spacing w:line="400" w:lineRule="exact"/>
        <w:rPr>
          <w:color w:val="auto"/>
          <w:highlight w:val="none"/>
        </w:rPr>
      </w:pPr>
    </w:p>
    <w:p w14:paraId="4E231DCD">
      <w:pPr>
        <w:pStyle w:val="23"/>
        <w:spacing w:line="400" w:lineRule="exact"/>
        <w:rPr>
          <w:color w:val="auto"/>
          <w:highlight w:val="none"/>
        </w:rPr>
      </w:pPr>
    </w:p>
    <w:p w14:paraId="21ADF0ED">
      <w:pPr>
        <w:adjustRightInd w:val="0"/>
        <w:snapToGrid w:val="0"/>
        <w:spacing w:line="400" w:lineRule="exact"/>
        <w:ind w:firstLine="0" w:firstLineChars="0"/>
        <w:rPr>
          <w:rFonts w:hint="eastAsia" w:ascii="宋体" w:hAnsi="宋体" w:cs="宋体"/>
          <w:b/>
          <w:color w:val="auto"/>
          <w:kern w:val="0"/>
          <w:sz w:val="32"/>
          <w:szCs w:val="20"/>
          <w:highlight w:val="none"/>
        </w:rPr>
      </w:pPr>
    </w:p>
    <w:p w14:paraId="400F8458">
      <w:pPr>
        <w:adjustRightInd w:val="0"/>
        <w:snapToGrid w:val="0"/>
        <w:spacing w:line="400" w:lineRule="exact"/>
        <w:ind w:firstLine="0" w:firstLineChars="0"/>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rPr>
        <w:t>2.中小</w:t>
      </w:r>
      <w:r>
        <w:rPr>
          <w:rFonts w:hint="eastAsia" w:ascii="宋体" w:hAnsi="宋体" w:cs="宋体"/>
          <w:b/>
          <w:color w:val="auto"/>
          <w:kern w:val="0"/>
          <w:sz w:val="32"/>
          <w:szCs w:val="20"/>
          <w:highlight w:val="none"/>
          <w:lang w:eastAsia="zh-CN"/>
        </w:rPr>
        <w:t>企业或监狱企业或残疾人福利性单位的证明材料</w:t>
      </w:r>
      <w:r>
        <w:rPr>
          <w:rFonts w:hint="eastAsia" w:ascii="宋体" w:hAnsi="宋体" w:cs="宋体"/>
          <w:b/>
          <w:color w:val="auto"/>
          <w:kern w:val="0"/>
          <w:sz w:val="32"/>
          <w:szCs w:val="20"/>
          <w:highlight w:val="none"/>
        </w:rPr>
        <w:t>（如有，请提供）【①如属于中小型、微型企业</w:t>
      </w:r>
      <w:r>
        <w:rPr>
          <w:rFonts w:hint="eastAsia" w:ascii="宋体" w:hAnsi="宋体" w:cs="宋体"/>
          <w:b/>
          <w:color w:val="auto"/>
          <w:kern w:val="0"/>
          <w:sz w:val="32"/>
          <w:szCs w:val="20"/>
          <w:highlight w:val="none"/>
          <w:lang w:eastAsia="zh-CN"/>
        </w:rPr>
        <w:t>〖</w:t>
      </w:r>
      <w:r>
        <w:rPr>
          <w:rFonts w:hint="eastAsia" w:ascii="宋体" w:hAnsi="宋体" w:cs="宋体"/>
          <w:b/>
          <w:color w:val="auto"/>
          <w:kern w:val="0"/>
          <w:sz w:val="32"/>
          <w:szCs w:val="20"/>
          <w:highlight w:val="none"/>
        </w:rPr>
        <w:t>中小微型企业划分标准按照《国家统计局关于印发《统计上大中小微型企业划分办法〔2017〕》的通知》（国统字〔2017〕213号）执行</w:t>
      </w:r>
      <w:r>
        <w:rPr>
          <w:rFonts w:hint="eastAsia" w:ascii="宋体" w:hAnsi="宋体" w:cs="宋体"/>
          <w:b/>
          <w:color w:val="auto"/>
          <w:kern w:val="0"/>
          <w:sz w:val="32"/>
          <w:szCs w:val="20"/>
          <w:highlight w:val="none"/>
          <w:lang w:eastAsia="zh-CN"/>
        </w:rPr>
        <w:t>〗</w:t>
      </w:r>
      <w:r>
        <w:rPr>
          <w:rFonts w:hint="eastAsia" w:ascii="宋体" w:hAnsi="宋体" w:cs="宋体"/>
          <w:b/>
          <w:color w:val="auto"/>
          <w:kern w:val="0"/>
          <w:sz w:val="32"/>
          <w:szCs w:val="20"/>
          <w:highlight w:val="none"/>
        </w:rPr>
        <w:t>，具体划分标准见第四章评标办法中附表《统计上大中小微型企业划分标准》】，以提供的《中小企业声明函》（见附件）为准；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p>
    <w:p w14:paraId="2950618B">
      <w:pPr>
        <w:pStyle w:val="26"/>
        <w:spacing w:line="320" w:lineRule="exact"/>
        <w:rPr>
          <w:rFonts w:hint="eastAsia" w:hAnsi="宋体"/>
          <w:b/>
          <w:color w:val="auto"/>
          <w:sz w:val="32"/>
          <w:szCs w:val="32"/>
          <w:highlight w:val="none"/>
        </w:rPr>
      </w:pPr>
    </w:p>
    <w:p w14:paraId="70711A01">
      <w:pPr>
        <w:pStyle w:val="26"/>
        <w:spacing w:line="320" w:lineRule="exact"/>
        <w:rPr>
          <w:rFonts w:hint="eastAsia" w:hAnsi="宋体"/>
          <w:b/>
          <w:color w:val="auto"/>
          <w:sz w:val="32"/>
          <w:szCs w:val="32"/>
          <w:highlight w:val="none"/>
        </w:rPr>
      </w:pPr>
      <w:r>
        <w:rPr>
          <w:rFonts w:hint="eastAsia" w:hAnsi="宋体"/>
          <w:b/>
          <w:color w:val="auto"/>
          <w:sz w:val="32"/>
          <w:szCs w:val="32"/>
          <w:highlight w:val="none"/>
        </w:rPr>
        <w:t>附件：</w:t>
      </w:r>
    </w:p>
    <w:p w14:paraId="18732A7D">
      <w:pPr>
        <w:snapToGrid w:val="0"/>
        <w:spacing w:before="163" w:beforeLines="50" w:after="50" w:line="320" w:lineRule="exact"/>
        <w:ind w:firstLine="643"/>
        <w:jc w:val="center"/>
        <w:rPr>
          <w:rFonts w:hint="eastAsia" w:ascii="宋体" w:hAnsi="宋体"/>
          <w:b/>
          <w:color w:val="auto"/>
          <w:sz w:val="32"/>
          <w:szCs w:val="32"/>
          <w:highlight w:val="none"/>
        </w:rPr>
      </w:pPr>
      <w:r>
        <w:rPr>
          <w:rFonts w:hint="eastAsia" w:ascii="宋体" w:hAnsi="宋体"/>
          <w:b/>
          <w:color w:val="auto"/>
          <w:sz w:val="32"/>
          <w:szCs w:val="32"/>
          <w:highlight w:val="none"/>
        </w:rPr>
        <w:t>中小企业声明函（货物）（格式）</w:t>
      </w:r>
    </w:p>
    <w:p w14:paraId="7E0FB018">
      <w:pPr>
        <w:snapToGrid w:val="0"/>
        <w:spacing w:before="163" w:beforeLines="50" w:after="50" w:line="320" w:lineRule="exact"/>
        <w:ind w:firstLine="643"/>
        <w:jc w:val="center"/>
        <w:rPr>
          <w:rFonts w:hint="eastAsia" w:ascii="宋体" w:hAnsi="宋体"/>
          <w:b/>
          <w:color w:val="auto"/>
          <w:sz w:val="32"/>
          <w:szCs w:val="32"/>
          <w:highlight w:val="none"/>
        </w:rPr>
      </w:pPr>
    </w:p>
    <w:p w14:paraId="76CDEE09">
      <w:pPr>
        <w:spacing w:line="360" w:lineRule="auto"/>
        <w:ind w:firstLine="480"/>
        <w:rPr>
          <w:rFonts w:hint="eastAsia" w:ascii="宋体" w:hAnsi="宋体"/>
          <w:color w:val="auto"/>
          <w:highlight w:val="none"/>
        </w:rPr>
      </w:pPr>
      <w:r>
        <w:rPr>
          <w:rFonts w:hint="eastAsia" w:ascii="宋体" w:hAnsi="宋体"/>
          <w:color w:val="auto"/>
          <w:highlight w:val="none"/>
        </w:rPr>
        <w:t>本公司（联合体）郑重声明，根据《政府采购促进中小企业发展管理办法》（财库﹝2020﹞46 号）的规定，本公司（联合体）参加</w:t>
      </w:r>
      <w:r>
        <w:rPr>
          <w:rFonts w:hint="eastAsia" w:ascii="宋体" w:hAnsi="宋体"/>
          <w:color w:val="auto"/>
          <w:highlight w:val="none"/>
          <w:u w:val="single"/>
        </w:rPr>
        <w:t>（单位名称）</w:t>
      </w:r>
      <w:r>
        <w:rPr>
          <w:rFonts w:hint="eastAsia" w:ascii="宋体" w:hAnsi="宋体"/>
          <w:color w:val="auto"/>
          <w:highlight w:val="none"/>
        </w:rPr>
        <w:t>的</w:t>
      </w:r>
      <w:r>
        <w:rPr>
          <w:rFonts w:hint="eastAsia" w:ascii="宋体" w:hAnsi="宋体"/>
          <w:color w:val="auto"/>
          <w:highlight w:val="none"/>
          <w:u w:val="single"/>
        </w:rPr>
        <w:t>（项目名称）</w:t>
      </w:r>
      <w:r>
        <w:rPr>
          <w:rFonts w:hint="eastAsia" w:ascii="宋体" w:hAnsi="宋体"/>
          <w:color w:val="auto"/>
          <w:highlight w:val="none"/>
        </w:rPr>
        <w:t>采购活动，提供的货物全部由符合政策要求的中小企业制造。相关企业（含联合体中的中小企业、签订分包意向协议的中小企业）的具体情况如下：</w:t>
      </w:r>
    </w:p>
    <w:p w14:paraId="10CFD369">
      <w:pPr>
        <w:spacing w:line="360" w:lineRule="auto"/>
        <w:ind w:firstLine="480"/>
        <w:rPr>
          <w:rFonts w:hint="eastAsia" w:ascii="宋体" w:hAnsi="宋体"/>
          <w:color w:val="auto"/>
          <w:highlight w:val="none"/>
        </w:rPr>
      </w:pPr>
      <w:r>
        <w:rPr>
          <w:rFonts w:hint="eastAsia" w:ascii="宋体" w:hAnsi="宋体"/>
          <w:color w:val="auto"/>
          <w:highlight w:val="none"/>
          <w:u w:val="single"/>
          <w:lang w:val="en-US" w:eastAsia="zh-CN"/>
        </w:rPr>
        <w:t>1.</w:t>
      </w:r>
      <w:r>
        <w:rPr>
          <w:rFonts w:hint="eastAsia" w:ascii="宋体" w:hAnsi="宋体"/>
          <w:color w:val="auto"/>
          <w:highlight w:val="none"/>
          <w:u w:val="single"/>
          <w:lang w:eastAsia="zh-CN"/>
        </w:rPr>
        <w:t>（标的名称）</w:t>
      </w:r>
      <w:r>
        <w:rPr>
          <w:rFonts w:hint="eastAsia" w:ascii="宋体" w:hAnsi="宋体"/>
          <w:color w:val="auto"/>
          <w:highlight w:val="none"/>
        </w:rPr>
        <w:t>，属于</w:t>
      </w:r>
      <w:r>
        <w:rPr>
          <w:rFonts w:hint="eastAsia" w:ascii="宋体" w:hAnsi="宋体"/>
          <w:color w:val="auto"/>
          <w:highlight w:val="none"/>
          <w:u w:val="single"/>
        </w:rPr>
        <w:t>工业</w:t>
      </w:r>
      <w:r>
        <w:rPr>
          <w:rFonts w:hint="eastAsia" w:ascii="宋体" w:hAnsi="宋体"/>
          <w:color w:val="auto"/>
          <w:highlight w:val="none"/>
        </w:rPr>
        <w:t>行业；制造商为</w:t>
      </w:r>
      <w:r>
        <w:rPr>
          <w:rFonts w:hint="eastAsia" w:ascii="宋体" w:hAnsi="宋体"/>
          <w:color w:val="auto"/>
          <w:highlight w:val="none"/>
          <w:u w:val="single"/>
        </w:rPr>
        <w:t>（企业名称）</w:t>
      </w:r>
      <w:r>
        <w:rPr>
          <w:rFonts w:hint="eastAsia" w:ascii="宋体" w:hAnsi="宋体"/>
          <w:color w:val="auto"/>
          <w:highlight w:val="none"/>
        </w:rPr>
        <w:t>，从业人员</w:t>
      </w:r>
      <w:r>
        <w:rPr>
          <w:rFonts w:hint="eastAsia"/>
          <w:color w:val="auto"/>
          <w:szCs w:val="24"/>
          <w:highlight w:val="none"/>
          <w:u w:val="single"/>
        </w:rPr>
        <w:t xml:space="preserve">        </w:t>
      </w:r>
      <w:r>
        <w:rPr>
          <w:rFonts w:hint="eastAsia" w:ascii="宋体" w:hAnsi="宋体"/>
          <w:color w:val="auto"/>
          <w:highlight w:val="none"/>
        </w:rPr>
        <w:t>人，营业收入为</w:t>
      </w:r>
      <w:r>
        <w:rPr>
          <w:rFonts w:hint="eastAsia"/>
          <w:color w:val="auto"/>
          <w:szCs w:val="24"/>
          <w:highlight w:val="none"/>
          <w:u w:val="single"/>
        </w:rPr>
        <w:t xml:space="preserve">        </w:t>
      </w:r>
      <w:r>
        <w:rPr>
          <w:rFonts w:hint="eastAsia" w:ascii="宋体" w:hAnsi="宋体"/>
          <w:color w:val="auto"/>
          <w:highlight w:val="none"/>
        </w:rPr>
        <w:t>万元，资产总额为</w:t>
      </w:r>
      <w:r>
        <w:rPr>
          <w:rFonts w:hint="eastAsia"/>
          <w:color w:val="auto"/>
          <w:szCs w:val="24"/>
          <w:highlight w:val="none"/>
          <w:u w:val="single"/>
        </w:rPr>
        <w:t xml:space="preserve">        </w:t>
      </w:r>
      <w:r>
        <w:rPr>
          <w:rFonts w:hint="eastAsia" w:ascii="宋体" w:hAnsi="宋体"/>
          <w:color w:val="auto"/>
          <w:highlight w:val="none"/>
        </w:rPr>
        <w:t>万元，属于</w:t>
      </w:r>
      <w:r>
        <w:rPr>
          <w:rFonts w:hint="eastAsia"/>
          <w:color w:val="auto"/>
          <w:szCs w:val="24"/>
          <w:highlight w:val="none"/>
          <w:u w:val="single"/>
        </w:rPr>
        <w:t xml:space="preserve">                   </w:t>
      </w:r>
      <w:r>
        <w:rPr>
          <w:rFonts w:hint="eastAsia" w:ascii="宋体" w:hAnsi="宋体"/>
          <w:color w:val="auto"/>
          <w:highlight w:val="none"/>
        </w:rPr>
        <w:t>（中型企业、小型企业、微型企业）；</w:t>
      </w:r>
    </w:p>
    <w:p w14:paraId="357BCA37">
      <w:pPr>
        <w:pStyle w:val="18"/>
        <w:spacing w:line="360" w:lineRule="auto"/>
        <w:ind w:left="0" w:firstLine="480" w:firstLineChars="200"/>
        <w:rPr>
          <w:rFonts w:hint="eastAsia"/>
          <w:color w:val="auto"/>
          <w:sz w:val="24"/>
          <w:szCs w:val="24"/>
          <w:highlight w:val="none"/>
        </w:rPr>
      </w:pPr>
      <w:r>
        <w:rPr>
          <w:rFonts w:hint="eastAsia"/>
          <w:color w:val="auto"/>
          <w:sz w:val="24"/>
          <w:szCs w:val="24"/>
          <w:highlight w:val="none"/>
          <w:u w:val="single"/>
          <w:lang w:val="en-US" w:eastAsia="zh-CN"/>
        </w:rPr>
        <w:t>2.</w:t>
      </w:r>
      <w:r>
        <w:rPr>
          <w:rFonts w:hint="eastAsia"/>
          <w:color w:val="auto"/>
          <w:sz w:val="24"/>
          <w:szCs w:val="24"/>
          <w:highlight w:val="none"/>
          <w:u w:val="single"/>
          <w:lang w:eastAsia="zh-CN"/>
        </w:rPr>
        <w:t>（标的名称）</w:t>
      </w:r>
      <w:r>
        <w:rPr>
          <w:rFonts w:hint="eastAsia"/>
          <w:color w:val="auto"/>
          <w:sz w:val="24"/>
          <w:szCs w:val="24"/>
          <w:highlight w:val="none"/>
        </w:rPr>
        <w:t>，属于</w:t>
      </w:r>
      <w:r>
        <w:rPr>
          <w:rFonts w:hint="eastAsia"/>
          <w:color w:val="auto"/>
          <w:sz w:val="24"/>
          <w:szCs w:val="24"/>
          <w:highlight w:val="none"/>
          <w:u w:val="single"/>
        </w:rPr>
        <w:t>工业</w:t>
      </w:r>
      <w:r>
        <w:rPr>
          <w:rFonts w:hint="eastAsia"/>
          <w:color w:val="auto"/>
          <w:sz w:val="24"/>
          <w:szCs w:val="24"/>
          <w:highlight w:val="none"/>
        </w:rPr>
        <w:t>行业；制造商为</w:t>
      </w:r>
      <w:r>
        <w:rPr>
          <w:rFonts w:hint="eastAsia"/>
          <w:color w:val="auto"/>
          <w:sz w:val="24"/>
          <w:szCs w:val="24"/>
          <w:highlight w:val="none"/>
          <w:u w:val="single"/>
        </w:rPr>
        <w:t>（企业名称）</w:t>
      </w:r>
      <w:r>
        <w:rPr>
          <w:rFonts w:hint="eastAsia"/>
          <w:color w:val="auto"/>
          <w:sz w:val="24"/>
          <w:szCs w:val="24"/>
          <w:highlight w:val="none"/>
        </w:rPr>
        <w:t>，从业人员</w:t>
      </w:r>
      <w:r>
        <w:rPr>
          <w:rFonts w:hint="eastAsia"/>
          <w:color w:val="auto"/>
          <w:sz w:val="24"/>
          <w:szCs w:val="24"/>
          <w:highlight w:val="none"/>
          <w:u w:val="single"/>
        </w:rPr>
        <w:t xml:space="preserve">        </w:t>
      </w:r>
      <w:r>
        <w:rPr>
          <w:rFonts w:hint="eastAsia"/>
          <w:color w:val="auto"/>
          <w:sz w:val="24"/>
          <w:szCs w:val="24"/>
          <w:highlight w:val="none"/>
        </w:rPr>
        <w:t>人，</w:t>
      </w:r>
      <w:r>
        <w:rPr>
          <w:rFonts w:hint="eastAsia" w:cs="Times New Roman"/>
          <w:color w:val="auto"/>
          <w:kern w:val="2"/>
          <w:sz w:val="24"/>
          <w:szCs w:val="22"/>
          <w:highlight w:val="none"/>
          <w:lang w:val="en-US" w:bidi="ar-SA"/>
        </w:rPr>
        <w:t>营业收入为</w:t>
      </w:r>
      <w:r>
        <w:rPr>
          <w:rFonts w:hint="eastAsia"/>
          <w:color w:val="auto"/>
          <w:sz w:val="24"/>
          <w:szCs w:val="24"/>
          <w:highlight w:val="none"/>
          <w:u w:val="single"/>
        </w:rPr>
        <w:t xml:space="preserve">        </w:t>
      </w:r>
      <w:r>
        <w:rPr>
          <w:rFonts w:hint="eastAsia"/>
          <w:color w:val="auto"/>
          <w:sz w:val="24"/>
          <w:szCs w:val="24"/>
          <w:highlight w:val="none"/>
        </w:rPr>
        <w:t>万元，资产总额为</w:t>
      </w:r>
      <w:r>
        <w:rPr>
          <w:rFonts w:hint="eastAsia"/>
          <w:color w:val="auto"/>
          <w:sz w:val="24"/>
          <w:szCs w:val="24"/>
          <w:highlight w:val="none"/>
          <w:u w:val="single"/>
        </w:rPr>
        <w:t xml:space="preserve">        </w:t>
      </w:r>
      <w:r>
        <w:rPr>
          <w:rFonts w:hint="eastAsia"/>
          <w:color w:val="auto"/>
          <w:sz w:val="24"/>
          <w:szCs w:val="24"/>
          <w:highlight w:val="none"/>
        </w:rPr>
        <w:t>万元，属于</w:t>
      </w:r>
      <w:r>
        <w:rPr>
          <w:rFonts w:hint="eastAsia"/>
          <w:color w:val="auto"/>
          <w:sz w:val="24"/>
          <w:szCs w:val="24"/>
          <w:highlight w:val="none"/>
          <w:u w:val="single"/>
        </w:rPr>
        <w:t xml:space="preserve">                   </w:t>
      </w:r>
      <w:r>
        <w:rPr>
          <w:rFonts w:hint="eastAsia"/>
          <w:color w:val="auto"/>
          <w:sz w:val="24"/>
          <w:szCs w:val="24"/>
          <w:highlight w:val="none"/>
        </w:rPr>
        <w:t>（中型企业、小型企业、微型企业）；</w:t>
      </w:r>
    </w:p>
    <w:p w14:paraId="293E7567">
      <w:pPr>
        <w:pStyle w:val="18"/>
        <w:spacing w:line="360" w:lineRule="auto"/>
        <w:ind w:left="0" w:firstLine="400" w:firstLineChars="200"/>
        <w:rPr>
          <w:rFonts w:hint="default" w:eastAsia="宋体"/>
          <w:color w:val="auto"/>
          <w:sz w:val="24"/>
          <w:szCs w:val="24"/>
          <w:highlight w:val="none"/>
          <w:u w:val="none"/>
          <w:lang w:val="en-US" w:eastAsia="zh-CN" w:bidi="ar-SA"/>
        </w:rPr>
      </w:pPr>
      <w:r>
        <w:rPr>
          <w:rFonts w:hint="eastAsia"/>
          <w:color w:val="auto"/>
          <w:highlight w:val="none"/>
          <w:u w:val="none"/>
          <w:lang w:val="en-US" w:eastAsia="zh-CN"/>
        </w:rPr>
        <w:t>...</w:t>
      </w:r>
      <w:r>
        <w:rPr>
          <w:rFonts w:hint="eastAsia"/>
          <w:color w:val="auto"/>
          <w:sz w:val="24"/>
          <w:szCs w:val="24"/>
          <w:highlight w:val="none"/>
          <w:u w:val="none"/>
          <w:lang w:val="en-US" w:eastAsia="zh-CN"/>
        </w:rPr>
        <w:t>...</w:t>
      </w:r>
    </w:p>
    <w:p w14:paraId="0364D209">
      <w:pPr>
        <w:spacing w:line="360" w:lineRule="auto"/>
        <w:ind w:firstLine="480"/>
        <w:rPr>
          <w:rFonts w:hint="eastAsia"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0C1ACA4C">
      <w:pPr>
        <w:spacing w:line="360" w:lineRule="auto"/>
        <w:ind w:firstLine="480"/>
        <w:rPr>
          <w:rFonts w:hint="eastAsia" w:ascii="宋体" w:hAnsi="宋体"/>
          <w:color w:val="auto"/>
          <w:highlight w:val="none"/>
        </w:rPr>
      </w:pPr>
      <w:r>
        <w:rPr>
          <w:rFonts w:hint="eastAsia" w:ascii="宋体" w:hAnsi="宋体"/>
          <w:color w:val="auto"/>
          <w:highlight w:val="none"/>
        </w:rPr>
        <w:t>本企业对上述声明内容的真实性负责。如有虚假，将依法承担相应责任。</w:t>
      </w:r>
    </w:p>
    <w:p w14:paraId="1358D543">
      <w:pPr>
        <w:spacing w:line="320" w:lineRule="exact"/>
        <w:ind w:firstLine="480"/>
        <w:jc w:val="right"/>
        <w:rPr>
          <w:rFonts w:hint="eastAsia" w:ascii="宋体" w:hAnsi="宋体"/>
          <w:color w:val="auto"/>
          <w:highlight w:val="none"/>
        </w:rPr>
      </w:pPr>
    </w:p>
    <w:p w14:paraId="0F2D2B9D">
      <w:pPr>
        <w:spacing w:line="320" w:lineRule="exact"/>
        <w:ind w:right="960" w:firstLine="480"/>
        <w:jc w:val="center"/>
        <w:rPr>
          <w:rFonts w:hint="eastAsia" w:ascii="宋体" w:hAnsi="宋体"/>
          <w:color w:val="auto"/>
          <w:highlight w:val="none"/>
          <w:u w:val="single"/>
        </w:rPr>
      </w:pPr>
      <w:r>
        <w:rPr>
          <w:rFonts w:hint="eastAsia" w:ascii="宋体" w:hAnsi="宋体"/>
          <w:color w:val="auto"/>
          <w:highlight w:val="none"/>
        </w:rPr>
        <w:t xml:space="preserve">单位名称（电子签章）： </w:t>
      </w:r>
    </w:p>
    <w:p w14:paraId="0CE7D30A">
      <w:pPr>
        <w:spacing w:line="320" w:lineRule="exact"/>
        <w:ind w:right="960" w:firstLine="480"/>
        <w:jc w:val="center"/>
        <w:rPr>
          <w:rFonts w:hint="eastAsia" w:ascii="宋体" w:hAnsi="宋体"/>
          <w:color w:val="auto"/>
          <w:highlight w:val="none"/>
          <w:u w:val="single"/>
        </w:rPr>
      </w:pPr>
      <w:r>
        <w:rPr>
          <w:rFonts w:hint="eastAsia" w:ascii="宋体" w:hAnsi="宋体"/>
          <w:color w:val="auto"/>
          <w:highlight w:val="none"/>
        </w:rPr>
        <w:t>日期：</w:t>
      </w:r>
    </w:p>
    <w:p w14:paraId="56AA4536">
      <w:pPr>
        <w:spacing w:line="320" w:lineRule="exact"/>
        <w:ind w:firstLine="480"/>
        <w:jc w:val="right"/>
        <w:rPr>
          <w:rFonts w:ascii="仿宋_GB2312" w:eastAsia="仿宋_GB2312"/>
          <w:color w:val="auto"/>
          <w:highlight w:val="none"/>
        </w:rPr>
      </w:pPr>
    </w:p>
    <w:p w14:paraId="65740CDE">
      <w:pPr>
        <w:spacing w:line="320" w:lineRule="exact"/>
        <w:ind w:firstLine="482"/>
        <w:rPr>
          <w:rFonts w:hint="eastAsia" w:ascii="宋体" w:hAnsi="宋体"/>
          <w:b/>
          <w:color w:val="auto"/>
          <w:highlight w:val="none"/>
        </w:rPr>
      </w:pPr>
      <w:r>
        <w:rPr>
          <w:rFonts w:hint="eastAsia" w:ascii="宋体" w:hAnsi="宋体"/>
          <w:b/>
          <w:color w:val="auto"/>
          <w:highlight w:val="none"/>
        </w:rPr>
        <w:t>注：</w:t>
      </w:r>
    </w:p>
    <w:p w14:paraId="053DE1A7">
      <w:pPr>
        <w:spacing w:line="320" w:lineRule="exact"/>
        <w:ind w:firstLine="482"/>
        <w:rPr>
          <w:rFonts w:hint="eastAsia" w:ascii="宋体" w:hAnsi="宋体"/>
          <w:b/>
          <w:color w:val="auto"/>
          <w:highlight w:val="none"/>
        </w:rPr>
      </w:pPr>
      <w:r>
        <w:rPr>
          <w:rFonts w:hint="eastAsia" w:ascii="宋体" w:hAnsi="宋体"/>
          <w:b/>
          <w:color w:val="auto"/>
          <w:highlight w:val="none"/>
        </w:rPr>
        <w:t>1.从业人员、营业收入、资产总额填报上一年度数据，无上一年度数据的新成立企业可不填报。</w:t>
      </w:r>
    </w:p>
    <w:p w14:paraId="08F60ADE">
      <w:pPr>
        <w:spacing w:line="320" w:lineRule="exact"/>
        <w:ind w:firstLine="482"/>
        <w:rPr>
          <w:rFonts w:hint="eastAsia" w:ascii="宋体" w:hAnsi="宋体"/>
          <w:b/>
          <w:color w:val="auto"/>
          <w:highlight w:val="none"/>
        </w:rPr>
      </w:pPr>
      <w:r>
        <w:rPr>
          <w:rFonts w:hint="eastAsia" w:ascii="宋体" w:hAnsi="宋体"/>
          <w:b/>
          <w:color w:val="auto"/>
          <w:highlight w:val="none"/>
        </w:rPr>
        <w:t>2.中小企业在政府采购活动过程中，请根据自己的真实情况出具本声明函。依法享受中小企业优惠政策的，采购人或采购代理机构在公告成交结果时，同时公告其《中小企业声明函》，接受社会监督。</w:t>
      </w:r>
    </w:p>
    <w:p w14:paraId="4D1A0264">
      <w:pPr>
        <w:pStyle w:val="23"/>
        <w:rPr>
          <w:color w:val="auto"/>
          <w:highlight w:val="none"/>
        </w:rPr>
        <w:sectPr>
          <w:pgSz w:w="11906" w:h="16838"/>
          <w:pgMar w:top="1440" w:right="1797" w:bottom="1440" w:left="1418" w:header="851" w:footer="992" w:gutter="0"/>
          <w:pgNumType w:fmt="decimal"/>
          <w:cols w:space="720" w:num="1"/>
          <w:docGrid w:type="lines" w:linePitch="326" w:charSpace="0"/>
        </w:sectPr>
      </w:pPr>
      <w:r>
        <w:rPr>
          <w:color w:val="auto"/>
          <w:highlight w:val="none"/>
        </w:rPr>
        <w:br w:type="page"/>
      </w:r>
    </w:p>
    <w:p w14:paraId="2703E5E8">
      <w:pPr>
        <w:pStyle w:val="26"/>
        <w:spacing w:line="320" w:lineRule="exact"/>
        <w:rPr>
          <w:rFonts w:hint="eastAsia" w:hAnsi="宋体"/>
          <w:b/>
          <w:color w:val="auto"/>
          <w:sz w:val="32"/>
          <w:szCs w:val="32"/>
          <w:highlight w:val="none"/>
        </w:rPr>
      </w:pPr>
      <w:r>
        <w:rPr>
          <w:rFonts w:hint="eastAsia" w:hAnsi="宋体"/>
          <w:b/>
          <w:color w:val="auto"/>
          <w:sz w:val="32"/>
          <w:szCs w:val="32"/>
          <w:highlight w:val="none"/>
        </w:rPr>
        <w:t>附件：</w:t>
      </w:r>
    </w:p>
    <w:p w14:paraId="78CB45AC">
      <w:pPr>
        <w:snapToGrid w:val="0"/>
        <w:spacing w:before="163" w:beforeLines="50" w:after="50" w:line="320" w:lineRule="exact"/>
        <w:ind w:firstLine="643"/>
        <w:jc w:val="center"/>
        <w:rPr>
          <w:rFonts w:hint="eastAsia" w:ascii="宋体" w:hAnsi="宋体"/>
          <w:b/>
          <w:color w:val="auto"/>
          <w:sz w:val="32"/>
          <w:szCs w:val="32"/>
          <w:highlight w:val="none"/>
        </w:rPr>
      </w:pPr>
      <w:r>
        <w:rPr>
          <w:rFonts w:hint="eastAsia" w:ascii="宋体" w:hAnsi="宋体"/>
          <w:b/>
          <w:color w:val="auto"/>
          <w:sz w:val="32"/>
          <w:szCs w:val="32"/>
          <w:highlight w:val="none"/>
        </w:rPr>
        <w:t>中小企业声明函（</w:t>
      </w:r>
      <w:r>
        <w:rPr>
          <w:rFonts w:hint="eastAsia" w:ascii="宋体" w:hAnsi="宋体"/>
          <w:b/>
          <w:color w:val="auto"/>
          <w:sz w:val="32"/>
          <w:szCs w:val="32"/>
          <w:highlight w:val="none"/>
          <w:lang w:eastAsia="zh-CN"/>
        </w:rPr>
        <w:t>工程</w:t>
      </w:r>
      <w:r>
        <w:rPr>
          <w:rFonts w:hint="eastAsia" w:ascii="宋体" w:hAnsi="宋体"/>
          <w:b/>
          <w:color w:val="auto"/>
          <w:sz w:val="32"/>
          <w:szCs w:val="32"/>
          <w:highlight w:val="none"/>
        </w:rPr>
        <w:t>）（格式）</w:t>
      </w:r>
    </w:p>
    <w:p w14:paraId="2AA37F14">
      <w:pPr>
        <w:pStyle w:val="26"/>
        <w:pageBreakBefore w:val="0"/>
        <w:wordWrap/>
        <w:overflowPunct/>
        <w:topLinePunct w:val="0"/>
        <w:bidi w:val="0"/>
        <w:snapToGrid/>
        <w:spacing w:beforeAutospacing="0" w:afterAutospacing="0" w:line="360" w:lineRule="auto"/>
        <w:ind w:left="0" w:right="0" w:firstLine="444" w:firstLineChars="200"/>
        <w:rPr>
          <w:rFonts w:hint="eastAsia" w:ascii="宋体" w:hAnsi="宋体" w:eastAsia="宋体" w:cs="宋体"/>
          <w:color w:val="auto"/>
          <w:spacing w:val="6"/>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本公司（联合体）郑重声明，根据《政府采购促进中小企业发展管理办法》（财库﹝2020﹞46 号）的规定，本公司参加（</w:t>
      </w:r>
      <w:r>
        <w:rPr>
          <w:rFonts w:hint="eastAsia" w:ascii="宋体" w:hAnsi="宋体" w:eastAsia="宋体" w:cs="宋体"/>
          <w:color w:val="auto"/>
          <w:spacing w:val="6"/>
          <w:sz w:val="21"/>
          <w:szCs w:val="21"/>
          <w:highlight w:val="none"/>
          <w:u w:val="single"/>
          <w:shd w:val="clear" w:color="auto" w:fill="auto"/>
        </w:rPr>
        <w:t>单位名称</w:t>
      </w:r>
      <w:r>
        <w:rPr>
          <w:rFonts w:hint="eastAsia" w:ascii="宋体" w:hAnsi="宋体" w:eastAsia="宋体" w:cs="宋体"/>
          <w:color w:val="auto"/>
          <w:spacing w:val="6"/>
          <w:sz w:val="21"/>
          <w:szCs w:val="21"/>
          <w:highlight w:val="none"/>
          <w:shd w:val="clear" w:color="auto" w:fill="auto"/>
        </w:rPr>
        <w:t>）的（</w:t>
      </w:r>
      <w:r>
        <w:rPr>
          <w:rFonts w:hint="eastAsia" w:ascii="宋体" w:hAnsi="宋体" w:eastAsia="宋体" w:cs="宋体"/>
          <w:color w:val="auto"/>
          <w:spacing w:val="6"/>
          <w:sz w:val="21"/>
          <w:szCs w:val="21"/>
          <w:highlight w:val="none"/>
          <w:u w:val="single"/>
          <w:shd w:val="clear" w:color="auto" w:fill="auto"/>
        </w:rPr>
        <w:t>项目名称</w:t>
      </w:r>
      <w:r>
        <w:rPr>
          <w:rFonts w:hint="eastAsia" w:ascii="宋体" w:hAnsi="宋体" w:eastAsia="宋体" w:cs="宋体"/>
          <w:color w:val="auto"/>
          <w:spacing w:val="6"/>
          <w:sz w:val="21"/>
          <w:szCs w:val="21"/>
          <w:highlight w:val="none"/>
          <w:shd w:val="clear" w:color="auto" w:fill="auto"/>
        </w:rPr>
        <w:t>）采购活动，项目的工程全部为符合政策要求的中小企业（或者：服务、工程全部由符合政策要求的中小企业承接）。相关企业（含联合体中的中小企业、签订分包意向协议的中小企业）的具体情况如下：</w:t>
      </w:r>
    </w:p>
    <w:p w14:paraId="5A4CF4D1">
      <w:pPr>
        <w:pStyle w:val="26"/>
        <w:pageBreakBefore w:val="0"/>
        <w:wordWrap/>
        <w:overflowPunct/>
        <w:topLinePunct w:val="0"/>
        <w:bidi w:val="0"/>
        <w:snapToGrid/>
        <w:spacing w:beforeAutospacing="0" w:afterAutospacing="0" w:line="360" w:lineRule="auto"/>
        <w:ind w:left="0" w:right="0" w:firstLine="444"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1.</w:t>
      </w:r>
      <w:r>
        <w:rPr>
          <w:rFonts w:hint="eastAsia" w:ascii="宋体" w:hAnsi="宋体" w:eastAsia="宋体" w:cs="宋体"/>
          <w:color w:val="auto"/>
          <w:spacing w:val="6"/>
          <w:sz w:val="21"/>
          <w:szCs w:val="21"/>
          <w:highlight w:val="none"/>
          <w:u w:val="single"/>
          <w:shd w:val="clear" w:color="auto" w:fill="auto"/>
        </w:rPr>
        <w:t xml:space="preserve">（标的名称） </w:t>
      </w:r>
      <w:r>
        <w:rPr>
          <w:rFonts w:hint="eastAsia" w:ascii="宋体" w:hAnsi="宋体" w:eastAsia="宋体" w:cs="宋体"/>
          <w:color w:val="auto"/>
          <w:spacing w:val="6"/>
          <w:sz w:val="21"/>
          <w:szCs w:val="21"/>
          <w:highlight w:val="none"/>
          <w:shd w:val="clear" w:color="auto" w:fill="auto"/>
        </w:rPr>
        <w:t>，属于</w:t>
      </w:r>
      <w:r>
        <w:rPr>
          <w:rFonts w:hint="eastAsia" w:ascii="宋体" w:hAnsi="宋体" w:eastAsia="宋体" w:cs="宋体"/>
          <w:color w:val="auto"/>
          <w:spacing w:val="6"/>
          <w:sz w:val="21"/>
          <w:szCs w:val="21"/>
          <w:highlight w:val="none"/>
          <w:u w:val="single"/>
          <w:shd w:val="clear" w:color="auto" w:fill="auto"/>
        </w:rPr>
        <w:t>（采购文件中明确的所属行业）</w:t>
      </w:r>
      <w:r>
        <w:rPr>
          <w:rFonts w:hint="eastAsia" w:ascii="宋体" w:hAnsi="宋体" w:eastAsia="宋体" w:cs="宋体"/>
          <w:color w:val="auto"/>
          <w:spacing w:val="6"/>
          <w:sz w:val="21"/>
          <w:szCs w:val="21"/>
          <w:highlight w:val="none"/>
          <w:shd w:val="clear" w:color="auto" w:fill="auto"/>
        </w:rPr>
        <w:t>； 承建（承接）企业为</w:t>
      </w:r>
      <w:r>
        <w:rPr>
          <w:rFonts w:hint="eastAsia" w:ascii="宋体" w:hAnsi="宋体" w:eastAsia="宋体" w:cs="宋体"/>
          <w:color w:val="auto"/>
          <w:spacing w:val="6"/>
          <w:sz w:val="21"/>
          <w:szCs w:val="21"/>
          <w:highlight w:val="none"/>
          <w:u w:val="single"/>
          <w:shd w:val="clear" w:color="auto" w:fill="auto"/>
        </w:rPr>
        <w:t xml:space="preserve"> （企业名称） </w:t>
      </w:r>
      <w:r>
        <w:rPr>
          <w:rFonts w:hint="eastAsia" w:ascii="宋体" w:hAnsi="宋体" w:eastAsia="宋体" w:cs="宋体"/>
          <w:color w:val="auto"/>
          <w:spacing w:val="6"/>
          <w:sz w:val="21"/>
          <w:szCs w:val="21"/>
          <w:highlight w:val="none"/>
          <w:shd w:val="clear" w:color="auto" w:fill="auto"/>
        </w:rPr>
        <w:t>，从业人员</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人，营业收入为</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万元，资产总额为</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万元，属于（</w:t>
      </w:r>
      <w:r>
        <w:rPr>
          <w:rFonts w:hint="eastAsia" w:ascii="宋体" w:hAnsi="宋体" w:eastAsia="宋体" w:cs="宋体"/>
          <w:color w:val="auto"/>
          <w:spacing w:val="6"/>
          <w:sz w:val="21"/>
          <w:szCs w:val="21"/>
          <w:highlight w:val="none"/>
          <w:u w:val="single"/>
          <w:shd w:val="clear" w:color="auto" w:fill="auto"/>
        </w:rPr>
        <w:t>中型企业、小型企业、微型企业</w:t>
      </w:r>
      <w:r>
        <w:rPr>
          <w:rFonts w:hint="eastAsia" w:ascii="宋体" w:hAnsi="宋体" w:eastAsia="宋体" w:cs="宋体"/>
          <w:color w:val="auto"/>
          <w:spacing w:val="6"/>
          <w:sz w:val="21"/>
          <w:szCs w:val="21"/>
          <w:highlight w:val="none"/>
          <w:shd w:val="clear" w:color="auto" w:fill="auto"/>
        </w:rPr>
        <w:t>）；</w:t>
      </w:r>
    </w:p>
    <w:p w14:paraId="200B35DA">
      <w:pPr>
        <w:pageBreakBefore w:val="0"/>
        <w:widowControl/>
        <w:wordWrap/>
        <w:overflowPunct/>
        <w:topLinePunct w:val="0"/>
        <w:bidi w:val="0"/>
        <w:snapToGrid/>
        <w:spacing w:beforeAutospacing="0" w:afterAutospacing="0" w:line="360" w:lineRule="auto"/>
        <w:ind w:left="0" w:right="0" w:firstLine="444" w:firstLineChars="200"/>
        <w:jc w:val="left"/>
        <w:rPr>
          <w:rFonts w:hint="eastAsia" w:ascii="宋体" w:hAnsi="宋体" w:eastAsia="宋体" w:cs="宋体"/>
          <w:color w:val="auto"/>
          <w:spacing w:val="6"/>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2.</w:t>
      </w:r>
      <w:r>
        <w:rPr>
          <w:rFonts w:hint="eastAsia" w:ascii="宋体" w:hAnsi="宋体" w:eastAsia="宋体" w:cs="宋体"/>
          <w:color w:val="auto"/>
          <w:spacing w:val="6"/>
          <w:sz w:val="21"/>
          <w:szCs w:val="21"/>
          <w:highlight w:val="none"/>
          <w:u w:val="single"/>
          <w:shd w:val="clear" w:color="auto" w:fill="auto"/>
        </w:rPr>
        <w:t xml:space="preserve">（标的名称） </w:t>
      </w:r>
      <w:r>
        <w:rPr>
          <w:rFonts w:hint="eastAsia" w:ascii="宋体" w:hAnsi="宋体" w:eastAsia="宋体" w:cs="宋体"/>
          <w:color w:val="auto"/>
          <w:spacing w:val="6"/>
          <w:sz w:val="21"/>
          <w:szCs w:val="21"/>
          <w:highlight w:val="none"/>
          <w:shd w:val="clear" w:color="auto" w:fill="auto"/>
        </w:rPr>
        <w:t>，属于</w:t>
      </w:r>
      <w:r>
        <w:rPr>
          <w:rFonts w:hint="eastAsia" w:ascii="宋体" w:hAnsi="宋体" w:eastAsia="宋体" w:cs="宋体"/>
          <w:color w:val="auto"/>
          <w:spacing w:val="6"/>
          <w:sz w:val="21"/>
          <w:szCs w:val="21"/>
          <w:highlight w:val="none"/>
          <w:u w:val="single"/>
          <w:shd w:val="clear" w:color="auto" w:fill="auto"/>
        </w:rPr>
        <w:t>（采购文件中明确的所属行业）</w:t>
      </w:r>
      <w:r>
        <w:rPr>
          <w:rFonts w:hint="eastAsia" w:ascii="宋体" w:hAnsi="宋体" w:eastAsia="宋体" w:cs="宋体"/>
          <w:color w:val="auto"/>
          <w:spacing w:val="6"/>
          <w:sz w:val="21"/>
          <w:szCs w:val="21"/>
          <w:highlight w:val="none"/>
          <w:shd w:val="clear" w:color="auto" w:fill="auto"/>
        </w:rPr>
        <w:t>；承建（承接）企业为（</w:t>
      </w:r>
      <w:r>
        <w:rPr>
          <w:rFonts w:hint="eastAsia" w:ascii="宋体" w:hAnsi="宋体" w:eastAsia="宋体" w:cs="宋体"/>
          <w:color w:val="auto"/>
          <w:spacing w:val="6"/>
          <w:sz w:val="21"/>
          <w:szCs w:val="21"/>
          <w:highlight w:val="none"/>
          <w:u w:val="single"/>
          <w:shd w:val="clear" w:color="auto" w:fill="auto"/>
        </w:rPr>
        <w:t>企业名称</w:t>
      </w:r>
      <w:r>
        <w:rPr>
          <w:rFonts w:hint="eastAsia" w:ascii="宋体" w:hAnsi="宋体" w:eastAsia="宋体" w:cs="宋体"/>
          <w:color w:val="auto"/>
          <w:spacing w:val="6"/>
          <w:sz w:val="21"/>
          <w:szCs w:val="21"/>
          <w:highlight w:val="none"/>
          <w:shd w:val="clear" w:color="auto" w:fill="auto"/>
        </w:rPr>
        <w:t>），从业人员</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人，营业收入为</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万元，资产总额为</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万元，属于（</w:t>
      </w:r>
      <w:r>
        <w:rPr>
          <w:rFonts w:hint="eastAsia" w:ascii="宋体" w:hAnsi="宋体" w:eastAsia="宋体" w:cs="宋体"/>
          <w:color w:val="auto"/>
          <w:spacing w:val="6"/>
          <w:sz w:val="21"/>
          <w:szCs w:val="21"/>
          <w:highlight w:val="none"/>
          <w:u w:val="single"/>
          <w:shd w:val="clear" w:color="auto" w:fill="auto"/>
        </w:rPr>
        <w:t>中型企业、小型企业、微型企业</w:t>
      </w:r>
      <w:r>
        <w:rPr>
          <w:rFonts w:hint="eastAsia" w:ascii="宋体" w:hAnsi="宋体" w:eastAsia="宋体" w:cs="宋体"/>
          <w:color w:val="auto"/>
          <w:spacing w:val="6"/>
          <w:sz w:val="21"/>
          <w:szCs w:val="21"/>
          <w:highlight w:val="none"/>
          <w:shd w:val="clear" w:color="auto" w:fill="auto"/>
        </w:rPr>
        <w:t>）；</w:t>
      </w:r>
    </w:p>
    <w:p w14:paraId="53D94168">
      <w:pPr>
        <w:pStyle w:val="11"/>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p w14:paraId="2F173D16">
      <w:pPr>
        <w:pageBreakBefore w:val="0"/>
        <w:widowControl/>
        <w:wordWrap/>
        <w:overflowPunct/>
        <w:topLinePunct w:val="0"/>
        <w:bidi w:val="0"/>
        <w:snapToGrid/>
        <w:spacing w:beforeAutospacing="0" w:afterAutospacing="0" w:line="360" w:lineRule="auto"/>
        <w:ind w:left="0" w:right="0" w:firstLine="444" w:firstLineChars="200"/>
        <w:jc w:val="left"/>
        <w:rPr>
          <w:rFonts w:hint="eastAsia" w:ascii="宋体" w:hAnsi="宋体" w:eastAsia="宋体" w:cs="宋体"/>
          <w:color w:val="auto"/>
          <w:spacing w:val="6"/>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以上企业，不属于大企业的分支机构，不存在控股股东为大企业的情形，也不存在与大企业的负责人为同一人的情形。</w:t>
      </w:r>
    </w:p>
    <w:p w14:paraId="00722FEC">
      <w:pPr>
        <w:pageBreakBefore w:val="0"/>
        <w:widowControl/>
        <w:wordWrap/>
        <w:overflowPunct/>
        <w:topLinePunct w:val="0"/>
        <w:bidi w:val="0"/>
        <w:snapToGrid/>
        <w:spacing w:beforeAutospacing="0" w:afterAutospacing="0" w:line="360" w:lineRule="auto"/>
        <w:ind w:left="0" w:right="0" w:firstLine="444" w:firstLineChars="200"/>
        <w:jc w:val="left"/>
        <w:rPr>
          <w:rFonts w:hint="eastAsia" w:ascii="宋体" w:hAnsi="宋体" w:eastAsia="宋体" w:cs="宋体"/>
          <w:color w:val="auto"/>
          <w:spacing w:val="6"/>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 xml:space="preserve">本企业对上述声明内容的真实性负责。如有虚假，将依法承担相应责任。 </w:t>
      </w:r>
    </w:p>
    <w:p w14:paraId="10472243">
      <w:pPr>
        <w:pageBreakBefore w:val="0"/>
        <w:wordWrap/>
        <w:overflowPunct/>
        <w:topLinePunct w:val="0"/>
        <w:bidi w:val="0"/>
        <w:snapToGrid/>
        <w:spacing w:beforeAutospacing="0" w:afterAutospacing="0" w:line="360" w:lineRule="auto"/>
        <w:ind w:left="0" w:right="0"/>
        <w:jc w:val="center"/>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单位名称（CA签章）：</w:t>
      </w:r>
      <w:r>
        <w:rPr>
          <w:rFonts w:hint="eastAsia" w:ascii="宋体" w:hAnsi="宋体" w:eastAsia="宋体" w:cs="宋体"/>
          <w:color w:val="auto"/>
          <w:sz w:val="21"/>
          <w:szCs w:val="21"/>
          <w:highlight w:val="none"/>
          <w:u w:val="single"/>
          <w:shd w:val="clear" w:color="auto" w:fill="auto"/>
        </w:rPr>
        <w:t xml:space="preserve">          </w:t>
      </w:r>
    </w:p>
    <w:p w14:paraId="72067E55">
      <w:pPr>
        <w:pageBreakBefore w:val="0"/>
        <w:wordWrap/>
        <w:overflowPunct/>
        <w:topLinePunct w:val="0"/>
        <w:bidi w:val="0"/>
        <w:snapToGrid/>
        <w:spacing w:beforeAutospacing="0" w:afterAutospacing="0" w:line="360" w:lineRule="auto"/>
        <w:ind w:left="0" w:right="0" w:firstLine="3360" w:firstLineChars="1600"/>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日  期：</w:t>
      </w:r>
      <w:r>
        <w:rPr>
          <w:rFonts w:hint="eastAsia" w:ascii="宋体" w:hAnsi="宋体" w:eastAsia="宋体" w:cs="宋体"/>
          <w:color w:val="auto"/>
          <w:sz w:val="21"/>
          <w:szCs w:val="21"/>
          <w:highlight w:val="none"/>
          <w:u w:val="single"/>
          <w:shd w:val="clear" w:color="auto" w:fill="auto"/>
        </w:rPr>
        <w:t xml:space="preserve">          </w:t>
      </w:r>
    </w:p>
    <w:p w14:paraId="344CC3BD">
      <w:pPr>
        <w:pStyle w:val="23"/>
        <w:rPr>
          <w:rFonts w:hint="eastAsia" w:ascii="宋体" w:hAnsi="宋体" w:cs="宋体"/>
          <w:b/>
          <w:color w:val="auto"/>
          <w:sz w:val="32"/>
          <w:highlight w:val="none"/>
        </w:rPr>
        <w:sectPr>
          <w:pgSz w:w="11906" w:h="16838"/>
          <w:pgMar w:top="1440" w:right="1797" w:bottom="1440" w:left="1418" w:header="851" w:footer="992" w:gutter="0"/>
          <w:pgNumType w:fmt="decimal"/>
          <w:cols w:space="720" w:num="1"/>
          <w:docGrid w:type="lines" w:linePitch="326" w:charSpace="0"/>
        </w:sectPr>
      </w:pPr>
    </w:p>
    <w:p w14:paraId="53476A59">
      <w:pPr>
        <w:pStyle w:val="23"/>
        <w:rPr>
          <w:rFonts w:hint="eastAsia" w:ascii="宋体" w:hAnsi="宋体" w:cs="宋体"/>
          <w:b/>
          <w:color w:val="auto"/>
          <w:sz w:val="32"/>
          <w:highlight w:val="none"/>
        </w:rPr>
      </w:pPr>
      <w:r>
        <w:rPr>
          <w:rFonts w:hint="eastAsia" w:ascii="宋体" w:hAnsi="宋体" w:cs="宋体"/>
          <w:b/>
          <w:color w:val="auto"/>
          <w:sz w:val="32"/>
          <w:highlight w:val="none"/>
        </w:rPr>
        <w:t>符合条件的残疾人福利性单位在参加政府采购活动时，提供《残疾人福利性单位声明函》，并对声明的真实性负责（如有，请提供）</w:t>
      </w:r>
    </w:p>
    <w:p w14:paraId="0EB53DD0">
      <w:pPr>
        <w:spacing w:line="240" w:lineRule="auto"/>
        <w:ind w:firstLine="472" w:firstLineChars="147"/>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3593BC9E">
      <w:pPr>
        <w:tabs>
          <w:tab w:val="left" w:pos="1305"/>
        </w:tabs>
        <w:spacing w:line="380" w:lineRule="exact"/>
        <w:ind w:firstLine="0" w:firstLineChars="0"/>
        <w:rPr>
          <w:rFonts w:hint="eastAsia" w:ascii="宋体" w:hAnsi="宋体" w:cs="宋体"/>
          <w:b/>
          <w:bCs/>
          <w:color w:val="auto"/>
          <w:kern w:val="0"/>
          <w:sz w:val="32"/>
          <w:szCs w:val="32"/>
          <w:highlight w:val="none"/>
        </w:rPr>
      </w:pPr>
    </w:p>
    <w:p w14:paraId="6AE20587">
      <w:pPr>
        <w:spacing w:line="588" w:lineRule="exact"/>
        <w:ind w:firstLine="0" w:firstLineChars="0"/>
        <w:jc w:val="center"/>
        <w:rPr>
          <w:rFonts w:hint="eastAsia" w:ascii="宋体" w:hAnsi="宋体" w:cs="宋体"/>
          <w:b/>
          <w:color w:val="auto"/>
          <w:kern w:val="0"/>
          <w:sz w:val="32"/>
          <w:szCs w:val="32"/>
          <w:highlight w:val="none"/>
        </w:rPr>
      </w:pPr>
      <w:bookmarkStart w:id="1891" w:name="OLE_LINK13"/>
      <w:bookmarkStart w:id="1892" w:name="OLE_LINK14"/>
      <w:r>
        <w:rPr>
          <w:rFonts w:hint="eastAsia" w:ascii="宋体" w:hAnsi="宋体" w:cs="宋体"/>
          <w:b/>
          <w:color w:val="auto"/>
          <w:kern w:val="0"/>
          <w:sz w:val="32"/>
          <w:szCs w:val="32"/>
          <w:highlight w:val="none"/>
        </w:rPr>
        <w:t>残疾人福利性单位声明函（格式）</w:t>
      </w:r>
    </w:p>
    <w:bookmarkEnd w:id="1891"/>
    <w:bookmarkEnd w:id="1892"/>
    <w:p w14:paraId="781E001F">
      <w:pPr>
        <w:spacing w:line="588" w:lineRule="exact"/>
        <w:ind w:firstLine="0" w:firstLineChars="0"/>
        <w:rPr>
          <w:rFonts w:hint="eastAsia" w:ascii="宋体" w:hAnsi="宋体" w:cs="宋体"/>
          <w:b/>
          <w:color w:val="auto"/>
          <w:kern w:val="0"/>
          <w:sz w:val="30"/>
          <w:szCs w:val="30"/>
          <w:highlight w:val="none"/>
        </w:rPr>
      </w:pPr>
    </w:p>
    <w:p w14:paraId="2D27B771">
      <w:pPr>
        <w:spacing w:line="588" w:lineRule="exact"/>
        <w:ind w:firstLine="60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本单位郑重声明，根据《财政部 民政部 中国残疾人联合会关于促进残疾人就业政府采购政策的通知》（财库</w:t>
      </w:r>
      <w:r>
        <w:rPr>
          <w:rFonts w:hint="eastAsia" w:ascii="宋体" w:hAnsi="宋体" w:cs="宋体"/>
          <w:color w:val="auto"/>
          <w:kern w:val="0"/>
          <w:sz w:val="32"/>
          <w:szCs w:val="32"/>
          <w:highlight w:val="none"/>
        </w:rPr>
        <w:t>〔2017〕 141</w:t>
      </w:r>
      <w:r>
        <w:rPr>
          <w:rFonts w:hint="eastAsia" w:ascii="宋体" w:hAnsi="宋体" w:cs="宋体"/>
          <w:color w:val="auto"/>
          <w:kern w:val="0"/>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65A46DF">
      <w:pPr>
        <w:spacing w:line="588" w:lineRule="exact"/>
        <w:ind w:firstLine="60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本单位对上述声明的真实性负责。如有虚假，将依法承担相应责任。</w:t>
      </w:r>
    </w:p>
    <w:p w14:paraId="2049F91D">
      <w:pPr>
        <w:spacing w:line="588" w:lineRule="exact"/>
        <w:ind w:firstLine="600"/>
        <w:rPr>
          <w:rFonts w:hint="eastAsia" w:ascii="宋体" w:hAnsi="宋体" w:cs="宋体"/>
          <w:color w:val="auto"/>
          <w:kern w:val="0"/>
          <w:sz w:val="30"/>
          <w:szCs w:val="30"/>
          <w:highlight w:val="none"/>
        </w:rPr>
      </w:pPr>
    </w:p>
    <w:p w14:paraId="3F4CFB06">
      <w:pPr>
        <w:tabs>
          <w:tab w:val="left" w:pos="4860"/>
        </w:tabs>
        <w:spacing w:line="588" w:lineRule="exact"/>
        <w:ind w:right="1560" w:firstLine="600"/>
        <w:jc w:val="center"/>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 xml:space="preserve">      单位名称（电子签章）：</w:t>
      </w:r>
    </w:p>
    <w:p w14:paraId="57A9093B">
      <w:pPr>
        <w:tabs>
          <w:tab w:val="left" w:pos="4860"/>
        </w:tabs>
        <w:spacing w:line="588" w:lineRule="exact"/>
        <w:ind w:right="1560" w:firstLine="600"/>
        <w:jc w:val="center"/>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 xml:space="preserve">   日  期：</w:t>
      </w:r>
    </w:p>
    <w:p w14:paraId="3AC134CC">
      <w:pPr>
        <w:adjustRightInd w:val="0"/>
        <w:snapToGrid w:val="0"/>
        <w:spacing w:line="400" w:lineRule="exact"/>
        <w:ind w:firstLine="0" w:firstLineChars="0"/>
        <w:rPr>
          <w:rFonts w:hint="eastAsia" w:ascii="宋体" w:hAnsi="宋体" w:cs="宋体"/>
          <w:b/>
          <w:color w:val="auto"/>
          <w:kern w:val="0"/>
          <w:sz w:val="32"/>
          <w:szCs w:val="20"/>
          <w:highlight w:val="none"/>
        </w:rPr>
      </w:pPr>
    </w:p>
    <w:p w14:paraId="45CDEAD9">
      <w:pPr>
        <w:pStyle w:val="23"/>
        <w:rPr>
          <w:color w:val="auto"/>
          <w:highlight w:val="none"/>
        </w:rPr>
      </w:pPr>
    </w:p>
    <w:p w14:paraId="429731C7">
      <w:pPr>
        <w:spacing w:line="320" w:lineRule="exact"/>
        <w:ind w:firstLine="0" w:firstLineChars="0"/>
        <w:rPr>
          <w:rFonts w:hint="eastAsia" w:ascii="宋体" w:hAnsi="宋体" w:cs="宋体"/>
          <w:b/>
          <w:bCs/>
          <w:color w:val="auto"/>
          <w:kern w:val="0"/>
          <w:sz w:val="32"/>
          <w:szCs w:val="32"/>
          <w:highlight w:val="none"/>
        </w:rPr>
      </w:pPr>
    </w:p>
    <w:p w14:paraId="376F9B17">
      <w:pPr>
        <w:spacing w:line="400" w:lineRule="exact"/>
        <w:ind w:firstLine="0" w:firstLineChars="0"/>
        <w:rPr>
          <w:rFonts w:hint="eastAsia" w:ascii="宋体" w:hAnsi="宋体" w:eastAsia="宋体" w:cs="宋体"/>
          <w:b/>
          <w:color w:val="auto"/>
          <w:kern w:val="0"/>
          <w:sz w:val="32"/>
          <w:szCs w:val="20"/>
          <w:highlight w:val="none"/>
        </w:rPr>
      </w:pPr>
      <w:r>
        <w:rPr>
          <w:rFonts w:hint="eastAsia" w:ascii="宋体" w:hAnsi="宋体" w:eastAsia="宋体" w:cs="宋体"/>
          <w:b/>
          <w:color w:val="auto"/>
          <w:kern w:val="0"/>
          <w:sz w:val="32"/>
          <w:szCs w:val="20"/>
          <w:highlight w:val="none"/>
          <w:lang w:val="en-US" w:eastAsia="zh-CN"/>
        </w:rPr>
        <w:t>3.</w:t>
      </w:r>
      <w:r>
        <w:rPr>
          <w:rFonts w:hint="eastAsia" w:ascii="宋体" w:hAnsi="宋体" w:eastAsia="宋体" w:cs="宋体"/>
          <w:b/>
          <w:color w:val="auto"/>
          <w:kern w:val="0"/>
          <w:sz w:val="32"/>
          <w:szCs w:val="20"/>
          <w:highlight w:val="none"/>
        </w:rPr>
        <w:t>供应商可结合本项目的评审办法视自身情况自行提交相关证明材料（如有，请提供）</w:t>
      </w:r>
    </w:p>
    <w:p w14:paraId="354F7C85">
      <w:pPr>
        <w:spacing w:line="320" w:lineRule="exact"/>
        <w:ind w:firstLine="0" w:firstLineChars="0"/>
        <w:rPr>
          <w:rFonts w:hint="eastAsia" w:ascii="宋体" w:hAnsi="宋体" w:cs="宋体"/>
          <w:b/>
          <w:bCs/>
          <w:color w:val="auto"/>
          <w:kern w:val="0"/>
          <w:sz w:val="32"/>
          <w:szCs w:val="32"/>
          <w:highlight w:val="none"/>
        </w:rPr>
      </w:pPr>
    </w:p>
    <w:sectPr>
      <w:pgSz w:w="11906" w:h="16838"/>
      <w:pgMar w:top="1440" w:right="1797" w:bottom="1440" w:left="1418" w:header="851" w:footer="992" w:gutter="0"/>
      <w:pgNumType w:fmt="decimal"/>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F0D60BD-CA38-4D9D-A713-87EE349F9C08}"/>
  </w:font>
  <w:font w:name="黑体">
    <w:panose1 w:val="02010609060101010101"/>
    <w:charset w:val="86"/>
    <w:family w:val="auto"/>
    <w:pitch w:val="default"/>
    <w:sig w:usb0="800002BF" w:usb1="38CF7CFA" w:usb2="00000016" w:usb3="00000000" w:csb0="00040001" w:csb1="00000000"/>
    <w:embedRegular r:id="rId2" w:fontKey="{4A814E8B-8CB3-4D99-B566-BCA1FE8E379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embedRegular r:id="rId3" w:fontKey="{EA0BD0F7-2913-4713-86C3-5A6DC81CBA5F}"/>
  </w:font>
  <w:font w:name="微软雅黑">
    <w:panose1 w:val="020B0503020204020204"/>
    <w:charset w:val="86"/>
    <w:family w:val="swiss"/>
    <w:pitch w:val="default"/>
    <w:sig w:usb0="80000287" w:usb1="280F3C52" w:usb2="00000016" w:usb3="00000000" w:csb0="0004001F" w:csb1="00000000"/>
    <w:embedRegular r:id="rId4" w:fontKey="{347D122C-09A2-41C8-B4C7-BD4AC089E4EC}"/>
  </w:font>
  <w:font w:name="MingLiU">
    <w:panose1 w:val="02020509000000000000"/>
    <w:charset w:val="88"/>
    <w:family w:val="moder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embedRegular r:id="rId5" w:fontKey="{BF7D86F5-BD40-447C-856E-7F8B857543AC}"/>
  </w:font>
  <w:font w:name="仿宋">
    <w:panose1 w:val="02010609060101010101"/>
    <w:charset w:val="86"/>
    <w:family w:val="modern"/>
    <w:pitch w:val="default"/>
    <w:sig w:usb0="800002BF" w:usb1="38CF7CFA" w:usb2="00000016" w:usb3="00000000" w:csb0="00040001" w:csb1="00000000"/>
    <w:embedRegular r:id="rId6" w:fontKey="{A23194ED-52B6-42FB-BB66-BDFAF23450E1}"/>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embedRegular r:id="rId7" w:fontKey="{94FF83C3-FA54-4285-B5F9-70CF3DD13D08}"/>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embedRegular r:id="rId8" w:fontKey="{892F4911-3323-4148-84DD-9F4CCF6ED626}"/>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embedRegular r:id="rId9" w:fontKey="{28EAC7AB-0309-41D5-864B-304FBA36D792}"/>
  </w:font>
  <w:font w:name="文鼎中隶简">
    <w:altName w:val="宋体"/>
    <w:panose1 w:val="00000000000000000000"/>
    <w:charset w:val="86"/>
    <w:family w:val="modern"/>
    <w:pitch w:val="default"/>
    <w:sig w:usb0="00000000" w:usb1="00000000" w:usb2="00000000" w:usb3="00000000" w:csb0="00040001" w:csb1="00000000"/>
    <w:embedRegular r:id="rId10" w:fontKey="{5A85AD69-E41C-4EEF-A6B1-EC15757D4CF1}"/>
  </w:font>
  <w:font w:name="方正小标宋简体">
    <w:altName w:val="黑体"/>
    <w:panose1 w:val="02000000000000000000"/>
    <w:charset w:val="86"/>
    <w:family w:val="script"/>
    <w:pitch w:val="default"/>
    <w:sig w:usb0="00000000" w:usb1="00000000" w:usb2="00000012" w:usb3="00000000" w:csb0="00040001" w:csb1="00000000"/>
    <w:embedRegular r:id="rId11" w:fontKey="{9B5EC690-D161-4549-869A-5DBAD21ED6F4}"/>
  </w:font>
  <w:font w:name="国标黑体">
    <w:altName w:val="黑体"/>
    <w:panose1 w:val="02000500000000000000"/>
    <w:charset w:val="86"/>
    <w:family w:val="auto"/>
    <w:pitch w:val="default"/>
    <w:sig w:usb0="00000000" w:usb1="00000000" w:usb2="00000000" w:usb3="00000000" w:csb0="00040000" w:csb1="00000000"/>
    <w:embedRegular r:id="rId12" w:fontKey="{9812CCE8-6984-4D86-8601-D7D842209A5E}"/>
  </w:font>
  <w:font w:name="Arial Unicode MS">
    <w:altName w:val="宋体"/>
    <w:panose1 w:val="020B0604020202020204"/>
    <w:charset w:val="86"/>
    <w:family w:val="swiss"/>
    <w:pitch w:val="default"/>
    <w:sig w:usb0="00000000" w:usb1="00000000" w:usb2="0000003F" w:usb3="00000000" w:csb0="003F01FF" w:csb1="00000000"/>
    <w:embedRegular r:id="rId13" w:fontKey="{04F8642C-2AFD-4A3F-837F-F72B5C9E82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E0A19">
    <w:pPr>
      <w:pStyle w:val="30"/>
      <w:ind w:firstLine="360"/>
      <w:jc w:val="center"/>
    </w:pPr>
  </w:p>
  <w:p w14:paraId="316DF8E2">
    <w:pPr>
      <w:pStyle w:val="30"/>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43A56">
    <w:pPr>
      <w:pStyle w:val="3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8ACA71">
                          <w:pPr>
                            <w:pStyle w:val="3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AAE8kBAACZ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4AATyQEAAJkDAAAOAAAAAAAAAAEAIAAAAB4BAABkcnMvZTJvRG9j&#10;LnhtbFBLBQYAAAAABgAGAFkBAABZBQAAAAA=&#10;">
              <v:fill on="f" focussize="0,0"/>
              <v:stroke on="f"/>
              <v:imagedata o:title=""/>
              <o:lock v:ext="edit" aspectratio="f"/>
              <v:textbox inset="0mm,0mm,0mm,0mm" style="mso-fit-shape-to-text:t;">
                <w:txbxContent>
                  <w:p w14:paraId="038ACA71">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1017C">
    <w:pPr>
      <w:pStyle w:val="30"/>
      <w:ind w:firstLine="36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87A81">
                          <w:pPr>
                            <w:pStyle w:val="30"/>
                            <w:ind w:firstLine="360"/>
                            <w:jc w:val="center"/>
                          </w:pPr>
                          <w:r>
                            <w:fldChar w:fldCharType="begin"/>
                          </w:r>
                          <w:r>
                            <w:instrText xml:space="preserve"> PAGE   \* MERGEFORMAT </w:instrText>
                          </w:r>
                          <w:r>
                            <w:fldChar w:fldCharType="separate"/>
                          </w:r>
                          <w:r>
                            <w:rPr>
                              <w:lang w:val="zh-CN"/>
                            </w:rP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8787A81">
                    <w:pPr>
                      <w:pStyle w:val="30"/>
                      <w:ind w:firstLine="360"/>
                      <w:jc w:val="center"/>
                    </w:pPr>
                    <w:r>
                      <w:fldChar w:fldCharType="begin"/>
                    </w:r>
                    <w:r>
                      <w:instrText xml:space="preserve"> PAGE   \* MERGEFORMAT </w:instrText>
                    </w:r>
                    <w:r>
                      <w:fldChar w:fldCharType="separate"/>
                    </w:r>
                    <w:r>
                      <w:rPr>
                        <w:lang w:val="zh-CN"/>
                      </w:rPr>
                      <w:t>54</w:t>
                    </w:r>
                    <w:r>
                      <w:fldChar w:fldCharType="end"/>
                    </w:r>
                  </w:p>
                </w:txbxContent>
              </v:textbox>
            </v:shape>
          </w:pict>
        </mc:Fallback>
      </mc:AlternateContent>
    </w:r>
  </w:p>
  <w:p w14:paraId="306AD42C">
    <w:pPr>
      <w:pStyle w:val="30"/>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EDE5">
    <w:pPr>
      <w:pStyle w:val="30"/>
      <w:ind w:firstLine="360"/>
      <w:jc w:val="center"/>
    </w:pPr>
    <w:r>
      <w:fldChar w:fldCharType="begin"/>
    </w:r>
    <w:r>
      <w:instrText xml:space="preserve"> PAGE   \* MERGEFORMAT </w:instrText>
    </w:r>
    <w:r>
      <w:fldChar w:fldCharType="separate"/>
    </w:r>
    <w:r>
      <w:rPr>
        <w:lang w:val="zh-CN"/>
      </w:rPr>
      <w:t>56</w:t>
    </w:r>
    <w:r>
      <w:fldChar w:fldCharType="end"/>
    </w:r>
  </w:p>
  <w:p w14:paraId="32743FA9">
    <w:pPr>
      <w:pStyle w:val="30"/>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FE284">
    <w:pPr>
      <w:pStyle w:val="30"/>
      <w:tabs>
        <w:tab w:val="clear" w:pos="4153"/>
      </w:tabs>
      <w:ind w:firstLine="36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AC51F">
    <w:pPr>
      <w:pStyle w:val="3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B9876">
                          <w:pPr>
                            <w:pStyle w:val="30"/>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068B9876">
                    <w:pPr>
                      <w:pStyle w:val="3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31105">
    <w:pPr>
      <w:pStyle w:val="3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7B9340">
                          <w:pPr>
                            <w:pStyle w:val="30"/>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14:paraId="1C7B9340">
                    <w:pPr>
                      <w:pStyle w:val="30"/>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DA694">
    <w:pPr>
      <w:spacing w:line="176" w:lineRule="auto"/>
      <w:ind w:left="0" w:leftChars="0" w:firstLine="0" w:firstLineChars="0"/>
      <w:jc w:val="center"/>
      <w:rPr>
        <w:rFonts w:hint="eastAsia"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049C7">
                          <w:pPr>
                            <w:pStyle w:val="30"/>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5F049C7">
                    <w:pPr>
                      <w:pStyle w:val="30"/>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CEA88">
    <w:pPr>
      <w:pStyle w:val="30"/>
      <w:tabs>
        <w:tab w:val="clear" w:pos="4153"/>
      </w:tabs>
      <w:ind w:firstLine="360"/>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958D46">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14:paraId="75958D46">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30FB">
    <w:pPr>
      <w:pStyle w:val="30"/>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1</w:t>
    </w:r>
    <w:r>
      <w:fldChar w:fldCharType="end"/>
    </w:r>
  </w:p>
  <w:p w14:paraId="5199D435">
    <w:pPr>
      <w:pStyle w:val="3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87874">
    <w:pPr>
      <w:pStyle w:val="30"/>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FA529E3">
                          <w:pPr>
                            <w:pStyle w:val="30"/>
                            <w:ind w:firstLine="360"/>
                          </w:pP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jRuS8cBAACbAwAADgAAAGRycy9lMm9Eb2MueG1srVPNjtMwEL6vxDtY&#10;vtNkK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m5m84c8LSg59//jj/ejw/fGfL&#10;JE/vsaKqO091cXgPAy3NHEcKJtZDG2z6Eh9GeRL3dBFXDZHJdGm1XK1KSknKzQ7hF0/XfcD4QYFl&#10;yah5oNfLoorjJ4xj6VySujm41cbkFzTurwBhjhGVV2C6nZiMEycrDrthoreD5kTselqDmjvaes7M&#10;R0cqp42ZjTAbu8lIHdG/O0QaI0+XUEcoYpUcerPMb9qvtBR/+rnq6Z/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gjRuS8cBAACbAwAADgAAAAAAAAABACAAAAAeAQAAZHJzL2Uyb0RvYy54&#10;bWxQSwUGAAAAAAYABgBZAQAAVwUAAAAA&#10;">
              <v:fill on="f" focussize="0,0"/>
              <v:stroke on="f"/>
              <v:imagedata o:title=""/>
              <o:lock v:ext="edit" aspectratio="f"/>
              <v:textbox inset="0mm,0mm,0mm,0mm" style="mso-fit-shape-to-text:t;">
                <w:txbxContent>
                  <w:p w14:paraId="1FA529E3">
                    <w:pPr>
                      <w:pStyle w:val="30"/>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BC7D4">
    <w:pPr>
      <w:pStyle w:val="30"/>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8B8D6">
    <w:pPr>
      <w:pStyle w:val="30"/>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52</w:t>
    </w:r>
    <w:r>
      <w:fldChar w:fldCharType="end"/>
    </w:r>
  </w:p>
  <w:p w14:paraId="5D77274E">
    <w:pPr>
      <w:pStyle w:val="30"/>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7EF4D">
    <w:pPr>
      <w:pStyle w:val="30"/>
      <w:ind w:firstLine="360"/>
      <w:jc w:val="center"/>
    </w:pPr>
  </w:p>
  <w:p w14:paraId="419F5663">
    <w:pPr>
      <w:pStyle w:val="3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2A3EF">
    <w:pPr>
      <w:pStyle w:val="30"/>
      <w:ind w:right="360" w:firstLine="36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D7165">
                          <w:pPr>
                            <w:pStyle w:val="30"/>
                            <w:ind w:firstLine="360"/>
                            <w:rPr>
                              <w:rStyle w:val="50"/>
                            </w:rPr>
                          </w:pPr>
                          <w:r>
                            <w:fldChar w:fldCharType="begin"/>
                          </w:r>
                          <w:r>
                            <w:rPr>
                              <w:rStyle w:val="50"/>
                            </w:rPr>
                            <w:instrText xml:space="preserve">PAGE  </w:instrText>
                          </w:r>
                          <w:r>
                            <w:fldChar w:fldCharType="separate"/>
                          </w:r>
                          <w:r>
                            <w:rPr>
                              <w:rStyle w:val="50"/>
                            </w:rP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EBD7165">
                    <w:pPr>
                      <w:pStyle w:val="30"/>
                      <w:ind w:firstLine="360"/>
                      <w:rPr>
                        <w:rStyle w:val="50"/>
                      </w:rPr>
                    </w:pPr>
                    <w:r>
                      <w:fldChar w:fldCharType="begin"/>
                    </w:r>
                    <w:r>
                      <w:rPr>
                        <w:rStyle w:val="50"/>
                      </w:rPr>
                      <w:instrText xml:space="preserve">PAGE  </w:instrText>
                    </w:r>
                    <w:r>
                      <w:fldChar w:fldCharType="separate"/>
                    </w:r>
                    <w:r>
                      <w:rPr>
                        <w:rStyle w:val="50"/>
                      </w:rPr>
                      <w:t>33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BFC68">
    <w:pPr>
      <w:pStyle w:val="30"/>
      <w:ind w:firstLine="360"/>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9E409">
                          <w:pPr>
                            <w:pStyle w:val="30"/>
                            <w:ind w:firstLine="360"/>
                            <w:jc w:val="center"/>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379E409">
                    <w:pPr>
                      <w:pStyle w:val="30"/>
                      <w:ind w:firstLine="360"/>
                      <w:jc w:val="center"/>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3FF322E3">
    <w:pPr>
      <w:pStyle w:val="3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F89CF">
    <w:pPr>
      <w:pStyle w:val="30"/>
      <w:ind w:right="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54ED72">
                          <w:pPr>
                            <w:pStyle w:val="3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hhcf8kBAACZ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2mxHGLAz///HH+9ef8+zt5&#10;m+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2GFx/yQEAAJkDAAAOAAAAAAAAAAEAIAAAAB4BAABkcnMvZTJvRG9j&#10;LnhtbFBLBQYAAAAABgAGAFkBAABZBQAAAAA=&#10;">
              <v:fill on="f" focussize="0,0"/>
              <v:stroke on="f"/>
              <v:imagedata o:title=""/>
              <o:lock v:ext="edit" aspectratio="f"/>
              <v:textbox inset="0mm,0mm,0mm,0mm" style="mso-fit-shape-to-text:t;">
                <w:txbxContent>
                  <w:p w14:paraId="6154ED72">
                    <w:pPr>
                      <w:pStyle w:val="3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4D48D">
    <w:pPr>
      <w:pStyle w:val="31"/>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4CBFC">
    <w:pPr>
      <w:pStyle w:val="18"/>
      <w:spacing w:line="46" w:lineRule="auto"/>
      <w:rPr>
        <w:sz w:val="2"/>
      </w:rPr>
    </w:pPr>
    <w:r>
      <mc:AlternateContent>
        <mc:Choice Requires="wps">
          <w:drawing>
            <wp:anchor distT="0" distB="0" distL="114300" distR="114300" simplePos="0" relativeHeight="251665408" behindDoc="0" locked="0" layoutInCell="0" allowOverlap="1">
              <wp:simplePos x="0" y="0"/>
              <wp:positionH relativeFrom="page">
                <wp:posOffset>720090</wp:posOffset>
              </wp:positionH>
              <wp:positionV relativeFrom="page">
                <wp:posOffset>683895</wp:posOffset>
              </wp:positionV>
              <wp:extent cx="6120765" cy="9525"/>
              <wp:effectExtent l="0" t="0" r="0" b="0"/>
              <wp:wrapNone/>
              <wp:docPr id="12" name="任意多边形 12"/>
              <wp:cNvGraphicFramePr/>
              <a:graphic xmlns:a="http://schemas.openxmlformats.org/drawingml/2006/main">
                <a:graphicData uri="http://schemas.microsoft.com/office/word/2010/wordprocessingShape">
                  <wps:wsp>
                    <wps:cNvSpPr/>
                    <wps:spPr>
                      <a:xfrm>
                        <a:off x="0" y="0"/>
                        <a:ext cx="6120765" cy="9525"/>
                      </a:xfrm>
                      <a:custGeom>
                        <a:avLst/>
                        <a:gdLst/>
                        <a:ahLst/>
                        <a:cxnLst/>
                        <a:pathLst>
                          <a:path w="9639" h="15">
                            <a:moveTo>
                              <a:pt x="0" y="0"/>
                            </a:moveTo>
                            <a:lnTo>
                              <a:pt x="9638" y="0"/>
                            </a:lnTo>
                            <a:lnTo>
                              <a:pt x="9638"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7pt;margin-top:53.85pt;height:0.75pt;width:481.95pt;mso-position-horizontal-relative:page;mso-position-vertical-relative:page;z-index:251665408;mso-width-relative:page;mso-height-relative:page;" fillcolor="#000000" filled="t" stroked="f" coordsize="9639,15" o:allowincell="f" o:gfxdata="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AJsydcAAAAMAQAADwAAAAAA&#10;AAABACAAAAAiAAAAZHJzL2Rvd25yZXYueG1sUEsBAhQAFAAAAAgAh07iQLGXacEUAgAAfQQAAA4A&#10;AAAAAAAAAQAgAAAAJgEAAGRycy9lMm9Eb2MueG1sUEsFBgAAAAAGAAYAWQEAAKwFAAAAAA==&#10;" path="m0,0l9638,0,9638,14,0,14,0,0xe">
              <v:fill on="t" focussize="0,0"/>
              <v:stroke on="f"/>
              <v:imagedata o:title=""/>
              <o:lock v:ext="edit" aspectratio="f"/>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B34F">
    <w:pPr>
      <w:pStyle w:val="18"/>
      <w:spacing w:line="46"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7D652">
    <w:pPr>
      <w:pStyle w:val="31"/>
      <w:ind w:firstLine="360"/>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902325" cy="5230495"/>
          <wp:effectExtent l="0" t="0" r="3175" b="8255"/>
          <wp:wrapNone/>
          <wp:docPr id="5" name="WordPictureWatermark9583532"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9583532"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C91D">
    <w:pPr>
      <w:pStyle w:val="31"/>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1426E">
    <w:pPr>
      <w:pStyle w:val="31"/>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2C3C6">
    <w:pPr>
      <w:pStyle w:val="31"/>
      <w:ind w:firstLine="36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02325" cy="5230495"/>
          <wp:effectExtent l="0" t="0" r="3175" b="8255"/>
          <wp:wrapNone/>
          <wp:docPr id="8" name="WordPictureWatermark9583535"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9583535"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CFF70">
    <w:pPr>
      <w:ind w:left="480" w:firstLine="0" w:firstLineChars="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0E130">
    <w:pPr>
      <w:ind w:left="480" w:firstLine="0" w:firstLineChars="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60299">
    <w:pPr>
      <w:pStyle w:val="31"/>
      <w:ind w:firstLine="360"/>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02325" cy="5230495"/>
          <wp:effectExtent l="0" t="0" r="3175" b="8255"/>
          <wp:wrapNone/>
          <wp:docPr id="11" name="WordPictureWatermark9583538"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9583538"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48B0">
    <w:pPr>
      <w:pStyle w:val="3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B8573"/>
    <w:multiLevelType w:val="singleLevel"/>
    <w:tmpl w:val="86EB8573"/>
    <w:lvl w:ilvl="0" w:tentative="0">
      <w:start w:val="1"/>
      <w:numFmt w:val="decimal"/>
      <w:lvlText w:val="%1."/>
      <w:lvlJc w:val="left"/>
      <w:pPr>
        <w:tabs>
          <w:tab w:val="left" w:pos="312"/>
        </w:tabs>
      </w:pPr>
    </w:lvl>
  </w:abstractNum>
  <w:abstractNum w:abstractNumId="1">
    <w:nsid w:val="8B869997"/>
    <w:multiLevelType w:val="singleLevel"/>
    <w:tmpl w:val="8B869997"/>
    <w:lvl w:ilvl="0" w:tentative="0">
      <w:start w:val="1"/>
      <w:numFmt w:val="chineseCounting"/>
      <w:suff w:val="space"/>
      <w:lvlText w:val="第%1条"/>
      <w:lvlJc w:val="left"/>
      <w:rPr>
        <w:rFonts w:hint="eastAsia"/>
      </w:rPr>
    </w:lvl>
  </w:abstractNum>
  <w:abstractNum w:abstractNumId="2">
    <w:nsid w:val="98D35C45"/>
    <w:multiLevelType w:val="singleLevel"/>
    <w:tmpl w:val="98D35C45"/>
    <w:lvl w:ilvl="0" w:tentative="0">
      <w:start w:val="1"/>
      <w:numFmt w:val="decimal"/>
      <w:lvlText w:val="%1."/>
      <w:lvlJc w:val="left"/>
      <w:pPr>
        <w:tabs>
          <w:tab w:val="left" w:pos="312"/>
        </w:tabs>
      </w:pPr>
    </w:lvl>
  </w:abstractNum>
  <w:abstractNum w:abstractNumId="3">
    <w:nsid w:val="B44345B5"/>
    <w:multiLevelType w:val="singleLevel"/>
    <w:tmpl w:val="B44345B5"/>
    <w:lvl w:ilvl="0" w:tentative="0">
      <w:start w:val="1"/>
      <w:numFmt w:val="decimal"/>
      <w:lvlText w:val="%1."/>
      <w:lvlJc w:val="left"/>
      <w:pPr>
        <w:tabs>
          <w:tab w:val="left" w:pos="312"/>
        </w:tabs>
      </w:pPr>
    </w:lvl>
  </w:abstractNum>
  <w:abstractNum w:abstractNumId="4">
    <w:nsid w:val="CAC2B169"/>
    <w:multiLevelType w:val="singleLevel"/>
    <w:tmpl w:val="CAC2B169"/>
    <w:lvl w:ilvl="0" w:tentative="0">
      <w:start w:val="1"/>
      <w:numFmt w:val="decimal"/>
      <w:suff w:val="nothing"/>
      <w:lvlText w:val="%1、"/>
      <w:lvlJc w:val="left"/>
    </w:lvl>
  </w:abstractNum>
  <w:abstractNum w:abstractNumId="5">
    <w:nsid w:val="D741B2CD"/>
    <w:multiLevelType w:val="singleLevel"/>
    <w:tmpl w:val="D741B2CD"/>
    <w:lvl w:ilvl="0" w:tentative="0">
      <w:start w:val="339"/>
      <w:numFmt w:val="decimal"/>
      <w:lvlText w:val="%1"/>
      <w:lvlJc w:val="left"/>
      <w:pPr>
        <w:tabs>
          <w:tab w:val="left" w:pos="420"/>
        </w:tabs>
        <w:ind w:left="425" w:leftChars="0" w:hanging="425" w:firstLineChars="0"/>
      </w:pPr>
      <w:rPr>
        <w:rFonts w:hint="default"/>
      </w:rPr>
    </w:lvl>
  </w:abstractNum>
  <w:abstractNum w:abstractNumId="6">
    <w:nsid w:val="DF7E6C8D"/>
    <w:multiLevelType w:val="singleLevel"/>
    <w:tmpl w:val="DF7E6C8D"/>
    <w:lvl w:ilvl="0" w:tentative="0">
      <w:start w:val="358"/>
      <w:numFmt w:val="decimal"/>
      <w:lvlText w:val="%1"/>
      <w:lvlJc w:val="left"/>
      <w:pPr>
        <w:tabs>
          <w:tab w:val="left" w:pos="420"/>
        </w:tabs>
        <w:ind w:left="425" w:leftChars="0" w:hanging="425" w:firstLineChars="0"/>
      </w:pPr>
      <w:rPr>
        <w:rFonts w:hint="default"/>
      </w:rPr>
    </w:lvl>
  </w:abstractNum>
  <w:abstractNum w:abstractNumId="7">
    <w:nsid w:val="DFBF4ABE"/>
    <w:multiLevelType w:val="singleLevel"/>
    <w:tmpl w:val="DFBF4ABE"/>
    <w:lvl w:ilvl="0" w:tentative="0">
      <w:start w:val="1"/>
      <w:numFmt w:val="decimal"/>
      <w:suff w:val="nothing"/>
      <w:lvlText w:val="%1、"/>
      <w:lvlJc w:val="left"/>
    </w:lvl>
  </w:abstractNum>
  <w:abstractNum w:abstractNumId="8">
    <w:nsid w:val="E3413BA3"/>
    <w:multiLevelType w:val="singleLevel"/>
    <w:tmpl w:val="E3413BA3"/>
    <w:lvl w:ilvl="0" w:tentative="0">
      <w:start w:val="1"/>
      <w:numFmt w:val="decimal"/>
      <w:suff w:val="nothing"/>
      <w:lvlText w:val="%1、"/>
      <w:lvlJc w:val="left"/>
    </w:lvl>
  </w:abstractNum>
  <w:abstractNum w:abstractNumId="9">
    <w:nsid w:val="E4C3DA61"/>
    <w:multiLevelType w:val="singleLevel"/>
    <w:tmpl w:val="E4C3DA61"/>
    <w:lvl w:ilvl="0" w:tentative="0">
      <w:start w:val="1"/>
      <w:numFmt w:val="chineseCounting"/>
      <w:suff w:val="nothing"/>
      <w:lvlText w:val="%1、"/>
      <w:lvlJc w:val="left"/>
      <w:rPr>
        <w:rFonts w:hint="eastAsia"/>
      </w:rPr>
    </w:lvl>
  </w:abstractNum>
  <w:abstractNum w:abstractNumId="10">
    <w:nsid w:val="ECFCA1CF"/>
    <w:multiLevelType w:val="singleLevel"/>
    <w:tmpl w:val="ECFCA1CF"/>
    <w:lvl w:ilvl="0" w:tentative="0">
      <w:start w:val="1"/>
      <w:numFmt w:val="chineseCounting"/>
      <w:suff w:val="space"/>
      <w:lvlText w:val="第%1部分"/>
      <w:lvlJc w:val="left"/>
      <w:rPr>
        <w:rFonts w:hint="eastAsia"/>
      </w:rPr>
    </w:lvl>
  </w:abstractNum>
  <w:abstractNum w:abstractNumId="11">
    <w:nsid w:val="EDDFC609"/>
    <w:multiLevelType w:val="singleLevel"/>
    <w:tmpl w:val="EDDFC609"/>
    <w:lvl w:ilvl="0" w:tentative="0">
      <w:start w:val="316"/>
      <w:numFmt w:val="decimal"/>
      <w:lvlText w:val="%1"/>
      <w:lvlJc w:val="left"/>
      <w:pPr>
        <w:tabs>
          <w:tab w:val="left" w:pos="420"/>
        </w:tabs>
        <w:ind w:left="425" w:leftChars="0" w:hanging="425" w:firstLineChars="0"/>
      </w:pPr>
      <w:rPr>
        <w:rFonts w:hint="default"/>
      </w:rPr>
    </w:lvl>
  </w:abstractNum>
  <w:abstractNum w:abstractNumId="12">
    <w:nsid w:val="EFCED79C"/>
    <w:multiLevelType w:val="singleLevel"/>
    <w:tmpl w:val="EFCED79C"/>
    <w:lvl w:ilvl="0" w:tentative="0">
      <w:start w:val="354"/>
      <w:numFmt w:val="decimal"/>
      <w:lvlText w:val="%1"/>
      <w:lvlJc w:val="left"/>
      <w:pPr>
        <w:tabs>
          <w:tab w:val="left" w:pos="420"/>
        </w:tabs>
        <w:ind w:left="425" w:leftChars="0" w:hanging="425" w:firstLineChars="0"/>
      </w:pPr>
      <w:rPr>
        <w:rFonts w:hint="default"/>
      </w:rPr>
    </w:lvl>
  </w:abstractNum>
  <w:abstractNum w:abstractNumId="13">
    <w:nsid w:val="F7BF4FB6"/>
    <w:multiLevelType w:val="singleLevel"/>
    <w:tmpl w:val="F7BF4FB6"/>
    <w:lvl w:ilvl="0" w:tentative="0">
      <w:start w:val="346"/>
      <w:numFmt w:val="decimal"/>
      <w:lvlText w:val="%1"/>
      <w:lvlJc w:val="left"/>
      <w:pPr>
        <w:tabs>
          <w:tab w:val="left" w:pos="420"/>
        </w:tabs>
        <w:ind w:left="425" w:leftChars="0" w:hanging="425" w:firstLineChars="0"/>
      </w:pPr>
      <w:rPr>
        <w:rFonts w:hint="default"/>
      </w:rPr>
    </w:lvl>
  </w:abstractNum>
  <w:abstractNum w:abstractNumId="14">
    <w:nsid w:val="FAFEA3B2"/>
    <w:multiLevelType w:val="singleLevel"/>
    <w:tmpl w:val="FAFEA3B2"/>
    <w:lvl w:ilvl="0" w:tentative="0">
      <w:start w:val="138"/>
      <w:numFmt w:val="decimal"/>
      <w:suff w:val="nothing"/>
      <w:lvlText w:val="%1"/>
      <w:lvlJc w:val="left"/>
      <w:pPr>
        <w:ind w:left="425" w:leftChars="0" w:hanging="425" w:firstLineChars="0"/>
      </w:pPr>
      <w:rPr>
        <w:rFonts w:hint="default"/>
      </w:rPr>
    </w:lvl>
  </w:abstractNum>
  <w:abstractNum w:abstractNumId="15">
    <w:nsid w:val="FEF83F53"/>
    <w:multiLevelType w:val="singleLevel"/>
    <w:tmpl w:val="FEF83F53"/>
    <w:lvl w:ilvl="0" w:tentative="0">
      <w:start w:val="116"/>
      <w:numFmt w:val="decimal"/>
      <w:lvlText w:val="%1"/>
      <w:lvlJc w:val="left"/>
      <w:pPr>
        <w:tabs>
          <w:tab w:val="left" w:pos="420"/>
        </w:tabs>
        <w:ind w:left="425" w:leftChars="0" w:hanging="425" w:firstLineChars="0"/>
      </w:pPr>
      <w:rPr>
        <w:rFonts w:hint="default" w:asciiTheme="minorEastAsia" w:hAnsiTheme="minorEastAsia" w:eastAsiaTheme="minorEastAsia" w:cstheme="minorEastAsia"/>
        <w:sz w:val="21"/>
      </w:rPr>
    </w:lvl>
  </w:abstractNum>
  <w:abstractNum w:abstractNumId="16">
    <w:nsid w:val="0998C317"/>
    <w:multiLevelType w:val="singleLevel"/>
    <w:tmpl w:val="0998C317"/>
    <w:lvl w:ilvl="0" w:tentative="0">
      <w:start w:val="1"/>
      <w:numFmt w:val="decimal"/>
      <w:lvlText w:val="%1."/>
      <w:lvlJc w:val="left"/>
      <w:pPr>
        <w:tabs>
          <w:tab w:val="left" w:pos="312"/>
        </w:tabs>
      </w:pPr>
    </w:lvl>
  </w:abstractNum>
  <w:abstractNum w:abstractNumId="17">
    <w:nsid w:val="0C8918D0"/>
    <w:multiLevelType w:val="singleLevel"/>
    <w:tmpl w:val="0C8918D0"/>
    <w:lvl w:ilvl="0" w:tentative="0">
      <w:start w:val="1"/>
      <w:numFmt w:val="chineseCounting"/>
      <w:suff w:val="nothing"/>
      <w:lvlText w:val="%1、"/>
      <w:lvlJc w:val="left"/>
      <w:rPr>
        <w:rFonts w:hint="eastAsia"/>
      </w:rPr>
    </w:lvl>
  </w:abstractNum>
  <w:abstractNum w:abstractNumId="18">
    <w:nsid w:val="105FC94F"/>
    <w:multiLevelType w:val="singleLevel"/>
    <w:tmpl w:val="105FC94F"/>
    <w:lvl w:ilvl="0" w:tentative="0">
      <w:start w:val="1"/>
      <w:numFmt w:val="chineseCounting"/>
      <w:suff w:val="nothing"/>
      <w:lvlText w:val="%1、"/>
      <w:lvlJc w:val="left"/>
      <w:rPr>
        <w:rFonts w:hint="eastAsia"/>
      </w:rPr>
    </w:lvl>
  </w:abstractNum>
  <w:abstractNum w:abstractNumId="19">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2"/>
      <w:suff w:val="space"/>
      <w:lvlText w:val="%1.%2"/>
      <w:lvlJc w:val="left"/>
      <w:pPr>
        <w:ind w:left="1002" w:hanging="576"/>
      </w:pPr>
      <w:rPr>
        <w:rFonts w:hint="eastAsia"/>
        <w:lang w:val="en-US"/>
      </w:rPr>
    </w:lvl>
    <w:lvl w:ilvl="2" w:tentative="0">
      <w:start w:val="1"/>
      <w:numFmt w:val="decimal"/>
      <w:pStyle w:val="4"/>
      <w:suff w:val="space"/>
      <w:lvlText w:val="%1.%2.%3"/>
      <w:lvlJc w:val="left"/>
      <w:pPr>
        <w:ind w:left="720" w:hanging="720"/>
      </w:pPr>
      <w:rPr>
        <w:rFonts w:hint="eastAsia"/>
      </w:rPr>
    </w:lvl>
    <w:lvl w:ilvl="3" w:tentative="0">
      <w:start w:val="1"/>
      <w:numFmt w:val="decimal"/>
      <w:pStyle w:val="5"/>
      <w:suff w:val="space"/>
      <w:lvlText w:val="%1.%2.%3.%4"/>
      <w:lvlJc w:val="left"/>
      <w:pPr>
        <w:ind w:left="864" w:hanging="864"/>
      </w:pPr>
      <w:rPr>
        <w:rFonts w:hint="eastAsia"/>
      </w:rPr>
    </w:lvl>
    <w:lvl w:ilvl="4" w:tentative="0">
      <w:start w:val="1"/>
      <w:numFmt w:val="decimal"/>
      <w:pStyle w:val="6"/>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7"/>
      <w:suff w:val="space"/>
      <w:lvlText w:val="%1.%2.%3.%4.%5.%6.%7"/>
      <w:lvlJc w:val="left"/>
      <w:pPr>
        <w:ind w:left="1296" w:hanging="1296"/>
      </w:pPr>
      <w:rPr>
        <w:rFonts w:hint="eastAsia"/>
      </w:rPr>
    </w:lvl>
    <w:lvl w:ilvl="7" w:tentative="0">
      <w:start w:val="1"/>
      <w:numFmt w:val="decimal"/>
      <w:pStyle w:val="9"/>
      <w:suff w:val="space"/>
      <w:lvlText w:val="%1.%2.%3.%4.%5.%6.%7.%8"/>
      <w:lvlJc w:val="left"/>
      <w:pPr>
        <w:ind w:left="1440" w:hanging="1440"/>
      </w:pPr>
      <w:rPr>
        <w:rFonts w:hint="eastAsia"/>
      </w:rPr>
    </w:lvl>
    <w:lvl w:ilvl="8" w:tentative="0">
      <w:start w:val="1"/>
      <w:numFmt w:val="decimal"/>
      <w:pStyle w:val="10"/>
      <w:suff w:val="space"/>
      <w:lvlText w:val="%1.%2.%3.%4.%5.%6.%7.%8.%9"/>
      <w:lvlJc w:val="left"/>
      <w:pPr>
        <w:ind w:left="1584" w:hanging="1584"/>
      </w:pPr>
      <w:rPr>
        <w:rFonts w:hint="eastAsia"/>
      </w:rPr>
    </w:lvl>
  </w:abstractNum>
  <w:abstractNum w:abstractNumId="20">
    <w:nsid w:val="374501D5"/>
    <w:multiLevelType w:val="singleLevel"/>
    <w:tmpl w:val="374501D5"/>
    <w:lvl w:ilvl="0" w:tentative="0">
      <w:start w:val="1"/>
      <w:numFmt w:val="decimal"/>
      <w:lvlText w:val="%1."/>
      <w:lvlJc w:val="left"/>
      <w:pPr>
        <w:tabs>
          <w:tab w:val="left" w:pos="312"/>
        </w:tabs>
      </w:pPr>
    </w:lvl>
  </w:abstractNum>
  <w:abstractNum w:abstractNumId="21">
    <w:nsid w:val="45E1A8AB"/>
    <w:multiLevelType w:val="singleLevel"/>
    <w:tmpl w:val="45E1A8AB"/>
    <w:lvl w:ilvl="0" w:tentative="0">
      <w:start w:val="1"/>
      <w:numFmt w:val="decimal"/>
      <w:lvlText w:val="%1."/>
      <w:lvlJc w:val="left"/>
      <w:pPr>
        <w:tabs>
          <w:tab w:val="left" w:pos="312"/>
        </w:tabs>
      </w:pPr>
    </w:lvl>
  </w:abstractNum>
  <w:abstractNum w:abstractNumId="22">
    <w:nsid w:val="551D2F80"/>
    <w:multiLevelType w:val="singleLevel"/>
    <w:tmpl w:val="551D2F80"/>
    <w:lvl w:ilvl="0" w:tentative="0">
      <w:start w:val="1"/>
      <w:numFmt w:val="decimal"/>
      <w:lvlText w:val="%1."/>
      <w:lvlJc w:val="left"/>
      <w:pPr>
        <w:tabs>
          <w:tab w:val="left" w:pos="312"/>
        </w:tabs>
      </w:pPr>
    </w:lvl>
  </w:abstractNum>
  <w:abstractNum w:abstractNumId="23">
    <w:nsid w:val="56EC405C"/>
    <w:multiLevelType w:val="singleLevel"/>
    <w:tmpl w:val="56EC405C"/>
    <w:lvl w:ilvl="0" w:tentative="0">
      <w:start w:val="1"/>
      <w:numFmt w:val="chineseCounting"/>
      <w:suff w:val="nothing"/>
      <w:lvlText w:val="%1、"/>
      <w:lvlJc w:val="left"/>
      <w:rPr>
        <w:rFonts w:hint="eastAsia"/>
      </w:rPr>
    </w:lvl>
  </w:abstractNum>
  <w:abstractNum w:abstractNumId="24">
    <w:nsid w:val="5B9D5306"/>
    <w:multiLevelType w:val="singleLevel"/>
    <w:tmpl w:val="5B9D5306"/>
    <w:lvl w:ilvl="0" w:tentative="0">
      <w:start w:val="4"/>
      <w:numFmt w:val="decimal"/>
      <w:suff w:val="nothing"/>
      <w:lvlText w:val="（%1）"/>
      <w:lvlJc w:val="left"/>
    </w:lvl>
  </w:abstractNum>
  <w:abstractNum w:abstractNumId="25">
    <w:nsid w:val="5B9D5308"/>
    <w:multiLevelType w:val="singleLevel"/>
    <w:tmpl w:val="5B9D5308"/>
    <w:lvl w:ilvl="0" w:tentative="0">
      <w:start w:val="8"/>
      <w:numFmt w:val="decimal"/>
      <w:suff w:val="space"/>
      <w:lvlText w:val="%1."/>
      <w:lvlJc w:val="left"/>
    </w:lvl>
  </w:abstractNum>
  <w:abstractNum w:abstractNumId="26">
    <w:nsid w:val="5B9D5309"/>
    <w:multiLevelType w:val="singleLevel"/>
    <w:tmpl w:val="5B9D5309"/>
    <w:lvl w:ilvl="0" w:tentative="0">
      <w:start w:val="6"/>
      <w:numFmt w:val="chineseCounting"/>
      <w:suff w:val="nothing"/>
      <w:lvlText w:val="%1、"/>
      <w:lvlJc w:val="left"/>
      <w:rPr>
        <w:rFonts w:hint="eastAsia"/>
      </w:rPr>
    </w:lvl>
  </w:abstractNum>
  <w:abstractNum w:abstractNumId="27">
    <w:nsid w:val="61E8F60E"/>
    <w:multiLevelType w:val="singleLevel"/>
    <w:tmpl w:val="61E8F60E"/>
    <w:lvl w:ilvl="0" w:tentative="0">
      <w:start w:val="1"/>
      <w:numFmt w:val="decimal"/>
      <w:lvlText w:val="%1."/>
      <w:lvlJc w:val="left"/>
      <w:pPr>
        <w:tabs>
          <w:tab w:val="left" w:pos="312"/>
        </w:tabs>
      </w:pPr>
    </w:lvl>
  </w:abstractNum>
  <w:abstractNum w:abstractNumId="28">
    <w:nsid w:val="6A98117E"/>
    <w:multiLevelType w:val="multilevel"/>
    <w:tmpl w:val="6A98117E"/>
    <w:lvl w:ilvl="0" w:tentative="0">
      <w:start w:val="1"/>
      <w:numFmt w:val="chineseCounting"/>
      <w:suff w:val="space"/>
      <w:lvlText w:val="第%1章"/>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8E2D185"/>
    <w:multiLevelType w:val="singleLevel"/>
    <w:tmpl w:val="78E2D185"/>
    <w:lvl w:ilvl="0" w:tentative="0">
      <w:start w:val="7"/>
      <w:numFmt w:val="chineseCounting"/>
      <w:suff w:val="nothing"/>
      <w:lvlText w:val="%1、"/>
      <w:lvlJc w:val="left"/>
      <w:rPr>
        <w:rFonts w:hint="eastAsia"/>
      </w:rPr>
    </w:lvl>
  </w:abstractNum>
  <w:abstractNum w:abstractNumId="30">
    <w:nsid w:val="7F3C3E74"/>
    <w:multiLevelType w:val="singleLevel"/>
    <w:tmpl w:val="7F3C3E74"/>
    <w:lvl w:ilvl="0" w:tentative="0">
      <w:start w:val="227"/>
      <w:numFmt w:val="decimal"/>
      <w:lvlText w:val="%1"/>
      <w:lvlJc w:val="left"/>
      <w:pPr>
        <w:tabs>
          <w:tab w:val="left" w:pos="420"/>
        </w:tabs>
        <w:ind w:left="425" w:leftChars="0" w:hanging="425" w:firstLineChars="0"/>
      </w:pPr>
      <w:rPr>
        <w:rFonts w:hint="default"/>
      </w:rPr>
    </w:lvl>
  </w:abstractNum>
  <w:num w:numId="1">
    <w:abstractNumId w:val="19"/>
  </w:num>
  <w:num w:numId="2">
    <w:abstractNumId w:val="29"/>
  </w:num>
  <w:num w:numId="3">
    <w:abstractNumId w:val="27"/>
  </w:num>
  <w:num w:numId="4">
    <w:abstractNumId w:val="2"/>
  </w:num>
  <w:num w:numId="5">
    <w:abstractNumId w:val="0"/>
  </w:num>
  <w:num w:numId="6">
    <w:abstractNumId w:val="21"/>
  </w:num>
  <w:num w:numId="7">
    <w:abstractNumId w:val="15"/>
  </w:num>
  <w:num w:numId="8">
    <w:abstractNumId w:val="14"/>
  </w:num>
  <w:num w:numId="9">
    <w:abstractNumId w:val="16"/>
  </w:num>
  <w:num w:numId="10">
    <w:abstractNumId w:val="4"/>
  </w:num>
  <w:num w:numId="11">
    <w:abstractNumId w:val="20"/>
  </w:num>
  <w:num w:numId="12">
    <w:abstractNumId w:val="3"/>
  </w:num>
  <w:num w:numId="13">
    <w:abstractNumId w:val="30"/>
  </w:num>
  <w:num w:numId="14">
    <w:abstractNumId w:val="17"/>
  </w:num>
  <w:num w:numId="15">
    <w:abstractNumId w:val="18"/>
  </w:num>
  <w:num w:numId="16">
    <w:abstractNumId w:val="23"/>
  </w:num>
  <w:num w:numId="17">
    <w:abstractNumId w:val="11"/>
  </w:num>
  <w:num w:numId="18">
    <w:abstractNumId w:val="9"/>
  </w:num>
  <w:num w:numId="19">
    <w:abstractNumId w:val="5"/>
  </w:num>
  <w:num w:numId="20">
    <w:abstractNumId w:val="13"/>
  </w:num>
  <w:num w:numId="21">
    <w:abstractNumId w:val="8"/>
  </w:num>
  <w:num w:numId="22">
    <w:abstractNumId w:val="12"/>
  </w:num>
  <w:num w:numId="23">
    <w:abstractNumId w:val="6"/>
  </w:num>
  <w:num w:numId="24">
    <w:abstractNumId w:val="22"/>
  </w:num>
  <w:num w:numId="25">
    <w:abstractNumId w:val="7"/>
  </w:num>
  <w:num w:numId="26">
    <w:abstractNumId w:val="1"/>
  </w:num>
  <w:num w:numId="27">
    <w:abstractNumId w:val="10"/>
  </w:num>
  <w:num w:numId="28">
    <w:abstractNumId w:val="24"/>
  </w:num>
  <w:num w:numId="29">
    <w:abstractNumId w:val="25"/>
  </w:num>
  <w:num w:numId="30">
    <w:abstractNumId w:val="26"/>
  </w:num>
  <w:num w:numId="31">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TQzYmM1OTQzMTRhMzg5NzJmNGVkNTA3ZmNiODMifQ=="/>
  </w:docVars>
  <w:rsids>
    <w:rsidRoot w:val="00D0178C"/>
    <w:rsid w:val="000017A7"/>
    <w:rsid w:val="00002E39"/>
    <w:rsid w:val="00003B4D"/>
    <w:rsid w:val="00003B58"/>
    <w:rsid w:val="0000457E"/>
    <w:rsid w:val="00005BA2"/>
    <w:rsid w:val="00005CC6"/>
    <w:rsid w:val="000065F3"/>
    <w:rsid w:val="000072AE"/>
    <w:rsid w:val="00010902"/>
    <w:rsid w:val="00011604"/>
    <w:rsid w:val="00011B6F"/>
    <w:rsid w:val="00011E36"/>
    <w:rsid w:val="00013764"/>
    <w:rsid w:val="00013F0C"/>
    <w:rsid w:val="000149A0"/>
    <w:rsid w:val="00015AD6"/>
    <w:rsid w:val="00016D42"/>
    <w:rsid w:val="00017577"/>
    <w:rsid w:val="00020A4E"/>
    <w:rsid w:val="00021013"/>
    <w:rsid w:val="0002126F"/>
    <w:rsid w:val="000213E4"/>
    <w:rsid w:val="00021A0D"/>
    <w:rsid w:val="000222F1"/>
    <w:rsid w:val="000228F2"/>
    <w:rsid w:val="00022D5E"/>
    <w:rsid w:val="0002368C"/>
    <w:rsid w:val="000248B4"/>
    <w:rsid w:val="00024A0A"/>
    <w:rsid w:val="0002561E"/>
    <w:rsid w:val="00025A05"/>
    <w:rsid w:val="00026660"/>
    <w:rsid w:val="00027A30"/>
    <w:rsid w:val="0003080B"/>
    <w:rsid w:val="00030BCD"/>
    <w:rsid w:val="0003110B"/>
    <w:rsid w:val="00031798"/>
    <w:rsid w:val="00032A8C"/>
    <w:rsid w:val="0003345B"/>
    <w:rsid w:val="000339EF"/>
    <w:rsid w:val="000342BC"/>
    <w:rsid w:val="00035019"/>
    <w:rsid w:val="00035BB7"/>
    <w:rsid w:val="000363A8"/>
    <w:rsid w:val="00036B99"/>
    <w:rsid w:val="00037376"/>
    <w:rsid w:val="00037EF0"/>
    <w:rsid w:val="00041B33"/>
    <w:rsid w:val="00042185"/>
    <w:rsid w:val="00042648"/>
    <w:rsid w:val="00043953"/>
    <w:rsid w:val="00045E4C"/>
    <w:rsid w:val="00046658"/>
    <w:rsid w:val="00046752"/>
    <w:rsid w:val="00046B06"/>
    <w:rsid w:val="0004796A"/>
    <w:rsid w:val="00050586"/>
    <w:rsid w:val="00050B45"/>
    <w:rsid w:val="00051213"/>
    <w:rsid w:val="0005205D"/>
    <w:rsid w:val="000520FD"/>
    <w:rsid w:val="0005263D"/>
    <w:rsid w:val="00052D0A"/>
    <w:rsid w:val="000530C4"/>
    <w:rsid w:val="00054F2A"/>
    <w:rsid w:val="00055B12"/>
    <w:rsid w:val="00056360"/>
    <w:rsid w:val="0005677F"/>
    <w:rsid w:val="00057EEC"/>
    <w:rsid w:val="000605BE"/>
    <w:rsid w:val="00060608"/>
    <w:rsid w:val="000611CE"/>
    <w:rsid w:val="0006211E"/>
    <w:rsid w:val="00062135"/>
    <w:rsid w:val="0006242B"/>
    <w:rsid w:val="00062D9A"/>
    <w:rsid w:val="00063451"/>
    <w:rsid w:val="00063890"/>
    <w:rsid w:val="00063E65"/>
    <w:rsid w:val="00064C4B"/>
    <w:rsid w:val="00065D5E"/>
    <w:rsid w:val="000668B7"/>
    <w:rsid w:val="00066ACE"/>
    <w:rsid w:val="0006703C"/>
    <w:rsid w:val="000671FF"/>
    <w:rsid w:val="00067A6F"/>
    <w:rsid w:val="00070B66"/>
    <w:rsid w:val="00073741"/>
    <w:rsid w:val="0007375E"/>
    <w:rsid w:val="00073D86"/>
    <w:rsid w:val="00073E58"/>
    <w:rsid w:val="0007440B"/>
    <w:rsid w:val="00075B4F"/>
    <w:rsid w:val="000763F7"/>
    <w:rsid w:val="00076C0E"/>
    <w:rsid w:val="000776B2"/>
    <w:rsid w:val="000778AE"/>
    <w:rsid w:val="00077909"/>
    <w:rsid w:val="000779C2"/>
    <w:rsid w:val="00077BF0"/>
    <w:rsid w:val="00080903"/>
    <w:rsid w:val="00084747"/>
    <w:rsid w:val="000849C5"/>
    <w:rsid w:val="0008533B"/>
    <w:rsid w:val="00087A2E"/>
    <w:rsid w:val="00091772"/>
    <w:rsid w:val="00091AAF"/>
    <w:rsid w:val="0009398E"/>
    <w:rsid w:val="00094A0B"/>
    <w:rsid w:val="0009610B"/>
    <w:rsid w:val="000970D0"/>
    <w:rsid w:val="00097846"/>
    <w:rsid w:val="000978DA"/>
    <w:rsid w:val="00097E2E"/>
    <w:rsid w:val="000A079C"/>
    <w:rsid w:val="000A11C8"/>
    <w:rsid w:val="000A120C"/>
    <w:rsid w:val="000A1ABC"/>
    <w:rsid w:val="000A1DBD"/>
    <w:rsid w:val="000A3377"/>
    <w:rsid w:val="000A3645"/>
    <w:rsid w:val="000A3D95"/>
    <w:rsid w:val="000A44DE"/>
    <w:rsid w:val="000A50BB"/>
    <w:rsid w:val="000A564E"/>
    <w:rsid w:val="000A5765"/>
    <w:rsid w:val="000B0544"/>
    <w:rsid w:val="000B0893"/>
    <w:rsid w:val="000B19AD"/>
    <w:rsid w:val="000B1A00"/>
    <w:rsid w:val="000B1FCB"/>
    <w:rsid w:val="000B281C"/>
    <w:rsid w:val="000B29AA"/>
    <w:rsid w:val="000B2DE1"/>
    <w:rsid w:val="000B312E"/>
    <w:rsid w:val="000B329C"/>
    <w:rsid w:val="000B3F8B"/>
    <w:rsid w:val="000B4363"/>
    <w:rsid w:val="000B4C2E"/>
    <w:rsid w:val="000B5167"/>
    <w:rsid w:val="000B6405"/>
    <w:rsid w:val="000B6E67"/>
    <w:rsid w:val="000C0995"/>
    <w:rsid w:val="000C0D3B"/>
    <w:rsid w:val="000C142E"/>
    <w:rsid w:val="000C165A"/>
    <w:rsid w:val="000C1886"/>
    <w:rsid w:val="000C1A53"/>
    <w:rsid w:val="000C3689"/>
    <w:rsid w:val="000C4E6A"/>
    <w:rsid w:val="000C50CB"/>
    <w:rsid w:val="000C633E"/>
    <w:rsid w:val="000C6709"/>
    <w:rsid w:val="000C6DB8"/>
    <w:rsid w:val="000C7596"/>
    <w:rsid w:val="000C7B02"/>
    <w:rsid w:val="000D0791"/>
    <w:rsid w:val="000D0D54"/>
    <w:rsid w:val="000D1BA9"/>
    <w:rsid w:val="000D3EC8"/>
    <w:rsid w:val="000D4354"/>
    <w:rsid w:val="000D44E6"/>
    <w:rsid w:val="000D5323"/>
    <w:rsid w:val="000D5420"/>
    <w:rsid w:val="000D63FE"/>
    <w:rsid w:val="000E0029"/>
    <w:rsid w:val="000E3EFB"/>
    <w:rsid w:val="000E3FCF"/>
    <w:rsid w:val="000E445D"/>
    <w:rsid w:val="000E4F4C"/>
    <w:rsid w:val="000E4FDC"/>
    <w:rsid w:val="000E502D"/>
    <w:rsid w:val="000E5487"/>
    <w:rsid w:val="000E597F"/>
    <w:rsid w:val="000E6020"/>
    <w:rsid w:val="000E6529"/>
    <w:rsid w:val="000E6D3D"/>
    <w:rsid w:val="000E75E4"/>
    <w:rsid w:val="000E7B39"/>
    <w:rsid w:val="000E7F29"/>
    <w:rsid w:val="000F0466"/>
    <w:rsid w:val="000F0BAA"/>
    <w:rsid w:val="000F0E88"/>
    <w:rsid w:val="000F2C09"/>
    <w:rsid w:val="000F2D7F"/>
    <w:rsid w:val="000F3222"/>
    <w:rsid w:val="000F37FE"/>
    <w:rsid w:val="000F382F"/>
    <w:rsid w:val="000F3F2A"/>
    <w:rsid w:val="000F4FC8"/>
    <w:rsid w:val="000F6641"/>
    <w:rsid w:val="000F7D22"/>
    <w:rsid w:val="0010061F"/>
    <w:rsid w:val="0010075A"/>
    <w:rsid w:val="001008F8"/>
    <w:rsid w:val="00101C20"/>
    <w:rsid w:val="00102F04"/>
    <w:rsid w:val="00104FA2"/>
    <w:rsid w:val="00110020"/>
    <w:rsid w:val="001106B5"/>
    <w:rsid w:val="001116D5"/>
    <w:rsid w:val="00112437"/>
    <w:rsid w:val="0011289C"/>
    <w:rsid w:val="00112B0A"/>
    <w:rsid w:val="00113844"/>
    <w:rsid w:val="00115619"/>
    <w:rsid w:val="001158B1"/>
    <w:rsid w:val="00117464"/>
    <w:rsid w:val="001205DF"/>
    <w:rsid w:val="00120795"/>
    <w:rsid w:val="001214F5"/>
    <w:rsid w:val="001215D8"/>
    <w:rsid w:val="00121AB1"/>
    <w:rsid w:val="00122456"/>
    <w:rsid w:val="001234B2"/>
    <w:rsid w:val="0012400D"/>
    <w:rsid w:val="00124116"/>
    <w:rsid w:val="0012433D"/>
    <w:rsid w:val="0012451C"/>
    <w:rsid w:val="00124772"/>
    <w:rsid w:val="00124A8E"/>
    <w:rsid w:val="0012530A"/>
    <w:rsid w:val="001257F2"/>
    <w:rsid w:val="001258FD"/>
    <w:rsid w:val="00125AAE"/>
    <w:rsid w:val="00125E04"/>
    <w:rsid w:val="00126320"/>
    <w:rsid w:val="00127E36"/>
    <w:rsid w:val="00130020"/>
    <w:rsid w:val="00130ADF"/>
    <w:rsid w:val="00131A89"/>
    <w:rsid w:val="001322EC"/>
    <w:rsid w:val="0013395D"/>
    <w:rsid w:val="001344B8"/>
    <w:rsid w:val="00134EE8"/>
    <w:rsid w:val="00136202"/>
    <w:rsid w:val="00136B54"/>
    <w:rsid w:val="001370FF"/>
    <w:rsid w:val="001374FE"/>
    <w:rsid w:val="00137741"/>
    <w:rsid w:val="00137BBA"/>
    <w:rsid w:val="00140202"/>
    <w:rsid w:val="001409B8"/>
    <w:rsid w:val="001412A6"/>
    <w:rsid w:val="00141ED3"/>
    <w:rsid w:val="00142261"/>
    <w:rsid w:val="00142B92"/>
    <w:rsid w:val="0014306D"/>
    <w:rsid w:val="00143334"/>
    <w:rsid w:val="00144795"/>
    <w:rsid w:val="00144D46"/>
    <w:rsid w:val="00145136"/>
    <w:rsid w:val="00145E28"/>
    <w:rsid w:val="001464B7"/>
    <w:rsid w:val="00146EDD"/>
    <w:rsid w:val="00147154"/>
    <w:rsid w:val="00147417"/>
    <w:rsid w:val="00150E04"/>
    <w:rsid w:val="00151D34"/>
    <w:rsid w:val="001522C9"/>
    <w:rsid w:val="001526EB"/>
    <w:rsid w:val="00152EB8"/>
    <w:rsid w:val="00153203"/>
    <w:rsid w:val="001536B8"/>
    <w:rsid w:val="00153D8A"/>
    <w:rsid w:val="00155584"/>
    <w:rsid w:val="00155B2E"/>
    <w:rsid w:val="001569CF"/>
    <w:rsid w:val="001576CC"/>
    <w:rsid w:val="0016042F"/>
    <w:rsid w:val="00161DC4"/>
    <w:rsid w:val="001622C1"/>
    <w:rsid w:val="00162866"/>
    <w:rsid w:val="00163BA0"/>
    <w:rsid w:val="0016425B"/>
    <w:rsid w:val="001649A5"/>
    <w:rsid w:val="00164D11"/>
    <w:rsid w:val="001656CF"/>
    <w:rsid w:val="00165A12"/>
    <w:rsid w:val="00165C95"/>
    <w:rsid w:val="00166D8C"/>
    <w:rsid w:val="00167516"/>
    <w:rsid w:val="00167FA5"/>
    <w:rsid w:val="00171E5F"/>
    <w:rsid w:val="00172BDE"/>
    <w:rsid w:val="00172E39"/>
    <w:rsid w:val="0017352A"/>
    <w:rsid w:val="00173C5F"/>
    <w:rsid w:val="00174FA5"/>
    <w:rsid w:val="0017520F"/>
    <w:rsid w:val="0017541E"/>
    <w:rsid w:val="00176103"/>
    <w:rsid w:val="00176FAD"/>
    <w:rsid w:val="00177000"/>
    <w:rsid w:val="0017764B"/>
    <w:rsid w:val="00177959"/>
    <w:rsid w:val="00177F87"/>
    <w:rsid w:val="00180CD8"/>
    <w:rsid w:val="00180E07"/>
    <w:rsid w:val="0018132D"/>
    <w:rsid w:val="00181861"/>
    <w:rsid w:val="001819C0"/>
    <w:rsid w:val="00181F7E"/>
    <w:rsid w:val="00183745"/>
    <w:rsid w:val="00184A42"/>
    <w:rsid w:val="00186290"/>
    <w:rsid w:val="00186BD8"/>
    <w:rsid w:val="00186E76"/>
    <w:rsid w:val="00187515"/>
    <w:rsid w:val="00187D1A"/>
    <w:rsid w:val="001903F9"/>
    <w:rsid w:val="00192113"/>
    <w:rsid w:val="00193329"/>
    <w:rsid w:val="001934FD"/>
    <w:rsid w:val="00193E5D"/>
    <w:rsid w:val="001942B8"/>
    <w:rsid w:val="0019452C"/>
    <w:rsid w:val="00194916"/>
    <w:rsid w:val="0019527B"/>
    <w:rsid w:val="00195763"/>
    <w:rsid w:val="00195785"/>
    <w:rsid w:val="001964DE"/>
    <w:rsid w:val="00196E9D"/>
    <w:rsid w:val="001A059E"/>
    <w:rsid w:val="001A0EE9"/>
    <w:rsid w:val="001A1C75"/>
    <w:rsid w:val="001A1DC9"/>
    <w:rsid w:val="001A21BE"/>
    <w:rsid w:val="001A2C4F"/>
    <w:rsid w:val="001A342B"/>
    <w:rsid w:val="001A3C69"/>
    <w:rsid w:val="001A508D"/>
    <w:rsid w:val="001A5AB2"/>
    <w:rsid w:val="001A65C7"/>
    <w:rsid w:val="001A75E4"/>
    <w:rsid w:val="001B03A1"/>
    <w:rsid w:val="001B047D"/>
    <w:rsid w:val="001B0954"/>
    <w:rsid w:val="001B09AB"/>
    <w:rsid w:val="001B0FA2"/>
    <w:rsid w:val="001B102D"/>
    <w:rsid w:val="001B1321"/>
    <w:rsid w:val="001B38D4"/>
    <w:rsid w:val="001B40C6"/>
    <w:rsid w:val="001B4F43"/>
    <w:rsid w:val="001B58D7"/>
    <w:rsid w:val="001B5A44"/>
    <w:rsid w:val="001B7921"/>
    <w:rsid w:val="001B7E77"/>
    <w:rsid w:val="001C013D"/>
    <w:rsid w:val="001C0506"/>
    <w:rsid w:val="001C0A0B"/>
    <w:rsid w:val="001C1658"/>
    <w:rsid w:val="001C18A9"/>
    <w:rsid w:val="001C1A62"/>
    <w:rsid w:val="001C2211"/>
    <w:rsid w:val="001C24E1"/>
    <w:rsid w:val="001C3732"/>
    <w:rsid w:val="001C3DF6"/>
    <w:rsid w:val="001C4526"/>
    <w:rsid w:val="001C48E1"/>
    <w:rsid w:val="001C521C"/>
    <w:rsid w:val="001C5D7C"/>
    <w:rsid w:val="001C72E6"/>
    <w:rsid w:val="001C770F"/>
    <w:rsid w:val="001C7FB2"/>
    <w:rsid w:val="001D0817"/>
    <w:rsid w:val="001D1B02"/>
    <w:rsid w:val="001D2460"/>
    <w:rsid w:val="001D2B68"/>
    <w:rsid w:val="001D3188"/>
    <w:rsid w:val="001D3E4B"/>
    <w:rsid w:val="001D4788"/>
    <w:rsid w:val="001D48C7"/>
    <w:rsid w:val="001D4EDA"/>
    <w:rsid w:val="001D51C9"/>
    <w:rsid w:val="001D6655"/>
    <w:rsid w:val="001D79DA"/>
    <w:rsid w:val="001D7E26"/>
    <w:rsid w:val="001D7EC2"/>
    <w:rsid w:val="001E0CC8"/>
    <w:rsid w:val="001E1B1F"/>
    <w:rsid w:val="001E21E8"/>
    <w:rsid w:val="001E3598"/>
    <w:rsid w:val="001E7A5C"/>
    <w:rsid w:val="001F0937"/>
    <w:rsid w:val="001F121B"/>
    <w:rsid w:val="001F24DF"/>
    <w:rsid w:val="001F2862"/>
    <w:rsid w:val="001F41D6"/>
    <w:rsid w:val="001F4406"/>
    <w:rsid w:val="001F4C74"/>
    <w:rsid w:val="001F60D7"/>
    <w:rsid w:val="001F61BF"/>
    <w:rsid w:val="001F7168"/>
    <w:rsid w:val="00201649"/>
    <w:rsid w:val="00201AEA"/>
    <w:rsid w:val="00202096"/>
    <w:rsid w:val="0020286E"/>
    <w:rsid w:val="00202E26"/>
    <w:rsid w:val="00203CD3"/>
    <w:rsid w:val="00205549"/>
    <w:rsid w:val="002055B5"/>
    <w:rsid w:val="002056E5"/>
    <w:rsid w:val="002062D2"/>
    <w:rsid w:val="00206B6C"/>
    <w:rsid w:val="00207214"/>
    <w:rsid w:val="00207B6D"/>
    <w:rsid w:val="00210C10"/>
    <w:rsid w:val="00212982"/>
    <w:rsid w:val="0021324B"/>
    <w:rsid w:val="002135D5"/>
    <w:rsid w:val="00213B18"/>
    <w:rsid w:val="002140EA"/>
    <w:rsid w:val="0021432B"/>
    <w:rsid w:val="00214537"/>
    <w:rsid w:val="00214A79"/>
    <w:rsid w:val="00214E42"/>
    <w:rsid w:val="00214F42"/>
    <w:rsid w:val="00215196"/>
    <w:rsid w:val="0021533F"/>
    <w:rsid w:val="00215A5E"/>
    <w:rsid w:val="00216496"/>
    <w:rsid w:val="002174C6"/>
    <w:rsid w:val="00222679"/>
    <w:rsid w:val="002229F9"/>
    <w:rsid w:val="002231C3"/>
    <w:rsid w:val="00224649"/>
    <w:rsid w:val="002249D8"/>
    <w:rsid w:val="00226933"/>
    <w:rsid w:val="00227B3C"/>
    <w:rsid w:val="002302A4"/>
    <w:rsid w:val="00230E89"/>
    <w:rsid w:val="002316C9"/>
    <w:rsid w:val="00231AA6"/>
    <w:rsid w:val="00232E5F"/>
    <w:rsid w:val="002333AE"/>
    <w:rsid w:val="002347D9"/>
    <w:rsid w:val="00235982"/>
    <w:rsid w:val="002369CB"/>
    <w:rsid w:val="00240990"/>
    <w:rsid w:val="00241580"/>
    <w:rsid w:val="0024338D"/>
    <w:rsid w:val="00243842"/>
    <w:rsid w:val="002447ED"/>
    <w:rsid w:val="002477BA"/>
    <w:rsid w:val="00247934"/>
    <w:rsid w:val="00250391"/>
    <w:rsid w:val="00252EB5"/>
    <w:rsid w:val="00254095"/>
    <w:rsid w:val="00254170"/>
    <w:rsid w:val="0025449F"/>
    <w:rsid w:val="00254578"/>
    <w:rsid w:val="00254B9B"/>
    <w:rsid w:val="00255BE0"/>
    <w:rsid w:val="0025725D"/>
    <w:rsid w:val="00257620"/>
    <w:rsid w:val="002600AA"/>
    <w:rsid w:val="002604C0"/>
    <w:rsid w:val="0026312C"/>
    <w:rsid w:val="00263C25"/>
    <w:rsid w:val="00264DD7"/>
    <w:rsid w:val="00267288"/>
    <w:rsid w:val="00271389"/>
    <w:rsid w:val="00271CB6"/>
    <w:rsid w:val="00271CDF"/>
    <w:rsid w:val="00272D57"/>
    <w:rsid w:val="002751B6"/>
    <w:rsid w:val="00275278"/>
    <w:rsid w:val="00275365"/>
    <w:rsid w:val="00275554"/>
    <w:rsid w:val="00275972"/>
    <w:rsid w:val="00275BDA"/>
    <w:rsid w:val="00276256"/>
    <w:rsid w:val="002763BC"/>
    <w:rsid w:val="00276B9E"/>
    <w:rsid w:val="002812F5"/>
    <w:rsid w:val="00282969"/>
    <w:rsid w:val="00284339"/>
    <w:rsid w:val="0028539C"/>
    <w:rsid w:val="00286A8E"/>
    <w:rsid w:val="00286F93"/>
    <w:rsid w:val="002870EB"/>
    <w:rsid w:val="0028765D"/>
    <w:rsid w:val="002909CB"/>
    <w:rsid w:val="00290B8D"/>
    <w:rsid w:val="00291054"/>
    <w:rsid w:val="002911CF"/>
    <w:rsid w:val="00291B69"/>
    <w:rsid w:val="002923C6"/>
    <w:rsid w:val="002927B4"/>
    <w:rsid w:val="00292C74"/>
    <w:rsid w:val="0029331D"/>
    <w:rsid w:val="00293E1D"/>
    <w:rsid w:val="00294170"/>
    <w:rsid w:val="002948C3"/>
    <w:rsid w:val="00294E69"/>
    <w:rsid w:val="00295052"/>
    <w:rsid w:val="00295D37"/>
    <w:rsid w:val="00296096"/>
    <w:rsid w:val="002969D5"/>
    <w:rsid w:val="00297332"/>
    <w:rsid w:val="002A05A3"/>
    <w:rsid w:val="002A0B59"/>
    <w:rsid w:val="002A149D"/>
    <w:rsid w:val="002A2230"/>
    <w:rsid w:val="002A2D87"/>
    <w:rsid w:val="002A3B55"/>
    <w:rsid w:val="002A3C05"/>
    <w:rsid w:val="002A5D1F"/>
    <w:rsid w:val="002A5D6C"/>
    <w:rsid w:val="002A6515"/>
    <w:rsid w:val="002A6A95"/>
    <w:rsid w:val="002A6C3E"/>
    <w:rsid w:val="002A7B97"/>
    <w:rsid w:val="002B0705"/>
    <w:rsid w:val="002B09B9"/>
    <w:rsid w:val="002B1497"/>
    <w:rsid w:val="002B1E58"/>
    <w:rsid w:val="002B2BF2"/>
    <w:rsid w:val="002B30FA"/>
    <w:rsid w:val="002B631B"/>
    <w:rsid w:val="002B7F49"/>
    <w:rsid w:val="002C08D2"/>
    <w:rsid w:val="002C0CB3"/>
    <w:rsid w:val="002C11CA"/>
    <w:rsid w:val="002C220E"/>
    <w:rsid w:val="002C22C5"/>
    <w:rsid w:val="002C3BF2"/>
    <w:rsid w:val="002C3EB8"/>
    <w:rsid w:val="002C49A5"/>
    <w:rsid w:val="002C5653"/>
    <w:rsid w:val="002C5BA5"/>
    <w:rsid w:val="002C5CAA"/>
    <w:rsid w:val="002C6207"/>
    <w:rsid w:val="002C6C26"/>
    <w:rsid w:val="002C6C87"/>
    <w:rsid w:val="002C7769"/>
    <w:rsid w:val="002D09B4"/>
    <w:rsid w:val="002D16B3"/>
    <w:rsid w:val="002D1F6E"/>
    <w:rsid w:val="002D2C8A"/>
    <w:rsid w:val="002D2FA9"/>
    <w:rsid w:val="002D40CD"/>
    <w:rsid w:val="002D52B0"/>
    <w:rsid w:val="002D5378"/>
    <w:rsid w:val="002D5EF3"/>
    <w:rsid w:val="002D6085"/>
    <w:rsid w:val="002D7F96"/>
    <w:rsid w:val="002E0200"/>
    <w:rsid w:val="002E045A"/>
    <w:rsid w:val="002E13C5"/>
    <w:rsid w:val="002E181C"/>
    <w:rsid w:val="002E486C"/>
    <w:rsid w:val="002E60DC"/>
    <w:rsid w:val="002E658C"/>
    <w:rsid w:val="002E6D80"/>
    <w:rsid w:val="002E7D21"/>
    <w:rsid w:val="002F194B"/>
    <w:rsid w:val="002F1DCC"/>
    <w:rsid w:val="002F2C3B"/>
    <w:rsid w:val="002F2E36"/>
    <w:rsid w:val="002F3F8E"/>
    <w:rsid w:val="002F45DF"/>
    <w:rsid w:val="002F601E"/>
    <w:rsid w:val="002F622E"/>
    <w:rsid w:val="002F71C3"/>
    <w:rsid w:val="002F7C97"/>
    <w:rsid w:val="00300DB9"/>
    <w:rsid w:val="003014FF"/>
    <w:rsid w:val="00303757"/>
    <w:rsid w:val="003040DD"/>
    <w:rsid w:val="00304888"/>
    <w:rsid w:val="00304900"/>
    <w:rsid w:val="00304AEE"/>
    <w:rsid w:val="00304F89"/>
    <w:rsid w:val="00305E13"/>
    <w:rsid w:val="00305F1C"/>
    <w:rsid w:val="00306710"/>
    <w:rsid w:val="00307AAE"/>
    <w:rsid w:val="00310701"/>
    <w:rsid w:val="0031227B"/>
    <w:rsid w:val="00312CD8"/>
    <w:rsid w:val="00312D07"/>
    <w:rsid w:val="00313881"/>
    <w:rsid w:val="0031508C"/>
    <w:rsid w:val="00315CFB"/>
    <w:rsid w:val="0031686A"/>
    <w:rsid w:val="00316D1E"/>
    <w:rsid w:val="0031723D"/>
    <w:rsid w:val="0032091F"/>
    <w:rsid w:val="00320C30"/>
    <w:rsid w:val="003211E6"/>
    <w:rsid w:val="00322106"/>
    <w:rsid w:val="00322568"/>
    <w:rsid w:val="00322EDA"/>
    <w:rsid w:val="00322F74"/>
    <w:rsid w:val="003230B2"/>
    <w:rsid w:val="0032422B"/>
    <w:rsid w:val="00326CE6"/>
    <w:rsid w:val="003277A3"/>
    <w:rsid w:val="0033051C"/>
    <w:rsid w:val="003308E6"/>
    <w:rsid w:val="00332691"/>
    <w:rsid w:val="00332D69"/>
    <w:rsid w:val="00333E8B"/>
    <w:rsid w:val="0033463B"/>
    <w:rsid w:val="00334945"/>
    <w:rsid w:val="00334B80"/>
    <w:rsid w:val="00335581"/>
    <w:rsid w:val="00336E10"/>
    <w:rsid w:val="00337D69"/>
    <w:rsid w:val="003403D2"/>
    <w:rsid w:val="00340A89"/>
    <w:rsid w:val="00341554"/>
    <w:rsid w:val="00341631"/>
    <w:rsid w:val="003418C9"/>
    <w:rsid w:val="00341F20"/>
    <w:rsid w:val="00342A00"/>
    <w:rsid w:val="00342D56"/>
    <w:rsid w:val="00343997"/>
    <w:rsid w:val="00344A20"/>
    <w:rsid w:val="00345663"/>
    <w:rsid w:val="00345D6B"/>
    <w:rsid w:val="00346D17"/>
    <w:rsid w:val="00347AAA"/>
    <w:rsid w:val="00350254"/>
    <w:rsid w:val="00350382"/>
    <w:rsid w:val="00350DCC"/>
    <w:rsid w:val="003527E0"/>
    <w:rsid w:val="00353B22"/>
    <w:rsid w:val="00353C4E"/>
    <w:rsid w:val="0035416E"/>
    <w:rsid w:val="003549B3"/>
    <w:rsid w:val="00354D43"/>
    <w:rsid w:val="0035540C"/>
    <w:rsid w:val="00356617"/>
    <w:rsid w:val="00357015"/>
    <w:rsid w:val="00360052"/>
    <w:rsid w:val="00360827"/>
    <w:rsid w:val="00360D62"/>
    <w:rsid w:val="003632AA"/>
    <w:rsid w:val="003637B1"/>
    <w:rsid w:val="00363A50"/>
    <w:rsid w:val="00363CB3"/>
    <w:rsid w:val="003647A1"/>
    <w:rsid w:val="00364924"/>
    <w:rsid w:val="00367775"/>
    <w:rsid w:val="00370360"/>
    <w:rsid w:val="00370A02"/>
    <w:rsid w:val="00372A96"/>
    <w:rsid w:val="00372FC6"/>
    <w:rsid w:val="003739E1"/>
    <w:rsid w:val="00373C03"/>
    <w:rsid w:val="00374692"/>
    <w:rsid w:val="00374E72"/>
    <w:rsid w:val="003765E1"/>
    <w:rsid w:val="0037724E"/>
    <w:rsid w:val="00377411"/>
    <w:rsid w:val="003775CF"/>
    <w:rsid w:val="00377C02"/>
    <w:rsid w:val="00380297"/>
    <w:rsid w:val="00380444"/>
    <w:rsid w:val="00382A99"/>
    <w:rsid w:val="0038318C"/>
    <w:rsid w:val="0038343A"/>
    <w:rsid w:val="00384214"/>
    <w:rsid w:val="00385D2C"/>
    <w:rsid w:val="00386CCF"/>
    <w:rsid w:val="003872AD"/>
    <w:rsid w:val="00390639"/>
    <w:rsid w:val="00391024"/>
    <w:rsid w:val="003919E6"/>
    <w:rsid w:val="00392B9A"/>
    <w:rsid w:val="003930E9"/>
    <w:rsid w:val="003936FD"/>
    <w:rsid w:val="00394B71"/>
    <w:rsid w:val="00394BB8"/>
    <w:rsid w:val="00395EFB"/>
    <w:rsid w:val="00397EB3"/>
    <w:rsid w:val="003A017D"/>
    <w:rsid w:val="003A1852"/>
    <w:rsid w:val="003A3D9F"/>
    <w:rsid w:val="003A4712"/>
    <w:rsid w:val="003A4CC1"/>
    <w:rsid w:val="003A5FB7"/>
    <w:rsid w:val="003A7F29"/>
    <w:rsid w:val="003B0E0D"/>
    <w:rsid w:val="003B136E"/>
    <w:rsid w:val="003B1705"/>
    <w:rsid w:val="003B1972"/>
    <w:rsid w:val="003B1B8E"/>
    <w:rsid w:val="003B274A"/>
    <w:rsid w:val="003B399C"/>
    <w:rsid w:val="003B43A0"/>
    <w:rsid w:val="003B447B"/>
    <w:rsid w:val="003B4755"/>
    <w:rsid w:val="003B6E13"/>
    <w:rsid w:val="003B7497"/>
    <w:rsid w:val="003B7D4E"/>
    <w:rsid w:val="003C185D"/>
    <w:rsid w:val="003C24D4"/>
    <w:rsid w:val="003C2AC0"/>
    <w:rsid w:val="003C3B92"/>
    <w:rsid w:val="003C5A42"/>
    <w:rsid w:val="003C5B10"/>
    <w:rsid w:val="003C5F47"/>
    <w:rsid w:val="003C6528"/>
    <w:rsid w:val="003C669A"/>
    <w:rsid w:val="003C6717"/>
    <w:rsid w:val="003C695B"/>
    <w:rsid w:val="003C6AEC"/>
    <w:rsid w:val="003D0A90"/>
    <w:rsid w:val="003D0C3B"/>
    <w:rsid w:val="003D15CE"/>
    <w:rsid w:val="003D1BC5"/>
    <w:rsid w:val="003D2CE6"/>
    <w:rsid w:val="003D358E"/>
    <w:rsid w:val="003D3AC6"/>
    <w:rsid w:val="003D3B52"/>
    <w:rsid w:val="003D4B20"/>
    <w:rsid w:val="003D4CCD"/>
    <w:rsid w:val="003D5B6D"/>
    <w:rsid w:val="003D63CF"/>
    <w:rsid w:val="003D6469"/>
    <w:rsid w:val="003D71D3"/>
    <w:rsid w:val="003E1A0F"/>
    <w:rsid w:val="003E1D21"/>
    <w:rsid w:val="003E23CE"/>
    <w:rsid w:val="003E268E"/>
    <w:rsid w:val="003E290E"/>
    <w:rsid w:val="003E3E8B"/>
    <w:rsid w:val="003E41FB"/>
    <w:rsid w:val="003E45C3"/>
    <w:rsid w:val="003E46E3"/>
    <w:rsid w:val="003E54EB"/>
    <w:rsid w:val="003E601E"/>
    <w:rsid w:val="003E7BAF"/>
    <w:rsid w:val="003E7C75"/>
    <w:rsid w:val="003F00F3"/>
    <w:rsid w:val="003F01E3"/>
    <w:rsid w:val="003F060B"/>
    <w:rsid w:val="003F1991"/>
    <w:rsid w:val="003F2055"/>
    <w:rsid w:val="003F215D"/>
    <w:rsid w:val="003F252E"/>
    <w:rsid w:val="003F2BCB"/>
    <w:rsid w:val="003F30EC"/>
    <w:rsid w:val="003F389A"/>
    <w:rsid w:val="003F3A98"/>
    <w:rsid w:val="003F3C0C"/>
    <w:rsid w:val="003F4385"/>
    <w:rsid w:val="003F4473"/>
    <w:rsid w:val="003F4B69"/>
    <w:rsid w:val="003F50C0"/>
    <w:rsid w:val="003F5697"/>
    <w:rsid w:val="003F6AA8"/>
    <w:rsid w:val="003F734C"/>
    <w:rsid w:val="003F77AC"/>
    <w:rsid w:val="003F78D8"/>
    <w:rsid w:val="003F7E37"/>
    <w:rsid w:val="00400FA8"/>
    <w:rsid w:val="00401181"/>
    <w:rsid w:val="0040126C"/>
    <w:rsid w:val="0040142A"/>
    <w:rsid w:val="00401E37"/>
    <w:rsid w:val="0040357A"/>
    <w:rsid w:val="00403C6A"/>
    <w:rsid w:val="00404945"/>
    <w:rsid w:val="00404EE0"/>
    <w:rsid w:val="00404F12"/>
    <w:rsid w:val="00405677"/>
    <w:rsid w:val="00405CF2"/>
    <w:rsid w:val="00407DD2"/>
    <w:rsid w:val="00410136"/>
    <w:rsid w:val="0041055F"/>
    <w:rsid w:val="00410D7E"/>
    <w:rsid w:val="00412BFA"/>
    <w:rsid w:val="004133D0"/>
    <w:rsid w:val="00413DD3"/>
    <w:rsid w:val="004141DB"/>
    <w:rsid w:val="00414428"/>
    <w:rsid w:val="00414936"/>
    <w:rsid w:val="00414B14"/>
    <w:rsid w:val="00414E20"/>
    <w:rsid w:val="0041547E"/>
    <w:rsid w:val="00415992"/>
    <w:rsid w:val="00417279"/>
    <w:rsid w:val="004179C5"/>
    <w:rsid w:val="004218BC"/>
    <w:rsid w:val="00423448"/>
    <w:rsid w:val="00424C73"/>
    <w:rsid w:val="00424D78"/>
    <w:rsid w:val="00425563"/>
    <w:rsid w:val="004263DD"/>
    <w:rsid w:val="0042667F"/>
    <w:rsid w:val="00427A09"/>
    <w:rsid w:val="0043022A"/>
    <w:rsid w:val="004331DA"/>
    <w:rsid w:val="00433C38"/>
    <w:rsid w:val="004343CB"/>
    <w:rsid w:val="0043506F"/>
    <w:rsid w:val="004352B5"/>
    <w:rsid w:val="00435559"/>
    <w:rsid w:val="00436D4E"/>
    <w:rsid w:val="00437B2C"/>
    <w:rsid w:val="00440846"/>
    <w:rsid w:val="00440A70"/>
    <w:rsid w:val="00440C7E"/>
    <w:rsid w:val="00440D07"/>
    <w:rsid w:val="00441155"/>
    <w:rsid w:val="004413E6"/>
    <w:rsid w:val="004416DD"/>
    <w:rsid w:val="004432FB"/>
    <w:rsid w:val="00447458"/>
    <w:rsid w:val="00451790"/>
    <w:rsid w:val="004517E1"/>
    <w:rsid w:val="0045268B"/>
    <w:rsid w:val="00452D45"/>
    <w:rsid w:val="00453004"/>
    <w:rsid w:val="004534A3"/>
    <w:rsid w:val="00454DCC"/>
    <w:rsid w:val="0045526B"/>
    <w:rsid w:val="0045556F"/>
    <w:rsid w:val="004564A0"/>
    <w:rsid w:val="004564B0"/>
    <w:rsid w:val="004576A9"/>
    <w:rsid w:val="00457C0B"/>
    <w:rsid w:val="00457E03"/>
    <w:rsid w:val="00457E61"/>
    <w:rsid w:val="00457F26"/>
    <w:rsid w:val="00460A5B"/>
    <w:rsid w:val="00460BED"/>
    <w:rsid w:val="00460CA1"/>
    <w:rsid w:val="00460E2B"/>
    <w:rsid w:val="00460E69"/>
    <w:rsid w:val="00461193"/>
    <w:rsid w:val="00461E9D"/>
    <w:rsid w:val="00463965"/>
    <w:rsid w:val="00463DAC"/>
    <w:rsid w:val="00465DE1"/>
    <w:rsid w:val="004665C0"/>
    <w:rsid w:val="00466633"/>
    <w:rsid w:val="00467306"/>
    <w:rsid w:val="00467859"/>
    <w:rsid w:val="00470A35"/>
    <w:rsid w:val="00471341"/>
    <w:rsid w:val="0047179B"/>
    <w:rsid w:val="00472A2C"/>
    <w:rsid w:val="00473509"/>
    <w:rsid w:val="0047424F"/>
    <w:rsid w:val="00474A93"/>
    <w:rsid w:val="00474BC9"/>
    <w:rsid w:val="00475781"/>
    <w:rsid w:val="00476337"/>
    <w:rsid w:val="00477A27"/>
    <w:rsid w:val="00477E07"/>
    <w:rsid w:val="00480D8A"/>
    <w:rsid w:val="00480FAB"/>
    <w:rsid w:val="0048117E"/>
    <w:rsid w:val="00481755"/>
    <w:rsid w:val="0048192B"/>
    <w:rsid w:val="004824E1"/>
    <w:rsid w:val="00482A54"/>
    <w:rsid w:val="00484F6C"/>
    <w:rsid w:val="004855D1"/>
    <w:rsid w:val="00485E34"/>
    <w:rsid w:val="00487034"/>
    <w:rsid w:val="00490043"/>
    <w:rsid w:val="00490563"/>
    <w:rsid w:val="0049075B"/>
    <w:rsid w:val="00490CBE"/>
    <w:rsid w:val="00490D99"/>
    <w:rsid w:val="00491574"/>
    <w:rsid w:val="00492C9A"/>
    <w:rsid w:val="00493720"/>
    <w:rsid w:val="00493CB7"/>
    <w:rsid w:val="00494672"/>
    <w:rsid w:val="00494DFC"/>
    <w:rsid w:val="0049568D"/>
    <w:rsid w:val="00497042"/>
    <w:rsid w:val="0049778E"/>
    <w:rsid w:val="004977AC"/>
    <w:rsid w:val="00497B57"/>
    <w:rsid w:val="00497EC9"/>
    <w:rsid w:val="00497FC1"/>
    <w:rsid w:val="004A0C16"/>
    <w:rsid w:val="004A2FF1"/>
    <w:rsid w:val="004A4255"/>
    <w:rsid w:val="004A542E"/>
    <w:rsid w:val="004A5CAF"/>
    <w:rsid w:val="004A5E1A"/>
    <w:rsid w:val="004A5E55"/>
    <w:rsid w:val="004A6023"/>
    <w:rsid w:val="004A67E7"/>
    <w:rsid w:val="004A6983"/>
    <w:rsid w:val="004A7AA1"/>
    <w:rsid w:val="004A7B75"/>
    <w:rsid w:val="004B006A"/>
    <w:rsid w:val="004B085B"/>
    <w:rsid w:val="004B0BFE"/>
    <w:rsid w:val="004B2BC6"/>
    <w:rsid w:val="004B2CED"/>
    <w:rsid w:val="004B2F23"/>
    <w:rsid w:val="004B5906"/>
    <w:rsid w:val="004B6DF3"/>
    <w:rsid w:val="004B6E14"/>
    <w:rsid w:val="004B761C"/>
    <w:rsid w:val="004B7F95"/>
    <w:rsid w:val="004C01C7"/>
    <w:rsid w:val="004C0714"/>
    <w:rsid w:val="004C119F"/>
    <w:rsid w:val="004C16B7"/>
    <w:rsid w:val="004C2558"/>
    <w:rsid w:val="004C5DC2"/>
    <w:rsid w:val="004C6889"/>
    <w:rsid w:val="004C68F1"/>
    <w:rsid w:val="004C6DEC"/>
    <w:rsid w:val="004C7109"/>
    <w:rsid w:val="004C76AA"/>
    <w:rsid w:val="004D0BC6"/>
    <w:rsid w:val="004D22EE"/>
    <w:rsid w:val="004D253C"/>
    <w:rsid w:val="004D35DA"/>
    <w:rsid w:val="004D4298"/>
    <w:rsid w:val="004D5745"/>
    <w:rsid w:val="004D5A61"/>
    <w:rsid w:val="004D6E7D"/>
    <w:rsid w:val="004D7074"/>
    <w:rsid w:val="004D7819"/>
    <w:rsid w:val="004E1A39"/>
    <w:rsid w:val="004E1DFD"/>
    <w:rsid w:val="004E1E0C"/>
    <w:rsid w:val="004E23C6"/>
    <w:rsid w:val="004E2E15"/>
    <w:rsid w:val="004E38DD"/>
    <w:rsid w:val="004E39CA"/>
    <w:rsid w:val="004E3C23"/>
    <w:rsid w:val="004E3D16"/>
    <w:rsid w:val="004E527C"/>
    <w:rsid w:val="004E6722"/>
    <w:rsid w:val="004E6881"/>
    <w:rsid w:val="004E6A12"/>
    <w:rsid w:val="004E708B"/>
    <w:rsid w:val="004E71EF"/>
    <w:rsid w:val="004E7200"/>
    <w:rsid w:val="004E73F4"/>
    <w:rsid w:val="004E7415"/>
    <w:rsid w:val="004F01B2"/>
    <w:rsid w:val="004F1E75"/>
    <w:rsid w:val="004F25A2"/>
    <w:rsid w:val="004F263E"/>
    <w:rsid w:val="004F3A1D"/>
    <w:rsid w:val="004F414C"/>
    <w:rsid w:val="004F4736"/>
    <w:rsid w:val="004F4D6F"/>
    <w:rsid w:val="004F50A7"/>
    <w:rsid w:val="004F6207"/>
    <w:rsid w:val="004F63A6"/>
    <w:rsid w:val="004F67A8"/>
    <w:rsid w:val="004F7118"/>
    <w:rsid w:val="005003E3"/>
    <w:rsid w:val="005007D4"/>
    <w:rsid w:val="00501341"/>
    <w:rsid w:val="00501BFB"/>
    <w:rsid w:val="00502481"/>
    <w:rsid w:val="00502B90"/>
    <w:rsid w:val="00502F60"/>
    <w:rsid w:val="005033A4"/>
    <w:rsid w:val="005033CF"/>
    <w:rsid w:val="00504787"/>
    <w:rsid w:val="0050548F"/>
    <w:rsid w:val="00505B9E"/>
    <w:rsid w:val="00505FA6"/>
    <w:rsid w:val="005060AD"/>
    <w:rsid w:val="00507BB9"/>
    <w:rsid w:val="00507C0A"/>
    <w:rsid w:val="00510587"/>
    <w:rsid w:val="00511B53"/>
    <w:rsid w:val="005131F2"/>
    <w:rsid w:val="0051332B"/>
    <w:rsid w:val="00513C4C"/>
    <w:rsid w:val="0051634D"/>
    <w:rsid w:val="00517580"/>
    <w:rsid w:val="0052137F"/>
    <w:rsid w:val="00521C44"/>
    <w:rsid w:val="00521F86"/>
    <w:rsid w:val="00521FEC"/>
    <w:rsid w:val="00522A3E"/>
    <w:rsid w:val="00522E18"/>
    <w:rsid w:val="00523A65"/>
    <w:rsid w:val="00524BD1"/>
    <w:rsid w:val="00524CEE"/>
    <w:rsid w:val="005274B7"/>
    <w:rsid w:val="0052761C"/>
    <w:rsid w:val="00527C19"/>
    <w:rsid w:val="00527DC4"/>
    <w:rsid w:val="00530579"/>
    <w:rsid w:val="005306F3"/>
    <w:rsid w:val="00530991"/>
    <w:rsid w:val="00531F58"/>
    <w:rsid w:val="00531FE3"/>
    <w:rsid w:val="00532DC9"/>
    <w:rsid w:val="0053365C"/>
    <w:rsid w:val="00533DB6"/>
    <w:rsid w:val="005351B7"/>
    <w:rsid w:val="00535D23"/>
    <w:rsid w:val="0053626C"/>
    <w:rsid w:val="00536313"/>
    <w:rsid w:val="00536472"/>
    <w:rsid w:val="00540107"/>
    <w:rsid w:val="00540A83"/>
    <w:rsid w:val="00541585"/>
    <w:rsid w:val="0054182E"/>
    <w:rsid w:val="00541A00"/>
    <w:rsid w:val="00541B85"/>
    <w:rsid w:val="00542B01"/>
    <w:rsid w:val="00544101"/>
    <w:rsid w:val="00544462"/>
    <w:rsid w:val="00544B61"/>
    <w:rsid w:val="00544CB9"/>
    <w:rsid w:val="00545370"/>
    <w:rsid w:val="005455A2"/>
    <w:rsid w:val="005457B6"/>
    <w:rsid w:val="005460AF"/>
    <w:rsid w:val="00546F81"/>
    <w:rsid w:val="00547982"/>
    <w:rsid w:val="00551104"/>
    <w:rsid w:val="00551A71"/>
    <w:rsid w:val="00552A31"/>
    <w:rsid w:val="00552AED"/>
    <w:rsid w:val="005546FD"/>
    <w:rsid w:val="00554DAE"/>
    <w:rsid w:val="005562DD"/>
    <w:rsid w:val="0055675C"/>
    <w:rsid w:val="005568F6"/>
    <w:rsid w:val="00556C20"/>
    <w:rsid w:val="00556D89"/>
    <w:rsid w:val="00556F9A"/>
    <w:rsid w:val="00557348"/>
    <w:rsid w:val="0056028B"/>
    <w:rsid w:val="005609CE"/>
    <w:rsid w:val="00560E3D"/>
    <w:rsid w:val="00561495"/>
    <w:rsid w:val="00561648"/>
    <w:rsid w:val="005620B0"/>
    <w:rsid w:val="00563A66"/>
    <w:rsid w:val="0056558B"/>
    <w:rsid w:val="00566A8C"/>
    <w:rsid w:val="00571AFC"/>
    <w:rsid w:val="0057212A"/>
    <w:rsid w:val="0057236C"/>
    <w:rsid w:val="00572730"/>
    <w:rsid w:val="00573E17"/>
    <w:rsid w:val="00574119"/>
    <w:rsid w:val="00574142"/>
    <w:rsid w:val="00574C67"/>
    <w:rsid w:val="00575441"/>
    <w:rsid w:val="00576217"/>
    <w:rsid w:val="00576799"/>
    <w:rsid w:val="00576F17"/>
    <w:rsid w:val="00577236"/>
    <w:rsid w:val="0058043C"/>
    <w:rsid w:val="00581766"/>
    <w:rsid w:val="00581B76"/>
    <w:rsid w:val="00581B82"/>
    <w:rsid w:val="0058203F"/>
    <w:rsid w:val="00582951"/>
    <w:rsid w:val="0058340D"/>
    <w:rsid w:val="00585A2B"/>
    <w:rsid w:val="005862EA"/>
    <w:rsid w:val="0058771A"/>
    <w:rsid w:val="00587F07"/>
    <w:rsid w:val="0059056C"/>
    <w:rsid w:val="00590889"/>
    <w:rsid w:val="00591354"/>
    <w:rsid w:val="00591700"/>
    <w:rsid w:val="00591CE1"/>
    <w:rsid w:val="005921F5"/>
    <w:rsid w:val="0059436E"/>
    <w:rsid w:val="005943C1"/>
    <w:rsid w:val="0059473D"/>
    <w:rsid w:val="00595F7E"/>
    <w:rsid w:val="00596E73"/>
    <w:rsid w:val="005A12B4"/>
    <w:rsid w:val="005A3174"/>
    <w:rsid w:val="005A343A"/>
    <w:rsid w:val="005A543F"/>
    <w:rsid w:val="005A5BF0"/>
    <w:rsid w:val="005A64E8"/>
    <w:rsid w:val="005A6E49"/>
    <w:rsid w:val="005A7065"/>
    <w:rsid w:val="005B0924"/>
    <w:rsid w:val="005B1526"/>
    <w:rsid w:val="005B1A22"/>
    <w:rsid w:val="005B1B45"/>
    <w:rsid w:val="005B1F9C"/>
    <w:rsid w:val="005B279D"/>
    <w:rsid w:val="005B2B60"/>
    <w:rsid w:val="005B435E"/>
    <w:rsid w:val="005B651D"/>
    <w:rsid w:val="005B6BBF"/>
    <w:rsid w:val="005B7A8D"/>
    <w:rsid w:val="005C016B"/>
    <w:rsid w:val="005C1A3F"/>
    <w:rsid w:val="005C1B87"/>
    <w:rsid w:val="005C3215"/>
    <w:rsid w:val="005C3281"/>
    <w:rsid w:val="005C3894"/>
    <w:rsid w:val="005C416A"/>
    <w:rsid w:val="005C420E"/>
    <w:rsid w:val="005C441D"/>
    <w:rsid w:val="005C506E"/>
    <w:rsid w:val="005C61FD"/>
    <w:rsid w:val="005C64AD"/>
    <w:rsid w:val="005D0C59"/>
    <w:rsid w:val="005D1035"/>
    <w:rsid w:val="005D1179"/>
    <w:rsid w:val="005D1222"/>
    <w:rsid w:val="005D128B"/>
    <w:rsid w:val="005D1773"/>
    <w:rsid w:val="005D24DD"/>
    <w:rsid w:val="005D3298"/>
    <w:rsid w:val="005D383D"/>
    <w:rsid w:val="005D4CBB"/>
    <w:rsid w:val="005D4FC0"/>
    <w:rsid w:val="005D5247"/>
    <w:rsid w:val="005D5E40"/>
    <w:rsid w:val="005D6319"/>
    <w:rsid w:val="005D63E1"/>
    <w:rsid w:val="005D69B2"/>
    <w:rsid w:val="005D6B31"/>
    <w:rsid w:val="005D6FA0"/>
    <w:rsid w:val="005D70B1"/>
    <w:rsid w:val="005D7181"/>
    <w:rsid w:val="005E18C1"/>
    <w:rsid w:val="005E214A"/>
    <w:rsid w:val="005E2882"/>
    <w:rsid w:val="005E28F0"/>
    <w:rsid w:val="005E30A5"/>
    <w:rsid w:val="005E35A0"/>
    <w:rsid w:val="005E3C3E"/>
    <w:rsid w:val="005E3F1E"/>
    <w:rsid w:val="005E5168"/>
    <w:rsid w:val="005E7F95"/>
    <w:rsid w:val="005F000E"/>
    <w:rsid w:val="005F16FA"/>
    <w:rsid w:val="005F19D5"/>
    <w:rsid w:val="005F1C74"/>
    <w:rsid w:val="005F1D03"/>
    <w:rsid w:val="005F1D20"/>
    <w:rsid w:val="005F2A21"/>
    <w:rsid w:val="005F2EF2"/>
    <w:rsid w:val="005F4531"/>
    <w:rsid w:val="005F6B4D"/>
    <w:rsid w:val="005F7361"/>
    <w:rsid w:val="006000FA"/>
    <w:rsid w:val="00600171"/>
    <w:rsid w:val="0060105F"/>
    <w:rsid w:val="00601144"/>
    <w:rsid w:val="00602674"/>
    <w:rsid w:val="00605ED3"/>
    <w:rsid w:val="00606C17"/>
    <w:rsid w:val="00607ABA"/>
    <w:rsid w:val="0061146D"/>
    <w:rsid w:val="00611AF6"/>
    <w:rsid w:val="006120A2"/>
    <w:rsid w:val="006127E7"/>
    <w:rsid w:val="00612C56"/>
    <w:rsid w:val="0061404A"/>
    <w:rsid w:val="00615B8C"/>
    <w:rsid w:val="00616886"/>
    <w:rsid w:val="00616D75"/>
    <w:rsid w:val="00616EF8"/>
    <w:rsid w:val="00620620"/>
    <w:rsid w:val="0062110E"/>
    <w:rsid w:val="00621968"/>
    <w:rsid w:val="00621B89"/>
    <w:rsid w:val="00621EEF"/>
    <w:rsid w:val="00622E86"/>
    <w:rsid w:val="006243FB"/>
    <w:rsid w:val="00624759"/>
    <w:rsid w:val="006247DD"/>
    <w:rsid w:val="00625138"/>
    <w:rsid w:val="00626978"/>
    <w:rsid w:val="0062734D"/>
    <w:rsid w:val="006300BA"/>
    <w:rsid w:val="00630AC5"/>
    <w:rsid w:val="006312A1"/>
    <w:rsid w:val="006328B4"/>
    <w:rsid w:val="0063301F"/>
    <w:rsid w:val="00635511"/>
    <w:rsid w:val="006357E1"/>
    <w:rsid w:val="00635DB9"/>
    <w:rsid w:val="00636ED8"/>
    <w:rsid w:val="0063754C"/>
    <w:rsid w:val="00637873"/>
    <w:rsid w:val="0064074B"/>
    <w:rsid w:val="00640BA7"/>
    <w:rsid w:val="00640DDE"/>
    <w:rsid w:val="006427EC"/>
    <w:rsid w:val="00642832"/>
    <w:rsid w:val="00642BAD"/>
    <w:rsid w:val="0064372A"/>
    <w:rsid w:val="00645E62"/>
    <w:rsid w:val="00647A5D"/>
    <w:rsid w:val="00647F69"/>
    <w:rsid w:val="00651556"/>
    <w:rsid w:val="006515C7"/>
    <w:rsid w:val="00652829"/>
    <w:rsid w:val="006530EE"/>
    <w:rsid w:val="006531BF"/>
    <w:rsid w:val="00653CCD"/>
    <w:rsid w:val="00654178"/>
    <w:rsid w:val="00655D09"/>
    <w:rsid w:val="00656215"/>
    <w:rsid w:val="0065650B"/>
    <w:rsid w:val="00656643"/>
    <w:rsid w:val="006570F8"/>
    <w:rsid w:val="00657D98"/>
    <w:rsid w:val="00657E8A"/>
    <w:rsid w:val="00660141"/>
    <w:rsid w:val="006605C6"/>
    <w:rsid w:val="00660F09"/>
    <w:rsid w:val="006611F6"/>
    <w:rsid w:val="00662F13"/>
    <w:rsid w:val="00663BA0"/>
    <w:rsid w:val="00663E95"/>
    <w:rsid w:val="00663F8F"/>
    <w:rsid w:val="00664041"/>
    <w:rsid w:val="00664138"/>
    <w:rsid w:val="00664361"/>
    <w:rsid w:val="006660CD"/>
    <w:rsid w:val="0067016F"/>
    <w:rsid w:val="006704E5"/>
    <w:rsid w:val="00675259"/>
    <w:rsid w:val="006756E3"/>
    <w:rsid w:val="00676128"/>
    <w:rsid w:val="006764FD"/>
    <w:rsid w:val="00676727"/>
    <w:rsid w:val="00676740"/>
    <w:rsid w:val="00677634"/>
    <w:rsid w:val="0067778F"/>
    <w:rsid w:val="006779A5"/>
    <w:rsid w:val="00680FE3"/>
    <w:rsid w:val="0068105E"/>
    <w:rsid w:val="00681323"/>
    <w:rsid w:val="00681716"/>
    <w:rsid w:val="0068183E"/>
    <w:rsid w:val="00683585"/>
    <w:rsid w:val="00684EF9"/>
    <w:rsid w:val="006850E5"/>
    <w:rsid w:val="00685BBA"/>
    <w:rsid w:val="00685D6F"/>
    <w:rsid w:val="00686553"/>
    <w:rsid w:val="00687196"/>
    <w:rsid w:val="0068732B"/>
    <w:rsid w:val="00687498"/>
    <w:rsid w:val="00687663"/>
    <w:rsid w:val="006877FE"/>
    <w:rsid w:val="00687E78"/>
    <w:rsid w:val="00690AA7"/>
    <w:rsid w:val="006917F7"/>
    <w:rsid w:val="00691CE5"/>
    <w:rsid w:val="006924A2"/>
    <w:rsid w:val="00692BEF"/>
    <w:rsid w:val="0069307F"/>
    <w:rsid w:val="0069316F"/>
    <w:rsid w:val="00693ACC"/>
    <w:rsid w:val="00694D9F"/>
    <w:rsid w:val="00695844"/>
    <w:rsid w:val="00696544"/>
    <w:rsid w:val="00697187"/>
    <w:rsid w:val="00697459"/>
    <w:rsid w:val="006975A7"/>
    <w:rsid w:val="006A1189"/>
    <w:rsid w:val="006A136F"/>
    <w:rsid w:val="006A2328"/>
    <w:rsid w:val="006A27AF"/>
    <w:rsid w:val="006A3110"/>
    <w:rsid w:val="006A3507"/>
    <w:rsid w:val="006A3887"/>
    <w:rsid w:val="006A575C"/>
    <w:rsid w:val="006A5DD6"/>
    <w:rsid w:val="006A5DE2"/>
    <w:rsid w:val="006A62FA"/>
    <w:rsid w:val="006A7180"/>
    <w:rsid w:val="006A7AED"/>
    <w:rsid w:val="006A7DAE"/>
    <w:rsid w:val="006A7E01"/>
    <w:rsid w:val="006B0323"/>
    <w:rsid w:val="006B0682"/>
    <w:rsid w:val="006B103A"/>
    <w:rsid w:val="006B1532"/>
    <w:rsid w:val="006B1F4E"/>
    <w:rsid w:val="006B377D"/>
    <w:rsid w:val="006B38B5"/>
    <w:rsid w:val="006B4817"/>
    <w:rsid w:val="006B5F34"/>
    <w:rsid w:val="006B5F3B"/>
    <w:rsid w:val="006B62C3"/>
    <w:rsid w:val="006B69E4"/>
    <w:rsid w:val="006B7208"/>
    <w:rsid w:val="006C086E"/>
    <w:rsid w:val="006C1D41"/>
    <w:rsid w:val="006C20AE"/>
    <w:rsid w:val="006C2626"/>
    <w:rsid w:val="006C43BD"/>
    <w:rsid w:val="006C44BE"/>
    <w:rsid w:val="006C477F"/>
    <w:rsid w:val="006C52B0"/>
    <w:rsid w:val="006C5455"/>
    <w:rsid w:val="006C5D6B"/>
    <w:rsid w:val="006C613D"/>
    <w:rsid w:val="006C6F94"/>
    <w:rsid w:val="006C701E"/>
    <w:rsid w:val="006D063E"/>
    <w:rsid w:val="006D09DD"/>
    <w:rsid w:val="006D16AB"/>
    <w:rsid w:val="006D17FD"/>
    <w:rsid w:val="006D1F23"/>
    <w:rsid w:val="006D311F"/>
    <w:rsid w:val="006D4322"/>
    <w:rsid w:val="006D54AD"/>
    <w:rsid w:val="006D5613"/>
    <w:rsid w:val="006D588B"/>
    <w:rsid w:val="006D5BD2"/>
    <w:rsid w:val="006D70A2"/>
    <w:rsid w:val="006D7259"/>
    <w:rsid w:val="006D78C8"/>
    <w:rsid w:val="006E185E"/>
    <w:rsid w:val="006E2A7A"/>
    <w:rsid w:val="006E3649"/>
    <w:rsid w:val="006E3DDF"/>
    <w:rsid w:val="006E4BC6"/>
    <w:rsid w:val="006E4D07"/>
    <w:rsid w:val="006E4E4F"/>
    <w:rsid w:val="006E4ED2"/>
    <w:rsid w:val="006E5AA0"/>
    <w:rsid w:val="006E72DE"/>
    <w:rsid w:val="006E754F"/>
    <w:rsid w:val="006E7C11"/>
    <w:rsid w:val="006F1256"/>
    <w:rsid w:val="006F248D"/>
    <w:rsid w:val="006F3754"/>
    <w:rsid w:val="006F3DD9"/>
    <w:rsid w:val="006F42AA"/>
    <w:rsid w:val="006F4319"/>
    <w:rsid w:val="006F5AC0"/>
    <w:rsid w:val="006F719F"/>
    <w:rsid w:val="006F75A8"/>
    <w:rsid w:val="007002BD"/>
    <w:rsid w:val="0070095D"/>
    <w:rsid w:val="007018A6"/>
    <w:rsid w:val="00701C4C"/>
    <w:rsid w:val="00701DA5"/>
    <w:rsid w:val="0070251D"/>
    <w:rsid w:val="00703853"/>
    <w:rsid w:val="007048CA"/>
    <w:rsid w:val="00704A7C"/>
    <w:rsid w:val="00705721"/>
    <w:rsid w:val="00706E60"/>
    <w:rsid w:val="007114F4"/>
    <w:rsid w:val="007120FC"/>
    <w:rsid w:val="007125E6"/>
    <w:rsid w:val="00712C51"/>
    <w:rsid w:val="0071315A"/>
    <w:rsid w:val="00713260"/>
    <w:rsid w:val="00713CDF"/>
    <w:rsid w:val="00713EA2"/>
    <w:rsid w:val="00714BDA"/>
    <w:rsid w:val="0071627D"/>
    <w:rsid w:val="00716B33"/>
    <w:rsid w:val="00716F32"/>
    <w:rsid w:val="00717337"/>
    <w:rsid w:val="00717C6C"/>
    <w:rsid w:val="00720AEA"/>
    <w:rsid w:val="00721A9B"/>
    <w:rsid w:val="00721F17"/>
    <w:rsid w:val="00722B5E"/>
    <w:rsid w:val="00722D70"/>
    <w:rsid w:val="00724359"/>
    <w:rsid w:val="007248E7"/>
    <w:rsid w:val="00724C42"/>
    <w:rsid w:val="00724D15"/>
    <w:rsid w:val="00726487"/>
    <w:rsid w:val="007273AB"/>
    <w:rsid w:val="007275B1"/>
    <w:rsid w:val="00727730"/>
    <w:rsid w:val="00730B3D"/>
    <w:rsid w:val="00731687"/>
    <w:rsid w:val="007327AF"/>
    <w:rsid w:val="00732F6F"/>
    <w:rsid w:val="00734F88"/>
    <w:rsid w:val="00735B17"/>
    <w:rsid w:val="007378BA"/>
    <w:rsid w:val="00740597"/>
    <w:rsid w:val="0074059F"/>
    <w:rsid w:val="00740991"/>
    <w:rsid w:val="00744074"/>
    <w:rsid w:val="007442AC"/>
    <w:rsid w:val="00744CC4"/>
    <w:rsid w:val="00744DC5"/>
    <w:rsid w:val="00745127"/>
    <w:rsid w:val="007457F3"/>
    <w:rsid w:val="007461F0"/>
    <w:rsid w:val="007469E8"/>
    <w:rsid w:val="00750C48"/>
    <w:rsid w:val="007543DD"/>
    <w:rsid w:val="00755389"/>
    <w:rsid w:val="0075566B"/>
    <w:rsid w:val="00755888"/>
    <w:rsid w:val="00755B6F"/>
    <w:rsid w:val="007608B5"/>
    <w:rsid w:val="0076147F"/>
    <w:rsid w:val="00761FCA"/>
    <w:rsid w:val="00762D0B"/>
    <w:rsid w:val="00762F96"/>
    <w:rsid w:val="00763607"/>
    <w:rsid w:val="0076396A"/>
    <w:rsid w:val="00764598"/>
    <w:rsid w:val="00764898"/>
    <w:rsid w:val="00764E71"/>
    <w:rsid w:val="0076504A"/>
    <w:rsid w:val="00765109"/>
    <w:rsid w:val="00765747"/>
    <w:rsid w:val="00765E1C"/>
    <w:rsid w:val="00766081"/>
    <w:rsid w:val="00766EFC"/>
    <w:rsid w:val="00767987"/>
    <w:rsid w:val="0077060D"/>
    <w:rsid w:val="00770A82"/>
    <w:rsid w:val="00770E82"/>
    <w:rsid w:val="007715DC"/>
    <w:rsid w:val="00772E86"/>
    <w:rsid w:val="007732AF"/>
    <w:rsid w:val="00773C09"/>
    <w:rsid w:val="00774A40"/>
    <w:rsid w:val="0077573F"/>
    <w:rsid w:val="00775A19"/>
    <w:rsid w:val="007814B7"/>
    <w:rsid w:val="0078313F"/>
    <w:rsid w:val="00783772"/>
    <w:rsid w:val="0078471E"/>
    <w:rsid w:val="00784C20"/>
    <w:rsid w:val="007850DD"/>
    <w:rsid w:val="0078512F"/>
    <w:rsid w:val="00785A92"/>
    <w:rsid w:val="00785DE2"/>
    <w:rsid w:val="00786062"/>
    <w:rsid w:val="007865EA"/>
    <w:rsid w:val="007866D2"/>
    <w:rsid w:val="00786F61"/>
    <w:rsid w:val="0078726D"/>
    <w:rsid w:val="00790224"/>
    <w:rsid w:val="007903AF"/>
    <w:rsid w:val="007909E6"/>
    <w:rsid w:val="00791260"/>
    <w:rsid w:val="007913E1"/>
    <w:rsid w:val="00791592"/>
    <w:rsid w:val="00791A35"/>
    <w:rsid w:val="007925D1"/>
    <w:rsid w:val="0079318D"/>
    <w:rsid w:val="0079336B"/>
    <w:rsid w:val="007936C8"/>
    <w:rsid w:val="0079404D"/>
    <w:rsid w:val="0079448F"/>
    <w:rsid w:val="0079467C"/>
    <w:rsid w:val="00794A7C"/>
    <w:rsid w:val="00794CA1"/>
    <w:rsid w:val="00796A17"/>
    <w:rsid w:val="00796B93"/>
    <w:rsid w:val="00796F95"/>
    <w:rsid w:val="007977E6"/>
    <w:rsid w:val="007A0360"/>
    <w:rsid w:val="007A1AAA"/>
    <w:rsid w:val="007A2CD3"/>
    <w:rsid w:val="007A2DDD"/>
    <w:rsid w:val="007A4EBC"/>
    <w:rsid w:val="007A54AF"/>
    <w:rsid w:val="007A68B1"/>
    <w:rsid w:val="007A7101"/>
    <w:rsid w:val="007A7337"/>
    <w:rsid w:val="007B0D0D"/>
    <w:rsid w:val="007B0EE8"/>
    <w:rsid w:val="007B0FE6"/>
    <w:rsid w:val="007B1743"/>
    <w:rsid w:val="007B1E20"/>
    <w:rsid w:val="007B200D"/>
    <w:rsid w:val="007B36DF"/>
    <w:rsid w:val="007B371D"/>
    <w:rsid w:val="007B5FE0"/>
    <w:rsid w:val="007B617E"/>
    <w:rsid w:val="007B7015"/>
    <w:rsid w:val="007C0211"/>
    <w:rsid w:val="007C0636"/>
    <w:rsid w:val="007C0D00"/>
    <w:rsid w:val="007C4552"/>
    <w:rsid w:val="007C4A92"/>
    <w:rsid w:val="007C5D70"/>
    <w:rsid w:val="007C696D"/>
    <w:rsid w:val="007C77CD"/>
    <w:rsid w:val="007D0EC3"/>
    <w:rsid w:val="007D1AC5"/>
    <w:rsid w:val="007D2484"/>
    <w:rsid w:val="007D2514"/>
    <w:rsid w:val="007D2B5F"/>
    <w:rsid w:val="007D37BA"/>
    <w:rsid w:val="007D4E1D"/>
    <w:rsid w:val="007D5C0B"/>
    <w:rsid w:val="007D5F94"/>
    <w:rsid w:val="007D62A9"/>
    <w:rsid w:val="007D638E"/>
    <w:rsid w:val="007D6B32"/>
    <w:rsid w:val="007D6CD2"/>
    <w:rsid w:val="007D6E4A"/>
    <w:rsid w:val="007D71C3"/>
    <w:rsid w:val="007D7DD1"/>
    <w:rsid w:val="007E04AF"/>
    <w:rsid w:val="007E2D0E"/>
    <w:rsid w:val="007E32E9"/>
    <w:rsid w:val="007E3560"/>
    <w:rsid w:val="007E3E1D"/>
    <w:rsid w:val="007E4237"/>
    <w:rsid w:val="007E4D3C"/>
    <w:rsid w:val="007E5112"/>
    <w:rsid w:val="007E60B3"/>
    <w:rsid w:val="007E6A88"/>
    <w:rsid w:val="007F23FC"/>
    <w:rsid w:val="007F268C"/>
    <w:rsid w:val="007F3871"/>
    <w:rsid w:val="007F3E0C"/>
    <w:rsid w:val="007F4539"/>
    <w:rsid w:val="007F4617"/>
    <w:rsid w:val="007F522D"/>
    <w:rsid w:val="007F55EA"/>
    <w:rsid w:val="007F6572"/>
    <w:rsid w:val="007F6698"/>
    <w:rsid w:val="007F6EC0"/>
    <w:rsid w:val="0080082F"/>
    <w:rsid w:val="00801621"/>
    <w:rsid w:val="00801F3E"/>
    <w:rsid w:val="0080202B"/>
    <w:rsid w:val="008023E9"/>
    <w:rsid w:val="00802646"/>
    <w:rsid w:val="0080310A"/>
    <w:rsid w:val="0080332D"/>
    <w:rsid w:val="00803BD1"/>
    <w:rsid w:val="008045AE"/>
    <w:rsid w:val="00804760"/>
    <w:rsid w:val="00804D43"/>
    <w:rsid w:val="00805474"/>
    <w:rsid w:val="0080599C"/>
    <w:rsid w:val="0080646B"/>
    <w:rsid w:val="00807151"/>
    <w:rsid w:val="0080727C"/>
    <w:rsid w:val="00807649"/>
    <w:rsid w:val="00807748"/>
    <w:rsid w:val="008107F8"/>
    <w:rsid w:val="008109F2"/>
    <w:rsid w:val="00810BDF"/>
    <w:rsid w:val="00810F8F"/>
    <w:rsid w:val="0081100D"/>
    <w:rsid w:val="008119FB"/>
    <w:rsid w:val="00813158"/>
    <w:rsid w:val="00813C19"/>
    <w:rsid w:val="00814242"/>
    <w:rsid w:val="00816259"/>
    <w:rsid w:val="00820150"/>
    <w:rsid w:val="008205EE"/>
    <w:rsid w:val="00820621"/>
    <w:rsid w:val="008216D6"/>
    <w:rsid w:val="0082610B"/>
    <w:rsid w:val="0082636F"/>
    <w:rsid w:val="008265C3"/>
    <w:rsid w:val="00826AF3"/>
    <w:rsid w:val="00827A59"/>
    <w:rsid w:val="00827FD4"/>
    <w:rsid w:val="008306D5"/>
    <w:rsid w:val="00830841"/>
    <w:rsid w:val="008311B7"/>
    <w:rsid w:val="00832600"/>
    <w:rsid w:val="00833C32"/>
    <w:rsid w:val="00833C4E"/>
    <w:rsid w:val="008342AB"/>
    <w:rsid w:val="00834485"/>
    <w:rsid w:val="00835CED"/>
    <w:rsid w:val="008365D7"/>
    <w:rsid w:val="00837595"/>
    <w:rsid w:val="008379C0"/>
    <w:rsid w:val="00837E1A"/>
    <w:rsid w:val="0084006D"/>
    <w:rsid w:val="008403AF"/>
    <w:rsid w:val="00840B0F"/>
    <w:rsid w:val="00840B9B"/>
    <w:rsid w:val="008415E4"/>
    <w:rsid w:val="00843183"/>
    <w:rsid w:val="008432A5"/>
    <w:rsid w:val="00844D9C"/>
    <w:rsid w:val="00845622"/>
    <w:rsid w:val="00846291"/>
    <w:rsid w:val="00846B5F"/>
    <w:rsid w:val="00847880"/>
    <w:rsid w:val="0085141F"/>
    <w:rsid w:val="008516EB"/>
    <w:rsid w:val="00851C5B"/>
    <w:rsid w:val="00852C9B"/>
    <w:rsid w:val="00853CEB"/>
    <w:rsid w:val="00853D4C"/>
    <w:rsid w:val="00853F65"/>
    <w:rsid w:val="00855357"/>
    <w:rsid w:val="008563D7"/>
    <w:rsid w:val="00857E49"/>
    <w:rsid w:val="0086010E"/>
    <w:rsid w:val="00860F64"/>
    <w:rsid w:val="00861910"/>
    <w:rsid w:val="0086260F"/>
    <w:rsid w:val="0086327B"/>
    <w:rsid w:val="0086358B"/>
    <w:rsid w:val="008638DF"/>
    <w:rsid w:val="0086468D"/>
    <w:rsid w:val="00864C28"/>
    <w:rsid w:val="00864D24"/>
    <w:rsid w:val="008661EB"/>
    <w:rsid w:val="00867188"/>
    <w:rsid w:val="00867CCC"/>
    <w:rsid w:val="00867E4E"/>
    <w:rsid w:val="0087020F"/>
    <w:rsid w:val="00873474"/>
    <w:rsid w:val="0087383C"/>
    <w:rsid w:val="0087422F"/>
    <w:rsid w:val="008744EB"/>
    <w:rsid w:val="0087461C"/>
    <w:rsid w:val="008765D6"/>
    <w:rsid w:val="00876611"/>
    <w:rsid w:val="008767E8"/>
    <w:rsid w:val="0088040A"/>
    <w:rsid w:val="008805F0"/>
    <w:rsid w:val="00881E45"/>
    <w:rsid w:val="0088208F"/>
    <w:rsid w:val="00883088"/>
    <w:rsid w:val="008835F1"/>
    <w:rsid w:val="00883ECA"/>
    <w:rsid w:val="00883FCE"/>
    <w:rsid w:val="0088653C"/>
    <w:rsid w:val="00886913"/>
    <w:rsid w:val="00886A13"/>
    <w:rsid w:val="00887204"/>
    <w:rsid w:val="00892CC9"/>
    <w:rsid w:val="00893B22"/>
    <w:rsid w:val="00894E6C"/>
    <w:rsid w:val="00895AD8"/>
    <w:rsid w:val="00896019"/>
    <w:rsid w:val="008962BD"/>
    <w:rsid w:val="0089650D"/>
    <w:rsid w:val="00896882"/>
    <w:rsid w:val="00896E15"/>
    <w:rsid w:val="008975B4"/>
    <w:rsid w:val="00897CCF"/>
    <w:rsid w:val="008A0330"/>
    <w:rsid w:val="008A0716"/>
    <w:rsid w:val="008A12D9"/>
    <w:rsid w:val="008A1861"/>
    <w:rsid w:val="008A1E79"/>
    <w:rsid w:val="008A2A22"/>
    <w:rsid w:val="008A3799"/>
    <w:rsid w:val="008A487C"/>
    <w:rsid w:val="008A645B"/>
    <w:rsid w:val="008A73BE"/>
    <w:rsid w:val="008A781E"/>
    <w:rsid w:val="008B01D3"/>
    <w:rsid w:val="008B261E"/>
    <w:rsid w:val="008B288D"/>
    <w:rsid w:val="008B2E22"/>
    <w:rsid w:val="008B2EFF"/>
    <w:rsid w:val="008B4918"/>
    <w:rsid w:val="008B588B"/>
    <w:rsid w:val="008B7179"/>
    <w:rsid w:val="008B71F3"/>
    <w:rsid w:val="008B7227"/>
    <w:rsid w:val="008C0B06"/>
    <w:rsid w:val="008C0B1B"/>
    <w:rsid w:val="008C0D60"/>
    <w:rsid w:val="008C1FFA"/>
    <w:rsid w:val="008C251B"/>
    <w:rsid w:val="008C28A1"/>
    <w:rsid w:val="008C2BC7"/>
    <w:rsid w:val="008C2C05"/>
    <w:rsid w:val="008C44D2"/>
    <w:rsid w:val="008C5FAF"/>
    <w:rsid w:val="008C613E"/>
    <w:rsid w:val="008C668F"/>
    <w:rsid w:val="008C67C4"/>
    <w:rsid w:val="008C6FD6"/>
    <w:rsid w:val="008C70DC"/>
    <w:rsid w:val="008D1761"/>
    <w:rsid w:val="008D1CE7"/>
    <w:rsid w:val="008D1E1F"/>
    <w:rsid w:val="008D2D97"/>
    <w:rsid w:val="008D2FAB"/>
    <w:rsid w:val="008D3111"/>
    <w:rsid w:val="008D323E"/>
    <w:rsid w:val="008D3BB2"/>
    <w:rsid w:val="008D3DCC"/>
    <w:rsid w:val="008D4087"/>
    <w:rsid w:val="008D5DBB"/>
    <w:rsid w:val="008D6B0E"/>
    <w:rsid w:val="008D73CB"/>
    <w:rsid w:val="008D76E0"/>
    <w:rsid w:val="008E00FD"/>
    <w:rsid w:val="008E045B"/>
    <w:rsid w:val="008E0AD2"/>
    <w:rsid w:val="008E154A"/>
    <w:rsid w:val="008E163A"/>
    <w:rsid w:val="008E1709"/>
    <w:rsid w:val="008E1D57"/>
    <w:rsid w:val="008E2133"/>
    <w:rsid w:val="008E23A7"/>
    <w:rsid w:val="008E27AB"/>
    <w:rsid w:val="008E3AA7"/>
    <w:rsid w:val="008E3AE0"/>
    <w:rsid w:val="008E4A56"/>
    <w:rsid w:val="008E5789"/>
    <w:rsid w:val="008E5A1D"/>
    <w:rsid w:val="008E5F52"/>
    <w:rsid w:val="008E6101"/>
    <w:rsid w:val="008E7555"/>
    <w:rsid w:val="008E782D"/>
    <w:rsid w:val="008E7D62"/>
    <w:rsid w:val="008E7E87"/>
    <w:rsid w:val="008F0C96"/>
    <w:rsid w:val="008F1725"/>
    <w:rsid w:val="008F1FEE"/>
    <w:rsid w:val="008F2011"/>
    <w:rsid w:val="008F2FC2"/>
    <w:rsid w:val="008F315F"/>
    <w:rsid w:val="008F40E9"/>
    <w:rsid w:val="008F410A"/>
    <w:rsid w:val="008F5354"/>
    <w:rsid w:val="008F5A64"/>
    <w:rsid w:val="008F607D"/>
    <w:rsid w:val="00900A26"/>
    <w:rsid w:val="0090149F"/>
    <w:rsid w:val="00902CCA"/>
    <w:rsid w:val="0090320A"/>
    <w:rsid w:val="00905561"/>
    <w:rsid w:val="0091010A"/>
    <w:rsid w:val="009101BB"/>
    <w:rsid w:val="009104FF"/>
    <w:rsid w:val="00910D52"/>
    <w:rsid w:val="0091294D"/>
    <w:rsid w:val="00912B1E"/>
    <w:rsid w:val="00912E65"/>
    <w:rsid w:val="00913161"/>
    <w:rsid w:val="0091341E"/>
    <w:rsid w:val="009145C3"/>
    <w:rsid w:val="009148F2"/>
    <w:rsid w:val="00916276"/>
    <w:rsid w:val="0091650A"/>
    <w:rsid w:val="0091688D"/>
    <w:rsid w:val="00916BFD"/>
    <w:rsid w:val="0091726E"/>
    <w:rsid w:val="00917BE8"/>
    <w:rsid w:val="00920D72"/>
    <w:rsid w:val="009212C4"/>
    <w:rsid w:val="009214D5"/>
    <w:rsid w:val="00922009"/>
    <w:rsid w:val="009220E0"/>
    <w:rsid w:val="009221C4"/>
    <w:rsid w:val="009228E0"/>
    <w:rsid w:val="00922F24"/>
    <w:rsid w:val="0092495A"/>
    <w:rsid w:val="00925295"/>
    <w:rsid w:val="0092587B"/>
    <w:rsid w:val="00925E31"/>
    <w:rsid w:val="009260FB"/>
    <w:rsid w:val="00926327"/>
    <w:rsid w:val="00926337"/>
    <w:rsid w:val="00926501"/>
    <w:rsid w:val="009276EF"/>
    <w:rsid w:val="00927C1C"/>
    <w:rsid w:val="00927E47"/>
    <w:rsid w:val="009311B4"/>
    <w:rsid w:val="00931849"/>
    <w:rsid w:val="009318FB"/>
    <w:rsid w:val="00932153"/>
    <w:rsid w:val="009324CF"/>
    <w:rsid w:val="00932662"/>
    <w:rsid w:val="009326DE"/>
    <w:rsid w:val="00934C01"/>
    <w:rsid w:val="00934DA2"/>
    <w:rsid w:val="00935021"/>
    <w:rsid w:val="00935FC8"/>
    <w:rsid w:val="009409DD"/>
    <w:rsid w:val="00940E61"/>
    <w:rsid w:val="00941991"/>
    <w:rsid w:val="00942EC8"/>
    <w:rsid w:val="00943274"/>
    <w:rsid w:val="009434C0"/>
    <w:rsid w:val="00944D79"/>
    <w:rsid w:val="00944EED"/>
    <w:rsid w:val="0094599D"/>
    <w:rsid w:val="00946873"/>
    <w:rsid w:val="0094748E"/>
    <w:rsid w:val="00947820"/>
    <w:rsid w:val="00951364"/>
    <w:rsid w:val="00953FC7"/>
    <w:rsid w:val="00956921"/>
    <w:rsid w:val="009569C2"/>
    <w:rsid w:val="00957552"/>
    <w:rsid w:val="0095789B"/>
    <w:rsid w:val="009609F0"/>
    <w:rsid w:val="0096147C"/>
    <w:rsid w:val="0096191C"/>
    <w:rsid w:val="00963AAD"/>
    <w:rsid w:val="00964431"/>
    <w:rsid w:val="00964778"/>
    <w:rsid w:val="009653F2"/>
    <w:rsid w:val="00965BFF"/>
    <w:rsid w:val="009662F4"/>
    <w:rsid w:val="00966631"/>
    <w:rsid w:val="00966F4E"/>
    <w:rsid w:val="009675BF"/>
    <w:rsid w:val="00967EEB"/>
    <w:rsid w:val="009711C3"/>
    <w:rsid w:val="009739C3"/>
    <w:rsid w:val="00974A46"/>
    <w:rsid w:val="00974CB4"/>
    <w:rsid w:val="009756A4"/>
    <w:rsid w:val="0097672B"/>
    <w:rsid w:val="00976E01"/>
    <w:rsid w:val="00977A34"/>
    <w:rsid w:val="00977A3C"/>
    <w:rsid w:val="00977FBE"/>
    <w:rsid w:val="0098014C"/>
    <w:rsid w:val="009802D3"/>
    <w:rsid w:val="009811C4"/>
    <w:rsid w:val="0098197F"/>
    <w:rsid w:val="009822B1"/>
    <w:rsid w:val="00982624"/>
    <w:rsid w:val="00983196"/>
    <w:rsid w:val="00983F1B"/>
    <w:rsid w:val="009846B3"/>
    <w:rsid w:val="00985579"/>
    <w:rsid w:val="0098587E"/>
    <w:rsid w:val="00985D4D"/>
    <w:rsid w:val="00987A7B"/>
    <w:rsid w:val="00987D1F"/>
    <w:rsid w:val="00990271"/>
    <w:rsid w:val="009902E1"/>
    <w:rsid w:val="00990A51"/>
    <w:rsid w:val="00991A00"/>
    <w:rsid w:val="00992136"/>
    <w:rsid w:val="009944FA"/>
    <w:rsid w:val="00994507"/>
    <w:rsid w:val="009945F3"/>
    <w:rsid w:val="00996A71"/>
    <w:rsid w:val="00997499"/>
    <w:rsid w:val="0099752E"/>
    <w:rsid w:val="00997605"/>
    <w:rsid w:val="009976C1"/>
    <w:rsid w:val="00997A98"/>
    <w:rsid w:val="00997C47"/>
    <w:rsid w:val="00997F8F"/>
    <w:rsid w:val="009A00F7"/>
    <w:rsid w:val="009A016C"/>
    <w:rsid w:val="009A17A7"/>
    <w:rsid w:val="009A2724"/>
    <w:rsid w:val="009A2EE7"/>
    <w:rsid w:val="009A333F"/>
    <w:rsid w:val="009A3595"/>
    <w:rsid w:val="009A3DDF"/>
    <w:rsid w:val="009A45FF"/>
    <w:rsid w:val="009A655A"/>
    <w:rsid w:val="009A6696"/>
    <w:rsid w:val="009A7909"/>
    <w:rsid w:val="009A7A1B"/>
    <w:rsid w:val="009B1016"/>
    <w:rsid w:val="009B168D"/>
    <w:rsid w:val="009B2B99"/>
    <w:rsid w:val="009B4488"/>
    <w:rsid w:val="009B4969"/>
    <w:rsid w:val="009B4BE8"/>
    <w:rsid w:val="009B4F1D"/>
    <w:rsid w:val="009B5F8D"/>
    <w:rsid w:val="009C0088"/>
    <w:rsid w:val="009C1A01"/>
    <w:rsid w:val="009C20D2"/>
    <w:rsid w:val="009C2656"/>
    <w:rsid w:val="009C33CC"/>
    <w:rsid w:val="009C3502"/>
    <w:rsid w:val="009C403B"/>
    <w:rsid w:val="009C44D3"/>
    <w:rsid w:val="009C4D2E"/>
    <w:rsid w:val="009C4F02"/>
    <w:rsid w:val="009C65FF"/>
    <w:rsid w:val="009C66D1"/>
    <w:rsid w:val="009C7826"/>
    <w:rsid w:val="009C7844"/>
    <w:rsid w:val="009D0D18"/>
    <w:rsid w:val="009D1190"/>
    <w:rsid w:val="009D2657"/>
    <w:rsid w:val="009D2F02"/>
    <w:rsid w:val="009D3217"/>
    <w:rsid w:val="009D34B1"/>
    <w:rsid w:val="009D4216"/>
    <w:rsid w:val="009D4A85"/>
    <w:rsid w:val="009D4C5F"/>
    <w:rsid w:val="009D52EA"/>
    <w:rsid w:val="009D5592"/>
    <w:rsid w:val="009D55D3"/>
    <w:rsid w:val="009D6D66"/>
    <w:rsid w:val="009E2073"/>
    <w:rsid w:val="009E22DE"/>
    <w:rsid w:val="009E3B6D"/>
    <w:rsid w:val="009E4592"/>
    <w:rsid w:val="009E4EBB"/>
    <w:rsid w:val="009E56A5"/>
    <w:rsid w:val="009E663F"/>
    <w:rsid w:val="009E75A9"/>
    <w:rsid w:val="009F060B"/>
    <w:rsid w:val="009F1976"/>
    <w:rsid w:val="009F1D67"/>
    <w:rsid w:val="009F1D7F"/>
    <w:rsid w:val="009F328D"/>
    <w:rsid w:val="009F36DC"/>
    <w:rsid w:val="009F4409"/>
    <w:rsid w:val="009F45BD"/>
    <w:rsid w:val="009F4798"/>
    <w:rsid w:val="009F4CF7"/>
    <w:rsid w:val="009F526E"/>
    <w:rsid w:val="009F58FD"/>
    <w:rsid w:val="009F6F73"/>
    <w:rsid w:val="00A002FB"/>
    <w:rsid w:val="00A016A8"/>
    <w:rsid w:val="00A0195B"/>
    <w:rsid w:val="00A032DD"/>
    <w:rsid w:val="00A0359A"/>
    <w:rsid w:val="00A0454F"/>
    <w:rsid w:val="00A05586"/>
    <w:rsid w:val="00A06392"/>
    <w:rsid w:val="00A06D66"/>
    <w:rsid w:val="00A0778F"/>
    <w:rsid w:val="00A07BEB"/>
    <w:rsid w:val="00A1011A"/>
    <w:rsid w:val="00A102D5"/>
    <w:rsid w:val="00A10557"/>
    <w:rsid w:val="00A10962"/>
    <w:rsid w:val="00A1115A"/>
    <w:rsid w:val="00A11E44"/>
    <w:rsid w:val="00A1266C"/>
    <w:rsid w:val="00A12C3E"/>
    <w:rsid w:val="00A1353C"/>
    <w:rsid w:val="00A14047"/>
    <w:rsid w:val="00A14051"/>
    <w:rsid w:val="00A1442C"/>
    <w:rsid w:val="00A148E0"/>
    <w:rsid w:val="00A1581B"/>
    <w:rsid w:val="00A1625A"/>
    <w:rsid w:val="00A16569"/>
    <w:rsid w:val="00A17572"/>
    <w:rsid w:val="00A2041C"/>
    <w:rsid w:val="00A20E93"/>
    <w:rsid w:val="00A21176"/>
    <w:rsid w:val="00A21242"/>
    <w:rsid w:val="00A22910"/>
    <w:rsid w:val="00A23AAC"/>
    <w:rsid w:val="00A2428F"/>
    <w:rsid w:val="00A25BD7"/>
    <w:rsid w:val="00A30E20"/>
    <w:rsid w:val="00A31BCC"/>
    <w:rsid w:val="00A32271"/>
    <w:rsid w:val="00A35F16"/>
    <w:rsid w:val="00A360B8"/>
    <w:rsid w:val="00A373FE"/>
    <w:rsid w:val="00A37CD5"/>
    <w:rsid w:val="00A37DA9"/>
    <w:rsid w:val="00A37F99"/>
    <w:rsid w:val="00A41161"/>
    <w:rsid w:val="00A415CF"/>
    <w:rsid w:val="00A41679"/>
    <w:rsid w:val="00A41AC3"/>
    <w:rsid w:val="00A429F7"/>
    <w:rsid w:val="00A42BCC"/>
    <w:rsid w:val="00A42BFE"/>
    <w:rsid w:val="00A42DE3"/>
    <w:rsid w:val="00A42E07"/>
    <w:rsid w:val="00A43132"/>
    <w:rsid w:val="00A43696"/>
    <w:rsid w:val="00A4382E"/>
    <w:rsid w:val="00A43905"/>
    <w:rsid w:val="00A45535"/>
    <w:rsid w:val="00A47C16"/>
    <w:rsid w:val="00A47F00"/>
    <w:rsid w:val="00A50492"/>
    <w:rsid w:val="00A517CA"/>
    <w:rsid w:val="00A5184A"/>
    <w:rsid w:val="00A51A05"/>
    <w:rsid w:val="00A52D55"/>
    <w:rsid w:val="00A534D4"/>
    <w:rsid w:val="00A537F1"/>
    <w:rsid w:val="00A540F5"/>
    <w:rsid w:val="00A54DD0"/>
    <w:rsid w:val="00A55726"/>
    <w:rsid w:val="00A56127"/>
    <w:rsid w:val="00A561B9"/>
    <w:rsid w:val="00A5644F"/>
    <w:rsid w:val="00A60F83"/>
    <w:rsid w:val="00A6155A"/>
    <w:rsid w:val="00A6188F"/>
    <w:rsid w:val="00A61F53"/>
    <w:rsid w:val="00A66894"/>
    <w:rsid w:val="00A66E77"/>
    <w:rsid w:val="00A712F7"/>
    <w:rsid w:val="00A71743"/>
    <w:rsid w:val="00A71B2F"/>
    <w:rsid w:val="00A7214B"/>
    <w:rsid w:val="00A730D6"/>
    <w:rsid w:val="00A733C8"/>
    <w:rsid w:val="00A73844"/>
    <w:rsid w:val="00A7498D"/>
    <w:rsid w:val="00A74E31"/>
    <w:rsid w:val="00A75018"/>
    <w:rsid w:val="00A75E60"/>
    <w:rsid w:val="00A76304"/>
    <w:rsid w:val="00A76621"/>
    <w:rsid w:val="00A7786F"/>
    <w:rsid w:val="00A801C6"/>
    <w:rsid w:val="00A80B9A"/>
    <w:rsid w:val="00A80BDA"/>
    <w:rsid w:val="00A80C9E"/>
    <w:rsid w:val="00A81CAC"/>
    <w:rsid w:val="00A8333A"/>
    <w:rsid w:val="00A847B1"/>
    <w:rsid w:val="00A857B0"/>
    <w:rsid w:val="00A860B5"/>
    <w:rsid w:val="00A862D0"/>
    <w:rsid w:val="00A87CD1"/>
    <w:rsid w:val="00A91228"/>
    <w:rsid w:val="00A92B97"/>
    <w:rsid w:val="00A937BC"/>
    <w:rsid w:val="00A94A2C"/>
    <w:rsid w:val="00A94AA5"/>
    <w:rsid w:val="00A957AA"/>
    <w:rsid w:val="00A962DF"/>
    <w:rsid w:val="00A97302"/>
    <w:rsid w:val="00A97723"/>
    <w:rsid w:val="00A9781B"/>
    <w:rsid w:val="00AA0435"/>
    <w:rsid w:val="00AA0B31"/>
    <w:rsid w:val="00AA0E96"/>
    <w:rsid w:val="00AA2128"/>
    <w:rsid w:val="00AA4218"/>
    <w:rsid w:val="00AA44FF"/>
    <w:rsid w:val="00AA4663"/>
    <w:rsid w:val="00AA4B8F"/>
    <w:rsid w:val="00AA5B00"/>
    <w:rsid w:val="00AA6307"/>
    <w:rsid w:val="00AA665A"/>
    <w:rsid w:val="00AA6C03"/>
    <w:rsid w:val="00AB15B9"/>
    <w:rsid w:val="00AB177D"/>
    <w:rsid w:val="00AB1DB5"/>
    <w:rsid w:val="00AB32F5"/>
    <w:rsid w:val="00AB337F"/>
    <w:rsid w:val="00AB407F"/>
    <w:rsid w:val="00AB43C7"/>
    <w:rsid w:val="00AB45F0"/>
    <w:rsid w:val="00AB4A0A"/>
    <w:rsid w:val="00AB5AFE"/>
    <w:rsid w:val="00AB79D0"/>
    <w:rsid w:val="00AC0949"/>
    <w:rsid w:val="00AC0E86"/>
    <w:rsid w:val="00AC121A"/>
    <w:rsid w:val="00AC140E"/>
    <w:rsid w:val="00AC1BEB"/>
    <w:rsid w:val="00AC2E2E"/>
    <w:rsid w:val="00AC47AE"/>
    <w:rsid w:val="00AC4A1E"/>
    <w:rsid w:val="00AC4CDF"/>
    <w:rsid w:val="00AC508B"/>
    <w:rsid w:val="00AC588D"/>
    <w:rsid w:val="00AC5955"/>
    <w:rsid w:val="00AC5A23"/>
    <w:rsid w:val="00AC72DB"/>
    <w:rsid w:val="00AC7BEC"/>
    <w:rsid w:val="00AD0C36"/>
    <w:rsid w:val="00AD1477"/>
    <w:rsid w:val="00AD181D"/>
    <w:rsid w:val="00AD28E1"/>
    <w:rsid w:val="00AD2B89"/>
    <w:rsid w:val="00AD4261"/>
    <w:rsid w:val="00AD42C1"/>
    <w:rsid w:val="00AD62CE"/>
    <w:rsid w:val="00AD63B8"/>
    <w:rsid w:val="00AD66D0"/>
    <w:rsid w:val="00AD67BD"/>
    <w:rsid w:val="00AD6B29"/>
    <w:rsid w:val="00AD7A28"/>
    <w:rsid w:val="00AD7DFB"/>
    <w:rsid w:val="00AE03AF"/>
    <w:rsid w:val="00AE18AB"/>
    <w:rsid w:val="00AE19A2"/>
    <w:rsid w:val="00AE2F46"/>
    <w:rsid w:val="00AE31AE"/>
    <w:rsid w:val="00AE395F"/>
    <w:rsid w:val="00AE3A23"/>
    <w:rsid w:val="00AE54D6"/>
    <w:rsid w:val="00AE5CFB"/>
    <w:rsid w:val="00AE610E"/>
    <w:rsid w:val="00AE74F4"/>
    <w:rsid w:val="00AE777C"/>
    <w:rsid w:val="00AE794B"/>
    <w:rsid w:val="00AE7C7B"/>
    <w:rsid w:val="00AF0373"/>
    <w:rsid w:val="00AF06E3"/>
    <w:rsid w:val="00AF1005"/>
    <w:rsid w:val="00AF184D"/>
    <w:rsid w:val="00AF276A"/>
    <w:rsid w:val="00AF2A7E"/>
    <w:rsid w:val="00AF2B86"/>
    <w:rsid w:val="00AF2E7C"/>
    <w:rsid w:val="00AF40DF"/>
    <w:rsid w:val="00AF512A"/>
    <w:rsid w:val="00AF5F00"/>
    <w:rsid w:val="00AF6412"/>
    <w:rsid w:val="00AF7837"/>
    <w:rsid w:val="00AF7AA2"/>
    <w:rsid w:val="00AF7ABE"/>
    <w:rsid w:val="00B00D43"/>
    <w:rsid w:val="00B00D45"/>
    <w:rsid w:val="00B00E6D"/>
    <w:rsid w:val="00B01A2F"/>
    <w:rsid w:val="00B02198"/>
    <w:rsid w:val="00B02BF0"/>
    <w:rsid w:val="00B03D3C"/>
    <w:rsid w:val="00B0476D"/>
    <w:rsid w:val="00B04981"/>
    <w:rsid w:val="00B05193"/>
    <w:rsid w:val="00B05478"/>
    <w:rsid w:val="00B0623E"/>
    <w:rsid w:val="00B06486"/>
    <w:rsid w:val="00B06A96"/>
    <w:rsid w:val="00B077A4"/>
    <w:rsid w:val="00B077C2"/>
    <w:rsid w:val="00B079A0"/>
    <w:rsid w:val="00B07D49"/>
    <w:rsid w:val="00B107E0"/>
    <w:rsid w:val="00B11E2F"/>
    <w:rsid w:val="00B127B4"/>
    <w:rsid w:val="00B12C95"/>
    <w:rsid w:val="00B136BA"/>
    <w:rsid w:val="00B14065"/>
    <w:rsid w:val="00B14C6F"/>
    <w:rsid w:val="00B15206"/>
    <w:rsid w:val="00B1566D"/>
    <w:rsid w:val="00B15D19"/>
    <w:rsid w:val="00B16115"/>
    <w:rsid w:val="00B16631"/>
    <w:rsid w:val="00B16A4B"/>
    <w:rsid w:val="00B17417"/>
    <w:rsid w:val="00B17D5D"/>
    <w:rsid w:val="00B20D00"/>
    <w:rsid w:val="00B21C98"/>
    <w:rsid w:val="00B22C9C"/>
    <w:rsid w:val="00B2414B"/>
    <w:rsid w:val="00B248F6"/>
    <w:rsid w:val="00B24A64"/>
    <w:rsid w:val="00B25380"/>
    <w:rsid w:val="00B25B93"/>
    <w:rsid w:val="00B275D6"/>
    <w:rsid w:val="00B27F95"/>
    <w:rsid w:val="00B32830"/>
    <w:rsid w:val="00B35273"/>
    <w:rsid w:val="00B355B4"/>
    <w:rsid w:val="00B35A53"/>
    <w:rsid w:val="00B402D2"/>
    <w:rsid w:val="00B40BC4"/>
    <w:rsid w:val="00B41D94"/>
    <w:rsid w:val="00B43FEA"/>
    <w:rsid w:val="00B44A56"/>
    <w:rsid w:val="00B452DF"/>
    <w:rsid w:val="00B45570"/>
    <w:rsid w:val="00B458D2"/>
    <w:rsid w:val="00B46812"/>
    <w:rsid w:val="00B468DA"/>
    <w:rsid w:val="00B5121B"/>
    <w:rsid w:val="00B51282"/>
    <w:rsid w:val="00B5137F"/>
    <w:rsid w:val="00B51FCE"/>
    <w:rsid w:val="00B52996"/>
    <w:rsid w:val="00B534FE"/>
    <w:rsid w:val="00B5441F"/>
    <w:rsid w:val="00B553A6"/>
    <w:rsid w:val="00B553DB"/>
    <w:rsid w:val="00B555B1"/>
    <w:rsid w:val="00B56718"/>
    <w:rsid w:val="00B56D9D"/>
    <w:rsid w:val="00B57842"/>
    <w:rsid w:val="00B60820"/>
    <w:rsid w:val="00B62D22"/>
    <w:rsid w:val="00B646F2"/>
    <w:rsid w:val="00B662E2"/>
    <w:rsid w:val="00B67E53"/>
    <w:rsid w:val="00B7199E"/>
    <w:rsid w:val="00B72487"/>
    <w:rsid w:val="00B72741"/>
    <w:rsid w:val="00B7283F"/>
    <w:rsid w:val="00B72A4F"/>
    <w:rsid w:val="00B7364E"/>
    <w:rsid w:val="00B748B1"/>
    <w:rsid w:val="00B74A66"/>
    <w:rsid w:val="00B750A4"/>
    <w:rsid w:val="00B7582D"/>
    <w:rsid w:val="00B769A6"/>
    <w:rsid w:val="00B77334"/>
    <w:rsid w:val="00B7737F"/>
    <w:rsid w:val="00B77CF2"/>
    <w:rsid w:val="00B8052F"/>
    <w:rsid w:val="00B807A8"/>
    <w:rsid w:val="00B80D88"/>
    <w:rsid w:val="00B82B8A"/>
    <w:rsid w:val="00B82DBC"/>
    <w:rsid w:val="00B8333B"/>
    <w:rsid w:val="00B83353"/>
    <w:rsid w:val="00B84165"/>
    <w:rsid w:val="00B84659"/>
    <w:rsid w:val="00B8664C"/>
    <w:rsid w:val="00B8678C"/>
    <w:rsid w:val="00B86B47"/>
    <w:rsid w:val="00B86C17"/>
    <w:rsid w:val="00B87C71"/>
    <w:rsid w:val="00B9088F"/>
    <w:rsid w:val="00B91D83"/>
    <w:rsid w:val="00B920C8"/>
    <w:rsid w:val="00B92544"/>
    <w:rsid w:val="00B94434"/>
    <w:rsid w:val="00B9487C"/>
    <w:rsid w:val="00B94BC4"/>
    <w:rsid w:val="00B961CE"/>
    <w:rsid w:val="00B96463"/>
    <w:rsid w:val="00B967CD"/>
    <w:rsid w:val="00B97A51"/>
    <w:rsid w:val="00B97CD5"/>
    <w:rsid w:val="00BA023E"/>
    <w:rsid w:val="00BA0452"/>
    <w:rsid w:val="00BA0665"/>
    <w:rsid w:val="00BA118D"/>
    <w:rsid w:val="00BA20A1"/>
    <w:rsid w:val="00BA2785"/>
    <w:rsid w:val="00BA27C3"/>
    <w:rsid w:val="00BA28DB"/>
    <w:rsid w:val="00BA644A"/>
    <w:rsid w:val="00BA6B39"/>
    <w:rsid w:val="00BA707E"/>
    <w:rsid w:val="00BA77D5"/>
    <w:rsid w:val="00BA7833"/>
    <w:rsid w:val="00BB0327"/>
    <w:rsid w:val="00BB0758"/>
    <w:rsid w:val="00BB0AE4"/>
    <w:rsid w:val="00BB11EC"/>
    <w:rsid w:val="00BB3227"/>
    <w:rsid w:val="00BB3661"/>
    <w:rsid w:val="00BB41DE"/>
    <w:rsid w:val="00BB42C8"/>
    <w:rsid w:val="00BB4711"/>
    <w:rsid w:val="00BB51DF"/>
    <w:rsid w:val="00BB7C96"/>
    <w:rsid w:val="00BC0640"/>
    <w:rsid w:val="00BC152C"/>
    <w:rsid w:val="00BC35CB"/>
    <w:rsid w:val="00BC3C5B"/>
    <w:rsid w:val="00BC3F3F"/>
    <w:rsid w:val="00BC4097"/>
    <w:rsid w:val="00BC4242"/>
    <w:rsid w:val="00BC5470"/>
    <w:rsid w:val="00BC7201"/>
    <w:rsid w:val="00BD07CF"/>
    <w:rsid w:val="00BD094D"/>
    <w:rsid w:val="00BD10FC"/>
    <w:rsid w:val="00BD182E"/>
    <w:rsid w:val="00BD198F"/>
    <w:rsid w:val="00BD1D09"/>
    <w:rsid w:val="00BD26BC"/>
    <w:rsid w:val="00BD34ED"/>
    <w:rsid w:val="00BD3F6A"/>
    <w:rsid w:val="00BD443D"/>
    <w:rsid w:val="00BD44A2"/>
    <w:rsid w:val="00BD458B"/>
    <w:rsid w:val="00BD5C35"/>
    <w:rsid w:val="00BD5F62"/>
    <w:rsid w:val="00BD7CC1"/>
    <w:rsid w:val="00BD7D76"/>
    <w:rsid w:val="00BD7F3B"/>
    <w:rsid w:val="00BE0832"/>
    <w:rsid w:val="00BE0953"/>
    <w:rsid w:val="00BE256C"/>
    <w:rsid w:val="00BE305C"/>
    <w:rsid w:val="00BE3940"/>
    <w:rsid w:val="00BE3D28"/>
    <w:rsid w:val="00BE40FE"/>
    <w:rsid w:val="00BE5207"/>
    <w:rsid w:val="00BE531C"/>
    <w:rsid w:val="00BE5324"/>
    <w:rsid w:val="00BE656F"/>
    <w:rsid w:val="00BE68D7"/>
    <w:rsid w:val="00BE781D"/>
    <w:rsid w:val="00BF0C69"/>
    <w:rsid w:val="00BF1216"/>
    <w:rsid w:val="00BF1574"/>
    <w:rsid w:val="00BF1637"/>
    <w:rsid w:val="00BF18B8"/>
    <w:rsid w:val="00BF1E58"/>
    <w:rsid w:val="00BF25F1"/>
    <w:rsid w:val="00BF3C95"/>
    <w:rsid w:val="00BF479B"/>
    <w:rsid w:val="00BF4D24"/>
    <w:rsid w:val="00BF5309"/>
    <w:rsid w:val="00BF645C"/>
    <w:rsid w:val="00BF6599"/>
    <w:rsid w:val="00BF6A60"/>
    <w:rsid w:val="00BF6EED"/>
    <w:rsid w:val="00BF7921"/>
    <w:rsid w:val="00BF7F0E"/>
    <w:rsid w:val="00C0127D"/>
    <w:rsid w:val="00C01375"/>
    <w:rsid w:val="00C060BF"/>
    <w:rsid w:val="00C06186"/>
    <w:rsid w:val="00C06B67"/>
    <w:rsid w:val="00C06F97"/>
    <w:rsid w:val="00C0744A"/>
    <w:rsid w:val="00C0745F"/>
    <w:rsid w:val="00C106E3"/>
    <w:rsid w:val="00C10717"/>
    <w:rsid w:val="00C10DE1"/>
    <w:rsid w:val="00C11408"/>
    <w:rsid w:val="00C11DE7"/>
    <w:rsid w:val="00C11F99"/>
    <w:rsid w:val="00C1573D"/>
    <w:rsid w:val="00C15840"/>
    <w:rsid w:val="00C16B15"/>
    <w:rsid w:val="00C21AE1"/>
    <w:rsid w:val="00C21F34"/>
    <w:rsid w:val="00C228F6"/>
    <w:rsid w:val="00C23500"/>
    <w:rsid w:val="00C24121"/>
    <w:rsid w:val="00C24256"/>
    <w:rsid w:val="00C25E73"/>
    <w:rsid w:val="00C260F9"/>
    <w:rsid w:val="00C26857"/>
    <w:rsid w:val="00C27397"/>
    <w:rsid w:val="00C27AB7"/>
    <w:rsid w:val="00C3093C"/>
    <w:rsid w:val="00C31CAF"/>
    <w:rsid w:val="00C3263F"/>
    <w:rsid w:val="00C337FB"/>
    <w:rsid w:val="00C33CE5"/>
    <w:rsid w:val="00C3407C"/>
    <w:rsid w:val="00C34CA8"/>
    <w:rsid w:val="00C34DA0"/>
    <w:rsid w:val="00C35D7A"/>
    <w:rsid w:val="00C368F2"/>
    <w:rsid w:val="00C36AC3"/>
    <w:rsid w:val="00C36C68"/>
    <w:rsid w:val="00C404E9"/>
    <w:rsid w:val="00C416EB"/>
    <w:rsid w:val="00C42F6A"/>
    <w:rsid w:val="00C43885"/>
    <w:rsid w:val="00C43E2C"/>
    <w:rsid w:val="00C43E52"/>
    <w:rsid w:val="00C4442B"/>
    <w:rsid w:val="00C44C18"/>
    <w:rsid w:val="00C4558B"/>
    <w:rsid w:val="00C457F8"/>
    <w:rsid w:val="00C46513"/>
    <w:rsid w:val="00C4671A"/>
    <w:rsid w:val="00C527E2"/>
    <w:rsid w:val="00C55813"/>
    <w:rsid w:val="00C55CF3"/>
    <w:rsid w:val="00C56379"/>
    <w:rsid w:val="00C6145A"/>
    <w:rsid w:val="00C614E6"/>
    <w:rsid w:val="00C61C5E"/>
    <w:rsid w:val="00C61F33"/>
    <w:rsid w:val="00C6219D"/>
    <w:rsid w:val="00C625A1"/>
    <w:rsid w:val="00C62C26"/>
    <w:rsid w:val="00C6305A"/>
    <w:rsid w:val="00C63517"/>
    <w:rsid w:val="00C64217"/>
    <w:rsid w:val="00C64247"/>
    <w:rsid w:val="00C64448"/>
    <w:rsid w:val="00C64787"/>
    <w:rsid w:val="00C649B1"/>
    <w:rsid w:val="00C6513E"/>
    <w:rsid w:val="00C666AD"/>
    <w:rsid w:val="00C66D28"/>
    <w:rsid w:val="00C7027D"/>
    <w:rsid w:val="00C71DE0"/>
    <w:rsid w:val="00C73F19"/>
    <w:rsid w:val="00C751D0"/>
    <w:rsid w:val="00C7626B"/>
    <w:rsid w:val="00C76F33"/>
    <w:rsid w:val="00C80BA7"/>
    <w:rsid w:val="00C80C79"/>
    <w:rsid w:val="00C81728"/>
    <w:rsid w:val="00C821AE"/>
    <w:rsid w:val="00C82683"/>
    <w:rsid w:val="00C82BD8"/>
    <w:rsid w:val="00C8467A"/>
    <w:rsid w:val="00C84AF3"/>
    <w:rsid w:val="00C84C91"/>
    <w:rsid w:val="00C84CC8"/>
    <w:rsid w:val="00C85FD9"/>
    <w:rsid w:val="00C863E1"/>
    <w:rsid w:val="00C86C9E"/>
    <w:rsid w:val="00C870F3"/>
    <w:rsid w:val="00C9005A"/>
    <w:rsid w:val="00C90062"/>
    <w:rsid w:val="00C90D6E"/>
    <w:rsid w:val="00C912B5"/>
    <w:rsid w:val="00C91C27"/>
    <w:rsid w:val="00C91E2E"/>
    <w:rsid w:val="00C9299C"/>
    <w:rsid w:val="00C92CC5"/>
    <w:rsid w:val="00C9341D"/>
    <w:rsid w:val="00C93782"/>
    <w:rsid w:val="00C93952"/>
    <w:rsid w:val="00C942CA"/>
    <w:rsid w:val="00C94F37"/>
    <w:rsid w:val="00C94F82"/>
    <w:rsid w:val="00C95066"/>
    <w:rsid w:val="00C95181"/>
    <w:rsid w:val="00C9602F"/>
    <w:rsid w:val="00C96815"/>
    <w:rsid w:val="00C97A93"/>
    <w:rsid w:val="00C97AE9"/>
    <w:rsid w:val="00CA0A58"/>
    <w:rsid w:val="00CA0B19"/>
    <w:rsid w:val="00CA166A"/>
    <w:rsid w:val="00CA335B"/>
    <w:rsid w:val="00CA452F"/>
    <w:rsid w:val="00CA4C2F"/>
    <w:rsid w:val="00CA501A"/>
    <w:rsid w:val="00CA5864"/>
    <w:rsid w:val="00CA6C98"/>
    <w:rsid w:val="00CA7769"/>
    <w:rsid w:val="00CA7790"/>
    <w:rsid w:val="00CA7BEB"/>
    <w:rsid w:val="00CB08CF"/>
    <w:rsid w:val="00CB13AF"/>
    <w:rsid w:val="00CB199D"/>
    <w:rsid w:val="00CB2FEE"/>
    <w:rsid w:val="00CB38BB"/>
    <w:rsid w:val="00CB4069"/>
    <w:rsid w:val="00CB4442"/>
    <w:rsid w:val="00CB4C6D"/>
    <w:rsid w:val="00CB55DC"/>
    <w:rsid w:val="00CB59E8"/>
    <w:rsid w:val="00CB61F3"/>
    <w:rsid w:val="00CB6D81"/>
    <w:rsid w:val="00CB6EEE"/>
    <w:rsid w:val="00CB7B7A"/>
    <w:rsid w:val="00CB7E22"/>
    <w:rsid w:val="00CC00E1"/>
    <w:rsid w:val="00CC042A"/>
    <w:rsid w:val="00CC14CD"/>
    <w:rsid w:val="00CC28D7"/>
    <w:rsid w:val="00CC2BCC"/>
    <w:rsid w:val="00CC30D9"/>
    <w:rsid w:val="00CC54EA"/>
    <w:rsid w:val="00CC5DDC"/>
    <w:rsid w:val="00CC6302"/>
    <w:rsid w:val="00CC6FC6"/>
    <w:rsid w:val="00CC7F4F"/>
    <w:rsid w:val="00CD0C52"/>
    <w:rsid w:val="00CD174E"/>
    <w:rsid w:val="00CD2B67"/>
    <w:rsid w:val="00CD3492"/>
    <w:rsid w:val="00CD34F3"/>
    <w:rsid w:val="00CD4C5A"/>
    <w:rsid w:val="00CD5B78"/>
    <w:rsid w:val="00CD64B3"/>
    <w:rsid w:val="00CD68E0"/>
    <w:rsid w:val="00CD712A"/>
    <w:rsid w:val="00CD7185"/>
    <w:rsid w:val="00CD76E2"/>
    <w:rsid w:val="00CE02F6"/>
    <w:rsid w:val="00CE0D26"/>
    <w:rsid w:val="00CE0E58"/>
    <w:rsid w:val="00CE21D5"/>
    <w:rsid w:val="00CE2D64"/>
    <w:rsid w:val="00CE2FE2"/>
    <w:rsid w:val="00CE3BA6"/>
    <w:rsid w:val="00CE3BEC"/>
    <w:rsid w:val="00CE42BF"/>
    <w:rsid w:val="00CE51CB"/>
    <w:rsid w:val="00CE5992"/>
    <w:rsid w:val="00CE6544"/>
    <w:rsid w:val="00CE687C"/>
    <w:rsid w:val="00CE77ED"/>
    <w:rsid w:val="00CE7EAA"/>
    <w:rsid w:val="00CF0331"/>
    <w:rsid w:val="00CF088B"/>
    <w:rsid w:val="00CF1F5A"/>
    <w:rsid w:val="00CF239F"/>
    <w:rsid w:val="00CF28E1"/>
    <w:rsid w:val="00CF2C4A"/>
    <w:rsid w:val="00CF302A"/>
    <w:rsid w:val="00CF3178"/>
    <w:rsid w:val="00CF340D"/>
    <w:rsid w:val="00CF3B8F"/>
    <w:rsid w:val="00CF462F"/>
    <w:rsid w:val="00CF4D47"/>
    <w:rsid w:val="00CF5284"/>
    <w:rsid w:val="00CF5E72"/>
    <w:rsid w:val="00CF606C"/>
    <w:rsid w:val="00CF6262"/>
    <w:rsid w:val="00CF6A9F"/>
    <w:rsid w:val="00CF6DCC"/>
    <w:rsid w:val="00CF6E10"/>
    <w:rsid w:val="00CF785E"/>
    <w:rsid w:val="00CF78B7"/>
    <w:rsid w:val="00D00EDE"/>
    <w:rsid w:val="00D0178C"/>
    <w:rsid w:val="00D02746"/>
    <w:rsid w:val="00D027FD"/>
    <w:rsid w:val="00D02D3F"/>
    <w:rsid w:val="00D033A3"/>
    <w:rsid w:val="00D03A48"/>
    <w:rsid w:val="00D03CCD"/>
    <w:rsid w:val="00D04743"/>
    <w:rsid w:val="00D05259"/>
    <w:rsid w:val="00D06357"/>
    <w:rsid w:val="00D067AB"/>
    <w:rsid w:val="00D070E3"/>
    <w:rsid w:val="00D07F78"/>
    <w:rsid w:val="00D10823"/>
    <w:rsid w:val="00D10A9D"/>
    <w:rsid w:val="00D11728"/>
    <w:rsid w:val="00D117D1"/>
    <w:rsid w:val="00D11AF3"/>
    <w:rsid w:val="00D12107"/>
    <w:rsid w:val="00D125E0"/>
    <w:rsid w:val="00D144EB"/>
    <w:rsid w:val="00D14E6C"/>
    <w:rsid w:val="00D15426"/>
    <w:rsid w:val="00D156F6"/>
    <w:rsid w:val="00D15CE1"/>
    <w:rsid w:val="00D160F5"/>
    <w:rsid w:val="00D17557"/>
    <w:rsid w:val="00D20C3A"/>
    <w:rsid w:val="00D21E26"/>
    <w:rsid w:val="00D21E27"/>
    <w:rsid w:val="00D22AF2"/>
    <w:rsid w:val="00D237E9"/>
    <w:rsid w:val="00D25F70"/>
    <w:rsid w:val="00D27001"/>
    <w:rsid w:val="00D27690"/>
    <w:rsid w:val="00D30177"/>
    <w:rsid w:val="00D31DC0"/>
    <w:rsid w:val="00D326DA"/>
    <w:rsid w:val="00D34188"/>
    <w:rsid w:val="00D347FC"/>
    <w:rsid w:val="00D3562F"/>
    <w:rsid w:val="00D36A4B"/>
    <w:rsid w:val="00D36E24"/>
    <w:rsid w:val="00D40F03"/>
    <w:rsid w:val="00D4127F"/>
    <w:rsid w:val="00D41DB0"/>
    <w:rsid w:val="00D4289C"/>
    <w:rsid w:val="00D44026"/>
    <w:rsid w:val="00D454FE"/>
    <w:rsid w:val="00D467AD"/>
    <w:rsid w:val="00D47B56"/>
    <w:rsid w:val="00D50A6A"/>
    <w:rsid w:val="00D51739"/>
    <w:rsid w:val="00D51E42"/>
    <w:rsid w:val="00D51F41"/>
    <w:rsid w:val="00D52497"/>
    <w:rsid w:val="00D52A2F"/>
    <w:rsid w:val="00D52BDC"/>
    <w:rsid w:val="00D536FB"/>
    <w:rsid w:val="00D53DDB"/>
    <w:rsid w:val="00D54437"/>
    <w:rsid w:val="00D546DE"/>
    <w:rsid w:val="00D54744"/>
    <w:rsid w:val="00D5552C"/>
    <w:rsid w:val="00D55ACE"/>
    <w:rsid w:val="00D56623"/>
    <w:rsid w:val="00D572A0"/>
    <w:rsid w:val="00D577E0"/>
    <w:rsid w:val="00D57C3F"/>
    <w:rsid w:val="00D57D83"/>
    <w:rsid w:val="00D60540"/>
    <w:rsid w:val="00D6159A"/>
    <w:rsid w:val="00D624D4"/>
    <w:rsid w:val="00D63AF2"/>
    <w:rsid w:val="00D63D2F"/>
    <w:rsid w:val="00D647A6"/>
    <w:rsid w:val="00D66BBB"/>
    <w:rsid w:val="00D66C26"/>
    <w:rsid w:val="00D67047"/>
    <w:rsid w:val="00D70F62"/>
    <w:rsid w:val="00D71D83"/>
    <w:rsid w:val="00D71F13"/>
    <w:rsid w:val="00D7253C"/>
    <w:rsid w:val="00D73E93"/>
    <w:rsid w:val="00D74484"/>
    <w:rsid w:val="00D756E3"/>
    <w:rsid w:val="00D75BCF"/>
    <w:rsid w:val="00D75EF9"/>
    <w:rsid w:val="00D76602"/>
    <w:rsid w:val="00D776BC"/>
    <w:rsid w:val="00D77FA6"/>
    <w:rsid w:val="00D80DF2"/>
    <w:rsid w:val="00D80E40"/>
    <w:rsid w:val="00D8156D"/>
    <w:rsid w:val="00D8201F"/>
    <w:rsid w:val="00D82C52"/>
    <w:rsid w:val="00D83281"/>
    <w:rsid w:val="00D839E5"/>
    <w:rsid w:val="00D84068"/>
    <w:rsid w:val="00D850C3"/>
    <w:rsid w:val="00D850D4"/>
    <w:rsid w:val="00D8538C"/>
    <w:rsid w:val="00D8591C"/>
    <w:rsid w:val="00D85ADB"/>
    <w:rsid w:val="00D860A4"/>
    <w:rsid w:val="00D863CB"/>
    <w:rsid w:val="00D87F71"/>
    <w:rsid w:val="00D902AC"/>
    <w:rsid w:val="00D917CF"/>
    <w:rsid w:val="00D92863"/>
    <w:rsid w:val="00D92F48"/>
    <w:rsid w:val="00D93C0D"/>
    <w:rsid w:val="00D94C7B"/>
    <w:rsid w:val="00D96135"/>
    <w:rsid w:val="00D965AA"/>
    <w:rsid w:val="00D96652"/>
    <w:rsid w:val="00D972F4"/>
    <w:rsid w:val="00DA0711"/>
    <w:rsid w:val="00DA0A3F"/>
    <w:rsid w:val="00DA1058"/>
    <w:rsid w:val="00DA2895"/>
    <w:rsid w:val="00DA3BB7"/>
    <w:rsid w:val="00DA3C97"/>
    <w:rsid w:val="00DA421E"/>
    <w:rsid w:val="00DA4B1E"/>
    <w:rsid w:val="00DA5571"/>
    <w:rsid w:val="00DA5897"/>
    <w:rsid w:val="00DA5DD5"/>
    <w:rsid w:val="00DA69D8"/>
    <w:rsid w:val="00DA7D02"/>
    <w:rsid w:val="00DA7FAF"/>
    <w:rsid w:val="00DB0B24"/>
    <w:rsid w:val="00DB1B52"/>
    <w:rsid w:val="00DB36FF"/>
    <w:rsid w:val="00DB45CD"/>
    <w:rsid w:val="00DB472E"/>
    <w:rsid w:val="00DB4770"/>
    <w:rsid w:val="00DB5E72"/>
    <w:rsid w:val="00DB7C00"/>
    <w:rsid w:val="00DC1BB8"/>
    <w:rsid w:val="00DC2698"/>
    <w:rsid w:val="00DC437E"/>
    <w:rsid w:val="00DC4531"/>
    <w:rsid w:val="00DC45CC"/>
    <w:rsid w:val="00DC468C"/>
    <w:rsid w:val="00DC6592"/>
    <w:rsid w:val="00DC68E3"/>
    <w:rsid w:val="00DC6DA9"/>
    <w:rsid w:val="00DC6EC5"/>
    <w:rsid w:val="00DC6F34"/>
    <w:rsid w:val="00DD035A"/>
    <w:rsid w:val="00DD0432"/>
    <w:rsid w:val="00DD1C46"/>
    <w:rsid w:val="00DD2089"/>
    <w:rsid w:val="00DD22F2"/>
    <w:rsid w:val="00DD3F75"/>
    <w:rsid w:val="00DD4310"/>
    <w:rsid w:val="00DD4F59"/>
    <w:rsid w:val="00DD565F"/>
    <w:rsid w:val="00DD7ADD"/>
    <w:rsid w:val="00DE000C"/>
    <w:rsid w:val="00DE081B"/>
    <w:rsid w:val="00DE11B5"/>
    <w:rsid w:val="00DE1606"/>
    <w:rsid w:val="00DE164C"/>
    <w:rsid w:val="00DE21B2"/>
    <w:rsid w:val="00DE24F9"/>
    <w:rsid w:val="00DE2CCF"/>
    <w:rsid w:val="00DE3C04"/>
    <w:rsid w:val="00DE3FCC"/>
    <w:rsid w:val="00DE4225"/>
    <w:rsid w:val="00DE49BD"/>
    <w:rsid w:val="00DE54BA"/>
    <w:rsid w:val="00DE55A0"/>
    <w:rsid w:val="00DE79EB"/>
    <w:rsid w:val="00DE7BA3"/>
    <w:rsid w:val="00DE7DA9"/>
    <w:rsid w:val="00DE7E02"/>
    <w:rsid w:val="00DE7F08"/>
    <w:rsid w:val="00DF016F"/>
    <w:rsid w:val="00DF068B"/>
    <w:rsid w:val="00DF0AE9"/>
    <w:rsid w:val="00DF3168"/>
    <w:rsid w:val="00DF5572"/>
    <w:rsid w:val="00DF55F6"/>
    <w:rsid w:val="00DF59E0"/>
    <w:rsid w:val="00DF6BB6"/>
    <w:rsid w:val="00DF705E"/>
    <w:rsid w:val="00DF748F"/>
    <w:rsid w:val="00E00E5F"/>
    <w:rsid w:val="00E0168E"/>
    <w:rsid w:val="00E019BE"/>
    <w:rsid w:val="00E025EE"/>
    <w:rsid w:val="00E02734"/>
    <w:rsid w:val="00E03115"/>
    <w:rsid w:val="00E03BAF"/>
    <w:rsid w:val="00E043DD"/>
    <w:rsid w:val="00E04437"/>
    <w:rsid w:val="00E04696"/>
    <w:rsid w:val="00E05189"/>
    <w:rsid w:val="00E05602"/>
    <w:rsid w:val="00E05C05"/>
    <w:rsid w:val="00E0648F"/>
    <w:rsid w:val="00E06C13"/>
    <w:rsid w:val="00E0746D"/>
    <w:rsid w:val="00E074B0"/>
    <w:rsid w:val="00E07A43"/>
    <w:rsid w:val="00E07A8F"/>
    <w:rsid w:val="00E07FFE"/>
    <w:rsid w:val="00E12280"/>
    <w:rsid w:val="00E14318"/>
    <w:rsid w:val="00E15C22"/>
    <w:rsid w:val="00E16064"/>
    <w:rsid w:val="00E1668A"/>
    <w:rsid w:val="00E16DDE"/>
    <w:rsid w:val="00E16DFE"/>
    <w:rsid w:val="00E175B3"/>
    <w:rsid w:val="00E17630"/>
    <w:rsid w:val="00E17DAF"/>
    <w:rsid w:val="00E20216"/>
    <w:rsid w:val="00E21389"/>
    <w:rsid w:val="00E22FAC"/>
    <w:rsid w:val="00E23416"/>
    <w:rsid w:val="00E238F2"/>
    <w:rsid w:val="00E25954"/>
    <w:rsid w:val="00E266B3"/>
    <w:rsid w:val="00E27288"/>
    <w:rsid w:val="00E30122"/>
    <w:rsid w:val="00E301F9"/>
    <w:rsid w:val="00E302DD"/>
    <w:rsid w:val="00E3034D"/>
    <w:rsid w:val="00E30938"/>
    <w:rsid w:val="00E30E97"/>
    <w:rsid w:val="00E31356"/>
    <w:rsid w:val="00E32288"/>
    <w:rsid w:val="00E330E5"/>
    <w:rsid w:val="00E341E0"/>
    <w:rsid w:val="00E36935"/>
    <w:rsid w:val="00E36D71"/>
    <w:rsid w:val="00E37073"/>
    <w:rsid w:val="00E37F0F"/>
    <w:rsid w:val="00E409CD"/>
    <w:rsid w:val="00E41ABF"/>
    <w:rsid w:val="00E41C1E"/>
    <w:rsid w:val="00E41D69"/>
    <w:rsid w:val="00E41E06"/>
    <w:rsid w:val="00E42E3D"/>
    <w:rsid w:val="00E4305C"/>
    <w:rsid w:val="00E4653D"/>
    <w:rsid w:val="00E46971"/>
    <w:rsid w:val="00E46AAE"/>
    <w:rsid w:val="00E46FBB"/>
    <w:rsid w:val="00E506EF"/>
    <w:rsid w:val="00E50E36"/>
    <w:rsid w:val="00E51DBD"/>
    <w:rsid w:val="00E525A4"/>
    <w:rsid w:val="00E52CD7"/>
    <w:rsid w:val="00E53478"/>
    <w:rsid w:val="00E535D2"/>
    <w:rsid w:val="00E53745"/>
    <w:rsid w:val="00E53CD6"/>
    <w:rsid w:val="00E53DAA"/>
    <w:rsid w:val="00E54218"/>
    <w:rsid w:val="00E545C2"/>
    <w:rsid w:val="00E56FEC"/>
    <w:rsid w:val="00E5702A"/>
    <w:rsid w:val="00E57128"/>
    <w:rsid w:val="00E57A64"/>
    <w:rsid w:val="00E57D9F"/>
    <w:rsid w:val="00E62096"/>
    <w:rsid w:val="00E6212A"/>
    <w:rsid w:val="00E62331"/>
    <w:rsid w:val="00E623E7"/>
    <w:rsid w:val="00E62479"/>
    <w:rsid w:val="00E62B87"/>
    <w:rsid w:val="00E62D8B"/>
    <w:rsid w:val="00E63AEA"/>
    <w:rsid w:val="00E63DC2"/>
    <w:rsid w:val="00E64059"/>
    <w:rsid w:val="00E64B78"/>
    <w:rsid w:val="00E64F01"/>
    <w:rsid w:val="00E65640"/>
    <w:rsid w:val="00E660BA"/>
    <w:rsid w:val="00E66931"/>
    <w:rsid w:val="00E66FE5"/>
    <w:rsid w:val="00E67640"/>
    <w:rsid w:val="00E67CD9"/>
    <w:rsid w:val="00E67F3E"/>
    <w:rsid w:val="00E67FCC"/>
    <w:rsid w:val="00E705C8"/>
    <w:rsid w:val="00E7092C"/>
    <w:rsid w:val="00E713E5"/>
    <w:rsid w:val="00E717B3"/>
    <w:rsid w:val="00E721AA"/>
    <w:rsid w:val="00E72904"/>
    <w:rsid w:val="00E72EB1"/>
    <w:rsid w:val="00E73238"/>
    <w:rsid w:val="00E73432"/>
    <w:rsid w:val="00E73C33"/>
    <w:rsid w:val="00E7607D"/>
    <w:rsid w:val="00E76760"/>
    <w:rsid w:val="00E80154"/>
    <w:rsid w:val="00E80407"/>
    <w:rsid w:val="00E81A4F"/>
    <w:rsid w:val="00E83D84"/>
    <w:rsid w:val="00E8519B"/>
    <w:rsid w:val="00E85436"/>
    <w:rsid w:val="00E85637"/>
    <w:rsid w:val="00E857EB"/>
    <w:rsid w:val="00E86E2F"/>
    <w:rsid w:val="00E90E15"/>
    <w:rsid w:val="00E91302"/>
    <w:rsid w:val="00E91E45"/>
    <w:rsid w:val="00E92280"/>
    <w:rsid w:val="00E9245E"/>
    <w:rsid w:val="00E924F7"/>
    <w:rsid w:val="00E929C1"/>
    <w:rsid w:val="00E92C29"/>
    <w:rsid w:val="00E93A91"/>
    <w:rsid w:val="00E940EC"/>
    <w:rsid w:val="00E96D9E"/>
    <w:rsid w:val="00EA0334"/>
    <w:rsid w:val="00EA1005"/>
    <w:rsid w:val="00EA2ACF"/>
    <w:rsid w:val="00EA4934"/>
    <w:rsid w:val="00EA4966"/>
    <w:rsid w:val="00EA4AAA"/>
    <w:rsid w:val="00EA4DEA"/>
    <w:rsid w:val="00EA5AAF"/>
    <w:rsid w:val="00EA5ACB"/>
    <w:rsid w:val="00EA5BCE"/>
    <w:rsid w:val="00EA5DFC"/>
    <w:rsid w:val="00EA7689"/>
    <w:rsid w:val="00EB128B"/>
    <w:rsid w:val="00EB2314"/>
    <w:rsid w:val="00EB25D2"/>
    <w:rsid w:val="00EB2C86"/>
    <w:rsid w:val="00EB31E4"/>
    <w:rsid w:val="00EB31EB"/>
    <w:rsid w:val="00EB3277"/>
    <w:rsid w:val="00EB439A"/>
    <w:rsid w:val="00EB4804"/>
    <w:rsid w:val="00EB4F26"/>
    <w:rsid w:val="00EB5988"/>
    <w:rsid w:val="00EB5FAA"/>
    <w:rsid w:val="00EB68C7"/>
    <w:rsid w:val="00EB6B00"/>
    <w:rsid w:val="00EC00A7"/>
    <w:rsid w:val="00EC23EE"/>
    <w:rsid w:val="00EC25CB"/>
    <w:rsid w:val="00EC303D"/>
    <w:rsid w:val="00EC3151"/>
    <w:rsid w:val="00EC535C"/>
    <w:rsid w:val="00EC7552"/>
    <w:rsid w:val="00EC77AF"/>
    <w:rsid w:val="00EC77DA"/>
    <w:rsid w:val="00EC7B43"/>
    <w:rsid w:val="00ED0100"/>
    <w:rsid w:val="00ED0B30"/>
    <w:rsid w:val="00ED0FEF"/>
    <w:rsid w:val="00ED2AD8"/>
    <w:rsid w:val="00ED3012"/>
    <w:rsid w:val="00ED335B"/>
    <w:rsid w:val="00ED3AD7"/>
    <w:rsid w:val="00ED52B0"/>
    <w:rsid w:val="00ED61F6"/>
    <w:rsid w:val="00ED7C86"/>
    <w:rsid w:val="00EE0338"/>
    <w:rsid w:val="00EE0726"/>
    <w:rsid w:val="00EE09AC"/>
    <w:rsid w:val="00EE18BC"/>
    <w:rsid w:val="00EE2B4E"/>
    <w:rsid w:val="00EE2DE2"/>
    <w:rsid w:val="00EE2E60"/>
    <w:rsid w:val="00EE33BF"/>
    <w:rsid w:val="00EE3961"/>
    <w:rsid w:val="00EE45A1"/>
    <w:rsid w:val="00EE45E8"/>
    <w:rsid w:val="00EE488C"/>
    <w:rsid w:val="00EE6183"/>
    <w:rsid w:val="00EF0647"/>
    <w:rsid w:val="00EF1722"/>
    <w:rsid w:val="00EF1DBD"/>
    <w:rsid w:val="00EF2C42"/>
    <w:rsid w:val="00EF2E7A"/>
    <w:rsid w:val="00EF388F"/>
    <w:rsid w:val="00EF4110"/>
    <w:rsid w:val="00EF41E1"/>
    <w:rsid w:val="00EF425C"/>
    <w:rsid w:val="00EF6BE6"/>
    <w:rsid w:val="00EF6EAE"/>
    <w:rsid w:val="00F00A37"/>
    <w:rsid w:val="00F011E2"/>
    <w:rsid w:val="00F01466"/>
    <w:rsid w:val="00F027B8"/>
    <w:rsid w:val="00F02EE0"/>
    <w:rsid w:val="00F06180"/>
    <w:rsid w:val="00F06C54"/>
    <w:rsid w:val="00F104A6"/>
    <w:rsid w:val="00F1051A"/>
    <w:rsid w:val="00F105E8"/>
    <w:rsid w:val="00F105EE"/>
    <w:rsid w:val="00F118CC"/>
    <w:rsid w:val="00F11B4A"/>
    <w:rsid w:val="00F1274A"/>
    <w:rsid w:val="00F13043"/>
    <w:rsid w:val="00F130E8"/>
    <w:rsid w:val="00F13132"/>
    <w:rsid w:val="00F14BD9"/>
    <w:rsid w:val="00F154B9"/>
    <w:rsid w:val="00F1670A"/>
    <w:rsid w:val="00F17177"/>
    <w:rsid w:val="00F174AB"/>
    <w:rsid w:val="00F17791"/>
    <w:rsid w:val="00F200F7"/>
    <w:rsid w:val="00F20519"/>
    <w:rsid w:val="00F20A11"/>
    <w:rsid w:val="00F20A50"/>
    <w:rsid w:val="00F22E01"/>
    <w:rsid w:val="00F241B7"/>
    <w:rsid w:val="00F2423C"/>
    <w:rsid w:val="00F24C08"/>
    <w:rsid w:val="00F251FD"/>
    <w:rsid w:val="00F2593A"/>
    <w:rsid w:val="00F25C41"/>
    <w:rsid w:val="00F277BB"/>
    <w:rsid w:val="00F27816"/>
    <w:rsid w:val="00F279AE"/>
    <w:rsid w:val="00F27DDD"/>
    <w:rsid w:val="00F30909"/>
    <w:rsid w:val="00F30916"/>
    <w:rsid w:val="00F30E01"/>
    <w:rsid w:val="00F317D8"/>
    <w:rsid w:val="00F31DF0"/>
    <w:rsid w:val="00F3457D"/>
    <w:rsid w:val="00F35191"/>
    <w:rsid w:val="00F35C48"/>
    <w:rsid w:val="00F36497"/>
    <w:rsid w:val="00F36DF3"/>
    <w:rsid w:val="00F4022E"/>
    <w:rsid w:val="00F4147A"/>
    <w:rsid w:val="00F42B90"/>
    <w:rsid w:val="00F42E80"/>
    <w:rsid w:val="00F444CE"/>
    <w:rsid w:val="00F45812"/>
    <w:rsid w:val="00F475F9"/>
    <w:rsid w:val="00F501C9"/>
    <w:rsid w:val="00F5078A"/>
    <w:rsid w:val="00F50B10"/>
    <w:rsid w:val="00F52354"/>
    <w:rsid w:val="00F53C12"/>
    <w:rsid w:val="00F543F6"/>
    <w:rsid w:val="00F547C6"/>
    <w:rsid w:val="00F549A0"/>
    <w:rsid w:val="00F57704"/>
    <w:rsid w:val="00F57CAA"/>
    <w:rsid w:val="00F60428"/>
    <w:rsid w:val="00F6042D"/>
    <w:rsid w:val="00F61F76"/>
    <w:rsid w:val="00F620C7"/>
    <w:rsid w:val="00F6277B"/>
    <w:rsid w:val="00F64F27"/>
    <w:rsid w:val="00F65A7F"/>
    <w:rsid w:val="00F6625F"/>
    <w:rsid w:val="00F66B75"/>
    <w:rsid w:val="00F67B92"/>
    <w:rsid w:val="00F702C1"/>
    <w:rsid w:val="00F70AF7"/>
    <w:rsid w:val="00F71AC5"/>
    <w:rsid w:val="00F71D42"/>
    <w:rsid w:val="00F72331"/>
    <w:rsid w:val="00F72369"/>
    <w:rsid w:val="00F729F3"/>
    <w:rsid w:val="00F72B44"/>
    <w:rsid w:val="00F7319C"/>
    <w:rsid w:val="00F73C96"/>
    <w:rsid w:val="00F74037"/>
    <w:rsid w:val="00F74855"/>
    <w:rsid w:val="00F74EE0"/>
    <w:rsid w:val="00F766F8"/>
    <w:rsid w:val="00F776AD"/>
    <w:rsid w:val="00F80C3E"/>
    <w:rsid w:val="00F80FDA"/>
    <w:rsid w:val="00F81024"/>
    <w:rsid w:val="00F815E2"/>
    <w:rsid w:val="00F82324"/>
    <w:rsid w:val="00F82917"/>
    <w:rsid w:val="00F87366"/>
    <w:rsid w:val="00F87763"/>
    <w:rsid w:val="00F87C88"/>
    <w:rsid w:val="00F9011C"/>
    <w:rsid w:val="00F92255"/>
    <w:rsid w:val="00F94CA0"/>
    <w:rsid w:val="00F94F4E"/>
    <w:rsid w:val="00F95CA5"/>
    <w:rsid w:val="00F9632B"/>
    <w:rsid w:val="00F97C6C"/>
    <w:rsid w:val="00FA0528"/>
    <w:rsid w:val="00FA1230"/>
    <w:rsid w:val="00FA1AC4"/>
    <w:rsid w:val="00FA1DE5"/>
    <w:rsid w:val="00FA245A"/>
    <w:rsid w:val="00FA3301"/>
    <w:rsid w:val="00FA3698"/>
    <w:rsid w:val="00FA40F6"/>
    <w:rsid w:val="00FA467F"/>
    <w:rsid w:val="00FA595D"/>
    <w:rsid w:val="00FA5B64"/>
    <w:rsid w:val="00FA60B0"/>
    <w:rsid w:val="00FA68BA"/>
    <w:rsid w:val="00FA6B22"/>
    <w:rsid w:val="00FA6F45"/>
    <w:rsid w:val="00FA6FD3"/>
    <w:rsid w:val="00FB0333"/>
    <w:rsid w:val="00FB0446"/>
    <w:rsid w:val="00FB059A"/>
    <w:rsid w:val="00FB11A9"/>
    <w:rsid w:val="00FB1E40"/>
    <w:rsid w:val="00FB1FA9"/>
    <w:rsid w:val="00FB2571"/>
    <w:rsid w:val="00FB2D47"/>
    <w:rsid w:val="00FB4BA1"/>
    <w:rsid w:val="00FB6BEE"/>
    <w:rsid w:val="00FB7021"/>
    <w:rsid w:val="00FC0038"/>
    <w:rsid w:val="00FC06CB"/>
    <w:rsid w:val="00FC122B"/>
    <w:rsid w:val="00FC15C9"/>
    <w:rsid w:val="00FC18A8"/>
    <w:rsid w:val="00FC3477"/>
    <w:rsid w:val="00FC41B8"/>
    <w:rsid w:val="00FC4549"/>
    <w:rsid w:val="00FC5429"/>
    <w:rsid w:val="00FC5F24"/>
    <w:rsid w:val="00FC6714"/>
    <w:rsid w:val="00FD0536"/>
    <w:rsid w:val="00FD09FA"/>
    <w:rsid w:val="00FD0FB6"/>
    <w:rsid w:val="00FD2FDC"/>
    <w:rsid w:val="00FD3C5A"/>
    <w:rsid w:val="00FD57F6"/>
    <w:rsid w:val="00FD5A27"/>
    <w:rsid w:val="00FD5F40"/>
    <w:rsid w:val="00FD6970"/>
    <w:rsid w:val="00FD6D6D"/>
    <w:rsid w:val="00FD72B7"/>
    <w:rsid w:val="00FD72C8"/>
    <w:rsid w:val="00FD73AD"/>
    <w:rsid w:val="00FD7462"/>
    <w:rsid w:val="00FD7986"/>
    <w:rsid w:val="00FD7CD9"/>
    <w:rsid w:val="00FE0551"/>
    <w:rsid w:val="00FE0C5C"/>
    <w:rsid w:val="00FE1057"/>
    <w:rsid w:val="00FE1E05"/>
    <w:rsid w:val="00FE1EBF"/>
    <w:rsid w:val="00FE2438"/>
    <w:rsid w:val="00FE24A0"/>
    <w:rsid w:val="00FE2679"/>
    <w:rsid w:val="00FE3555"/>
    <w:rsid w:val="00FE46E7"/>
    <w:rsid w:val="00FE67C1"/>
    <w:rsid w:val="00FE6A8E"/>
    <w:rsid w:val="00FE72A9"/>
    <w:rsid w:val="00FE7F60"/>
    <w:rsid w:val="00FF02C2"/>
    <w:rsid w:val="00FF1AC4"/>
    <w:rsid w:val="00FF1DDA"/>
    <w:rsid w:val="00FF2486"/>
    <w:rsid w:val="00FF2603"/>
    <w:rsid w:val="00FF4233"/>
    <w:rsid w:val="00FF4456"/>
    <w:rsid w:val="00FF5154"/>
    <w:rsid w:val="00FF644C"/>
    <w:rsid w:val="00FF7A58"/>
    <w:rsid w:val="011A6D15"/>
    <w:rsid w:val="01896811"/>
    <w:rsid w:val="018E1BB8"/>
    <w:rsid w:val="01FD609D"/>
    <w:rsid w:val="02221B40"/>
    <w:rsid w:val="025D3C6A"/>
    <w:rsid w:val="02605E16"/>
    <w:rsid w:val="027D181F"/>
    <w:rsid w:val="028916DF"/>
    <w:rsid w:val="0295277A"/>
    <w:rsid w:val="02A36C44"/>
    <w:rsid w:val="02B770BE"/>
    <w:rsid w:val="02B92B4B"/>
    <w:rsid w:val="02D758AA"/>
    <w:rsid w:val="02E679AF"/>
    <w:rsid w:val="032503A7"/>
    <w:rsid w:val="03435D32"/>
    <w:rsid w:val="038F2C54"/>
    <w:rsid w:val="03A33962"/>
    <w:rsid w:val="03F229A5"/>
    <w:rsid w:val="04025BED"/>
    <w:rsid w:val="045439B3"/>
    <w:rsid w:val="04B15D12"/>
    <w:rsid w:val="04F86779"/>
    <w:rsid w:val="051A0570"/>
    <w:rsid w:val="0556761C"/>
    <w:rsid w:val="056401E1"/>
    <w:rsid w:val="058949C6"/>
    <w:rsid w:val="05B11573"/>
    <w:rsid w:val="05B251FF"/>
    <w:rsid w:val="05D924C7"/>
    <w:rsid w:val="05F43336"/>
    <w:rsid w:val="05FF0636"/>
    <w:rsid w:val="061C0382"/>
    <w:rsid w:val="064216C6"/>
    <w:rsid w:val="064D44EB"/>
    <w:rsid w:val="06957AF9"/>
    <w:rsid w:val="06A82EB5"/>
    <w:rsid w:val="06AB51DF"/>
    <w:rsid w:val="071E7A58"/>
    <w:rsid w:val="07227412"/>
    <w:rsid w:val="074778FA"/>
    <w:rsid w:val="0754675F"/>
    <w:rsid w:val="078F15BC"/>
    <w:rsid w:val="079F4185"/>
    <w:rsid w:val="07B70A9C"/>
    <w:rsid w:val="07BA29FE"/>
    <w:rsid w:val="07E163D5"/>
    <w:rsid w:val="07EE1796"/>
    <w:rsid w:val="089D08A9"/>
    <w:rsid w:val="08C57804"/>
    <w:rsid w:val="090E3278"/>
    <w:rsid w:val="091967B5"/>
    <w:rsid w:val="0923693C"/>
    <w:rsid w:val="092F7BB8"/>
    <w:rsid w:val="096761E7"/>
    <w:rsid w:val="09734E97"/>
    <w:rsid w:val="09B708C6"/>
    <w:rsid w:val="09C63218"/>
    <w:rsid w:val="09CD0A4B"/>
    <w:rsid w:val="09E10052"/>
    <w:rsid w:val="09E5410E"/>
    <w:rsid w:val="0A053D41"/>
    <w:rsid w:val="0A1348C9"/>
    <w:rsid w:val="0A284A31"/>
    <w:rsid w:val="0A4429FF"/>
    <w:rsid w:val="0AFA4183"/>
    <w:rsid w:val="0B0373BC"/>
    <w:rsid w:val="0B043FF8"/>
    <w:rsid w:val="0B226B74"/>
    <w:rsid w:val="0B4E5282"/>
    <w:rsid w:val="0B4F3474"/>
    <w:rsid w:val="0B520957"/>
    <w:rsid w:val="0B770C6E"/>
    <w:rsid w:val="0BAC7643"/>
    <w:rsid w:val="0BDA1781"/>
    <w:rsid w:val="0BF5414F"/>
    <w:rsid w:val="0C0900F1"/>
    <w:rsid w:val="0C545B35"/>
    <w:rsid w:val="0C994AB9"/>
    <w:rsid w:val="0CC06645"/>
    <w:rsid w:val="0CCC7AC4"/>
    <w:rsid w:val="0D8B0373"/>
    <w:rsid w:val="0D95362E"/>
    <w:rsid w:val="0DAD5587"/>
    <w:rsid w:val="0DB32F94"/>
    <w:rsid w:val="0DE70459"/>
    <w:rsid w:val="0DF04D08"/>
    <w:rsid w:val="0DFE574F"/>
    <w:rsid w:val="0E010CC3"/>
    <w:rsid w:val="0E0316E4"/>
    <w:rsid w:val="0E19600D"/>
    <w:rsid w:val="0E1C3D4F"/>
    <w:rsid w:val="0E6B59A2"/>
    <w:rsid w:val="0EAE0ACA"/>
    <w:rsid w:val="0ECA0E0D"/>
    <w:rsid w:val="0EF90EF5"/>
    <w:rsid w:val="0F2271EE"/>
    <w:rsid w:val="0F342DCB"/>
    <w:rsid w:val="0F4D7BD8"/>
    <w:rsid w:val="0F735BF1"/>
    <w:rsid w:val="0FA110A7"/>
    <w:rsid w:val="0FC62D94"/>
    <w:rsid w:val="0FCBA5CA"/>
    <w:rsid w:val="10390AB4"/>
    <w:rsid w:val="1088668E"/>
    <w:rsid w:val="10D81154"/>
    <w:rsid w:val="10E24DDC"/>
    <w:rsid w:val="112917DC"/>
    <w:rsid w:val="114A1F19"/>
    <w:rsid w:val="116C28F7"/>
    <w:rsid w:val="11A41EA7"/>
    <w:rsid w:val="11C014D4"/>
    <w:rsid w:val="11EE77B0"/>
    <w:rsid w:val="11F05959"/>
    <w:rsid w:val="11FF3F33"/>
    <w:rsid w:val="12156E6D"/>
    <w:rsid w:val="12A22F6F"/>
    <w:rsid w:val="12C30C3D"/>
    <w:rsid w:val="12DA6EE0"/>
    <w:rsid w:val="12E25392"/>
    <w:rsid w:val="12EB2C3B"/>
    <w:rsid w:val="13192BB3"/>
    <w:rsid w:val="13C71572"/>
    <w:rsid w:val="13E1581F"/>
    <w:rsid w:val="141F7BE0"/>
    <w:rsid w:val="142E32D9"/>
    <w:rsid w:val="14326013"/>
    <w:rsid w:val="14493277"/>
    <w:rsid w:val="1459378E"/>
    <w:rsid w:val="1488724D"/>
    <w:rsid w:val="149172AB"/>
    <w:rsid w:val="14AF6FD3"/>
    <w:rsid w:val="14B81739"/>
    <w:rsid w:val="14EA4EA0"/>
    <w:rsid w:val="15221F68"/>
    <w:rsid w:val="154A2F50"/>
    <w:rsid w:val="15535FC6"/>
    <w:rsid w:val="15B8435D"/>
    <w:rsid w:val="15DD24FA"/>
    <w:rsid w:val="16152D04"/>
    <w:rsid w:val="1666200B"/>
    <w:rsid w:val="16663E8A"/>
    <w:rsid w:val="168460D8"/>
    <w:rsid w:val="16DD784B"/>
    <w:rsid w:val="16F07B71"/>
    <w:rsid w:val="17357800"/>
    <w:rsid w:val="174637C6"/>
    <w:rsid w:val="174C1201"/>
    <w:rsid w:val="178D1100"/>
    <w:rsid w:val="179D7EE2"/>
    <w:rsid w:val="17EC16BD"/>
    <w:rsid w:val="18037914"/>
    <w:rsid w:val="180C273E"/>
    <w:rsid w:val="18147899"/>
    <w:rsid w:val="182547F2"/>
    <w:rsid w:val="1853327D"/>
    <w:rsid w:val="18575CB1"/>
    <w:rsid w:val="18710E80"/>
    <w:rsid w:val="187C6833"/>
    <w:rsid w:val="18B65D97"/>
    <w:rsid w:val="18E02D2E"/>
    <w:rsid w:val="18F27B86"/>
    <w:rsid w:val="192963E5"/>
    <w:rsid w:val="192A3C11"/>
    <w:rsid w:val="193E0B05"/>
    <w:rsid w:val="19614D0C"/>
    <w:rsid w:val="19A5109C"/>
    <w:rsid w:val="19A846E9"/>
    <w:rsid w:val="19B23C41"/>
    <w:rsid w:val="19B5137E"/>
    <w:rsid w:val="1A192A6F"/>
    <w:rsid w:val="1A8F42B1"/>
    <w:rsid w:val="1B1F6C2C"/>
    <w:rsid w:val="1B210C25"/>
    <w:rsid w:val="1B3C004D"/>
    <w:rsid w:val="1B5567AE"/>
    <w:rsid w:val="1B5E4551"/>
    <w:rsid w:val="1B833F1E"/>
    <w:rsid w:val="1BF71070"/>
    <w:rsid w:val="1C5C3322"/>
    <w:rsid w:val="1C840575"/>
    <w:rsid w:val="1C897E65"/>
    <w:rsid w:val="1C8A3A3C"/>
    <w:rsid w:val="1CBC1B1F"/>
    <w:rsid w:val="1CBD6643"/>
    <w:rsid w:val="1D0E026F"/>
    <w:rsid w:val="1D505CF0"/>
    <w:rsid w:val="1D636B59"/>
    <w:rsid w:val="1D9C4564"/>
    <w:rsid w:val="1D9E200C"/>
    <w:rsid w:val="1DB03826"/>
    <w:rsid w:val="1E054F96"/>
    <w:rsid w:val="1E1B2629"/>
    <w:rsid w:val="1E22392C"/>
    <w:rsid w:val="1E2A72DE"/>
    <w:rsid w:val="1E434781"/>
    <w:rsid w:val="1E5405E7"/>
    <w:rsid w:val="1E761259"/>
    <w:rsid w:val="1E7B23CC"/>
    <w:rsid w:val="1E7D5652"/>
    <w:rsid w:val="1EAF7A25"/>
    <w:rsid w:val="1F0B3750"/>
    <w:rsid w:val="1F1545CE"/>
    <w:rsid w:val="1F170346"/>
    <w:rsid w:val="1F547801"/>
    <w:rsid w:val="1F8F4478"/>
    <w:rsid w:val="1F901EA7"/>
    <w:rsid w:val="1FB1502C"/>
    <w:rsid w:val="1FCD30FB"/>
    <w:rsid w:val="1FE17F61"/>
    <w:rsid w:val="1FF70415"/>
    <w:rsid w:val="20014C4D"/>
    <w:rsid w:val="20071625"/>
    <w:rsid w:val="200F33B5"/>
    <w:rsid w:val="201A67B9"/>
    <w:rsid w:val="20870360"/>
    <w:rsid w:val="20A602F1"/>
    <w:rsid w:val="20EA1A41"/>
    <w:rsid w:val="2101281F"/>
    <w:rsid w:val="21093CBF"/>
    <w:rsid w:val="214F757C"/>
    <w:rsid w:val="2186017A"/>
    <w:rsid w:val="21993306"/>
    <w:rsid w:val="21C443C4"/>
    <w:rsid w:val="21DB217C"/>
    <w:rsid w:val="220F17A9"/>
    <w:rsid w:val="220F63C0"/>
    <w:rsid w:val="225B4C45"/>
    <w:rsid w:val="22714212"/>
    <w:rsid w:val="22934302"/>
    <w:rsid w:val="22E21A3B"/>
    <w:rsid w:val="22F04582"/>
    <w:rsid w:val="22F653E9"/>
    <w:rsid w:val="23130C59"/>
    <w:rsid w:val="235A4636"/>
    <w:rsid w:val="23835A7E"/>
    <w:rsid w:val="23F92711"/>
    <w:rsid w:val="244224C6"/>
    <w:rsid w:val="24775173"/>
    <w:rsid w:val="24D6035C"/>
    <w:rsid w:val="24DE6615"/>
    <w:rsid w:val="25126D74"/>
    <w:rsid w:val="25180974"/>
    <w:rsid w:val="254C15DE"/>
    <w:rsid w:val="25552F8C"/>
    <w:rsid w:val="258268E7"/>
    <w:rsid w:val="25A3467A"/>
    <w:rsid w:val="25CF703A"/>
    <w:rsid w:val="26123616"/>
    <w:rsid w:val="264F1E2D"/>
    <w:rsid w:val="267918E7"/>
    <w:rsid w:val="26A5448A"/>
    <w:rsid w:val="26AC0E40"/>
    <w:rsid w:val="26AC3A6A"/>
    <w:rsid w:val="26C528F0"/>
    <w:rsid w:val="26E275C2"/>
    <w:rsid w:val="26EE12D9"/>
    <w:rsid w:val="273852FE"/>
    <w:rsid w:val="277B51EB"/>
    <w:rsid w:val="277D29C2"/>
    <w:rsid w:val="277E0419"/>
    <w:rsid w:val="279D33B3"/>
    <w:rsid w:val="27D4517B"/>
    <w:rsid w:val="280609E4"/>
    <w:rsid w:val="28117600"/>
    <w:rsid w:val="28326668"/>
    <w:rsid w:val="28392113"/>
    <w:rsid w:val="286914E7"/>
    <w:rsid w:val="28804E01"/>
    <w:rsid w:val="28A902E6"/>
    <w:rsid w:val="28BA7A16"/>
    <w:rsid w:val="28DD58D0"/>
    <w:rsid w:val="28EC4763"/>
    <w:rsid w:val="28EE7CCC"/>
    <w:rsid w:val="28F20771"/>
    <w:rsid w:val="29862181"/>
    <w:rsid w:val="29E178AE"/>
    <w:rsid w:val="29FA0F90"/>
    <w:rsid w:val="2A3E7D2C"/>
    <w:rsid w:val="2A65743E"/>
    <w:rsid w:val="2A666952"/>
    <w:rsid w:val="2A9A62D0"/>
    <w:rsid w:val="2AF26696"/>
    <w:rsid w:val="2AF77367"/>
    <w:rsid w:val="2B0B2DFA"/>
    <w:rsid w:val="2B7B3A0B"/>
    <w:rsid w:val="2BA2426B"/>
    <w:rsid w:val="2BB502F7"/>
    <w:rsid w:val="2BD1187D"/>
    <w:rsid w:val="2BF8710F"/>
    <w:rsid w:val="2C22675B"/>
    <w:rsid w:val="2C7965AC"/>
    <w:rsid w:val="2C8261EC"/>
    <w:rsid w:val="2C8D2B52"/>
    <w:rsid w:val="2CB25C57"/>
    <w:rsid w:val="2CB766D2"/>
    <w:rsid w:val="2D19172E"/>
    <w:rsid w:val="2D4349FC"/>
    <w:rsid w:val="2D56141D"/>
    <w:rsid w:val="2D627B0B"/>
    <w:rsid w:val="2D7E2124"/>
    <w:rsid w:val="2D954434"/>
    <w:rsid w:val="2E075A2A"/>
    <w:rsid w:val="2E4308B6"/>
    <w:rsid w:val="2E9A0F75"/>
    <w:rsid w:val="2EBB7F5F"/>
    <w:rsid w:val="2EBC529A"/>
    <w:rsid w:val="2EC53A26"/>
    <w:rsid w:val="2ECE7A9F"/>
    <w:rsid w:val="2ECF23E6"/>
    <w:rsid w:val="2ED10075"/>
    <w:rsid w:val="2F522CD5"/>
    <w:rsid w:val="2F8A06C1"/>
    <w:rsid w:val="30016F1B"/>
    <w:rsid w:val="30072566"/>
    <w:rsid w:val="30145759"/>
    <w:rsid w:val="301E15CC"/>
    <w:rsid w:val="30320B13"/>
    <w:rsid w:val="30466CDD"/>
    <w:rsid w:val="306C3DFF"/>
    <w:rsid w:val="30B67293"/>
    <w:rsid w:val="30D37220"/>
    <w:rsid w:val="30E80EFA"/>
    <w:rsid w:val="30FA0A7D"/>
    <w:rsid w:val="31386448"/>
    <w:rsid w:val="315747C3"/>
    <w:rsid w:val="316C30E7"/>
    <w:rsid w:val="319941E5"/>
    <w:rsid w:val="31B732C3"/>
    <w:rsid w:val="31C63D74"/>
    <w:rsid w:val="31C64474"/>
    <w:rsid w:val="31E3055C"/>
    <w:rsid w:val="31F167D5"/>
    <w:rsid w:val="31F712C5"/>
    <w:rsid w:val="31F85E92"/>
    <w:rsid w:val="320C697E"/>
    <w:rsid w:val="323D65DF"/>
    <w:rsid w:val="324148E2"/>
    <w:rsid w:val="32627A4B"/>
    <w:rsid w:val="32AF07F2"/>
    <w:rsid w:val="32B141B6"/>
    <w:rsid w:val="32B84F32"/>
    <w:rsid w:val="32F114C4"/>
    <w:rsid w:val="32F55942"/>
    <w:rsid w:val="333252F7"/>
    <w:rsid w:val="33A30117"/>
    <w:rsid w:val="33DF006E"/>
    <w:rsid w:val="34027B43"/>
    <w:rsid w:val="341669C7"/>
    <w:rsid w:val="34476B80"/>
    <w:rsid w:val="348953EB"/>
    <w:rsid w:val="34EA39B0"/>
    <w:rsid w:val="354833FF"/>
    <w:rsid w:val="35633883"/>
    <w:rsid w:val="356419B4"/>
    <w:rsid w:val="35E459AD"/>
    <w:rsid w:val="360141E1"/>
    <w:rsid w:val="36184CDB"/>
    <w:rsid w:val="36636708"/>
    <w:rsid w:val="36735088"/>
    <w:rsid w:val="369739A9"/>
    <w:rsid w:val="369C45C9"/>
    <w:rsid w:val="36C81662"/>
    <w:rsid w:val="370661C1"/>
    <w:rsid w:val="374369B6"/>
    <w:rsid w:val="375872F6"/>
    <w:rsid w:val="37603725"/>
    <w:rsid w:val="37711C6B"/>
    <w:rsid w:val="37733277"/>
    <w:rsid w:val="377432D3"/>
    <w:rsid w:val="378402F8"/>
    <w:rsid w:val="378C1871"/>
    <w:rsid w:val="37AB3982"/>
    <w:rsid w:val="37EA3C72"/>
    <w:rsid w:val="37EC5DC8"/>
    <w:rsid w:val="37F80892"/>
    <w:rsid w:val="37FC2378"/>
    <w:rsid w:val="380D7900"/>
    <w:rsid w:val="385F0069"/>
    <w:rsid w:val="388866DE"/>
    <w:rsid w:val="38D160C4"/>
    <w:rsid w:val="38E4330E"/>
    <w:rsid w:val="38F75B2D"/>
    <w:rsid w:val="39082ACF"/>
    <w:rsid w:val="393B2A2C"/>
    <w:rsid w:val="39553928"/>
    <w:rsid w:val="39711717"/>
    <w:rsid w:val="39797D07"/>
    <w:rsid w:val="397B0F78"/>
    <w:rsid w:val="39BF540B"/>
    <w:rsid w:val="39F71049"/>
    <w:rsid w:val="3A7A6BFE"/>
    <w:rsid w:val="3A7B6D86"/>
    <w:rsid w:val="3A89130F"/>
    <w:rsid w:val="3A892117"/>
    <w:rsid w:val="3A8C3A36"/>
    <w:rsid w:val="3AA72CEC"/>
    <w:rsid w:val="3AA840F1"/>
    <w:rsid w:val="3AC31ED1"/>
    <w:rsid w:val="3AEA03A9"/>
    <w:rsid w:val="3B200C61"/>
    <w:rsid w:val="3B2B42F4"/>
    <w:rsid w:val="3B3C44E7"/>
    <w:rsid w:val="3B530501"/>
    <w:rsid w:val="3B6505E1"/>
    <w:rsid w:val="3B801ADB"/>
    <w:rsid w:val="3B8373F1"/>
    <w:rsid w:val="3BB338ED"/>
    <w:rsid w:val="3BDD7D9B"/>
    <w:rsid w:val="3C1014B7"/>
    <w:rsid w:val="3C133476"/>
    <w:rsid w:val="3C3B0C4E"/>
    <w:rsid w:val="3C5B6745"/>
    <w:rsid w:val="3C7F76CC"/>
    <w:rsid w:val="3D844E8D"/>
    <w:rsid w:val="3DD83800"/>
    <w:rsid w:val="3DE41382"/>
    <w:rsid w:val="3DF2368E"/>
    <w:rsid w:val="3DFFF518"/>
    <w:rsid w:val="3E275C99"/>
    <w:rsid w:val="3E2974E0"/>
    <w:rsid w:val="3E4E4FAF"/>
    <w:rsid w:val="3E6B3DB3"/>
    <w:rsid w:val="3E73290A"/>
    <w:rsid w:val="3E9055C8"/>
    <w:rsid w:val="3EC461C9"/>
    <w:rsid w:val="3F596C28"/>
    <w:rsid w:val="3F605135"/>
    <w:rsid w:val="3FEF2636"/>
    <w:rsid w:val="3FFD0015"/>
    <w:rsid w:val="3FFD4EDF"/>
    <w:rsid w:val="4009460B"/>
    <w:rsid w:val="401D0C62"/>
    <w:rsid w:val="402A6DF4"/>
    <w:rsid w:val="40662F7F"/>
    <w:rsid w:val="40B97058"/>
    <w:rsid w:val="40E13F83"/>
    <w:rsid w:val="40ED2526"/>
    <w:rsid w:val="415320C2"/>
    <w:rsid w:val="4157061F"/>
    <w:rsid w:val="41643196"/>
    <w:rsid w:val="41660E4D"/>
    <w:rsid w:val="416D61F7"/>
    <w:rsid w:val="418E1BF4"/>
    <w:rsid w:val="41A039FB"/>
    <w:rsid w:val="42220B4A"/>
    <w:rsid w:val="423F1AF4"/>
    <w:rsid w:val="4244063C"/>
    <w:rsid w:val="425D063C"/>
    <w:rsid w:val="429733C9"/>
    <w:rsid w:val="42A052C8"/>
    <w:rsid w:val="42F75C08"/>
    <w:rsid w:val="430E7688"/>
    <w:rsid w:val="433D2B35"/>
    <w:rsid w:val="439F7490"/>
    <w:rsid w:val="43CC52F4"/>
    <w:rsid w:val="43D971B1"/>
    <w:rsid w:val="43FD1A23"/>
    <w:rsid w:val="4413504E"/>
    <w:rsid w:val="443427DE"/>
    <w:rsid w:val="44370AE5"/>
    <w:rsid w:val="44375AB3"/>
    <w:rsid w:val="446625BD"/>
    <w:rsid w:val="44C20D8F"/>
    <w:rsid w:val="44D97CC8"/>
    <w:rsid w:val="45351F4C"/>
    <w:rsid w:val="453C7B0A"/>
    <w:rsid w:val="45735181"/>
    <w:rsid w:val="45907F26"/>
    <w:rsid w:val="45B912E4"/>
    <w:rsid w:val="45F4468E"/>
    <w:rsid w:val="462F48EC"/>
    <w:rsid w:val="463902F3"/>
    <w:rsid w:val="46601A21"/>
    <w:rsid w:val="467B6B5D"/>
    <w:rsid w:val="46832533"/>
    <w:rsid w:val="46A95795"/>
    <w:rsid w:val="46B67B95"/>
    <w:rsid w:val="46C40504"/>
    <w:rsid w:val="46DC75FC"/>
    <w:rsid w:val="4748551F"/>
    <w:rsid w:val="47797541"/>
    <w:rsid w:val="479036E6"/>
    <w:rsid w:val="4793420A"/>
    <w:rsid w:val="479928B9"/>
    <w:rsid w:val="47AC6A05"/>
    <w:rsid w:val="47EA7AF7"/>
    <w:rsid w:val="47EF335F"/>
    <w:rsid w:val="47FD3CCE"/>
    <w:rsid w:val="48254C34"/>
    <w:rsid w:val="48274C8F"/>
    <w:rsid w:val="487C33A3"/>
    <w:rsid w:val="48923A9B"/>
    <w:rsid w:val="48A04F67"/>
    <w:rsid w:val="48A87371"/>
    <w:rsid w:val="48AD660B"/>
    <w:rsid w:val="48BE3EB0"/>
    <w:rsid w:val="48D80297"/>
    <w:rsid w:val="48F52BF7"/>
    <w:rsid w:val="48FA7DB5"/>
    <w:rsid w:val="49050C83"/>
    <w:rsid w:val="49094ECF"/>
    <w:rsid w:val="493F07FE"/>
    <w:rsid w:val="49452856"/>
    <w:rsid w:val="49736FDA"/>
    <w:rsid w:val="49AA1C33"/>
    <w:rsid w:val="49B52CB3"/>
    <w:rsid w:val="49DA048B"/>
    <w:rsid w:val="49E57878"/>
    <w:rsid w:val="49EB1754"/>
    <w:rsid w:val="4A020B0E"/>
    <w:rsid w:val="4A0F187A"/>
    <w:rsid w:val="4A2512BA"/>
    <w:rsid w:val="4A6873F9"/>
    <w:rsid w:val="4A963F66"/>
    <w:rsid w:val="4B1A4B97"/>
    <w:rsid w:val="4BBD5166"/>
    <w:rsid w:val="4BCC4DB0"/>
    <w:rsid w:val="4BF938ED"/>
    <w:rsid w:val="4C09031F"/>
    <w:rsid w:val="4C3561F1"/>
    <w:rsid w:val="4C5A7366"/>
    <w:rsid w:val="4C9D15DC"/>
    <w:rsid w:val="4CE30971"/>
    <w:rsid w:val="4CE840AC"/>
    <w:rsid w:val="4D03140D"/>
    <w:rsid w:val="4D085950"/>
    <w:rsid w:val="4D587BF8"/>
    <w:rsid w:val="4D645E9F"/>
    <w:rsid w:val="4D7B0486"/>
    <w:rsid w:val="4D823F55"/>
    <w:rsid w:val="4DA644C0"/>
    <w:rsid w:val="4DB4773B"/>
    <w:rsid w:val="4DCB407C"/>
    <w:rsid w:val="4DCF6D21"/>
    <w:rsid w:val="4DF96BA8"/>
    <w:rsid w:val="4E055563"/>
    <w:rsid w:val="4E0B6A19"/>
    <w:rsid w:val="4E7D4D4D"/>
    <w:rsid w:val="4E8209FF"/>
    <w:rsid w:val="4EAF41AD"/>
    <w:rsid w:val="4ECC57C7"/>
    <w:rsid w:val="4ED214E4"/>
    <w:rsid w:val="4EEA7926"/>
    <w:rsid w:val="4EED14A0"/>
    <w:rsid w:val="4F1D07B2"/>
    <w:rsid w:val="4F1D57D3"/>
    <w:rsid w:val="4F335573"/>
    <w:rsid w:val="4F4A531F"/>
    <w:rsid w:val="4F4D178A"/>
    <w:rsid w:val="4F622684"/>
    <w:rsid w:val="4F82180A"/>
    <w:rsid w:val="4FF40E8B"/>
    <w:rsid w:val="502826FD"/>
    <w:rsid w:val="502C701E"/>
    <w:rsid w:val="50526B81"/>
    <w:rsid w:val="505428F9"/>
    <w:rsid w:val="5060129E"/>
    <w:rsid w:val="5064466C"/>
    <w:rsid w:val="506B55BD"/>
    <w:rsid w:val="50873ECF"/>
    <w:rsid w:val="50954F20"/>
    <w:rsid w:val="50B2258E"/>
    <w:rsid w:val="50FF0540"/>
    <w:rsid w:val="515F7D14"/>
    <w:rsid w:val="51734888"/>
    <w:rsid w:val="51A13A13"/>
    <w:rsid w:val="52042546"/>
    <w:rsid w:val="52426689"/>
    <w:rsid w:val="5286723E"/>
    <w:rsid w:val="52B14033"/>
    <w:rsid w:val="52B46AED"/>
    <w:rsid w:val="52CF6267"/>
    <w:rsid w:val="52D448ED"/>
    <w:rsid w:val="52EF4B5B"/>
    <w:rsid w:val="52F8236A"/>
    <w:rsid w:val="536559C0"/>
    <w:rsid w:val="53924A31"/>
    <w:rsid w:val="53BA5265"/>
    <w:rsid w:val="53FF492A"/>
    <w:rsid w:val="5480697A"/>
    <w:rsid w:val="549A4E87"/>
    <w:rsid w:val="54AF768F"/>
    <w:rsid w:val="54CF254E"/>
    <w:rsid w:val="54E44C9D"/>
    <w:rsid w:val="552503C0"/>
    <w:rsid w:val="553046B3"/>
    <w:rsid w:val="55384597"/>
    <w:rsid w:val="55410BF9"/>
    <w:rsid w:val="55414C8F"/>
    <w:rsid w:val="55C23AE2"/>
    <w:rsid w:val="55F76166"/>
    <w:rsid w:val="55FA72D0"/>
    <w:rsid w:val="56164708"/>
    <w:rsid w:val="562E2EF9"/>
    <w:rsid w:val="565C2507"/>
    <w:rsid w:val="566A0DF9"/>
    <w:rsid w:val="56705FB3"/>
    <w:rsid w:val="567F5ADC"/>
    <w:rsid w:val="568D33A9"/>
    <w:rsid w:val="56C1138B"/>
    <w:rsid w:val="572A4E1F"/>
    <w:rsid w:val="57655DBD"/>
    <w:rsid w:val="5783207C"/>
    <w:rsid w:val="57967CD6"/>
    <w:rsid w:val="57B52184"/>
    <w:rsid w:val="57F00527"/>
    <w:rsid w:val="57F30ED5"/>
    <w:rsid w:val="58120180"/>
    <w:rsid w:val="58507E4A"/>
    <w:rsid w:val="58622433"/>
    <w:rsid w:val="5865762E"/>
    <w:rsid w:val="58CA76EA"/>
    <w:rsid w:val="58FE1654"/>
    <w:rsid w:val="595A65DA"/>
    <w:rsid w:val="59603104"/>
    <w:rsid w:val="59B71921"/>
    <w:rsid w:val="5A1A7371"/>
    <w:rsid w:val="5A1D093B"/>
    <w:rsid w:val="5A6B01A4"/>
    <w:rsid w:val="5AC60A34"/>
    <w:rsid w:val="5AE96334"/>
    <w:rsid w:val="5AF504DC"/>
    <w:rsid w:val="5B123FF8"/>
    <w:rsid w:val="5B1F11EF"/>
    <w:rsid w:val="5B577086"/>
    <w:rsid w:val="5B7F6091"/>
    <w:rsid w:val="5B8749F4"/>
    <w:rsid w:val="5BAA2A50"/>
    <w:rsid w:val="5BB8152D"/>
    <w:rsid w:val="5BE307D8"/>
    <w:rsid w:val="5C0C22DA"/>
    <w:rsid w:val="5C326078"/>
    <w:rsid w:val="5C3B2232"/>
    <w:rsid w:val="5C3F26AF"/>
    <w:rsid w:val="5C933840"/>
    <w:rsid w:val="5C9B567D"/>
    <w:rsid w:val="5CBD35D4"/>
    <w:rsid w:val="5D270949"/>
    <w:rsid w:val="5D2F0E22"/>
    <w:rsid w:val="5D3A4CF9"/>
    <w:rsid w:val="5D467A6D"/>
    <w:rsid w:val="5D5A26FF"/>
    <w:rsid w:val="5D6254EB"/>
    <w:rsid w:val="5DFB2606"/>
    <w:rsid w:val="5E502653"/>
    <w:rsid w:val="5E7F3508"/>
    <w:rsid w:val="5EAA709D"/>
    <w:rsid w:val="5EEF62FD"/>
    <w:rsid w:val="5EF64B7B"/>
    <w:rsid w:val="5F1216B0"/>
    <w:rsid w:val="5F4175C1"/>
    <w:rsid w:val="5F452CCB"/>
    <w:rsid w:val="5F572E51"/>
    <w:rsid w:val="5F885D30"/>
    <w:rsid w:val="5F9279B2"/>
    <w:rsid w:val="6060660E"/>
    <w:rsid w:val="61162463"/>
    <w:rsid w:val="611D1740"/>
    <w:rsid w:val="61563010"/>
    <w:rsid w:val="61BF13D0"/>
    <w:rsid w:val="61DE5900"/>
    <w:rsid w:val="61F20919"/>
    <w:rsid w:val="61F47485"/>
    <w:rsid w:val="621E0F7E"/>
    <w:rsid w:val="62206ADF"/>
    <w:rsid w:val="62300AF6"/>
    <w:rsid w:val="6253318F"/>
    <w:rsid w:val="625B6812"/>
    <w:rsid w:val="626D272C"/>
    <w:rsid w:val="6277164E"/>
    <w:rsid w:val="628346D8"/>
    <w:rsid w:val="62BF7D78"/>
    <w:rsid w:val="62FD2D82"/>
    <w:rsid w:val="63536EB0"/>
    <w:rsid w:val="638E5F28"/>
    <w:rsid w:val="63913F53"/>
    <w:rsid w:val="63A159FD"/>
    <w:rsid w:val="63BC2B22"/>
    <w:rsid w:val="643D1308"/>
    <w:rsid w:val="64870CE6"/>
    <w:rsid w:val="649E14ED"/>
    <w:rsid w:val="64B1686B"/>
    <w:rsid w:val="64C432EC"/>
    <w:rsid w:val="64C5571C"/>
    <w:rsid w:val="64E67E3E"/>
    <w:rsid w:val="651C1188"/>
    <w:rsid w:val="652F6714"/>
    <w:rsid w:val="656E31E5"/>
    <w:rsid w:val="65851880"/>
    <w:rsid w:val="659C54C1"/>
    <w:rsid w:val="65B118F1"/>
    <w:rsid w:val="65D629B4"/>
    <w:rsid w:val="65EEB3F9"/>
    <w:rsid w:val="66292CD9"/>
    <w:rsid w:val="662A5F7E"/>
    <w:rsid w:val="6643320F"/>
    <w:rsid w:val="66690B37"/>
    <w:rsid w:val="667B15C4"/>
    <w:rsid w:val="66A75A53"/>
    <w:rsid w:val="66E14904"/>
    <w:rsid w:val="66E42D65"/>
    <w:rsid w:val="66EC4CCA"/>
    <w:rsid w:val="66EE4066"/>
    <w:rsid w:val="67033415"/>
    <w:rsid w:val="67241F7C"/>
    <w:rsid w:val="67506BEB"/>
    <w:rsid w:val="675E48FC"/>
    <w:rsid w:val="677A71A6"/>
    <w:rsid w:val="678338A3"/>
    <w:rsid w:val="67B45394"/>
    <w:rsid w:val="67D03393"/>
    <w:rsid w:val="67E13745"/>
    <w:rsid w:val="681D03B1"/>
    <w:rsid w:val="68923B67"/>
    <w:rsid w:val="689B6EBF"/>
    <w:rsid w:val="68F84BDD"/>
    <w:rsid w:val="69487159"/>
    <w:rsid w:val="695418C6"/>
    <w:rsid w:val="69A21516"/>
    <w:rsid w:val="69E83F64"/>
    <w:rsid w:val="69F50851"/>
    <w:rsid w:val="69F628F4"/>
    <w:rsid w:val="6A4965A1"/>
    <w:rsid w:val="6A531DD1"/>
    <w:rsid w:val="6A5F2684"/>
    <w:rsid w:val="6A614489"/>
    <w:rsid w:val="6A62486A"/>
    <w:rsid w:val="6AA83F04"/>
    <w:rsid w:val="6AB46793"/>
    <w:rsid w:val="6AD95DBE"/>
    <w:rsid w:val="6AEA5EDC"/>
    <w:rsid w:val="6B1B6095"/>
    <w:rsid w:val="6B3B4599"/>
    <w:rsid w:val="6B8C2AEF"/>
    <w:rsid w:val="6BB37AA8"/>
    <w:rsid w:val="6BFE3D94"/>
    <w:rsid w:val="6BFF530D"/>
    <w:rsid w:val="6BFF769B"/>
    <w:rsid w:val="6C0055D4"/>
    <w:rsid w:val="6C0452F0"/>
    <w:rsid w:val="6C076999"/>
    <w:rsid w:val="6C214CDE"/>
    <w:rsid w:val="6C2B2DA7"/>
    <w:rsid w:val="6C515AE7"/>
    <w:rsid w:val="6C6B041A"/>
    <w:rsid w:val="6C7B5C9E"/>
    <w:rsid w:val="6CB8656E"/>
    <w:rsid w:val="6CDA4B5F"/>
    <w:rsid w:val="6CDC7AA6"/>
    <w:rsid w:val="6D0A6B1E"/>
    <w:rsid w:val="6D945BD2"/>
    <w:rsid w:val="6D9D7236"/>
    <w:rsid w:val="6E1E7639"/>
    <w:rsid w:val="6E4A6E21"/>
    <w:rsid w:val="6EAC74C7"/>
    <w:rsid w:val="6F0B0F46"/>
    <w:rsid w:val="6F22575E"/>
    <w:rsid w:val="6F715F30"/>
    <w:rsid w:val="6FB03FF6"/>
    <w:rsid w:val="6FF330B2"/>
    <w:rsid w:val="7003100C"/>
    <w:rsid w:val="700A6768"/>
    <w:rsid w:val="70375988"/>
    <w:rsid w:val="705B5186"/>
    <w:rsid w:val="70631707"/>
    <w:rsid w:val="708D657F"/>
    <w:rsid w:val="70A011AB"/>
    <w:rsid w:val="70A369B7"/>
    <w:rsid w:val="70AE6124"/>
    <w:rsid w:val="711452F5"/>
    <w:rsid w:val="71422650"/>
    <w:rsid w:val="7158748A"/>
    <w:rsid w:val="71837A31"/>
    <w:rsid w:val="71A26456"/>
    <w:rsid w:val="71D47926"/>
    <w:rsid w:val="72435ED2"/>
    <w:rsid w:val="72594BA8"/>
    <w:rsid w:val="725F37D1"/>
    <w:rsid w:val="727A204D"/>
    <w:rsid w:val="72820EAE"/>
    <w:rsid w:val="72914998"/>
    <w:rsid w:val="72C36CAA"/>
    <w:rsid w:val="72C84B4E"/>
    <w:rsid w:val="72D80D10"/>
    <w:rsid w:val="73024BE5"/>
    <w:rsid w:val="733168E2"/>
    <w:rsid w:val="7342659B"/>
    <w:rsid w:val="737A3B75"/>
    <w:rsid w:val="73CA0460"/>
    <w:rsid w:val="73D30734"/>
    <w:rsid w:val="73D657E8"/>
    <w:rsid w:val="73F46313"/>
    <w:rsid w:val="743F7D01"/>
    <w:rsid w:val="745641D9"/>
    <w:rsid w:val="747E1443"/>
    <w:rsid w:val="74885F06"/>
    <w:rsid w:val="7497281D"/>
    <w:rsid w:val="754D4D58"/>
    <w:rsid w:val="758E11CE"/>
    <w:rsid w:val="759575E3"/>
    <w:rsid w:val="75A5099F"/>
    <w:rsid w:val="75BF14D2"/>
    <w:rsid w:val="75BF27F5"/>
    <w:rsid w:val="75E75B47"/>
    <w:rsid w:val="76365F8B"/>
    <w:rsid w:val="76472199"/>
    <w:rsid w:val="76657AA6"/>
    <w:rsid w:val="76CD04E1"/>
    <w:rsid w:val="76DB2B7D"/>
    <w:rsid w:val="76DE48C7"/>
    <w:rsid w:val="77C27899"/>
    <w:rsid w:val="782D19E6"/>
    <w:rsid w:val="7866291A"/>
    <w:rsid w:val="78670E1E"/>
    <w:rsid w:val="78704EAB"/>
    <w:rsid w:val="78886D34"/>
    <w:rsid w:val="78BD36C3"/>
    <w:rsid w:val="78F24E38"/>
    <w:rsid w:val="79255191"/>
    <w:rsid w:val="79516830"/>
    <w:rsid w:val="79A261BA"/>
    <w:rsid w:val="7A1E0F39"/>
    <w:rsid w:val="7A2769BC"/>
    <w:rsid w:val="7A2D1941"/>
    <w:rsid w:val="7A5B370E"/>
    <w:rsid w:val="7AA240DD"/>
    <w:rsid w:val="7AAA2635"/>
    <w:rsid w:val="7AE51B7C"/>
    <w:rsid w:val="7AF13D30"/>
    <w:rsid w:val="7AFBF788"/>
    <w:rsid w:val="7BAF4748"/>
    <w:rsid w:val="7BD62AB9"/>
    <w:rsid w:val="7C1C1C6D"/>
    <w:rsid w:val="7C62373C"/>
    <w:rsid w:val="7CE365FA"/>
    <w:rsid w:val="7D4832A6"/>
    <w:rsid w:val="7D5611AF"/>
    <w:rsid w:val="7D5B16A9"/>
    <w:rsid w:val="7D641B1E"/>
    <w:rsid w:val="7D717D97"/>
    <w:rsid w:val="7D76453E"/>
    <w:rsid w:val="7D8A4E8A"/>
    <w:rsid w:val="7DC9082F"/>
    <w:rsid w:val="7DEB77F6"/>
    <w:rsid w:val="7DF730BE"/>
    <w:rsid w:val="7E0F7090"/>
    <w:rsid w:val="7E1F3AB5"/>
    <w:rsid w:val="7E2779CC"/>
    <w:rsid w:val="7E406909"/>
    <w:rsid w:val="7E505BFE"/>
    <w:rsid w:val="7E730245"/>
    <w:rsid w:val="7EE822DB"/>
    <w:rsid w:val="7EEA05E4"/>
    <w:rsid w:val="7EF2AF19"/>
    <w:rsid w:val="7EFF7C24"/>
    <w:rsid w:val="7F1774C8"/>
    <w:rsid w:val="7F22523B"/>
    <w:rsid w:val="7F3B2A7C"/>
    <w:rsid w:val="7F550DC7"/>
    <w:rsid w:val="7F6E775E"/>
    <w:rsid w:val="7FA34120"/>
    <w:rsid w:val="7FBD539F"/>
    <w:rsid w:val="7FEDC1E1"/>
    <w:rsid w:val="7FFA7A7D"/>
    <w:rsid w:val="94EEEF43"/>
    <w:rsid w:val="FC7B3A9C"/>
    <w:rsid w:val="FFFFAA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38"/>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57"/>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2">
    <w:name w:val="heading 2"/>
    <w:basedOn w:val="1"/>
    <w:next w:val="1"/>
    <w:link w:val="58"/>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4">
    <w:name w:val="heading 3"/>
    <w:basedOn w:val="1"/>
    <w:next w:val="1"/>
    <w:link w:val="59"/>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5">
    <w:name w:val="heading 4"/>
    <w:basedOn w:val="1"/>
    <w:next w:val="1"/>
    <w:link w:val="60"/>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6">
    <w:name w:val="heading 5"/>
    <w:basedOn w:val="1"/>
    <w:next w:val="1"/>
    <w:link w:val="61"/>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7">
    <w:name w:val="heading 6"/>
    <w:basedOn w:val="1"/>
    <w:next w:val="1"/>
    <w:link w:val="62"/>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8">
    <w:name w:val="heading 7"/>
    <w:basedOn w:val="1"/>
    <w:next w:val="1"/>
    <w:link w:val="63"/>
    <w:qFormat/>
    <w:uiPriority w:val="0"/>
    <w:pPr>
      <w:keepNext/>
      <w:keepLines/>
      <w:spacing w:before="240" w:after="64" w:line="320" w:lineRule="auto"/>
      <w:ind w:firstLine="0" w:firstLineChars="0"/>
      <w:outlineLvl w:val="6"/>
    </w:pPr>
    <w:rPr>
      <w:b/>
      <w:bCs/>
      <w:kern w:val="0"/>
      <w:szCs w:val="24"/>
    </w:rPr>
  </w:style>
  <w:style w:type="paragraph" w:styleId="9">
    <w:name w:val="heading 8"/>
    <w:basedOn w:val="1"/>
    <w:next w:val="1"/>
    <w:link w:val="64"/>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0">
    <w:name w:val="heading 9"/>
    <w:basedOn w:val="1"/>
    <w:next w:val="1"/>
    <w:link w:val="65"/>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index 8"/>
    <w:basedOn w:val="1"/>
    <w:next w:val="1"/>
    <w:qFormat/>
    <w:uiPriority w:val="0"/>
    <w:pPr>
      <w:spacing w:line="240" w:lineRule="auto"/>
      <w:ind w:left="2940" w:firstLine="0" w:firstLineChars="0"/>
    </w:pPr>
    <w:rPr>
      <w:sz w:val="21"/>
      <w:szCs w:val="24"/>
    </w:rPr>
  </w:style>
  <w:style w:type="paragraph" w:styleId="12">
    <w:name w:val="List Number"/>
    <w:basedOn w:val="1"/>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3">
    <w:name w:val="Normal Indent"/>
    <w:basedOn w:val="1"/>
    <w:link w:val="66"/>
    <w:qFormat/>
    <w:uiPriority w:val="0"/>
    <w:pPr>
      <w:spacing w:line="240" w:lineRule="auto"/>
      <w:ind w:firstLine="420" w:firstLineChars="0"/>
    </w:pPr>
    <w:rPr>
      <w:sz w:val="21"/>
      <w:szCs w:val="20"/>
    </w:rPr>
  </w:style>
  <w:style w:type="paragraph" w:styleId="14">
    <w:name w:val="caption"/>
    <w:basedOn w:val="1"/>
    <w:next w:val="1"/>
    <w:qFormat/>
    <w:uiPriority w:val="0"/>
    <w:pPr>
      <w:ind w:firstLine="0" w:firstLineChars="0"/>
      <w:jc w:val="center"/>
    </w:pPr>
    <w:rPr>
      <w:rFonts w:ascii="Cambria" w:hAnsi="Cambria" w:eastAsia="黑体"/>
      <w:sz w:val="20"/>
      <w:szCs w:val="20"/>
    </w:rPr>
  </w:style>
  <w:style w:type="paragraph" w:styleId="15">
    <w:name w:val="Document Map"/>
    <w:basedOn w:val="1"/>
    <w:link w:val="67"/>
    <w:unhideWhenUsed/>
    <w:qFormat/>
    <w:uiPriority w:val="0"/>
    <w:pPr>
      <w:spacing w:line="240" w:lineRule="auto"/>
      <w:ind w:firstLine="0" w:firstLineChars="0"/>
    </w:pPr>
    <w:rPr>
      <w:rFonts w:ascii="宋体"/>
      <w:sz w:val="18"/>
      <w:szCs w:val="18"/>
    </w:rPr>
  </w:style>
  <w:style w:type="paragraph" w:styleId="16">
    <w:name w:val="annotation text"/>
    <w:basedOn w:val="1"/>
    <w:link w:val="68"/>
    <w:unhideWhenUsed/>
    <w:qFormat/>
    <w:uiPriority w:val="99"/>
    <w:pPr>
      <w:jc w:val="left"/>
    </w:pPr>
    <w:rPr>
      <w:kern w:val="0"/>
      <w:szCs w:val="20"/>
    </w:rPr>
  </w:style>
  <w:style w:type="paragraph" w:styleId="17">
    <w:name w:val="Body Text 3"/>
    <w:basedOn w:val="1"/>
    <w:link w:val="69"/>
    <w:qFormat/>
    <w:uiPriority w:val="0"/>
    <w:pPr>
      <w:spacing w:line="240" w:lineRule="exact"/>
      <w:ind w:firstLine="0" w:firstLineChars="0"/>
    </w:pPr>
    <w:rPr>
      <w:rFonts w:ascii="宋体" w:hAnsi="宋体"/>
      <w:color w:val="000000"/>
      <w:sz w:val="21"/>
      <w:szCs w:val="21"/>
    </w:rPr>
  </w:style>
  <w:style w:type="paragraph" w:styleId="18">
    <w:name w:val="Body Text"/>
    <w:basedOn w:val="1"/>
    <w:next w:val="19"/>
    <w:link w:val="70"/>
    <w:qFormat/>
    <w:uiPriority w:val="99"/>
    <w:pPr>
      <w:autoSpaceDE w:val="0"/>
      <w:autoSpaceDN w:val="0"/>
      <w:spacing w:line="240" w:lineRule="auto"/>
      <w:ind w:left="252" w:firstLine="0" w:firstLineChars="0"/>
      <w:jc w:val="left"/>
    </w:pPr>
    <w:rPr>
      <w:rFonts w:ascii="宋体" w:hAnsi="宋体" w:cs="宋体"/>
      <w:kern w:val="0"/>
      <w:sz w:val="20"/>
      <w:szCs w:val="21"/>
      <w:lang w:val="zh-CN" w:bidi="zh-CN"/>
    </w:rPr>
  </w:style>
  <w:style w:type="paragraph" w:customStyle="1" w:styleId="19">
    <w:name w:val="Default"/>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styleId="20">
    <w:name w:val="Body Text Indent"/>
    <w:basedOn w:val="1"/>
    <w:link w:val="72"/>
    <w:unhideWhenUsed/>
    <w:qFormat/>
    <w:uiPriority w:val="0"/>
    <w:pPr>
      <w:spacing w:after="120" w:line="240" w:lineRule="auto"/>
      <w:ind w:left="420" w:leftChars="200" w:firstLine="0" w:firstLineChars="0"/>
    </w:pPr>
    <w:rPr>
      <w:sz w:val="21"/>
      <w:szCs w:val="24"/>
    </w:rPr>
  </w:style>
  <w:style w:type="paragraph" w:styleId="21">
    <w:name w:val="List Number 3"/>
    <w:basedOn w:val="1"/>
    <w:qFormat/>
    <w:uiPriority w:val="0"/>
    <w:pPr>
      <w:tabs>
        <w:tab w:val="left" w:pos="1350"/>
      </w:tabs>
      <w:spacing w:line="240" w:lineRule="auto"/>
      <w:ind w:left="1350" w:hanging="720" w:firstLineChars="0"/>
    </w:pPr>
    <w:rPr>
      <w:sz w:val="21"/>
      <w:szCs w:val="24"/>
    </w:rPr>
  </w:style>
  <w:style w:type="paragraph" w:styleId="22">
    <w:name w:val="List 2"/>
    <w:basedOn w:val="1"/>
    <w:qFormat/>
    <w:uiPriority w:val="0"/>
    <w:pPr>
      <w:spacing w:line="240" w:lineRule="auto"/>
      <w:ind w:left="100" w:leftChars="200" w:hanging="200" w:hangingChars="200"/>
    </w:pPr>
    <w:rPr>
      <w:sz w:val="28"/>
      <w:szCs w:val="24"/>
    </w:rPr>
  </w:style>
  <w:style w:type="paragraph" w:styleId="23">
    <w:name w:val="Block Text"/>
    <w:basedOn w:val="1"/>
    <w:qFormat/>
    <w:uiPriority w:val="99"/>
    <w:pPr>
      <w:adjustRightInd w:val="0"/>
      <w:spacing w:line="240" w:lineRule="auto"/>
      <w:ind w:left="420" w:right="33" w:firstLine="0" w:firstLineChars="0"/>
      <w:jc w:val="left"/>
      <w:textAlignment w:val="baseline"/>
    </w:pPr>
    <w:rPr>
      <w:kern w:val="0"/>
      <w:szCs w:val="20"/>
    </w:rPr>
  </w:style>
  <w:style w:type="paragraph" w:styleId="24">
    <w:name w:val="toc 5"/>
    <w:basedOn w:val="1"/>
    <w:next w:val="1"/>
    <w:unhideWhenUsed/>
    <w:qFormat/>
    <w:uiPriority w:val="39"/>
    <w:pPr>
      <w:spacing w:after="100"/>
      <w:ind w:left="880"/>
    </w:pPr>
    <w:rPr>
      <w:color w:val="595959"/>
    </w:rPr>
  </w:style>
  <w:style w:type="paragraph" w:styleId="25">
    <w:name w:val="toc 3"/>
    <w:basedOn w:val="1"/>
    <w:next w:val="1"/>
    <w:unhideWhenUsed/>
    <w:qFormat/>
    <w:uiPriority w:val="39"/>
    <w:pPr>
      <w:ind w:left="840" w:leftChars="400" w:firstLine="0" w:firstLineChars="0"/>
    </w:pPr>
    <w:rPr>
      <w:rFonts w:ascii="Calibri" w:hAnsi="Calibri"/>
    </w:rPr>
  </w:style>
  <w:style w:type="paragraph" w:styleId="26">
    <w:name w:val="Plain Text"/>
    <w:basedOn w:val="1"/>
    <w:next w:val="1"/>
    <w:link w:val="73"/>
    <w:qFormat/>
    <w:uiPriority w:val="99"/>
    <w:pPr>
      <w:spacing w:line="460" w:lineRule="exact"/>
      <w:ind w:firstLine="0" w:firstLineChars="0"/>
    </w:pPr>
    <w:rPr>
      <w:kern w:val="0"/>
      <w:szCs w:val="20"/>
      <w:lang w:val="en-GB"/>
    </w:rPr>
  </w:style>
  <w:style w:type="paragraph" w:styleId="27">
    <w:name w:val="Date"/>
    <w:basedOn w:val="1"/>
    <w:next w:val="1"/>
    <w:link w:val="74"/>
    <w:unhideWhenUsed/>
    <w:qFormat/>
    <w:uiPriority w:val="0"/>
    <w:pPr>
      <w:ind w:left="100" w:leftChars="2500"/>
    </w:pPr>
    <w:rPr>
      <w:kern w:val="0"/>
      <w:szCs w:val="20"/>
    </w:rPr>
  </w:style>
  <w:style w:type="paragraph" w:styleId="28">
    <w:name w:val="Body Text Indent 2"/>
    <w:basedOn w:val="1"/>
    <w:link w:val="75"/>
    <w:unhideWhenUsed/>
    <w:qFormat/>
    <w:uiPriority w:val="0"/>
    <w:pPr>
      <w:spacing w:after="120" w:line="480" w:lineRule="auto"/>
      <w:ind w:left="420" w:leftChars="200" w:firstLine="0" w:firstLineChars="0"/>
    </w:pPr>
    <w:rPr>
      <w:sz w:val="21"/>
      <w:szCs w:val="20"/>
    </w:rPr>
  </w:style>
  <w:style w:type="paragraph" w:styleId="29">
    <w:name w:val="Balloon Text"/>
    <w:basedOn w:val="1"/>
    <w:link w:val="76"/>
    <w:unhideWhenUsed/>
    <w:qFormat/>
    <w:uiPriority w:val="0"/>
    <w:pPr>
      <w:spacing w:line="240" w:lineRule="auto"/>
    </w:pPr>
    <w:rPr>
      <w:kern w:val="0"/>
      <w:sz w:val="18"/>
      <w:szCs w:val="18"/>
    </w:rPr>
  </w:style>
  <w:style w:type="paragraph" w:styleId="30">
    <w:name w:val="footer"/>
    <w:basedOn w:val="1"/>
    <w:link w:val="77"/>
    <w:unhideWhenUsed/>
    <w:qFormat/>
    <w:uiPriority w:val="99"/>
    <w:pPr>
      <w:tabs>
        <w:tab w:val="center" w:pos="4153"/>
        <w:tab w:val="right" w:pos="8306"/>
      </w:tabs>
      <w:snapToGrid w:val="0"/>
      <w:jc w:val="left"/>
    </w:pPr>
    <w:rPr>
      <w:kern w:val="0"/>
      <w:sz w:val="18"/>
      <w:szCs w:val="18"/>
    </w:rPr>
  </w:style>
  <w:style w:type="paragraph" w:styleId="31">
    <w:name w:val="header"/>
    <w:basedOn w:val="1"/>
    <w:link w:val="78"/>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pPr>
      <w:ind w:firstLine="0" w:firstLineChars="0"/>
    </w:pPr>
    <w:rPr>
      <w:rFonts w:ascii="Calibri" w:hAnsi="Calibri"/>
      <w:b/>
    </w:rPr>
  </w:style>
  <w:style w:type="paragraph" w:styleId="33">
    <w:name w:val="toc 4"/>
    <w:basedOn w:val="1"/>
    <w:next w:val="1"/>
    <w:qFormat/>
    <w:uiPriority w:val="39"/>
    <w:pPr>
      <w:spacing w:line="240" w:lineRule="auto"/>
      <w:ind w:left="630" w:firstLine="0" w:firstLineChars="0"/>
      <w:jc w:val="left"/>
    </w:pPr>
    <w:rPr>
      <w:sz w:val="18"/>
      <w:szCs w:val="18"/>
    </w:rPr>
  </w:style>
  <w:style w:type="paragraph" w:styleId="34">
    <w:name w:val="List"/>
    <w:basedOn w:val="1"/>
    <w:qFormat/>
    <w:uiPriority w:val="0"/>
    <w:pPr>
      <w:spacing w:line="240" w:lineRule="auto"/>
      <w:ind w:left="200" w:hanging="200" w:hangingChars="200"/>
    </w:pPr>
    <w:rPr>
      <w:sz w:val="28"/>
      <w:szCs w:val="24"/>
    </w:rPr>
  </w:style>
  <w:style w:type="paragraph" w:styleId="35">
    <w:name w:val="List 5"/>
    <w:basedOn w:val="1"/>
    <w:qFormat/>
    <w:uiPriority w:val="0"/>
    <w:pPr>
      <w:spacing w:line="240" w:lineRule="auto"/>
      <w:ind w:left="2100" w:hanging="420" w:firstLineChars="0"/>
    </w:pPr>
    <w:rPr>
      <w:sz w:val="21"/>
      <w:szCs w:val="20"/>
    </w:rPr>
  </w:style>
  <w:style w:type="paragraph" w:styleId="36">
    <w:name w:val="Body Text Indent 3"/>
    <w:basedOn w:val="1"/>
    <w:link w:val="79"/>
    <w:unhideWhenUsed/>
    <w:qFormat/>
    <w:uiPriority w:val="0"/>
    <w:pPr>
      <w:spacing w:after="120" w:line="240" w:lineRule="auto"/>
      <w:ind w:left="420" w:leftChars="200" w:firstLine="0" w:firstLineChars="0"/>
    </w:pPr>
    <w:rPr>
      <w:sz w:val="16"/>
      <w:szCs w:val="16"/>
    </w:rPr>
  </w:style>
  <w:style w:type="paragraph" w:styleId="37">
    <w:name w:val="toc 2"/>
    <w:basedOn w:val="1"/>
    <w:next w:val="1"/>
    <w:unhideWhenUsed/>
    <w:qFormat/>
    <w:uiPriority w:val="39"/>
    <w:pPr>
      <w:ind w:left="420" w:leftChars="200" w:firstLine="0" w:firstLineChars="0"/>
    </w:pPr>
    <w:rPr>
      <w:rFonts w:ascii="Calibri" w:hAnsi="Calibri"/>
    </w:rPr>
  </w:style>
  <w:style w:type="paragraph" w:styleId="38">
    <w:name w:val="Body Text 2"/>
    <w:basedOn w:val="1"/>
    <w:link w:val="80"/>
    <w:qFormat/>
    <w:uiPriority w:val="0"/>
    <w:pPr>
      <w:spacing w:after="120" w:line="480" w:lineRule="auto"/>
      <w:ind w:firstLine="0" w:firstLineChars="0"/>
    </w:pPr>
    <w:rPr>
      <w:sz w:val="21"/>
      <w:szCs w:val="24"/>
    </w:rPr>
  </w:style>
  <w:style w:type="paragraph" w:styleId="39">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40">
    <w:name w:val="Normal (Web)"/>
    <w:basedOn w:val="1"/>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1">
    <w:name w:val="index 1"/>
    <w:basedOn w:val="1"/>
    <w:next w:val="1"/>
    <w:semiHidden/>
    <w:qFormat/>
    <w:uiPriority w:val="0"/>
    <w:pPr>
      <w:spacing w:line="400" w:lineRule="exact"/>
      <w:ind w:firstLine="420"/>
    </w:pPr>
    <w:rPr>
      <w:rFonts w:ascii="宋体" w:hAnsi="Courier New"/>
      <w:b/>
      <w:sz w:val="21"/>
      <w:szCs w:val="20"/>
    </w:rPr>
  </w:style>
  <w:style w:type="paragraph" w:styleId="42">
    <w:name w:val="Title"/>
    <w:basedOn w:val="1"/>
    <w:next w:val="1"/>
    <w:link w:val="71"/>
    <w:qFormat/>
    <w:uiPriority w:val="0"/>
    <w:pPr>
      <w:spacing w:before="240" w:after="60" w:line="240" w:lineRule="auto"/>
      <w:ind w:firstLine="0" w:firstLineChars="0"/>
      <w:jc w:val="center"/>
      <w:outlineLvl w:val="0"/>
    </w:pPr>
    <w:rPr>
      <w:rFonts w:ascii="Cambria" w:hAnsi="Cambria"/>
      <w:b/>
      <w:bCs/>
      <w:sz w:val="32"/>
      <w:szCs w:val="32"/>
    </w:rPr>
  </w:style>
  <w:style w:type="paragraph" w:styleId="43">
    <w:name w:val="annotation subject"/>
    <w:basedOn w:val="16"/>
    <w:next w:val="16"/>
    <w:link w:val="82"/>
    <w:unhideWhenUsed/>
    <w:qFormat/>
    <w:uiPriority w:val="0"/>
    <w:rPr>
      <w:b/>
      <w:bCs/>
      <w:sz w:val="20"/>
    </w:rPr>
  </w:style>
  <w:style w:type="paragraph" w:styleId="44">
    <w:name w:val="Body Text First Indent"/>
    <w:basedOn w:val="18"/>
    <w:unhideWhenUsed/>
    <w:qFormat/>
    <w:uiPriority w:val="99"/>
    <w:pPr>
      <w:ind w:firstLine="420" w:firstLineChars="100"/>
    </w:pPr>
  </w:style>
  <w:style w:type="paragraph" w:styleId="45">
    <w:name w:val="Body Text First Indent 2"/>
    <w:basedOn w:val="20"/>
    <w:link w:val="83"/>
    <w:unhideWhenUsed/>
    <w:qFormat/>
    <w:uiPriority w:val="0"/>
    <w:pPr>
      <w:ind w:firstLine="420" w:firstLineChars="200"/>
    </w:pPr>
    <w:rPr>
      <w:kern w:val="0"/>
    </w:rPr>
  </w:style>
  <w:style w:type="table" w:styleId="47">
    <w:name w:val="Table Grid"/>
    <w:basedOn w:val="4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page number"/>
    <w:qFormat/>
    <w:uiPriority w:val="0"/>
  </w:style>
  <w:style w:type="character" w:styleId="51">
    <w:name w:val="FollowedHyperlink"/>
    <w:unhideWhenUsed/>
    <w:qFormat/>
    <w:uiPriority w:val="0"/>
    <w:rPr>
      <w:color w:val="800080"/>
      <w:u w:val="single"/>
    </w:rPr>
  </w:style>
  <w:style w:type="character" w:styleId="52">
    <w:name w:val="Emphasis"/>
    <w:qFormat/>
    <w:uiPriority w:val="0"/>
  </w:style>
  <w:style w:type="character" w:styleId="53">
    <w:name w:val="Hyperlink"/>
    <w:unhideWhenUsed/>
    <w:qFormat/>
    <w:uiPriority w:val="99"/>
    <w:rPr>
      <w:color w:val="0000FF"/>
      <w:u w:val="single"/>
    </w:rPr>
  </w:style>
  <w:style w:type="character" w:styleId="54">
    <w:name w:val="annotation reference"/>
    <w:unhideWhenUsed/>
    <w:qFormat/>
    <w:uiPriority w:val="99"/>
    <w:rPr>
      <w:sz w:val="21"/>
      <w:szCs w:val="21"/>
    </w:rPr>
  </w:style>
  <w:style w:type="character" w:styleId="55">
    <w:name w:val="HTML Cite"/>
    <w:basedOn w:val="48"/>
    <w:semiHidden/>
    <w:unhideWhenUsed/>
    <w:qFormat/>
    <w:uiPriority w:val="99"/>
    <w:rPr>
      <w:color w:val="008000"/>
    </w:rPr>
  </w:style>
  <w:style w:type="character" w:styleId="56">
    <w:name w:val="HTML Sample"/>
    <w:basedOn w:val="48"/>
    <w:semiHidden/>
    <w:unhideWhenUsed/>
    <w:qFormat/>
    <w:uiPriority w:val="99"/>
    <w:rPr>
      <w:rFonts w:ascii="Courier New" w:hAnsi="Courier New"/>
    </w:rPr>
  </w:style>
  <w:style w:type="character" w:customStyle="1" w:styleId="57">
    <w:name w:val="标题 1 字符"/>
    <w:link w:val="3"/>
    <w:qFormat/>
    <w:uiPriority w:val="0"/>
    <w:rPr>
      <w:rFonts w:ascii="黑体" w:hAnsi="黑体" w:eastAsia="黑体"/>
      <w:b/>
      <w:bCs/>
      <w:kern w:val="44"/>
      <w:sz w:val="28"/>
      <w:szCs w:val="28"/>
      <w:lang w:val="zh-CN"/>
    </w:rPr>
  </w:style>
  <w:style w:type="character" w:customStyle="1" w:styleId="58">
    <w:name w:val="标题 2 字符"/>
    <w:link w:val="2"/>
    <w:qFormat/>
    <w:uiPriority w:val="0"/>
    <w:rPr>
      <w:rFonts w:ascii="黑体" w:hAnsi="黑体" w:eastAsia="黑体"/>
      <w:b/>
      <w:bCs/>
      <w:kern w:val="2"/>
      <w:sz w:val="24"/>
      <w:szCs w:val="24"/>
      <w:lang w:val="zh-CN"/>
    </w:rPr>
  </w:style>
  <w:style w:type="character" w:customStyle="1" w:styleId="59">
    <w:name w:val="标题 3 字符"/>
    <w:link w:val="4"/>
    <w:qFormat/>
    <w:uiPriority w:val="0"/>
    <w:rPr>
      <w:rFonts w:ascii="黑体" w:hAnsi="黑体" w:eastAsia="黑体"/>
      <w:b/>
      <w:bCs/>
      <w:kern w:val="2"/>
      <w:sz w:val="24"/>
      <w:szCs w:val="24"/>
      <w:lang w:val="zh-CN"/>
    </w:rPr>
  </w:style>
  <w:style w:type="character" w:customStyle="1" w:styleId="60">
    <w:name w:val="标题 4 字符"/>
    <w:link w:val="5"/>
    <w:qFormat/>
    <w:uiPriority w:val="99"/>
    <w:rPr>
      <w:rFonts w:ascii="黑体" w:hAnsi="黑体" w:eastAsia="黑体"/>
      <w:kern w:val="2"/>
      <w:sz w:val="24"/>
      <w:szCs w:val="24"/>
      <w:lang w:val="zh-CN"/>
    </w:rPr>
  </w:style>
  <w:style w:type="character" w:customStyle="1" w:styleId="61">
    <w:name w:val="标题 5 字符"/>
    <w:link w:val="6"/>
    <w:qFormat/>
    <w:uiPriority w:val="0"/>
    <w:rPr>
      <w:rFonts w:ascii="黑体" w:hAnsi="黑体" w:eastAsia="黑体"/>
      <w:kern w:val="2"/>
      <w:sz w:val="24"/>
      <w:szCs w:val="24"/>
      <w:lang w:val="zh-CN"/>
    </w:rPr>
  </w:style>
  <w:style w:type="character" w:customStyle="1" w:styleId="62">
    <w:name w:val="标题 6 字符"/>
    <w:link w:val="7"/>
    <w:qFormat/>
    <w:uiPriority w:val="0"/>
    <w:rPr>
      <w:rFonts w:ascii="黑体" w:hAnsi="黑体" w:eastAsia="黑体"/>
      <w:kern w:val="2"/>
      <w:sz w:val="24"/>
      <w:szCs w:val="24"/>
      <w:lang w:val="zh-CN"/>
    </w:rPr>
  </w:style>
  <w:style w:type="character" w:customStyle="1" w:styleId="63">
    <w:name w:val="标题 7 字符"/>
    <w:link w:val="8"/>
    <w:qFormat/>
    <w:uiPriority w:val="0"/>
    <w:rPr>
      <w:rFonts w:eastAsia="宋体"/>
      <w:b/>
      <w:bCs/>
      <w:sz w:val="24"/>
      <w:szCs w:val="24"/>
    </w:rPr>
  </w:style>
  <w:style w:type="character" w:customStyle="1" w:styleId="64">
    <w:name w:val="标题 8 字符"/>
    <w:link w:val="9"/>
    <w:qFormat/>
    <w:uiPriority w:val="9"/>
    <w:rPr>
      <w:rFonts w:ascii="Cambria" w:hAnsi="Cambria"/>
      <w:kern w:val="2"/>
      <w:sz w:val="24"/>
      <w:szCs w:val="24"/>
    </w:rPr>
  </w:style>
  <w:style w:type="character" w:customStyle="1" w:styleId="65">
    <w:name w:val="标题 9 字符"/>
    <w:link w:val="10"/>
    <w:qFormat/>
    <w:uiPriority w:val="0"/>
    <w:rPr>
      <w:rFonts w:ascii="Cambria" w:hAnsi="Cambria"/>
      <w:kern w:val="2"/>
      <w:sz w:val="21"/>
      <w:szCs w:val="21"/>
    </w:rPr>
  </w:style>
  <w:style w:type="character" w:customStyle="1" w:styleId="66">
    <w:name w:val="正文缩进 字符"/>
    <w:link w:val="13"/>
    <w:qFormat/>
    <w:locked/>
    <w:uiPriority w:val="0"/>
    <w:rPr>
      <w:rFonts w:ascii="Times New Roman" w:hAnsi="Times New Roman"/>
      <w:kern w:val="2"/>
      <w:sz w:val="21"/>
    </w:rPr>
  </w:style>
  <w:style w:type="character" w:customStyle="1" w:styleId="67">
    <w:name w:val="文档结构图 字符"/>
    <w:link w:val="15"/>
    <w:qFormat/>
    <w:uiPriority w:val="0"/>
    <w:rPr>
      <w:rFonts w:ascii="宋体" w:hAnsi="Times New Roman"/>
      <w:kern w:val="2"/>
      <w:sz w:val="18"/>
      <w:szCs w:val="18"/>
    </w:rPr>
  </w:style>
  <w:style w:type="character" w:customStyle="1" w:styleId="68">
    <w:name w:val="批注文字 字符1"/>
    <w:link w:val="16"/>
    <w:qFormat/>
    <w:uiPriority w:val="99"/>
    <w:rPr>
      <w:rFonts w:eastAsia="宋体"/>
      <w:sz w:val="24"/>
    </w:rPr>
  </w:style>
  <w:style w:type="character" w:customStyle="1" w:styleId="69">
    <w:name w:val="正文文本 3 字符"/>
    <w:link w:val="17"/>
    <w:qFormat/>
    <w:uiPriority w:val="0"/>
    <w:rPr>
      <w:rFonts w:ascii="宋体" w:hAnsi="宋体"/>
      <w:color w:val="000000"/>
      <w:kern w:val="2"/>
      <w:sz w:val="21"/>
      <w:szCs w:val="21"/>
    </w:rPr>
  </w:style>
  <w:style w:type="character" w:customStyle="1" w:styleId="70">
    <w:name w:val="正文文本 字符"/>
    <w:link w:val="18"/>
    <w:qFormat/>
    <w:uiPriority w:val="99"/>
    <w:rPr>
      <w:rFonts w:ascii="宋体" w:hAnsi="宋体" w:eastAsia="宋体" w:cs="宋体"/>
      <w:kern w:val="0"/>
      <w:szCs w:val="21"/>
      <w:lang w:val="zh-CN" w:bidi="zh-CN"/>
    </w:rPr>
  </w:style>
  <w:style w:type="character" w:customStyle="1" w:styleId="71">
    <w:name w:val="标题 字符"/>
    <w:link w:val="42"/>
    <w:qFormat/>
    <w:uiPriority w:val="0"/>
    <w:rPr>
      <w:rFonts w:ascii="Cambria" w:hAnsi="Cambria"/>
      <w:b/>
      <w:bCs/>
      <w:kern w:val="2"/>
      <w:sz w:val="32"/>
      <w:szCs w:val="32"/>
    </w:rPr>
  </w:style>
  <w:style w:type="character" w:customStyle="1" w:styleId="72">
    <w:name w:val="正文文本缩进 字符"/>
    <w:link w:val="20"/>
    <w:qFormat/>
    <w:uiPriority w:val="0"/>
    <w:rPr>
      <w:rFonts w:ascii="Times New Roman" w:hAnsi="Times New Roman"/>
      <w:kern w:val="2"/>
      <w:sz w:val="21"/>
      <w:szCs w:val="24"/>
    </w:rPr>
  </w:style>
  <w:style w:type="character" w:customStyle="1" w:styleId="73">
    <w:name w:val="纯文本 字符1"/>
    <w:link w:val="26"/>
    <w:qFormat/>
    <w:uiPriority w:val="99"/>
    <w:rPr>
      <w:rFonts w:eastAsia="宋体"/>
      <w:sz w:val="24"/>
      <w:lang w:val="en-GB"/>
    </w:rPr>
  </w:style>
  <w:style w:type="character" w:customStyle="1" w:styleId="74">
    <w:name w:val="日期 字符"/>
    <w:link w:val="27"/>
    <w:qFormat/>
    <w:uiPriority w:val="0"/>
    <w:rPr>
      <w:rFonts w:eastAsia="宋体"/>
      <w:sz w:val="24"/>
    </w:rPr>
  </w:style>
  <w:style w:type="character" w:customStyle="1" w:styleId="75">
    <w:name w:val="正文文本缩进 2 字符"/>
    <w:link w:val="28"/>
    <w:qFormat/>
    <w:uiPriority w:val="0"/>
    <w:rPr>
      <w:rFonts w:ascii="Times New Roman" w:hAnsi="Times New Roman"/>
      <w:kern w:val="2"/>
      <w:sz w:val="21"/>
    </w:rPr>
  </w:style>
  <w:style w:type="character" w:customStyle="1" w:styleId="76">
    <w:name w:val="批注框文本 字符"/>
    <w:link w:val="29"/>
    <w:qFormat/>
    <w:uiPriority w:val="0"/>
    <w:rPr>
      <w:rFonts w:eastAsia="宋体"/>
      <w:sz w:val="18"/>
      <w:szCs w:val="18"/>
    </w:rPr>
  </w:style>
  <w:style w:type="character" w:customStyle="1" w:styleId="77">
    <w:name w:val="页脚 字符"/>
    <w:link w:val="30"/>
    <w:qFormat/>
    <w:uiPriority w:val="99"/>
    <w:rPr>
      <w:sz w:val="18"/>
      <w:szCs w:val="18"/>
    </w:rPr>
  </w:style>
  <w:style w:type="character" w:customStyle="1" w:styleId="78">
    <w:name w:val="页眉 字符"/>
    <w:link w:val="31"/>
    <w:qFormat/>
    <w:uiPriority w:val="99"/>
    <w:rPr>
      <w:sz w:val="18"/>
      <w:szCs w:val="18"/>
    </w:rPr>
  </w:style>
  <w:style w:type="character" w:customStyle="1" w:styleId="79">
    <w:name w:val="正文文本缩进 3 字符1"/>
    <w:link w:val="36"/>
    <w:qFormat/>
    <w:uiPriority w:val="0"/>
    <w:rPr>
      <w:rFonts w:ascii="Times New Roman" w:hAnsi="Times New Roman"/>
      <w:kern w:val="2"/>
      <w:sz w:val="16"/>
      <w:szCs w:val="16"/>
    </w:rPr>
  </w:style>
  <w:style w:type="character" w:customStyle="1" w:styleId="80">
    <w:name w:val="正文文本 2 字符"/>
    <w:link w:val="38"/>
    <w:qFormat/>
    <w:uiPriority w:val="0"/>
    <w:rPr>
      <w:rFonts w:ascii="Times New Roman" w:hAnsi="Times New Roman"/>
      <w:kern w:val="2"/>
      <w:sz w:val="21"/>
      <w:szCs w:val="24"/>
    </w:rPr>
  </w:style>
  <w:style w:type="character" w:customStyle="1" w:styleId="81">
    <w:name w:val="HTML 预设格式 字符"/>
    <w:link w:val="39"/>
    <w:qFormat/>
    <w:uiPriority w:val="0"/>
    <w:rPr>
      <w:rFonts w:ascii="宋体" w:hAnsi="宋体"/>
      <w:sz w:val="24"/>
      <w:szCs w:val="24"/>
    </w:rPr>
  </w:style>
  <w:style w:type="character" w:customStyle="1" w:styleId="82">
    <w:name w:val="批注主题 字符"/>
    <w:link w:val="43"/>
    <w:qFormat/>
    <w:uiPriority w:val="0"/>
    <w:rPr>
      <w:b/>
      <w:bCs/>
    </w:rPr>
  </w:style>
  <w:style w:type="character" w:customStyle="1" w:styleId="83">
    <w:name w:val="正文文本首行缩进 2 字符"/>
    <w:link w:val="45"/>
    <w:qFormat/>
    <w:uiPriority w:val="0"/>
    <w:rPr>
      <w:rFonts w:ascii="Times New Roman" w:hAnsi="Times New Roman"/>
      <w:sz w:val="21"/>
      <w:szCs w:val="24"/>
    </w:rPr>
  </w:style>
  <w:style w:type="character" w:customStyle="1" w:styleId="84">
    <w:name w:val="正文文本缩进 Char"/>
    <w:link w:val="85"/>
    <w:qFormat/>
    <w:uiPriority w:val="0"/>
    <w:rPr>
      <w:kern w:val="2"/>
      <w:sz w:val="24"/>
      <w:szCs w:val="22"/>
    </w:rPr>
  </w:style>
  <w:style w:type="paragraph" w:customStyle="1" w:styleId="85">
    <w:name w:val="正文文本缩进1"/>
    <w:basedOn w:val="1"/>
    <w:next w:val="20"/>
    <w:link w:val="84"/>
    <w:qFormat/>
    <w:uiPriority w:val="0"/>
    <w:pPr>
      <w:spacing w:after="120" w:line="240" w:lineRule="auto"/>
      <w:ind w:left="420" w:leftChars="200" w:firstLine="0" w:firstLineChars="0"/>
    </w:pPr>
  </w:style>
  <w:style w:type="paragraph" w:styleId="86">
    <w:name w:val="List Paragraph"/>
    <w:basedOn w:val="1"/>
    <w:qFormat/>
    <w:uiPriority w:val="34"/>
    <w:pPr>
      <w:ind w:firstLine="420"/>
    </w:pPr>
  </w:style>
  <w:style w:type="paragraph" w:styleId="87">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88">
    <w:name w:val="表格标题"/>
    <w:basedOn w:val="89"/>
    <w:link w:val="91"/>
    <w:qFormat/>
    <w:uiPriority w:val="0"/>
    <w:pPr>
      <w:jc w:val="center"/>
    </w:pPr>
    <w:rPr>
      <w:b/>
    </w:rPr>
  </w:style>
  <w:style w:type="paragraph" w:customStyle="1" w:styleId="89">
    <w:name w:val="表格文本"/>
    <w:basedOn w:val="1"/>
    <w:link w:val="90"/>
    <w:qFormat/>
    <w:uiPriority w:val="0"/>
    <w:pPr>
      <w:spacing w:line="276" w:lineRule="auto"/>
      <w:ind w:firstLine="0" w:firstLineChars="0"/>
    </w:pPr>
    <w:rPr>
      <w:rFonts w:ascii="Calibri" w:hAnsi="Calibri"/>
      <w:kern w:val="0"/>
      <w:szCs w:val="20"/>
      <w:lang w:val="zh-CN"/>
    </w:rPr>
  </w:style>
  <w:style w:type="character" w:customStyle="1" w:styleId="90">
    <w:name w:val="表格文本 Char"/>
    <w:link w:val="89"/>
    <w:qFormat/>
    <w:uiPriority w:val="0"/>
    <w:rPr>
      <w:rFonts w:ascii="Calibri" w:hAnsi="Calibri" w:eastAsia="宋体" w:cs="Times New Roman"/>
      <w:sz w:val="24"/>
      <w:lang w:val="zh-CN"/>
    </w:rPr>
  </w:style>
  <w:style w:type="character" w:customStyle="1" w:styleId="91">
    <w:name w:val="表格标题 Char"/>
    <w:link w:val="88"/>
    <w:qFormat/>
    <w:uiPriority w:val="0"/>
    <w:rPr>
      <w:rFonts w:ascii="Calibri" w:hAnsi="Calibri" w:eastAsia="宋体" w:cs="Times New Roman"/>
      <w:b/>
      <w:sz w:val="24"/>
      <w:lang w:val="zh-CN"/>
    </w:rPr>
  </w:style>
  <w:style w:type="paragraph" w:customStyle="1" w:styleId="92">
    <w:name w:val="TOC 标题1"/>
    <w:basedOn w:val="3"/>
    <w:next w:val="1"/>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character" w:customStyle="1" w:styleId="93">
    <w:name w:val="页脚 Char1"/>
    <w:qFormat/>
    <w:uiPriority w:val="0"/>
    <w:rPr>
      <w:rFonts w:eastAsia="宋体"/>
      <w:kern w:val="2"/>
      <w:sz w:val="18"/>
      <w:szCs w:val="18"/>
    </w:rPr>
  </w:style>
  <w:style w:type="character" w:customStyle="1" w:styleId="94">
    <w:name w:val="纯文本 字符"/>
    <w:semiHidden/>
    <w:qFormat/>
    <w:uiPriority w:val="99"/>
    <w:rPr>
      <w:rFonts w:ascii="宋体" w:hAnsi="Courier New" w:cs="Courier New"/>
      <w:sz w:val="24"/>
    </w:rPr>
  </w:style>
  <w:style w:type="character" w:customStyle="1" w:styleId="95">
    <w:name w:val="文档结构图 Char"/>
    <w:link w:val="96"/>
    <w:qFormat/>
    <w:uiPriority w:val="0"/>
    <w:rPr>
      <w:rFonts w:ascii="宋体"/>
      <w:kern w:val="2"/>
      <w:sz w:val="18"/>
      <w:szCs w:val="18"/>
    </w:rPr>
  </w:style>
  <w:style w:type="paragraph" w:customStyle="1" w:styleId="96">
    <w:name w:val="文档结构图1"/>
    <w:basedOn w:val="1"/>
    <w:next w:val="15"/>
    <w:link w:val="95"/>
    <w:unhideWhenUsed/>
    <w:qFormat/>
    <w:uiPriority w:val="0"/>
    <w:pPr>
      <w:spacing w:line="240" w:lineRule="auto"/>
      <w:ind w:firstLine="0" w:firstLineChars="0"/>
    </w:pPr>
    <w:rPr>
      <w:rFonts w:ascii="宋体"/>
      <w:sz w:val="18"/>
      <w:szCs w:val="18"/>
    </w:rPr>
  </w:style>
  <w:style w:type="character" w:customStyle="1" w:styleId="97">
    <w:name w:val="Char Char1"/>
    <w:qFormat/>
    <w:uiPriority w:val="0"/>
    <w:rPr>
      <w:rFonts w:eastAsia="宋体"/>
      <w:kern w:val="2"/>
      <w:sz w:val="21"/>
      <w:szCs w:val="24"/>
      <w:lang w:val="en-US" w:eastAsia="zh-CN" w:bidi="ar-SA"/>
    </w:rPr>
  </w:style>
  <w:style w:type="character" w:customStyle="1" w:styleId="98">
    <w:name w:val="apple-converted-space"/>
    <w:qFormat/>
    <w:uiPriority w:val="0"/>
  </w:style>
  <w:style w:type="character" w:customStyle="1" w:styleId="99">
    <w:name w:val="正文文本 Char1"/>
    <w:semiHidden/>
    <w:qFormat/>
    <w:locked/>
    <w:uiPriority w:val="99"/>
    <w:rPr>
      <w:kern w:val="2"/>
      <w:sz w:val="21"/>
      <w:szCs w:val="24"/>
    </w:rPr>
  </w:style>
  <w:style w:type="character" w:customStyle="1" w:styleId="100">
    <w:name w:val="无间隔 Char"/>
    <w:link w:val="101"/>
    <w:qFormat/>
    <w:uiPriority w:val="1"/>
    <w:rPr>
      <w:kern w:val="2"/>
      <w:sz w:val="21"/>
      <w:szCs w:val="22"/>
      <w:lang w:val="en-US" w:eastAsia="zh-CN" w:bidi="ar-SA"/>
    </w:rPr>
  </w:style>
  <w:style w:type="paragraph" w:customStyle="1" w:styleId="101">
    <w:name w:val="无间隔1"/>
    <w:link w:val="100"/>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02">
    <w:name w:val="标题 9 Char1"/>
    <w:semiHidden/>
    <w:qFormat/>
    <w:uiPriority w:val="0"/>
    <w:rPr>
      <w:rFonts w:ascii="Cambria" w:hAnsi="Cambria" w:eastAsia="宋体" w:cs="Times New Roman"/>
      <w:kern w:val="2"/>
      <w:sz w:val="21"/>
      <w:szCs w:val="21"/>
    </w:rPr>
  </w:style>
  <w:style w:type="character" w:customStyle="1" w:styleId="103">
    <w:name w:val="Char Char10"/>
    <w:qFormat/>
    <w:uiPriority w:val="0"/>
    <w:rPr>
      <w:rFonts w:eastAsia="宋体"/>
      <w:kern w:val="2"/>
      <w:sz w:val="21"/>
      <w:szCs w:val="24"/>
      <w:lang w:val="en-US" w:eastAsia="zh-CN" w:bidi="ar-SA"/>
    </w:rPr>
  </w:style>
  <w:style w:type="character" w:customStyle="1" w:styleId="104">
    <w:name w:val="font41"/>
    <w:qFormat/>
    <w:uiPriority w:val="0"/>
    <w:rPr>
      <w:rFonts w:hint="eastAsia" w:ascii="宋体" w:hAnsi="宋体" w:eastAsia="宋体" w:cs="宋体"/>
      <w:color w:val="FF0000"/>
      <w:sz w:val="18"/>
      <w:szCs w:val="18"/>
      <w:u w:val="none"/>
    </w:rPr>
  </w:style>
  <w:style w:type="character" w:customStyle="1" w:styleId="105">
    <w:name w:val="副章标题 Char"/>
    <w:link w:val="106"/>
    <w:qFormat/>
    <w:uiPriority w:val="0"/>
    <w:rPr>
      <w:rFonts w:hAnsi="微软雅黑"/>
      <w:b/>
      <w:color w:val="000000"/>
      <w:sz w:val="36"/>
      <w:szCs w:val="36"/>
    </w:rPr>
  </w:style>
  <w:style w:type="paragraph" w:customStyle="1" w:styleId="106">
    <w:name w:val="副章标题"/>
    <w:basedOn w:val="1"/>
    <w:link w:val="105"/>
    <w:qFormat/>
    <w:uiPriority w:val="0"/>
    <w:pPr>
      <w:spacing w:line="240" w:lineRule="auto"/>
      <w:ind w:firstLine="0" w:firstLineChars="0"/>
      <w:outlineLvl w:val="1"/>
    </w:pPr>
    <w:rPr>
      <w:rFonts w:hAnsi="微软雅黑"/>
      <w:b/>
      <w:color w:val="000000"/>
      <w:kern w:val="0"/>
      <w:sz w:val="36"/>
      <w:szCs w:val="36"/>
    </w:rPr>
  </w:style>
  <w:style w:type="character" w:customStyle="1" w:styleId="107">
    <w:name w:val="标题 Char1"/>
    <w:qFormat/>
    <w:uiPriority w:val="0"/>
    <w:rPr>
      <w:rFonts w:ascii="Cambria" w:hAnsi="Cambria" w:cs="Times New Roman"/>
      <w:b/>
      <w:bCs/>
      <w:kern w:val="2"/>
      <w:sz w:val="32"/>
      <w:szCs w:val="32"/>
    </w:rPr>
  </w:style>
  <w:style w:type="character" w:customStyle="1" w:styleId="108">
    <w:name w:val="标准正文 Char"/>
    <w:link w:val="109"/>
    <w:qFormat/>
    <w:locked/>
    <w:uiPriority w:val="0"/>
    <w:rPr>
      <w:rFonts w:ascii="宋体" w:hAnsi="宋体"/>
      <w:kern w:val="2"/>
      <w:sz w:val="24"/>
      <w:szCs w:val="22"/>
    </w:rPr>
  </w:style>
  <w:style w:type="paragraph" w:customStyle="1" w:styleId="109">
    <w:name w:val="标准正文"/>
    <w:basedOn w:val="1"/>
    <w:link w:val="108"/>
    <w:qFormat/>
    <w:uiPriority w:val="0"/>
    <w:pPr>
      <w:ind w:firstLine="420"/>
    </w:pPr>
    <w:rPr>
      <w:rFonts w:ascii="宋体" w:hAnsi="宋体"/>
    </w:rPr>
  </w:style>
  <w:style w:type="character" w:customStyle="1" w:styleId="110">
    <w:name w:val="普通文字 Char Char3"/>
    <w:qFormat/>
    <w:uiPriority w:val="0"/>
    <w:rPr>
      <w:rFonts w:ascii="宋体" w:hAnsi="Courier New"/>
      <w:kern w:val="2"/>
      <w:sz w:val="21"/>
    </w:rPr>
  </w:style>
  <w:style w:type="character" w:customStyle="1" w:styleId="111">
    <w:name w:val="font71"/>
    <w:qFormat/>
    <w:uiPriority w:val="0"/>
    <w:rPr>
      <w:rFonts w:hint="eastAsia" w:ascii="宋体" w:hAnsi="宋体" w:eastAsia="宋体" w:cs="宋体"/>
      <w:color w:val="000000"/>
      <w:sz w:val="21"/>
      <w:szCs w:val="21"/>
      <w:u w:val="none"/>
    </w:rPr>
  </w:style>
  <w:style w:type="character" w:customStyle="1" w:styleId="112">
    <w:name w:val="apple-style-span"/>
    <w:qFormat/>
    <w:uiPriority w:val="0"/>
  </w:style>
  <w:style w:type="character" w:customStyle="1" w:styleId="113">
    <w:name w:val="fontstyle11"/>
    <w:qFormat/>
    <w:uiPriority w:val="0"/>
    <w:rPr>
      <w:rFonts w:hint="eastAsia" w:ascii="宋体" w:hAnsi="宋体" w:eastAsia="宋体"/>
      <w:color w:val="000000"/>
      <w:sz w:val="22"/>
      <w:szCs w:val="22"/>
    </w:rPr>
  </w:style>
  <w:style w:type="character" w:customStyle="1" w:styleId="114">
    <w:name w:val="普通文字 Char Char5"/>
    <w:qFormat/>
    <w:uiPriority w:val="0"/>
    <w:rPr>
      <w:rFonts w:ascii="宋体" w:hAnsi="Courier New" w:eastAsia="宋体"/>
      <w:szCs w:val="21"/>
      <w:lang w:bidi="ar-SA"/>
    </w:rPr>
  </w:style>
  <w:style w:type="character" w:customStyle="1" w:styleId="115">
    <w:name w:val="标题 8 Char1"/>
    <w:semiHidden/>
    <w:qFormat/>
    <w:uiPriority w:val="0"/>
    <w:rPr>
      <w:rFonts w:ascii="Cambria" w:hAnsi="Cambria" w:eastAsia="宋体" w:cs="Times New Roman"/>
      <w:kern w:val="2"/>
      <w:sz w:val="24"/>
      <w:szCs w:val="24"/>
    </w:rPr>
  </w:style>
  <w:style w:type="character" w:customStyle="1" w:styleId="116">
    <w:name w:val="正文文本缩进 字符1"/>
    <w:semiHidden/>
    <w:qFormat/>
    <w:uiPriority w:val="99"/>
  </w:style>
  <w:style w:type="character" w:customStyle="1" w:styleId="117">
    <w:name w:val="A正文小四 Char"/>
    <w:link w:val="118"/>
    <w:qFormat/>
    <w:uiPriority w:val="0"/>
    <w:rPr>
      <w:sz w:val="24"/>
      <w:szCs w:val="24"/>
    </w:rPr>
  </w:style>
  <w:style w:type="paragraph" w:customStyle="1" w:styleId="118">
    <w:name w:val="A正文小四"/>
    <w:basedOn w:val="1"/>
    <w:link w:val="117"/>
    <w:qFormat/>
    <w:uiPriority w:val="0"/>
    <w:rPr>
      <w:kern w:val="0"/>
      <w:szCs w:val="24"/>
    </w:rPr>
  </w:style>
  <w:style w:type="character" w:customStyle="1" w:styleId="119">
    <w:name w:val="1ji Char"/>
    <w:link w:val="120"/>
    <w:qFormat/>
    <w:uiPriority w:val="0"/>
    <w:rPr>
      <w:rFonts w:ascii="宋体" w:hAnsi="宋体"/>
      <w:b/>
      <w:bCs/>
      <w:kern w:val="44"/>
      <w:sz w:val="36"/>
      <w:szCs w:val="44"/>
    </w:rPr>
  </w:style>
  <w:style w:type="paragraph" w:customStyle="1" w:styleId="120">
    <w:name w:val="1ji"/>
    <w:basedOn w:val="3"/>
    <w:link w:val="119"/>
    <w:qFormat/>
    <w:uiPriority w:val="0"/>
    <w:pPr>
      <w:keepLines w:val="0"/>
      <w:numPr>
        <w:numId w:val="0"/>
      </w:numPr>
      <w:spacing w:line="240" w:lineRule="auto"/>
      <w:jc w:val="center"/>
    </w:pPr>
    <w:rPr>
      <w:rFonts w:ascii="宋体" w:hAnsi="宋体" w:eastAsia="宋体"/>
      <w:sz w:val="36"/>
      <w:szCs w:val="44"/>
    </w:rPr>
  </w:style>
  <w:style w:type="character" w:customStyle="1" w:styleId="121">
    <w:name w:val="A15"/>
    <w:qFormat/>
    <w:uiPriority w:val="0"/>
    <w:rPr>
      <w:rFonts w:ascii="Times New Roman" w:hAnsi="Times New Roman"/>
      <w:color w:val="000000"/>
      <w:sz w:val="14"/>
      <w:szCs w:val="14"/>
    </w:rPr>
  </w:style>
  <w:style w:type="character" w:customStyle="1" w:styleId="122">
    <w:name w:val="正文文本 (2)_"/>
    <w:link w:val="123"/>
    <w:qFormat/>
    <w:locked/>
    <w:uiPriority w:val="0"/>
    <w:rPr>
      <w:rFonts w:ascii="MingLiU" w:hAnsi="MingLiU" w:eastAsia="MingLiU" w:cs="MingLiU"/>
      <w:sz w:val="22"/>
      <w:shd w:val="clear" w:color="auto" w:fill="FFFFFF"/>
    </w:rPr>
  </w:style>
  <w:style w:type="paragraph" w:customStyle="1" w:styleId="123">
    <w:name w:val="正文文本 (2)5"/>
    <w:basedOn w:val="1"/>
    <w:link w:val="122"/>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24">
    <w:name w:val="*正文 Char"/>
    <w:link w:val="125"/>
    <w:qFormat/>
    <w:uiPriority w:val="0"/>
    <w:rPr>
      <w:rFonts w:ascii="仿宋_GB2312" w:eastAsia="仿宋_GB2312"/>
      <w:sz w:val="24"/>
      <w:szCs w:val="28"/>
    </w:rPr>
  </w:style>
  <w:style w:type="paragraph" w:customStyle="1" w:styleId="125">
    <w:name w:val="*正文"/>
    <w:basedOn w:val="1"/>
    <w:link w:val="124"/>
    <w:qFormat/>
    <w:uiPriority w:val="0"/>
    <w:pPr>
      <w:widowControl/>
      <w:spacing w:line="240" w:lineRule="auto"/>
      <w:jc w:val="left"/>
    </w:pPr>
    <w:rPr>
      <w:rFonts w:ascii="仿宋_GB2312" w:eastAsia="仿宋_GB2312"/>
      <w:kern w:val="0"/>
      <w:szCs w:val="28"/>
    </w:rPr>
  </w:style>
  <w:style w:type="character" w:customStyle="1" w:styleId="126">
    <w:name w:val="正文缩进 Char1"/>
    <w:qFormat/>
    <w:locked/>
    <w:uiPriority w:val="0"/>
    <w:rPr>
      <w:rFonts w:eastAsia="宋体"/>
      <w:kern w:val="2"/>
      <w:sz w:val="21"/>
      <w:lang w:val="en-US" w:eastAsia="zh-CN" w:bidi="ar-SA"/>
    </w:rPr>
  </w:style>
  <w:style w:type="character" w:customStyle="1" w:styleId="127">
    <w:name w:val="style291"/>
    <w:qFormat/>
    <w:uiPriority w:val="0"/>
    <w:rPr>
      <w:rFonts w:hint="eastAsia" w:ascii="仿宋_GB2312" w:eastAsia="仿宋_GB2312"/>
    </w:rPr>
  </w:style>
  <w:style w:type="character" w:customStyle="1" w:styleId="128">
    <w:name w:val="标题 4 Char1"/>
    <w:semiHidden/>
    <w:qFormat/>
    <w:uiPriority w:val="0"/>
    <w:rPr>
      <w:rFonts w:ascii="Cambria" w:hAnsi="Cambria" w:eastAsia="宋体" w:cs="Times New Roman"/>
      <w:b/>
      <w:bCs/>
      <w:kern w:val="2"/>
      <w:sz w:val="28"/>
      <w:szCs w:val="28"/>
    </w:rPr>
  </w:style>
  <w:style w:type="character" w:customStyle="1" w:styleId="129">
    <w:name w:val="纯文本 字符2"/>
    <w:qFormat/>
    <w:uiPriority w:val="0"/>
    <w:rPr>
      <w:rFonts w:ascii="宋体" w:hAnsi="Courier New" w:eastAsia="宋体" w:cs="Courier New"/>
      <w:kern w:val="2"/>
      <w:sz w:val="21"/>
      <w:szCs w:val="21"/>
      <w:lang w:val="en-US" w:eastAsia="zh-CN" w:bidi="ar-SA"/>
    </w:rPr>
  </w:style>
  <w:style w:type="character" w:customStyle="1" w:styleId="130">
    <w:name w:val="Char Char"/>
    <w:qFormat/>
    <w:locked/>
    <w:uiPriority w:val="0"/>
    <w:rPr>
      <w:rFonts w:ascii="宋体" w:hAnsi="宋体" w:eastAsia="宋体"/>
      <w:kern w:val="2"/>
      <w:sz w:val="21"/>
      <w:szCs w:val="24"/>
      <w:lang w:val="en-US" w:eastAsia="zh-CN" w:bidi="ar-SA"/>
    </w:rPr>
  </w:style>
  <w:style w:type="character" w:customStyle="1" w:styleId="131">
    <w:name w:val="Char Char3"/>
    <w:qFormat/>
    <w:uiPriority w:val="0"/>
    <w:rPr>
      <w:rFonts w:ascii="宋体" w:hAnsi="Courier New" w:eastAsia="宋体"/>
      <w:kern w:val="2"/>
      <w:sz w:val="21"/>
      <w:lang w:val="en-US" w:eastAsia="zh-CN" w:bidi="ar-SA"/>
    </w:rPr>
  </w:style>
  <w:style w:type="character" w:customStyle="1" w:styleId="132">
    <w:name w:val="标题 1 Char1"/>
    <w:qFormat/>
    <w:uiPriority w:val="0"/>
    <w:rPr>
      <w:b/>
      <w:bCs/>
      <w:kern w:val="44"/>
      <w:sz w:val="44"/>
      <w:szCs w:val="44"/>
    </w:rPr>
  </w:style>
  <w:style w:type="character" w:customStyle="1" w:styleId="133">
    <w:name w:val="t-14"/>
    <w:qFormat/>
    <w:uiPriority w:val="0"/>
  </w:style>
  <w:style w:type="character" w:customStyle="1" w:styleId="134">
    <w:name w:val="正文文本缩进 3 字符"/>
    <w:semiHidden/>
    <w:qFormat/>
    <w:uiPriority w:val="99"/>
    <w:rPr>
      <w:sz w:val="16"/>
      <w:szCs w:val="16"/>
    </w:rPr>
  </w:style>
  <w:style w:type="character" w:customStyle="1" w:styleId="135">
    <w:name w:val="普通文字 Char Char1 Char"/>
    <w:qFormat/>
    <w:locked/>
    <w:uiPriority w:val="0"/>
    <w:rPr>
      <w:rFonts w:ascii="宋体" w:hAnsi="Courier New" w:eastAsia="宋体" w:cs="宋体"/>
      <w:kern w:val="2"/>
      <w:sz w:val="21"/>
      <w:szCs w:val="21"/>
      <w:lang w:val="en-US" w:eastAsia="zh-CN"/>
    </w:rPr>
  </w:style>
  <w:style w:type="character" w:customStyle="1" w:styleId="136">
    <w:name w:val="普通文字 Char Char2"/>
    <w:qFormat/>
    <w:uiPriority w:val="0"/>
    <w:rPr>
      <w:rFonts w:ascii="宋体" w:hAnsi="Courier New" w:eastAsia="宋体" w:cs="Courier New"/>
      <w:szCs w:val="21"/>
    </w:rPr>
  </w:style>
  <w:style w:type="character" w:customStyle="1" w:styleId="137">
    <w:name w:val="font21"/>
    <w:qFormat/>
    <w:uiPriority w:val="0"/>
    <w:rPr>
      <w:rFonts w:hint="default" w:ascii="Times New Roman" w:hAnsi="Times New Roman" w:cs="Times New Roman"/>
      <w:color w:val="000000"/>
      <w:sz w:val="18"/>
      <w:szCs w:val="18"/>
      <w:u w:val="none"/>
    </w:rPr>
  </w:style>
  <w:style w:type="character" w:customStyle="1" w:styleId="138">
    <w:name w:val="062"/>
    <w:qFormat/>
    <w:uiPriority w:val="0"/>
    <w:rPr>
      <w:rFonts w:ascii="宋体" w:hAnsi="宋体"/>
      <w:b/>
      <w:bCs/>
      <w:sz w:val="32"/>
    </w:rPr>
  </w:style>
  <w:style w:type="character" w:customStyle="1" w:styleId="139">
    <w:name w:val="Char Char5"/>
    <w:qFormat/>
    <w:locked/>
    <w:uiPriority w:val="0"/>
    <w:rPr>
      <w:rFonts w:cs="Times New Roman"/>
      <w:sz w:val="21"/>
      <w:szCs w:val="21"/>
    </w:rPr>
  </w:style>
  <w:style w:type="character" w:customStyle="1" w:styleId="140">
    <w:name w:val="ca-142"/>
    <w:qFormat/>
    <w:uiPriority w:val="0"/>
  </w:style>
  <w:style w:type="character" w:customStyle="1" w:styleId="141">
    <w:name w:val="span_param1"/>
    <w:qFormat/>
    <w:uiPriority w:val="0"/>
  </w:style>
  <w:style w:type="character" w:customStyle="1" w:styleId="142">
    <w:name w:val="表格正文 Char"/>
    <w:link w:val="143"/>
    <w:qFormat/>
    <w:locked/>
    <w:uiPriority w:val="0"/>
    <w:rPr>
      <w:szCs w:val="24"/>
    </w:rPr>
  </w:style>
  <w:style w:type="paragraph" w:customStyle="1" w:styleId="143">
    <w:name w:val="表格正文"/>
    <w:basedOn w:val="1"/>
    <w:link w:val="142"/>
    <w:qFormat/>
    <w:uiPriority w:val="0"/>
    <w:pPr>
      <w:ind w:firstLine="0" w:firstLineChars="0"/>
    </w:pPr>
    <w:rPr>
      <w:kern w:val="0"/>
      <w:sz w:val="20"/>
      <w:szCs w:val="24"/>
    </w:rPr>
  </w:style>
  <w:style w:type="character" w:customStyle="1" w:styleId="144">
    <w:name w:val="A4"/>
    <w:qFormat/>
    <w:uiPriority w:val="0"/>
    <w:rPr>
      <w:rFonts w:ascii="新宋体" w:eastAsia="新宋体" w:cs="新宋体"/>
      <w:color w:val="000000"/>
      <w:lang w:bidi="ar-SA"/>
    </w:rPr>
  </w:style>
  <w:style w:type="character" w:customStyle="1" w:styleId="145">
    <w:name w:val="批注文字 Char1"/>
    <w:qFormat/>
    <w:uiPriority w:val="0"/>
    <w:rPr>
      <w:rFonts w:ascii="Times New Roman" w:hAnsi="Times New Roman"/>
      <w:kern w:val="2"/>
      <w:sz w:val="21"/>
      <w:szCs w:val="24"/>
    </w:rPr>
  </w:style>
  <w:style w:type="character" w:customStyle="1" w:styleId="146">
    <w:name w:val="列出段落 Char"/>
    <w:link w:val="147"/>
    <w:qFormat/>
    <w:locked/>
    <w:uiPriority w:val="0"/>
    <w:rPr>
      <w:kern w:val="2"/>
      <w:sz w:val="21"/>
      <w:szCs w:val="24"/>
    </w:rPr>
  </w:style>
  <w:style w:type="paragraph" w:customStyle="1" w:styleId="147">
    <w:name w:val="列出段落2"/>
    <w:basedOn w:val="1"/>
    <w:link w:val="146"/>
    <w:unhideWhenUsed/>
    <w:qFormat/>
    <w:uiPriority w:val="0"/>
    <w:pPr>
      <w:spacing w:line="240" w:lineRule="auto"/>
      <w:ind w:firstLine="420"/>
    </w:pPr>
    <w:rPr>
      <w:sz w:val="21"/>
      <w:szCs w:val="24"/>
    </w:rPr>
  </w:style>
  <w:style w:type="character" w:customStyle="1" w:styleId="148">
    <w:name w:val="纯文本 Char1"/>
    <w:qFormat/>
    <w:uiPriority w:val="0"/>
    <w:rPr>
      <w:rFonts w:ascii="宋体" w:hAnsi="Courier New"/>
      <w:kern w:val="2"/>
      <w:sz w:val="21"/>
    </w:rPr>
  </w:style>
  <w:style w:type="character" w:customStyle="1" w:styleId="149">
    <w:name w:val="font51"/>
    <w:qFormat/>
    <w:uiPriority w:val="0"/>
    <w:rPr>
      <w:rFonts w:hint="eastAsia" w:ascii="宋体" w:hAnsi="宋体" w:eastAsia="宋体" w:cs="宋体"/>
      <w:color w:val="000000"/>
      <w:sz w:val="18"/>
      <w:szCs w:val="18"/>
      <w:u w:val="none"/>
    </w:rPr>
  </w:style>
  <w:style w:type="character" w:customStyle="1" w:styleId="150">
    <w:name w:val="正文缩进2字符 Char"/>
    <w:link w:val="151"/>
    <w:qFormat/>
    <w:locked/>
    <w:uiPriority w:val="0"/>
    <w:rPr>
      <w:kern w:val="2"/>
      <w:sz w:val="24"/>
      <w:szCs w:val="24"/>
    </w:rPr>
  </w:style>
  <w:style w:type="paragraph" w:customStyle="1" w:styleId="151">
    <w:name w:val="正文缩进2字符"/>
    <w:basedOn w:val="1"/>
    <w:next w:val="1"/>
    <w:link w:val="150"/>
    <w:qFormat/>
    <w:uiPriority w:val="0"/>
    <w:pPr>
      <w:ind w:firstLine="480"/>
    </w:pPr>
    <w:rPr>
      <w:szCs w:val="24"/>
    </w:rPr>
  </w:style>
  <w:style w:type="character" w:customStyle="1" w:styleId="152">
    <w:name w:val="标书4级 Char"/>
    <w:link w:val="153"/>
    <w:qFormat/>
    <w:uiPriority w:val="0"/>
    <w:rPr>
      <w:rFonts w:ascii="宋体" w:hAnsi="宋体"/>
      <w:b/>
      <w:bCs/>
      <w:kern w:val="2"/>
      <w:sz w:val="28"/>
      <w:szCs w:val="28"/>
    </w:rPr>
  </w:style>
  <w:style w:type="paragraph" w:customStyle="1" w:styleId="153">
    <w:name w:val="标书4级"/>
    <w:basedOn w:val="5"/>
    <w:link w:val="152"/>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154">
    <w:name w:val="case31"/>
    <w:qFormat/>
    <w:uiPriority w:val="0"/>
    <w:rPr>
      <w:rFonts w:hint="default"/>
      <w:sz w:val="21"/>
      <w:szCs w:val="21"/>
    </w:rPr>
  </w:style>
  <w:style w:type="character" w:customStyle="1" w:styleId="155">
    <w:name w:val="纯文本 Char2"/>
    <w:qFormat/>
    <w:uiPriority w:val="0"/>
    <w:rPr>
      <w:rFonts w:ascii="宋体" w:hAnsi="Courier New" w:cs="Courier New"/>
      <w:kern w:val="2"/>
      <w:sz w:val="21"/>
      <w:szCs w:val="21"/>
    </w:rPr>
  </w:style>
  <w:style w:type="paragraph" w:customStyle="1" w:styleId="156">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57">
    <w:name w:val="表格"/>
    <w:basedOn w:val="1"/>
    <w:qFormat/>
    <w:uiPriority w:val="0"/>
    <w:pPr>
      <w:spacing w:line="400" w:lineRule="exact"/>
      <w:ind w:firstLine="0" w:firstLineChars="0"/>
    </w:pPr>
    <w:rPr>
      <w:szCs w:val="24"/>
    </w:rPr>
  </w:style>
  <w:style w:type="paragraph" w:customStyle="1" w:styleId="158">
    <w:name w:val="样式 Verdana 首行缩进:  0.74 厘米"/>
    <w:basedOn w:val="1"/>
    <w:qFormat/>
    <w:uiPriority w:val="0"/>
    <w:pPr>
      <w:ind w:firstLine="420" w:firstLineChars="0"/>
    </w:pPr>
    <w:rPr>
      <w:rFonts w:ascii="Verdana" w:hAnsi="Verdana"/>
      <w:szCs w:val="20"/>
    </w:rPr>
  </w:style>
  <w:style w:type="paragraph" w:customStyle="1" w:styleId="159">
    <w:name w:val="_Style 29"/>
    <w:basedOn w:val="1"/>
    <w:qFormat/>
    <w:uiPriority w:val="0"/>
    <w:pPr>
      <w:spacing w:line="240" w:lineRule="auto"/>
      <w:ind w:firstLine="0" w:firstLineChars="0"/>
    </w:pPr>
    <w:rPr>
      <w:rFonts w:ascii="Tahoma" w:hAnsi="Tahoma"/>
      <w:szCs w:val="20"/>
    </w:rPr>
  </w:style>
  <w:style w:type="paragraph" w:customStyle="1" w:styleId="160">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61">
    <w:name w:val="目录 61"/>
    <w:basedOn w:val="1"/>
    <w:next w:val="1"/>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6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3">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164">
    <w:name w:val="List Paragraph1"/>
    <w:basedOn w:val="1"/>
    <w:qFormat/>
    <w:uiPriority w:val="34"/>
    <w:pPr>
      <w:spacing w:line="240" w:lineRule="auto"/>
      <w:ind w:firstLine="420"/>
    </w:pPr>
    <w:rPr>
      <w:sz w:val="21"/>
    </w:rPr>
  </w:style>
  <w:style w:type="paragraph" w:customStyle="1" w:styleId="165">
    <w:name w:val="目录 91"/>
    <w:basedOn w:val="1"/>
    <w:next w:val="1"/>
    <w:unhideWhenUsed/>
    <w:qFormat/>
    <w:uiPriority w:val="39"/>
    <w:pPr>
      <w:spacing w:line="240" w:lineRule="auto"/>
      <w:ind w:left="1680" w:firstLine="0" w:firstLineChars="0"/>
      <w:jc w:val="left"/>
    </w:pPr>
    <w:rPr>
      <w:rFonts w:ascii="等线" w:hAnsi="等线" w:eastAsia="等线"/>
      <w:sz w:val="18"/>
      <w:szCs w:val="18"/>
    </w:rPr>
  </w:style>
  <w:style w:type="paragraph" w:customStyle="1" w:styleId="166">
    <w:name w:val="Char Char Char"/>
    <w:basedOn w:val="1"/>
    <w:qFormat/>
    <w:uiPriority w:val="0"/>
    <w:pPr>
      <w:spacing w:line="240" w:lineRule="auto"/>
      <w:ind w:firstLine="0" w:firstLineChars="0"/>
    </w:pPr>
    <w:rPr>
      <w:rFonts w:ascii="Tahoma" w:hAnsi="Tahoma"/>
      <w:szCs w:val="20"/>
    </w:rPr>
  </w:style>
  <w:style w:type="paragraph" w:customStyle="1" w:styleId="167">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68">
    <w:name w:val="_Style 5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正文段"/>
    <w:basedOn w:val="1"/>
    <w:qFormat/>
    <w:uiPriority w:val="0"/>
    <w:pPr>
      <w:widowControl/>
      <w:snapToGrid w:val="0"/>
      <w:spacing w:afterLines="50" w:line="240" w:lineRule="auto"/>
    </w:pPr>
    <w:rPr>
      <w:kern w:val="0"/>
      <w:szCs w:val="20"/>
    </w:rPr>
  </w:style>
  <w:style w:type="paragraph" w:customStyle="1" w:styleId="170">
    <w:name w:val="修订1"/>
    <w:semiHidden/>
    <w:qFormat/>
    <w:uiPriority w:val="99"/>
    <w:rPr>
      <w:rFonts w:ascii="Times New Roman" w:hAnsi="Times New Roman" w:eastAsia="宋体" w:cs="Times New Roman"/>
      <w:kern w:val="2"/>
      <w:sz w:val="21"/>
      <w:lang w:val="en-US" w:eastAsia="zh-CN" w:bidi="ar-SA"/>
    </w:rPr>
  </w:style>
  <w:style w:type="paragraph" w:customStyle="1" w:styleId="171">
    <w:name w:val="Char1"/>
    <w:basedOn w:val="1"/>
    <w:qFormat/>
    <w:uiPriority w:val="0"/>
    <w:pPr>
      <w:spacing w:line="240" w:lineRule="auto"/>
      <w:ind w:firstLine="0" w:firstLineChars="0"/>
    </w:pPr>
    <w:rPr>
      <w:sz w:val="21"/>
      <w:szCs w:val="21"/>
    </w:rPr>
  </w:style>
  <w:style w:type="paragraph" w:customStyle="1" w:styleId="172">
    <w:name w:val="2ji"/>
    <w:basedOn w:val="2"/>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173">
    <w:name w:val="Char Char16 Char Char"/>
    <w:basedOn w:val="1"/>
    <w:qFormat/>
    <w:uiPriority w:val="0"/>
    <w:pPr>
      <w:adjustRightInd w:val="0"/>
      <w:ind w:firstLine="0" w:firstLineChars="0"/>
    </w:pPr>
    <w:rPr>
      <w:sz w:val="21"/>
      <w:szCs w:val="24"/>
    </w:rPr>
  </w:style>
  <w:style w:type="paragraph" w:customStyle="1" w:styleId="174">
    <w:name w:val="目录 21"/>
    <w:basedOn w:val="1"/>
    <w:next w:val="1"/>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75">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76">
    <w:name w:val="目录 31"/>
    <w:basedOn w:val="1"/>
    <w:next w:val="1"/>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7">
    <w:name w:val="样式 标题 2 + Times New Roman 四号 非加粗 段前: 5 磅 段后: 0 磅 行距: 固定值 20..."/>
    <w:basedOn w:val="2"/>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78">
    <w:name w:val="标题 41"/>
    <w:basedOn w:val="1"/>
    <w:next w:val="1"/>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179">
    <w:name w:val="标准正文 S"/>
    <w:basedOn w:val="1"/>
    <w:link w:val="180"/>
    <w:qFormat/>
    <w:uiPriority w:val="0"/>
    <w:pPr>
      <w:spacing w:beforeLines="50" w:afterLines="50"/>
      <w:ind w:firstLine="480" w:firstLineChars="0"/>
      <w:jc w:val="left"/>
    </w:pPr>
    <w:rPr>
      <w:szCs w:val="24"/>
    </w:rPr>
  </w:style>
  <w:style w:type="character" w:customStyle="1" w:styleId="180">
    <w:name w:val="标准正文 S字符"/>
    <w:link w:val="179"/>
    <w:qFormat/>
    <w:locked/>
    <w:uiPriority w:val="0"/>
    <w:rPr>
      <w:kern w:val="2"/>
      <w:sz w:val="24"/>
      <w:szCs w:val="24"/>
    </w:rPr>
  </w:style>
  <w:style w:type="paragraph" w:customStyle="1" w:styleId="181">
    <w:name w:val="标题 91"/>
    <w:basedOn w:val="1"/>
    <w:next w:val="1"/>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82">
    <w:name w:val="题注1"/>
    <w:basedOn w:val="1"/>
    <w:next w:val="1"/>
    <w:unhideWhenUsed/>
    <w:qFormat/>
    <w:uiPriority w:val="0"/>
    <w:pPr>
      <w:keepNext/>
      <w:ind w:firstLine="0" w:firstLineChars="0"/>
      <w:jc w:val="center"/>
    </w:pPr>
    <w:rPr>
      <w:rFonts w:ascii="Cambria" w:hAnsi="Cambria"/>
      <w:b/>
      <w:color w:val="000000"/>
      <w:sz w:val="21"/>
      <w:szCs w:val="20"/>
    </w:rPr>
  </w:style>
  <w:style w:type="paragraph" w:customStyle="1" w:styleId="183">
    <w:name w:val="_Style 36"/>
    <w:basedOn w:val="1"/>
    <w:qFormat/>
    <w:uiPriority w:val="0"/>
    <w:pPr>
      <w:spacing w:line="240" w:lineRule="auto"/>
      <w:ind w:firstLine="0" w:firstLineChars="0"/>
    </w:pPr>
    <w:rPr>
      <w:rFonts w:ascii="Tahoma" w:hAnsi="Tahoma"/>
      <w:szCs w:val="20"/>
    </w:rPr>
  </w:style>
  <w:style w:type="paragraph" w:customStyle="1" w:styleId="184">
    <w:name w:val="列表段落1"/>
    <w:basedOn w:val="1"/>
    <w:qFormat/>
    <w:uiPriority w:val="34"/>
    <w:pPr>
      <w:spacing w:beforeLines="50" w:afterLines="50" w:line="240" w:lineRule="auto"/>
      <w:ind w:firstLine="420"/>
    </w:pPr>
  </w:style>
  <w:style w:type="paragraph" w:customStyle="1" w:styleId="185">
    <w:name w:val="1"/>
    <w:basedOn w:val="1"/>
    <w:next w:val="26"/>
    <w:qFormat/>
    <w:uiPriority w:val="0"/>
    <w:pPr>
      <w:spacing w:line="240" w:lineRule="auto"/>
      <w:ind w:firstLine="0" w:firstLineChars="0"/>
    </w:pPr>
    <w:rPr>
      <w:rFonts w:ascii="宋体" w:hAnsi="Courier New"/>
      <w:sz w:val="21"/>
      <w:szCs w:val="20"/>
    </w:rPr>
  </w:style>
  <w:style w:type="paragraph" w:customStyle="1" w:styleId="186">
    <w:name w:val="目录 81"/>
    <w:basedOn w:val="1"/>
    <w:next w:val="1"/>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7">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8">
    <w:name w:val="目录 1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189">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90">
    <w:name w:val="目录 51"/>
    <w:basedOn w:val="1"/>
    <w:next w:val="1"/>
    <w:unhideWhenUsed/>
    <w:qFormat/>
    <w:uiPriority w:val="39"/>
    <w:pPr>
      <w:spacing w:line="240" w:lineRule="auto"/>
      <w:ind w:left="840" w:firstLine="0" w:firstLineChars="0"/>
      <w:jc w:val="left"/>
    </w:pPr>
    <w:rPr>
      <w:rFonts w:ascii="等线" w:hAnsi="等线" w:eastAsia="等线"/>
      <w:sz w:val="18"/>
      <w:szCs w:val="18"/>
    </w:rPr>
  </w:style>
  <w:style w:type="paragraph" w:customStyle="1" w:styleId="191">
    <w:name w:val="444"/>
    <w:basedOn w:val="1"/>
    <w:qFormat/>
    <w:uiPriority w:val="0"/>
    <w:pPr>
      <w:adjustRightInd w:val="0"/>
      <w:spacing w:line="312" w:lineRule="atLeast"/>
      <w:ind w:firstLine="0" w:firstLineChars="0"/>
      <w:jc w:val="center"/>
      <w:textAlignment w:val="baseline"/>
    </w:pPr>
    <w:rPr>
      <w:b/>
      <w:kern w:val="0"/>
      <w:sz w:val="36"/>
      <w:szCs w:val="36"/>
    </w:rPr>
  </w:style>
  <w:style w:type="paragraph" w:customStyle="1" w:styleId="192">
    <w:name w:val="样式 首行缩进:  2 字符"/>
    <w:basedOn w:val="1"/>
    <w:qFormat/>
    <w:uiPriority w:val="0"/>
    <w:pPr>
      <w:spacing w:line="400" w:lineRule="exact"/>
    </w:pPr>
    <w:rPr>
      <w:rFonts w:cs="宋体"/>
      <w:szCs w:val="24"/>
    </w:rPr>
  </w:style>
  <w:style w:type="paragraph" w:customStyle="1" w:styleId="193">
    <w:name w:val="目录 71"/>
    <w:basedOn w:val="1"/>
    <w:next w:val="1"/>
    <w:unhideWhenUsed/>
    <w:qFormat/>
    <w:uiPriority w:val="39"/>
    <w:pPr>
      <w:spacing w:line="240" w:lineRule="auto"/>
      <w:ind w:left="1260" w:firstLine="0" w:firstLineChars="0"/>
      <w:jc w:val="left"/>
    </w:pPr>
    <w:rPr>
      <w:rFonts w:ascii="等线" w:hAnsi="等线" w:eastAsia="等线"/>
      <w:sz w:val="18"/>
      <w:szCs w:val="18"/>
    </w:rPr>
  </w:style>
  <w:style w:type="paragraph" w:customStyle="1" w:styleId="194">
    <w:name w:val="正文首行缩进两字符"/>
    <w:basedOn w:val="1"/>
    <w:qFormat/>
    <w:uiPriority w:val="0"/>
    <w:rPr>
      <w:sz w:val="21"/>
      <w:szCs w:val="24"/>
    </w:rPr>
  </w:style>
  <w:style w:type="paragraph" w:customStyle="1" w:styleId="195">
    <w:name w:val="标题 81"/>
    <w:basedOn w:val="1"/>
    <w:next w:val="1"/>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96">
    <w:name w:val="F2"/>
    <w:basedOn w:val="1"/>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197">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8">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199">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00">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20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02">
    <w:name w:val="ZW"/>
    <w:basedOn w:val="1"/>
    <w:qFormat/>
    <w:uiPriority w:val="0"/>
    <w:pPr>
      <w:spacing w:line="560" w:lineRule="exact"/>
      <w:ind w:firstLine="560"/>
    </w:pPr>
    <w:rPr>
      <w:rFonts w:hAnsi="宋体"/>
      <w:sz w:val="28"/>
      <w:szCs w:val="28"/>
    </w:rPr>
  </w:style>
  <w:style w:type="paragraph" w:customStyle="1" w:styleId="203">
    <w:name w:val="样式 标题 3 + (中文) 黑体 小四 非加粗 段前: 7.8 磅 段后: 0 磅 行距: 固定值 20 磅"/>
    <w:basedOn w:val="4"/>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04">
    <w:name w:val="p0"/>
    <w:basedOn w:val="1"/>
    <w:qFormat/>
    <w:uiPriority w:val="0"/>
    <w:pPr>
      <w:widowControl/>
      <w:spacing w:line="240" w:lineRule="auto"/>
      <w:ind w:firstLine="0" w:firstLineChars="0"/>
    </w:pPr>
    <w:rPr>
      <w:kern w:val="0"/>
      <w:sz w:val="21"/>
      <w:szCs w:val="21"/>
    </w:rPr>
  </w:style>
  <w:style w:type="paragraph" w:customStyle="1" w:styleId="205">
    <w:name w:val="目录 41"/>
    <w:basedOn w:val="1"/>
    <w:next w:val="1"/>
    <w:unhideWhenUsed/>
    <w:qFormat/>
    <w:uiPriority w:val="39"/>
    <w:pPr>
      <w:spacing w:line="240" w:lineRule="auto"/>
      <w:ind w:left="630" w:firstLine="0" w:firstLineChars="0"/>
      <w:jc w:val="left"/>
    </w:pPr>
    <w:rPr>
      <w:rFonts w:ascii="等线" w:hAnsi="等线" w:eastAsia="等线"/>
      <w:sz w:val="18"/>
      <w:szCs w:val="18"/>
    </w:rPr>
  </w:style>
  <w:style w:type="paragraph" w:customStyle="1" w:styleId="206">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07">
    <w:name w:val="样式1"/>
    <w:basedOn w:val="1"/>
    <w:link w:val="208"/>
    <w:qFormat/>
    <w:uiPriority w:val="0"/>
    <w:pPr>
      <w:spacing w:before="120" w:after="120" w:line="300" w:lineRule="auto"/>
      <w:ind w:firstLine="0" w:firstLineChars="0"/>
    </w:pPr>
    <w:rPr>
      <w:rFonts w:ascii="宋体" w:hAnsi="宋体"/>
      <w:b/>
      <w:szCs w:val="20"/>
    </w:rPr>
  </w:style>
  <w:style w:type="character" w:customStyle="1" w:styleId="208">
    <w:name w:val="样式1 Char"/>
    <w:link w:val="207"/>
    <w:qFormat/>
    <w:uiPriority w:val="0"/>
    <w:rPr>
      <w:rFonts w:ascii="宋体" w:hAnsi="宋体"/>
      <w:b/>
      <w:kern w:val="2"/>
      <w:sz w:val="24"/>
    </w:rPr>
  </w:style>
  <w:style w:type="paragraph" w:customStyle="1" w:styleId="209">
    <w:name w:val="样式 小四正文 + 首行缩进:  2 字符 段前: 0.5 行"/>
    <w:basedOn w:val="1"/>
    <w:qFormat/>
    <w:uiPriority w:val="0"/>
    <w:pPr>
      <w:spacing w:beforeLines="50"/>
    </w:pPr>
    <w:rPr>
      <w:rFonts w:ascii="宋体" w:hAnsi="宋体"/>
      <w:szCs w:val="20"/>
    </w:rPr>
  </w:style>
  <w:style w:type="paragraph" w:customStyle="1" w:styleId="210">
    <w:name w:val="Char"/>
    <w:basedOn w:val="1"/>
    <w:qFormat/>
    <w:uiPriority w:val="0"/>
    <w:pPr>
      <w:spacing w:line="240" w:lineRule="auto"/>
      <w:ind w:firstLine="0" w:firstLineChars="0"/>
    </w:pPr>
    <w:rPr>
      <w:sz w:val="21"/>
      <w:szCs w:val="24"/>
    </w:rPr>
  </w:style>
  <w:style w:type="paragraph" w:customStyle="1" w:styleId="211">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2">
    <w:name w:val="列出段落1"/>
    <w:basedOn w:val="1"/>
    <w:qFormat/>
    <w:uiPriority w:val="34"/>
    <w:pPr>
      <w:spacing w:line="240" w:lineRule="auto"/>
      <w:ind w:firstLine="420"/>
    </w:pPr>
    <w:rPr>
      <w:sz w:val="21"/>
      <w:szCs w:val="24"/>
    </w:rPr>
  </w:style>
  <w:style w:type="paragraph" w:customStyle="1" w:styleId="213">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customStyle="1" w:styleId="214">
    <w:name w:val="3 级标题"/>
    <w:basedOn w:val="4"/>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215">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216">
    <w:name w:val="列出段落11"/>
    <w:basedOn w:val="1"/>
    <w:qFormat/>
    <w:uiPriority w:val="0"/>
    <w:pPr>
      <w:spacing w:line="240" w:lineRule="auto"/>
      <w:ind w:firstLine="420"/>
    </w:pPr>
    <w:rPr>
      <w:sz w:val="21"/>
      <w:szCs w:val="24"/>
    </w:rPr>
  </w:style>
  <w:style w:type="paragraph" w:customStyle="1" w:styleId="217">
    <w:name w:val="列出段落3"/>
    <w:basedOn w:val="1"/>
    <w:unhideWhenUsed/>
    <w:qFormat/>
    <w:uiPriority w:val="99"/>
    <w:pPr>
      <w:spacing w:line="240" w:lineRule="auto"/>
      <w:ind w:firstLine="420"/>
    </w:pPr>
    <w:rPr>
      <w:sz w:val="21"/>
      <w:szCs w:val="24"/>
    </w:rPr>
  </w:style>
  <w:style w:type="table" w:customStyle="1" w:styleId="218">
    <w:name w:val="网格型2"/>
    <w:basedOn w:val="46"/>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1"/>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0">
    <w:name w:val="纯文本 Char3"/>
    <w:qFormat/>
    <w:uiPriority w:val="0"/>
    <w:rPr>
      <w:rFonts w:ascii="宋体" w:hAnsi="Courier New"/>
      <w:szCs w:val="21"/>
    </w:rPr>
  </w:style>
  <w:style w:type="paragraph" w:customStyle="1" w:styleId="221">
    <w:name w:val="_Style 216"/>
    <w:basedOn w:val="3"/>
    <w:next w:val="1"/>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character" w:customStyle="1" w:styleId="222">
    <w:name w:val="font61"/>
    <w:qFormat/>
    <w:uiPriority w:val="0"/>
    <w:rPr>
      <w:rFonts w:hint="eastAsia" w:ascii="宋体" w:hAnsi="宋体" w:eastAsia="宋体" w:cs="宋体"/>
      <w:color w:val="000000"/>
      <w:sz w:val="18"/>
      <w:szCs w:val="18"/>
      <w:u w:val="none"/>
    </w:rPr>
  </w:style>
  <w:style w:type="character" w:customStyle="1" w:styleId="223">
    <w:name w:val="标题 Char2"/>
    <w:qFormat/>
    <w:uiPriority w:val="10"/>
    <w:rPr>
      <w:rFonts w:ascii="Cambria" w:hAnsi="Cambria" w:cs="Times New Roman"/>
      <w:b/>
      <w:bCs/>
      <w:kern w:val="2"/>
      <w:sz w:val="32"/>
      <w:szCs w:val="32"/>
    </w:rPr>
  </w:style>
  <w:style w:type="paragraph" w:customStyle="1" w:styleId="224">
    <w:name w:val="正文文本首行缩进1"/>
    <w:basedOn w:val="1"/>
    <w:qFormat/>
    <w:uiPriority w:val="0"/>
    <w:pPr>
      <w:spacing w:after="120" w:line="360" w:lineRule="exact"/>
      <w:ind w:left="400" w:leftChars="400" w:firstLine="420" w:firstLineChars="100"/>
    </w:pPr>
    <w:rPr>
      <w:rFonts w:eastAsia="楷体_GB2312"/>
      <w:sz w:val="21"/>
      <w:szCs w:val="24"/>
    </w:rPr>
  </w:style>
  <w:style w:type="paragraph" w:customStyle="1" w:styleId="225">
    <w:name w:val="_Style 220"/>
    <w:unhideWhenUsed/>
    <w:qFormat/>
    <w:uiPriority w:val="99"/>
    <w:rPr>
      <w:rFonts w:ascii="Times New Roman" w:hAnsi="Times New Roman" w:eastAsia="宋体" w:cs="Times New Roman"/>
      <w:kern w:val="2"/>
      <w:sz w:val="24"/>
      <w:szCs w:val="22"/>
      <w:lang w:val="en-US" w:eastAsia="zh-CN" w:bidi="ar-SA"/>
    </w:rPr>
  </w:style>
  <w:style w:type="character" w:customStyle="1" w:styleId="226">
    <w:name w:val="批注文字 字符"/>
    <w:qFormat/>
    <w:uiPriority w:val="99"/>
    <w:rPr>
      <w:sz w:val="24"/>
    </w:rPr>
  </w:style>
  <w:style w:type="character" w:customStyle="1" w:styleId="227">
    <w:name w:val="hover25"/>
    <w:basedOn w:val="48"/>
    <w:qFormat/>
    <w:uiPriority w:val="0"/>
    <w:rPr>
      <w:color w:val="335BFF"/>
    </w:rPr>
  </w:style>
  <w:style w:type="character" w:customStyle="1" w:styleId="228">
    <w:name w:val="hover26"/>
    <w:basedOn w:val="48"/>
    <w:qFormat/>
    <w:uiPriority w:val="0"/>
  </w:style>
  <w:style w:type="character" w:customStyle="1" w:styleId="229">
    <w:name w:val="hover27"/>
    <w:basedOn w:val="48"/>
    <w:qFormat/>
    <w:uiPriority w:val="0"/>
  </w:style>
  <w:style w:type="character" w:customStyle="1" w:styleId="230">
    <w:name w:val="hover28"/>
    <w:basedOn w:val="48"/>
    <w:qFormat/>
    <w:uiPriority w:val="0"/>
    <w:rPr>
      <w:color w:val="315EFB"/>
    </w:rPr>
  </w:style>
  <w:style w:type="character" w:customStyle="1" w:styleId="231">
    <w:name w:val="hover29"/>
    <w:basedOn w:val="48"/>
    <w:qFormat/>
    <w:uiPriority w:val="0"/>
    <w:rPr>
      <w:color w:val="315EFB"/>
    </w:rPr>
  </w:style>
  <w:style w:type="character" w:customStyle="1" w:styleId="232">
    <w:name w:val="c-icon"/>
    <w:basedOn w:val="48"/>
    <w:qFormat/>
    <w:uiPriority w:val="0"/>
  </w:style>
  <w:style w:type="character" w:customStyle="1" w:styleId="233">
    <w:name w:val="type_vwl1n"/>
    <w:basedOn w:val="48"/>
    <w:qFormat/>
    <w:uiPriority w:val="0"/>
    <w:rPr>
      <w:color w:val="999999"/>
    </w:rPr>
  </w:style>
  <w:style w:type="character" w:customStyle="1" w:styleId="234">
    <w:name w:val="first-child"/>
    <w:basedOn w:val="48"/>
    <w:qFormat/>
    <w:uiPriority w:val="0"/>
  </w:style>
  <w:style w:type="character" w:customStyle="1" w:styleId="235">
    <w:name w:val="first-child1"/>
    <w:basedOn w:val="48"/>
    <w:qFormat/>
    <w:uiPriority w:val="0"/>
  </w:style>
  <w:style w:type="character" w:customStyle="1" w:styleId="236">
    <w:name w:val="desc_jpnvt"/>
    <w:basedOn w:val="48"/>
    <w:qFormat/>
    <w:uiPriority w:val="0"/>
    <w:rPr>
      <w:color w:val="333333"/>
    </w:rPr>
  </w:style>
  <w:style w:type="paragraph" w:customStyle="1" w:styleId="237">
    <w:name w:val="首行缩进"/>
    <w:basedOn w:val="1"/>
    <w:qFormat/>
    <w:uiPriority w:val="0"/>
    <w:pPr>
      <w:ind w:firstLine="480"/>
    </w:pPr>
  </w:style>
  <w:style w:type="character" w:customStyle="1" w:styleId="238">
    <w:name w:val="NormalCharacter"/>
    <w:link w:val="1"/>
    <w:semiHidden/>
    <w:qFormat/>
    <w:uiPriority w:val="0"/>
    <w:rPr>
      <w:rFonts w:ascii="Times New Roman" w:hAnsi="Times New Roman" w:eastAsia="宋体" w:cs="Times New Roman"/>
      <w:kern w:val="2"/>
      <w:sz w:val="24"/>
      <w:szCs w:val="22"/>
      <w:lang w:val="en-US" w:eastAsia="zh-CN" w:bidi="ar-SA"/>
    </w:rPr>
  </w:style>
  <w:style w:type="table" w:customStyle="1" w:styleId="239">
    <w:name w:val="Table Normal"/>
    <w:unhideWhenUsed/>
    <w:qFormat/>
    <w:uiPriority w:val="0"/>
    <w:tblPr>
      <w:tblCellMar>
        <w:top w:w="0" w:type="dxa"/>
        <w:left w:w="0" w:type="dxa"/>
        <w:bottom w:w="0" w:type="dxa"/>
        <w:right w:w="0" w:type="dxa"/>
      </w:tblCellMar>
    </w:tblPr>
  </w:style>
  <w:style w:type="character" w:customStyle="1" w:styleId="240">
    <w:name w:val="font31"/>
    <w:basedOn w:val="48"/>
    <w:qFormat/>
    <w:uiPriority w:val="0"/>
    <w:rPr>
      <w:rFonts w:hint="eastAsia" w:ascii="宋体" w:hAnsi="宋体" w:eastAsia="宋体" w:cs="宋体"/>
      <w:color w:val="000000"/>
      <w:sz w:val="22"/>
      <w:szCs w:val="22"/>
      <w:u w:val="none"/>
    </w:rPr>
  </w:style>
  <w:style w:type="character" w:customStyle="1" w:styleId="241">
    <w:name w:val="font11"/>
    <w:basedOn w:val="48"/>
    <w:qFormat/>
    <w:uiPriority w:val="0"/>
    <w:rPr>
      <w:rFonts w:hint="eastAsia" w:ascii="宋体" w:hAnsi="宋体" w:eastAsia="宋体" w:cs="宋体"/>
      <w:color w:val="000000"/>
      <w:sz w:val="22"/>
      <w:szCs w:val="22"/>
      <w:u w:val="none"/>
    </w:rPr>
  </w:style>
  <w:style w:type="character" w:customStyle="1" w:styleId="242">
    <w:name w:val="font81"/>
    <w:basedOn w:val="48"/>
    <w:qFormat/>
    <w:uiPriority w:val="0"/>
    <w:rPr>
      <w:rFonts w:ascii="Arial" w:hAnsi="Arial" w:cs="Arial"/>
      <w:color w:val="FF0000"/>
      <w:sz w:val="22"/>
      <w:szCs w:val="22"/>
      <w:u w:val="none"/>
    </w:rPr>
  </w:style>
  <w:style w:type="paragraph" w:customStyle="1" w:styleId="243">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正文小标题_0"/>
    <w:basedOn w:val="245"/>
    <w:qFormat/>
    <w:uiPriority w:val="0"/>
    <w:pPr>
      <w:spacing w:line="420" w:lineRule="exact"/>
    </w:pPr>
    <w:rPr>
      <w:rFonts w:hAnsi="宋体" w:eastAsia="宋体"/>
      <w:sz w:val="21"/>
      <w:szCs w:val="21"/>
    </w:rPr>
  </w:style>
  <w:style w:type="paragraph" w:customStyle="1" w:styleId="245">
    <w:name w:val="标题 1_0"/>
    <w:basedOn w:val="246"/>
    <w:next w:val="246"/>
    <w:qFormat/>
    <w:uiPriority w:val="99"/>
    <w:pPr>
      <w:keepNext/>
      <w:keepLines/>
      <w:spacing w:line="360" w:lineRule="auto"/>
      <w:outlineLvl w:val="0"/>
    </w:pPr>
    <w:rPr>
      <w:rFonts w:eastAsia="黑体"/>
      <w:b/>
      <w:bCs/>
      <w:kern w:val="44"/>
      <w:sz w:val="32"/>
      <w:szCs w:val="44"/>
    </w:rPr>
  </w:style>
  <w:style w:type="paragraph" w:customStyle="1" w:styleId="246">
    <w:name w:val="正文_0"/>
    <w:next w:val="24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7">
    <w:name w:val="正文文本_0"/>
    <w:basedOn w:val="246"/>
    <w:unhideWhenUsed/>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248">
    <w:name w:val="正文_1_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249">
    <w:name w:val="正文呀2_0"/>
    <w:basedOn w:val="250"/>
    <w:qFormat/>
    <w:uiPriority w:val="0"/>
    <w:rPr>
      <w:rFonts w:ascii="Times New Roman" w:hAnsi="Times New Roman"/>
    </w:rPr>
  </w:style>
  <w:style w:type="paragraph" w:customStyle="1" w:styleId="250">
    <w:name w:val="正文呀_0"/>
    <w:basedOn w:val="248"/>
    <w:qFormat/>
    <w:uiPriority w:val="0"/>
    <w:pPr>
      <w:spacing w:line="420" w:lineRule="exact"/>
      <w:ind w:firstLine="420" w:firstLineChars="200"/>
    </w:pPr>
    <w:rPr>
      <w:rFonts w:ascii="宋体" w:hAnsi="宋体"/>
      <w:szCs w:val="21"/>
    </w:rPr>
  </w:style>
  <w:style w:type="paragraph" w:customStyle="1" w:styleId="251">
    <w:name w:val="正文呀2_1"/>
    <w:basedOn w:val="252"/>
    <w:qFormat/>
    <w:uiPriority w:val="0"/>
    <w:rPr>
      <w:rFonts w:ascii="Times New Roman" w:hAnsi="Times New Roman" w:eastAsia="宋体" w:cs="Times New Roman"/>
      <w:kern w:val="2"/>
      <w:sz w:val="21"/>
      <w:lang w:val="en-US" w:eastAsia="zh-CN"/>
    </w:rPr>
  </w:style>
  <w:style w:type="paragraph" w:customStyle="1" w:styleId="252">
    <w:name w:val="正文呀_1"/>
    <w:basedOn w:val="246"/>
    <w:qFormat/>
    <w:uiPriority w:val="0"/>
    <w:pPr>
      <w:spacing w:line="420" w:lineRule="exact"/>
      <w:ind w:firstLine="420" w:firstLineChars="200"/>
    </w:pPr>
    <w:rPr>
      <w:rFonts w:ascii="宋体" w:hAnsi="宋体"/>
      <w:kern w:val="0"/>
      <w:sz w:val="20"/>
      <w:szCs w:val="21"/>
      <w:lang w:val="zh-CN" w:eastAsia="zh-CN"/>
    </w:rPr>
  </w:style>
  <w:style w:type="paragraph" w:customStyle="1" w:styleId="253">
    <w:name w:val="Table Text"/>
    <w:basedOn w:val="1"/>
    <w:semiHidden/>
    <w:qFormat/>
    <w:uiPriority w:val="0"/>
    <w:rPr>
      <w:rFonts w:ascii="宋体" w:hAnsi="宋体" w:eastAsia="宋体" w:cs="宋体"/>
      <w:sz w:val="20"/>
      <w:szCs w:val="20"/>
      <w:lang w:val="en-US" w:eastAsia="en-US" w:bidi="ar-SA"/>
    </w:rPr>
  </w:style>
  <w:style w:type="paragraph" w:customStyle="1" w:styleId="254">
    <w:name w:val="纯文本_0"/>
    <w:basedOn w:val="246"/>
    <w:unhideWhenUsed/>
    <w:qFormat/>
    <w:uiPriority w:val="0"/>
    <w:rPr>
      <w:rFonts w:ascii="宋体" w:hAnsi="Courier New"/>
      <w:szCs w:val="24"/>
    </w:rPr>
  </w:style>
  <w:style w:type="paragraph" w:customStyle="1" w:styleId="255">
    <w:name w:val="无间隔_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正文_2"/>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png"/><Relationship Id="rId33" Type="http://schemas.openxmlformats.org/officeDocument/2006/relationships/theme" Target="theme/theme1.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header" Target="header11.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header" Target="header10.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263</Pages>
  <Words>2918</Words>
  <Characters>3359</Characters>
  <Lines>294</Lines>
  <Paragraphs>82</Paragraphs>
  <TotalTime>41</TotalTime>
  <ScaleCrop>false</ScaleCrop>
  <LinksUpToDate>false</LinksUpToDate>
  <CharactersWithSpaces>3469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2022-01-06T07:33:00Z</dcterms:created>
  <dc:creator>Administrator</dc:creator>
  <cp:lastModifiedBy>爱傻呆</cp:lastModifiedBy>
  <cp:lastPrinted>2025-05-16T10:16:00Z</cp:lastPrinted>
  <dcterms:modified xsi:type="dcterms:W3CDTF">2025-11-14T08:07:16Z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27FFB28AEDD04F919F8BF8750AE563ED_13</vt:lpwstr>
  </property>
  <property fmtid="{D5CDD505-2E9C-101B-9397-08002B2CF9AE}" pid="4" name="KSOTemplateDocerSaveRecord">
    <vt:lpwstr>eyJoZGlkIjoiNTQ5ODVkZTc0Y2NiZWY3MTM3NmQxMDgxMDY0NjRlNmYiLCJ1c2VySWQiOiI2MTAyNzgzODkifQ==</vt:lpwstr>
  </property>
</Properties>
</file>