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A8C9D">
      <w:pPr>
        <w:pStyle w:val="16"/>
        <w:jc w:val="center"/>
        <w:rPr>
          <w:rFonts w:ascii="Times New Roman" w:hAnsi="Times New Roman" w:eastAsia="华文新魏"/>
          <w:spacing w:val="30"/>
          <w:kern w:val="52"/>
          <w:sz w:val="64"/>
          <w:szCs w:val="64"/>
        </w:rPr>
      </w:pPr>
      <w:bookmarkStart w:id="38" w:name="_GoBack"/>
      <w:bookmarkEnd w:id="38"/>
      <w:r>
        <w:drawing>
          <wp:inline distT="0" distB="0" distL="114300" distR="114300">
            <wp:extent cx="893445" cy="932815"/>
            <wp:effectExtent l="0" t="0" r="1905" b="635"/>
            <wp:docPr id="4" name="图片 2" descr="科文名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科文名片"/>
                    <pic:cNvPicPr>
                      <a:picLocks noChangeAspect="1"/>
                    </pic:cNvPicPr>
                  </pic:nvPicPr>
                  <pic:blipFill>
                    <a:blip r:embed="rId7" cstate="print"/>
                    <a:stretch>
                      <a:fillRect/>
                    </a:stretch>
                  </pic:blipFill>
                  <pic:spPr>
                    <a:xfrm>
                      <a:off x="0" y="0"/>
                      <a:ext cx="893445" cy="932815"/>
                    </a:xfrm>
                    <a:prstGeom prst="rect">
                      <a:avLst/>
                    </a:prstGeom>
                    <a:noFill/>
                    <a:ln>
                      <a:noFill/>
                    </a:ln>
                  </pic:spPr>
                </pic:pic>
              </a:graphicData>
            </a:graphic>
          </wp:inline>
        </w:drawing>
      </w:r>
    </w:p>
    <w:p w14:paraId="53452859">
      <w:pPr>
        <w:pStyle w:val="16"/>
        <w:jc w:val="center"/>
        <w:rPr>
          <w:rFonts w:ascii="黑体" w:hAnsi="黑体" w:eastAsia="黑体"/>
          <w:spacing w:val="30"/>
          <w:kern w:val="52"/>
          <w:sz w:val="64"/>
          <w:szCs w:val="64"/>
        </w:rPr>
      </w:pPr>
      <w:r>
        <w:rPr>
          <w:rFonts w:hint="eastAsia" w:ascii="黑体" w:hAnsi="黑体" w:eastAsia="黑体"/>
          <w:spacing w:val="30"/>
          <w:kern w:val="52"/>
          <w:sz w:val="64"/>
          <w:szCs w:val="64"/>
        </w:rPr>
        <w:t>广西科文招标有限公司</w:t>
      </w:r>
    </w:p>
    <w:p w14:paraId="56B70075">
      <w:pPr>
        <w:pStyle w:val="16"/>
        <w:jc w:val="center"/>
        <w:rPr>
          <w:rFonts w:ascii="黑体" w:hAnsi="黑体" w:eastAsia="黑体" w:cs="方正小标宋简体"/>
          <w:b/>
          <w:sz w:val="44"/>
          <w:szCs w:val="44"/>
        </w:rPr>
      </w:pPr>
      <w:r>
        <w:rPr>
          <w:rFonts w:ascii="黑体" w:hAnsi="黑体" w:eastAsia="黑体"/>
          <w:b/>
          <w:spacing w:val="-18"/>
          <w:sz w:val="64"/>
          <w:szCs w:val="64"/>
        </w:rPr>
        <mc:AlternateContent>
          <mc:Choice Requires="wps">
            <w:drawing>
              <wp:anchor distT="0" distB="0" distL="114300" distR="114300" simplePos="0" relativeHeight="251659264" behindDoc="0" locked="0" layoutInCell="1" allowOverlap="1">
                <wp:simplePos x="0" y="0"/>
                <wp:positionH relativeFrom="column">
                  <wp:posOffset>276225</wp:posOffset>
                </wp:positionH>
                <wp:positionV relativeFrom="paragraph">
                  <wp:posOffset>99060</wp:posOffset>
                </wp:positionV>
                <wp:extent cx="5486400" cy="0"/>
                <wp:effectExtent l="0" t="6350" r="0" b="6350"/>
                <wp:wrapNone/>
                <wp:docPr id="2" name="直线 2"/>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2700" cmpd="sng">
                          <a:solidFill>
                            <a:srgbClr val="000000"/>
                          </a:solidFill>
                          <a:round/>
                        </a:ln>
                        <a:effectLst/>
                      </wps:spPr>
                      <wps:bodyPr/>
                    </wps:wsp>
                  </a:graphicData>
                </a:graphic>
              </wp:anchor>
            </w:drawing>
          </mc:Choice>
          <mc:Fallback>
            <w:pict>
              <v:line id="直线 2" o:spid="_x0000_s1026" o:spt="20" style="position:absolute;left:0pt;margin-left:21.75pt;margin-top:7.8pt;height:0pt;width:432pt;z-index:251659264;mso-width-relative:page;mso-height-relative:page;" filled="f" stroked="t" coordsize="21600,21600" o:gfxdata="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jEtbNcAAAAIAQAA&#10;DwAAAAAAAAABACAAAAAiAAAAZHJzL2Rvd25yZXYueG1sUEsBAhQAFAAAAAgAh07iQPtMU1jhAQAA&#10;uwMAAA4AAAAAAAAAAQAgAAAAJgEAAGRycy9lMm9Eb2MueG1sUEsFBgAAAAAGAAYAWQEAAHkFAAAA&#10;AA==&#10;">
                <v:fill on="f" focussize="0,0"/>
                <v:stroke weight="1pt" color="#000000" joinstyle="round"/>
                <v:imagedata o:title=""/>
                <o:lock v:ext="edit" aspectratio="f"/>
              </v:line>
            </w:pict>
          </mc:Fallback>
        </mc:AlternateContent>
      </w:r>
    </w:p>
    <w:p w14:paraId="3B60F6C0">
      <w:pPr>
        <w:snapToGrid w:val="0"/>
        <w:spacing w:beforeLines="50" w:line="360" w:lineRule="auto"/>
        <w:jc w:val="center"/>
        <w:rPr>
          <w:rFonts w:ascii="黑体" w:hAnsi="黑体" w:eastAsia="黑体"/>
          <w:sz w:val="84"/>
          <w:szCs w:val="84"/>
        </w:rPr>
      </w:pPr>
    </w:p>
    <w:p w14:paraId="7B79F4D9">
      <w:pPr>
        <w:snapToGrid w:val="0"/>
        <w:spacing w:beforeLines="50" w:line="360" w:lineRule="auto"/>
        <w:jc w:val="center"/>
        <w:rPr>
          <w:rFonts w:ascii="仿宋_GB2312" w:hAnsi="宋体" w:eastAsia="仿宋_GB2312"/>
          <w:sz w:val="30"/>
          <w:szCs w:val="72"/>
        </w:rPr>
      </w:pPr>
      <w:r>
        <w:rPr>
          <w:rFonts w:hint="eastAsia" w:ascii="黑体" w:hAnsi="黑体" w:eastAsia="黑体"/>
          <w:sz w:val="84"/>
          <w:szCs w:val="84"/>
        </w:rPr>
        <w:t>竞争性谈判文件</w:t>
      </w:r>
    </w:p>
    <w:p w14:paraId="25B0C56E">
      <w:pPr>
        <w:pStyle w:val="16"/>
        <w:snapToGrid w:val="0"/>
        <w:spacing w:line="360" w:lineRule="auto"/>
        <w:ind w:firstLine="1193" w:firstLineChars="396"/>
        <w:rPr>
          <w:rFonts w:ascii="仿宋_GB2312" w:hAnsi="宋体" w:eastAsia="仿宋_GB2312"/>
          <w:b/>
          <w:bCs/>
          <w:sz w:val="30"/>
          <w:szCs w:val="30"/>
        </w:rPr>
      </w:pPr>
    </w:p>
    <w:p w14:paraId="65CECB7A">
      <w:pPr>
        <w:pStyle w:val="16"/>
        <w:snapToGrid w:val="0"/>
        <w:spacing w:line="360" w:lineRule="auto"/>
        <w:ind w:firstLine="1807" w:firstLineChars="600"/>
        <w:jc w:val="center"/>
        <w:rPr>
          <w:rFonts w:ascii="仿宋_GB2312" w:hAnsi="宋体" w:eastAsia="仿宋_GB2312"/>
          <w:b/>
          <w:bCs/>
          <w:sz w:val="30"/>
          <w:szCs w:val="30"/>
        </w:rPr>
      </w:pPr>
    </w:p>
    <w:p w14:paraId="0E8F7E14">
      <w:pPr>
        <w:pStyle w:val="16"/>
        <w:snapToGrid w:val="0"/>
        <w:spacing w:line="360" w:lineRule="auto"/>
        <w:ind w:firstLine="2084" w:firstLineChars="692"/>
        <w:rPr>
          <w:rFonts w:hAnsi="宋体" w:eastAsia="仿宋_GB2312" w:cs="宋体"/>
          <w:b/>
          <w:bCs/>
          <w:kern w:val="2"/>
          <w:sz w:val="30"/>
          <w:szCs w:val="30"/>
        </w:rPr>
      </w:pPr>
      <w:r>
        <w:rPr>
          <w:rFonts w:hint="eastAsia" w:ascii="仿宋_GB2312" w:hAnsi="宋体" w:eastAsia="仿宋_GB2312"/>
          <w:b/>
          <w:bCs/>
          <w:sz w:val="30"/>
          <w:szCs w:val="30"/>
        </w:rPr>
        <w:t>项目</w:t>
      </w:r>
      <w:r>
        <w:rPr>
          <w:rFonts w:hint="eastAsia" w:ascii="仿宋_GB2312" w:hAnsi="宋体" w:eastAsia="仿宋_GB2312" w:cs="Courier New"/>
          <w:b/>
          <w:bCs/>
          <w:w w:val="95"/>
          <w:sz w:val="30"/>
          <w:szCs w:val="30"/>
        </w:rPr>
        <w:t>名称：玉林市殡仪馆柴油采购</w:t>
      </w:r>
    </w:p>
    <w:p w14:paraId="69351D04">
      <w:pPr>
        <w:pStyle w:val="16"/>
        <w:snapToGrid w:val="0"/>
        <w:spacing w:line="360" w:lineRule="auto"/>
        <w:ind w:firstLine="2084" w:firstLineChars="692"/>
        <w:rPr>
          <w:rFonts w:hint="eastAsia" w:ascii="仿宋_GB2312" w:hAnsi="宋体" w:eastAsia="仿宋_GB2312"/>
          <w:b/>
          <w:bCs/>
          <w:sz w:val="30"/>
          <w:szCs w:val="30"/>
          <w:lang w:eastAsia="zh-CN"/>
        </w:rPr>
      </w:pPr>
      <w:r>
        <w:rPr>
          <w:rFonts w:hint="eastAsia" w:ascii="仿宋_GB2312" w:hAnsi="宋体" w:eastAsia="仿宋_GB2312"/>
          <w:b/>
          <w:bCs/>
          <w:sz w:val="30"/>
          <w:szCs w:val="30"/>
        </w:rPr>
        <w:t>项目编号：</w:t>
      </w:r>
      <w:r>
        <w:rPr>
          <w:rFonts w:hint="eastAsia" w:ascii="仿宋_GB2312" w:hAnsi="宋体" w:eastAsia="仿宋_GB2312"/>
          <w:b/>
          <w:bCs/>
          <w:sz w:val="30"/>
          <w:szCs w:val="30"/>
          <w:lang w:eastAsia="zh-CN"/>
        </w:rPr>
        <w:t>YLZC2025-J1-990226-KWZB</w:t>
      </w:r>
    </w:p>
    <w:p w14:paraId="61100AA0">
      <w:pPr>
        <w:pStyle w:val="16"/>
        <w:snapToGrid w:val="0"/>
        <w:spacing w:line="360" w:lineRule="auto"/>
        <w:ind w:firstLine="1125" w:firstLineChars="393"/>
        <w:rPr>
          <w:rFonts w:ascii="仿宋_GB2312" w:hAnsi="宋体" w:eastAsia="仿宋_GB2312"/>
          <w:b/>
          <w:bCs/>
          <w:w w:val="95"/>
          <w:sz w:val="30"/>
          <w:szCs w:val="30"/>
        </w:rPr>
      </w:pPr>
    </w:p>
    <w:p w14:paraId="0512637A">
      <w:pPr>
        <w:pStyle w:val="16"/>
        <w:snapToGrid w:val="0"/>
        <w:spacing w:line="360" w:lineRule="auto"/>
        <w:ind w:firstLine="1125" w:firstLineChars="393"/>
        <w:rPr>
          <w:rFonts w:ascii="仿宋_GB2312" w:hAnsi="宋体" w:eastAsia="仿宋_GB2312"/>
          <w:b/>
          <w:bCs/>
          <w:w w:val="95"/>
          <w:sz w:val="30"/>
          <w:szCs w:val="30"/>
        </w:rPr>
      </w:pPr>
    </w:p>
    <w:p w14:paraId="61F2C7E3">
      <w:pPr>
        <w:pStyle w:val="16"/>
        <w:snapToGrid w:val="0"/>
        <w:spacing w:line="360" w:lineRule="auto"/>
        <w:ind w:firstLine="1125" w:firstLineChars="393"/>
        <w:rPr>
          <w:rFonts w:ascii="仿宋_GB2312" w:hAnsi="宋体" w:eastAsia="仿宋_GB2312"/>
          <w:b/>
          <w:bCs/>
          <w:w w:val="95"/>
          <w:sz w:val="30"/>
          <w:szCs w:val="30"/>
        </w:rPr>
      </w:pPr>
    </w:p>
    <w:p w14:paraId="05868B59">
      <w:pPr>
        <w:pStyle w:val="16"/>
        <w:snapToGrid w:val="0"/>
        <w:spacing w:line="360" w:lineRule="auto"/>
        <w:ind w:firstLine="2266" w:firstLineChars="792"/>
        <w:rPr>
          <w:rFonts w:ascii="仿宋_GB2312" w:hAnsi="宋体" w:eastAsia="仿宋_GB2312"/>
          <w:b/>
          <w:bCs/>
          <w:w w:val="95"/>
          <w:sz w:val="30"/>
          <w:szCs w:val="30"/>
        </w:rPr>
      </w:pPr>
      <w:r>
        <w:rPr>
          <w:rFonts w:hint="eastAsia" w:ascii="仿宋_GB2312" w:hAnsi="宋体" w:eastAsia="仿宋_GB2312"/>
          <w:b/>
          <w:bCs/>
          <w:w w:val="95"/>
          <w:sz w:val="30"/>
          <w:szCs w:val="30"/>
        </w:rPr>
        <w:t>采   购   人：</w:t>
      </w:r>
      <w:r>
        <w:rPr>
          <w:rFonts w:hint="eastAsia" w:ascii="仿宋_GB2312" w:hAnsi="宋体" w:eastAsia="仿宋_GB2312"/>
          <w:b/>
          <w:sz w:val="32"/>
          <w:szCs w:val="32"/>
        </w:rPr>
        <w:t>玉林市殡仪馆</w:t>
      </w:r>
    </w:p>
    <w:p w14:paraId="64592B6A">
      <w:pPr>
        <w:pStyle w:val="16"/>
        <w:snapToGrid w:val="0"/>
        <w:spacing w:line="360" w:lineRule="auto"/>
        <w:ind w:firstLine="2266" w:firstLineChars="792"/>
        <w:rPr>
          <w:rFonts w:ascii="仿宋_GB2312" w:hAnsi="宋体" w:eastAsia="仿宋_GB2312"/>
          <w:b/>
          <w:bCs/>
          <w:w w:val="95"/>
          <w:sz w:val="30"/>
          <w:szCs w:val="30"/>
        </w:rPr>
      </w:pPr>
      <w:r>
        <w:rPr>
          <w:rFonts w:hint="eastAsia" w:ascii="仿宋_GB2312" w:hAnsi="宋体" w:eastAsia="仿宋_GB2312"/>
          <w:b/>
          <w:bCs/>
          <w:w w:val="95"/>
          <w:sz w:val="30"/>
          <w:szCs w:val="30"/>
        </w:rPr>
        <w:t>采购代理机构：</w:t>
      </w:r>
      <w:r>
        <w:rPr>
          <w:rFonts w:hint="eastAsia" w:ascii="仿宋_GB2312" w:hAnsi="宋体" w:eastAsia="仿宋_GB2312"/>
          <w:b/>
          <w:sz w:val="32"/>
          <w:szCs w:val="32"/>
        </w:rPr>
        <w:t>广西科文招标有限公司</w:t>
      </w:r>
    </w:p>
    <w:p w14:paraId="3336F1F1">
      <w:pPr>
        <w:pStyle w:val="16"/>
        <w:snapToGrid w:val="0"/>
        <w:spacing w:line="360" w:lineRule="auto"/>
        <w:ind w:firstLine="1125" w:firstLineChars="393"/>
        <w:rPr>
          <w:rFonts w:ascii="仿宋_GB2312" w:hAnsi="宋体" w:eastAsia="仿宋_GB2312"/>
          <w:b/>
          <w:bCs/>
          <w:w w:val="95"/>
          <w:sz w:val="30"/>
          <w:szCs w:val="30"/>
        </w:rPr>
      </w:pPr>
    </w:p>
    <w:p w14:paraId="6D32BC94">
      <w:pPr>
        <w:pStyle w:val="16"/>
        <w:snapToGrid w:val="0"/>
        <w:spacing w:line="360" w:lineRule="auto"/>
        <w:jc w:val="center"/>
        <w:rPr>
          <w:rFonts w:ascii="仿宋_GB2312" w:eastAsia="仿宋_GB2312"/>
          <w:szCs w:val="20"/>
        </w:rPr>
      </w:pPr>
      <w:r>
        <w:rPr>
          <w:rFonts w:hint="eastAsia" w:ascii="仿宋_GB2312" w:hAnsi="宋体" w:eastAsia="仿宋_GB2312"/>
          <w:b/>
          <w:bCs/>
          <w:w w:val="95"/>
          <w:sz w:val="30"/>
          <w:szCs w:val="30"/>
        </w:rPr>
        <w:t>2025年7月</w:t>
      </w:r>
    </w:p>
    <w:p w14:paraId="0B7274CC">
      <w:pPr>
        <w:spacing w:line="360" w:lineRule="auto"/>
        <w:rPr>
          <w:rFonts w:ascii="宋体" w:hAnsi="宋体"/>
          <w:b/>
          <w:sz w:val="44"/>
          <w:szCs w:val="44"/>
        </w:rPr>
      </w:pPr>
    </w:p>
    <w:p w14:paraId="58E4338B">
      <w:pPr>
        <w:spacing w:line="360" w:lineRule="auto"/>
        <w:jc w:val="center"/>
        <w:rPr>
          <w:rFonts w:ascii="宋体" w:hAnsi="宋体"/>
          <w:b/>
          <w:sz w:val="44"/>
          <w:szCs w:val="44"/>
        </w:rPr>
      </w:pPr>
    </w:p>
    <w:p w14:paraId="1A797B83">
      <w:pPr>
        <w:pStyle w:val="4"/>
      </w:pPr>
    </w:p>
    <w:p w14:paraId="2ACC8343">
      <w:pPr>
        <w:spacing w:line="360" w:lineRule="auto"/>
        <w:jc w:val="center"/>
        <w:rPr>
          <w:rFonts w:ascii="宋体" w:hAnsi="宋体"/>
          <w:b/>
          <w:sz w:val="44"/>
          <w:szCs w:val="44"/>
        </w:rPr>
      </w:pPr>
      <w:r>
        <w:rPr>
          <w:rFonts w:hint="eastAsia" w:ascii="宋体" w:hAnsi="宋体"/>
          <w:b/>
          <w:sz w:val="44"/>
          <w:szCs w:val="44"/>
        </w:rPr>
        <w:t>目  录</w:t>
      </w:r>
    </w:p>
    <w:p w14:paraId="365C8D07">
      <w:pPr>
        <w:spacing w:line="400" w:lineRule="exact"/>
        <w:jc w:val="center"/>
        <w:rPr>
          <w:rFonts w:ascii="宋体" w:hAnsi="宋体"/>
          <w:b/>
          <w:sz w:val="44"/>
          <w:szCs w:val="44"/>
        </w:rPr>
      </w:pPr>
    </w:p>
    <w:p w14:paraId="3D246528">
      <w:pPr>
        <w:pStyle w:val="20"/>
        <w:tabs>
          <w:tab w:val="right" w:leader="dot" w:pos="8869"/>
        </w:tabs>
        <w:snapToGrid w:val="0"/>
        <w:spacing w:line="500" w:lineRule="atLeast"/>
        <w:jc w:val="center"/>
        <w:rPr>
          <w:rFonts w:ascii="宋体" w:hAnsi="宋体"/>
          <w:b/>
          <w:sz w:val="24"/>
        </w:rPr>
      </w:pPr>
      <w:r>
        <w:rPr>
          <w:rFonts w:ascii="宋体" w:hAnsi="宋体"/>
          <w:b/>
          <w:sz w:val="24"/>
        </w:rPr>
        <w:fldChar w:fldCharType="begin"/>
      </w:r>
      <w:r>
        <w:rPr>
          <w:rFonts w:ascii="宋体" w:hAnsi="宋体"/>
          <w:b/>
          <w:sz w:val="24"/>
        </w:rPr>
        <w:instrText xml:space="preserve"> </w:instrText>
      </w:r>
      <w:r>
        <w:rPr>
          <w:rFonts w:hint="eastAsia" w:ascii="宋体" w:hAnsi="宋体"/>
          <w:b/>
          <w:sz w:val="24"/>
        </w:rPr>
        <w:instrText xml:space="preserve">TOC \o "1-3" \h \z \u</w:instrText>
      </w:r>
      <w:r>
        <w:rPr>
          <w:rFonts w:ascii="宋体" w:hAnsi="宋体"/>
          <w:b/>
          <w:sz w:val="24"/>
        </w:rPr>
        <w:instrText xml:space="preserve"> </w:instrText>
      </w:r>
      <w:r>
        <w:rPr>
          <w:rFonts w:ascii="宋体" w:hAnsi="宋体"/>
          <w:b/>
          <w:sz w:val="24"/>
        </w:rPr>
        <w:fldChar w:fldCharType="separate"/>
      </w:r>
      <w:r>
        <w:fldChar w:fldCharType="begin"/>
      </w:r>
      <w:r>
        <w:instrText xml:space="preserve"> HYPERLINK \l "_Toc74322008" </w:instrText>
      </w:r>
      <w:r>
        <w:fldChar w:fldCharType="separate"/>
      </w:r>
      <w:r>
        <w:rPr>
          <w:rStyle w:val="30"/>
          <w:rFonts w:hint="eastAsia" w:ascii="宋体" w:hAnsi="宋体"/>
          <w:b/>
          <w:color w:val="auto"/>
          <w:sz w:val="24"/>
        </w:rPr>
        <w:t>第一章</w:t>
      </w:r>
      <w:r>
        <w:rPr>
          <w:rStyle w:val="30"/>
          <w:rFonts w:ascii="宋体" w:hAnsi="宋体"/>
          <w:b/>
          <w:color w:val="auto"/>
          <w:sz w:val="24"/>
        </w:rPr>
        <w:t xml:space="preserve"> </w:t>
      </w:r>
      <w:r>
        <w:rPr>
          <w:rStyle w:val="30"/>
          <w:rFonts w:hint="eastAsia" w:ascii="宋体" w:hAnsi="宋体"/>
          <w:b/>
          <w:color w:val="auto"/>
          <w:sz w:val="24"/>
        </w:rPr>
        <w:t>竞争性谈判公告</w:t>
      </w:r>
      <w:r>
        <w:rPr>
          <w:rFonts w:ascii="宋体" w:hAnsi="宋体"/>
          <w:b/>
          <w:sz w:val="24"/>
        </w:rPr>
        <w:tab/>
      </w:r>
      <w:r>
        <w:rPr>
          <w:rFonts w:ascii="宋体" w:hAnsi="宋体"/>
          <w:b/>
          <w:sz w:val="24"/>
        </w:rPr>
        <w:fldChar w:fldCharType="begin"/>
      </w:r>
      <w:r>
        <w:rPr>
          <w:rFonts w:ascii="宋体" w:hAnsi="宋体"/>
          <w:b/>
          <w:sz w:val="24"/>
        </w:rPr>
        <w:instrText xml:space="preserve"> PAGEREF _Toc74322008 \h </w:instrText>
      </w:r>
      <w:r>
        <w:rPr>
          <w:rFonts w:ascii="宋体" w:hAnsi="宋体"/>
          <w:b/>
          <w:sz w:val="24"/>
        </w:rPr>
        <w:fldChar w:fldCharType="separate"/>
      </w:r>
      <w:r>
        <w:rPr>
          <w:rFonts w:ascii="宋体" w:hAnsi="宋体"/>
          <w:b/>
          <w:sz w:val="24"/>
        </w:rPr>
        <w:t>2</w:t>
      </w:r>
      <w:r>
        <w:rPr>
          <w:rFonts w:ascii="宋体" w:hAnsi="宋体"/>
          <w:b/>
          <w:sz w:val="24"/>
        </w:rPr>
        <w:fldChar w:fldCharType="end"/>
      </w:r>
      <w:r>
        <w:rPr>
          <w:rFonts w:ascii="宋体" w:hAnsi="宋体"/>
          <w:b/>
          <w:sz w:val="24"/>
        </w:rPr>
        <w:fldChar w:fldCharType="end"/>
      </w:r>
    </w:p>
    <w:p w14:paraId="4DA654BF">
      <w:pPr>
        <w:pStyle w:val="20"/>
        <w:tabs>
          <w:tab w:val="right" w:leader="dot" w:pos="8869"/>
        </w:tabs>
        <w:snapToGrid w:val="0"/>
        <w:spacing w:line="500" w:lineRule="atLeast"/>
        <w:jc w:val="center"/>
        <w:rPr>
          <w:rFonts w:ascii="宋体" w:hAnsi="宋体"/>
          <w:b/>
          <w:sz w:val="24"/>
        </w:rPr>
      </w:pPr>
      <w:r>
        <w:fldChar w:fldCharType="begin"/>
      </w:r>
      <w:r>
        <w:instrText xml:space="preserve"> HYPERLINK \l "_Toc74322009" </w:instrText>
      </w:r>
      <w:r>
        <w:fldChar w:fldCharType="separate"/>
      </w:r>
      <w:r>
        <w:rPr>
          <w:rStyle w:val="30"/>
          <w:rFonts w:hint="eastAsia" w:ascii="宋体" w:hAnsi="宋体"/>
          <w:b/>
          <w:color w:val="auto"/>
          <w:sz w:val="24"/>
        </w:rPr>
        <w:t>第二章</w:t>
      </w:r>
      <w:r>
        <w:rPr>
          <w:rStyle w:val="30"/>
          <w:rFonts w:ascii="宋体" w:hAnsi="宋体"/>
          <w:b/>
          <w:color w:val="auto"/>
          <w:sz w:val="24"/>
        </w:rPr>
        <w:t xml:space="preserve"> </w:t>
      </w:r>
      <w:r>
        <w:rPr>
          <w:rStyle w:val="30"/>
          <w:rFonts w:hint="eastAsia" w:ascii="宋体" w:hAnsi="宋体"/>
          <w:b/>
          <w:color w:val="auto"/>
          <w:sz w:val="24"/>
        </w:rPr>
        <w:t>供应商须知</w:t>
      </w:r>
      <w:r>
        <w:rPr>
          <w:rFonts w:ascii="宋体" w:hAnsi="宋体"/>
          <w:b/>
          <w:sz w:val="24"/>
        </w:rPr>
        <w:tab/>
      </w:r>
      <w:r>
        <w:rPr>
          <w:rFonts w:ascii="宋体" w:hAnsi="宋体"/>
          <w:b/>
          <w:sz w:val="24"/>
        </w:rPr>
        <w:fldChar w:fldCharType="end"/>
      </w:r>
      <w:r>
        <w:rPr>
          <w:rFonts w:hint="eastAsia" w:ascii="宋体" w:hAnsi="宋体"/>
          <w:b/>
          <w:sz w:val="24"/>
        </w:rPr>
        <w:t>5</w:t>
      </w:r>
    </w:p>
    <w:p w14:paraId="56E9AABA">
      <w:pPr>
        <w:pStyle w:val="20"/>
        <w:tabs>
          <w:tab w:val="right" w:leader="dot" w:pos="8869"/>
        </w:tabs>
        <w:snapToGrid w:val="0"/>
        <w:spacing w:line="500" w:lineRule="atLeast"/>
        <w:jc w:val="center"/>
        <w:rPr>
          <w:rFonts w:ascii="宋体" w:hAnsi="宋体"/>
          <w:b/>
          <w:sz w:val="24"/>
        </w:rPr>
      </w:pPr>
      <w:r>
        <w:fldChar w:fldCharType="begin"/>
      </w:r>
      <w:r>
        <w:instrText xml:space="preserve"> HYPERLINK \l "_Toc74322010" </w:instrText>
      </w:r>
      <w:r>
        <w:fldChar w:fldCharType="separate"/>
      </w:r>
      <w:r>
        <w:rPr>
          <w:rStyle w:val="30"/>
          <w:rFonts w:hint="eastAsia" w:ascii="宋体" w:hAnsi="宋体"/>
          <w:b/>
          <w:color w:val="auto"/>
          <w:sz w:val="24"/>
        </w:rPr>
        <w:t>第三章</w:t>
      </w:r>
      <w:r>
        <w:rPr>
          <w:rStyle w:val="30"/>
          <w:rFonts w:ascii="宋体" w:hAnsi="宋体"/>
          <w:b/>
          <w:color w:val="auto"/>
          <w:sz w:val="24"/>
        </w:rPr>
        <w:t xml:space="preserve"> </w:t>
      </w:r>
      <w:r>
        <w:rPr>
          <w:rStyle w:val="30"/>
          <w:rFonts w:hint="eastAsia" w:ascii="宋体" w:hAnsi="宋体"/>
          <w:b/>
          <w:color w:val="auto"/>
          <w:sz w:val="24"/>
        </w:rPr>
        <w:t>采购需求</w:t>
      </w:r>
      <w:bookmarkStart w:id="0" w:name="_Hlt82166985"/>
      <w:r>
        <w:rPr>
          <w:rFonts w:ascii="宋体" w:hAnsi="宋体"/>
          <w:b/>
          <w:sz w:val="24"/>
        </w:rPr>
        <w:tab/>
      </w:r>
      <w:bookmarkEnd w:id="0"/>
      <w:r>
        <w:rPr>
          <w:rFonts w:ascii="宋体" w:hAnsi="宋体"/>
          <w:b/>
          <w:sz w:val="24"/>
        </w:rPr>
        <w:fldChar w:fldCharType="end"/>
      </w:r>
      <w:r>
        <w:rPr>
          <w:rFonts w:hint="eastAsia" w:ascii="宋体" w:hAnsi="宋体"/>
          <w:b/>
          <w:sz w:val="24"/>
        </w:rPr>
        <w:t>20</w:t>
      </w:r>
    </w:p>
    <w:p w14:paraId="414F787D">
      <w:pPr>
        <w:pStyle w:val="20"/>
        <w:tabs>
          <w:tab w:val="right" w:leader="dot" w:pos="8869"/>
        </w:tabs>
        <w:snapToGrid w:val="0"/>
        <w:spacing w:line="500" w:lineRule="atLeast"/>
        <w:jc w:val="center"/>
        <w:rPr>
          <w:rFonts w:ascii="宋体" w:hAnsi="宋体"/>
          <w:b/>
          <w:sz w:val="24"/>
        </w:rPr>
      </w:pPr>
      <w:r>
        <w:fldChar w:fldCharType="begin"/>
      </w:r>
      <w:r>
        <w:instrText xml:space="preserve"> HYPERLINK \l "_Toc74322011" </w:instrText>
      </w:r>
      <w:r>
        <w:fldChar w:fldCharType="separate"/>
      </w:r>
      <w:r>
        <w:rPr>
          <w:rStyle w:val="30"/>
          <w:rFonts w:hint="eastAsia" w:ascii="宋体" w:hAnsi="宋体"/>
          <w:b/>
          <w:color w:val="auto"/>
          <w:sz w:val="24"/>
        </w:rPr>
        <w:t>第四章</w:t>
      </w:r>
      <w:r>
        <w:rPr>
          <w:rStyle w:val="30"/>
          <w:rFonts w:ascii="宋体" w:hAnsi="宋体"/>
          <w:b/>
          <w:color w:val="auto"/>
          <w:sz w:val="24"/>
        </w:rPr>
        <w:t xml:space="preserve"> </w:t>
      </w:r>
      <w:r>
        <w:rPr>
          <w:rStyle w:val="30"/>
          <w:rFonts w:hint="eastAsia" w:ascii="宋体" w:hAnsi="宋体"/>
          <w:b/>
          <w:color w:val="auto"/>
          <w:sz w:val="24"/>
        </w:rPr>
        <w:t>评审程序和评定成交的标准</w:t>
      </w:r>
      <w:r>
        <w:rPr>
          <w:rFonts w:ascii="宋体" w:hAnsi="宋体"/>
          <w:b/>
          <w:sz w:val="24"/>
        </w:rPr>
        <w:tab/>
      </w:r>
      <w:r>
        <w:rPr>
          <w:rFonts w:ascii="宋体" w:hAnsi="宋体"/>
          <w:b/>
          <w:sz w:val="24"/>
        </w:rPr>
        <w:fldChar w:fldCharType="end"/>
      </w:r>
      <w:r>
        <w:rPr>
          <w:rFonts w:hint="eastAsia" w:ascii="宋体" w:hAnsi="宋体"/>
          <w:b/>
          <w:sz w:val="24"/>
        </w:rPr>
        <w:t>25</w:t>
      </w:r>
    </w:p>
    <w:p w14:paraId="3A9E58BE">
      <w:pPr>
        <w:pStyle w:val="20"/>
        <w:tabs>
          <w:tab w:val="right" w:leader="dot" w:pos="8869"/>
        </w:tabs>
        <w:snapToGrid w:val="0"/>
        <w:spacing w:line="500" w:lineRule="atLeast"/>
        <w:jc w:val="center"/>
        <w:rPr>
          <w:rFonts w:ascii="宋体" w:hAnsi="宋体"/>
          <w:b/>
          <w:sz w:val="24"/>
        </w:rPr>
      </w:pPr>
      <w:r>
        <w:fldChar w:fldCharType="begin"/>
      </w:r>
      <w:r>
        <w:instrText xml:space="preserve"> HYPERLINK \l "_Toc74322012" </w:instrText>
      </w:r>
      <w:r>
        <w:fldChar w:fldCharType="separate"/>
      </w:r>
      <w:r>
        <w:rPr>
          <w:rStyle w:val="30"/>
          <w:rFonts w:hint="eastAsia" w:ascii="宋体" w:hAnsi="宋体"/>
          <w:b/>
          <w:color w:val="auto"/>
          <w:sz w:val="24"/>
        </w:rPr>
        <w:t>第五章</w:t>
      </w:r>
      <w:r>
        <w:rPr>
          <w:rStyle w:val="30"/>
          <w:rFonts w:ascii="宋体" w:hAnsi="宋体"/>
          <w:b/>
          <w:color w:val="auto"/>
          <w:sz w:val="24"/>
        </w:rPr>
        <w:t xml:space="preserve"> </w:t>
      </w:r>
      <w:r>
        <w:rPr>
          <w:rStyle w:val="30"/>
          <w:rFonts w:hint="eastAsia" w:ascii="宋体" w:hAnsi="宋体"/>
          <w:b/>
          <w:color w:val="auto"/>
          <w:sz w:val="24"/>
        </w:rPr>
        <w:t>响应文件格式</w:t>
      </w:r>
      <w:r>
        <w:rPr>
          <w:rFonts w:ascii="宋体" w:hAnsi="宋体"/>
          <w:b/>
          <w:sz w:val="24"/>
        </w:rPr>
        <w:tab/>
      </w:r>
      <w:r>
        <w:rPr>
          <w:rFonts w:ascii="宋体" w:hAnsi="宋体"/>
          <w:b/>
          <w:sz w:val="24"/>
        </w:rPr>
        <w:fldChar w:fldCharType="end"/>
      </w:r>
      <w:r>
        <w:rPr>
          <w:rFonts w:hint="eastAsia" w:ascii="宋体" w:hAnsi="宋体"/>
          <w:b/>
          <w:sz w:val="24"/>
        </w:rPr>
        <w:t>30</w:t>
      </w:r>
    </w:p>
    <w:p w14:paraId="2FB4C3C5">
      <w:pPr>
        <w:pStyle w:val="20"/>
        <w:tabs>
          <w:tab w:val="right" w:leader="dot" w:pos="8869"/>
        </w:tabs>
        <w:snapToGrid w:val="0"/>
        <w:spacing w:line="500" w:lineRule="atLeast"/>
        <w:jc w:val="center"/>
        <w:rPr>
          <w:rFonts w:ascii="宋体" w:hAnsi="宋体"/>
          <w:b/>
          <w:sz w:val="24"/>
        </w:rPr>
      </w:pPr>
      <w:r>
        <w:fldChar w:fldCharType="begin"/>
      </w:r>
      <w:r>
        <w:instrText xml:space="preserve"> HYPERLINK \l "_Toc74322013" </w:instrText>
      </w:r>
      <w:r>
        <w:fldChar w:fldCharType="separate"/>
      </w:r>
      <w:r>
        <w:rPr>
          <w:rStyle w:val="30"/>
          <w:rFonts w:hint="eastAsia" w:ascii="宋体" w:hAnsi="宋体"/>
          <w:b/>
          <w:color w:val="auto"/>
          <w:sz w:val="24"/>
        </w:rPr>
        <w:t>第六章</w:t>
      </w:r>
      <w:r>
        <w:rPr>
          <w:rStyle w:val="30"/>
          <w:rFonts w:ascii="宋体" w:hAnsi="宋体"/>
          <w:b/>
          <w:color w:val="auto"/>
          <w:sz w:val="24"/>
        </w:rPr>
        <w:t xml:space="preserve"> </w:t>
      </w:r>
      <w:r>
        <w:rPr>
          <w:rStyle w:val="30"/>
          <w:rFonts w:hint="eastAsia" w:ascii="宋体" w:hAnsi="宋体"/>
          <w:b/>
          <w:color w:val="auto"/>
          <w:sz w:val="24"/>
        </w:rPr>
        <w:t>合同文本</w:t>
      </w:r>
      <w:r>
        <w:rPr>
          <w:rFonts w:ascii="宋体" w:hAnsi="宋体"/>
          <w:b/>
          <w:sz w:val="24"/>
        </w:rPr>
        <w:tab/>
      </w:r>
      <w:r>
        <w:rPr>
          <w:rFonts w:ascii="宋体" w:hAnsi="宋体"/>
          <w:b/>
          <w:sz w:val="24"/>
        </w:rPr>
        <w:fldChar w:fldCharType="end"/>
      </w:r>
      <w:r>
        <w:rPr>
          <w:rFonts w:hint="eastAsia" w:ascii="宋体" w:hAnsi="宋体"/>
          <w:b/>
          <w:sz w:val="24"/>
        </w:rPr>
        <w:t>56</w:t>
      </w:r>
    </w:p>
    <w:p w14:paraId="3C27A054">
      <w:pPr>
        <w:pStyle w:val="21"/>
        <w:tabs>
          <w:tab w:val="right" w:leader="dot" w:pos="8931"/>
          <w:tab w:val="clear" w:pos="8296"/>
        </w:tabs>
        <w:snapToGrid w:val="0"/>
        <w:spacing w:line="500" w:lineRule="atLeast"/>
        <w:ind w:left="0" w:leftChars="0"/>
        <w:jc w:val="center"/>
        <w:rPr>
          <w:rFonts w:ascii="宋体" w:hAnsi="宋体"/>
          <w:b/>
          <w:sz w:val="24"/>
        </w:rPr>
      </w:pPr>
      <w:r>
        <w:rPr>
          <w:rFonts w:ascii="宋体" w:hAnsi="宋体"/>
          <w:b/>
          <w:sz w:val="24"/>
        </w:rPr>
        <w:fldChar w:fldCharType="end"/>
      </w:r>
    </w:p>
    <w:p w14:paraId="55C3E81A">
      <w:pPr>
        <w:spacing w:line="400" w:lineRule="exact"/>
        <w:jc w:val="left"/>
        <w:rPr>
          <w:rFonts w:ascii="宋体" w:hAnsi="宋体"/>
          <w:b/>
          <w:sz w:val="32"/>
          <w:szCs w:val="32"/>
        </w:rPr>
      </w:pPr>
    </w:p>
    <w:p w14:paraId="7DAC4696">
      <w:pPr>
        <w:spacing w:line="400" w:lineRule="exact"/>
        <w:jc w:val="center"/>
        <w:rPr>
          <w:rFonts w:ascii="宋体" w:hAnsi="宋体"/>
          <w:b/>
          <w:sz w:val="32"/>
          <w:szCs w:val="32"/>
        </w:rPr>
      </w:pPr>
    </w:p>
    <w:p w14:paraId="17E1178B">
      <w:pPr>
        <w:spacing w:line="400" w:lineRule="exact"/>
        <w:jc w:val="center"/>
        <w:rPr>
          <w:rFonts w:ascii="宋体" w:hAnsi="宋体"/>
          <w:b/>
          <w:sz w:val="32"/>
          <w:szCs w:val="32"/>
        </w:rPr>
      </w:pPr>
    </w:p>
    <w:p w14:paraId="3C6F5317">
      <w:pPr>
        <w:spacing w:line="400" w:lineRule="exact"/>
        <w:jc w:val="center"/>
        <w:rPr>
          <w:rFonts w:ascii="宋体" w:hAnsi="宋体"/>
          <w:b/>
          <w:sz w:val="32"/>
          <w:szCs w:val="32"/>
        </w:rPr>
      </w:pPr>
    </w:p>
    <w:p w14:paraId="323FBB74">
      <w:pPr>
        <w:spacing w:line="400" w:lineRule="exact"/>
        <w:jc w:val="center"/>
        <w:rPr>
          <w:rFonts w:ascii="宋体" w:hAnsi="宋体"/>
          <w:b/>
          <w:sz w:val="32"/>
          <w:szCs w:val="32"/>
        </w:rPr>
      </w:pPr>
    </w:p>
    <w:p w14:paraId="24BA3AC2">
      <w:pPr>
        <w:spacing w:line="400" w:lineRule="exact"/>
        <w:rPr>
          <w:rFonts w:ascii="宋体" w:hAnsi="宋体"/>
          <w:b/>
          <w:sz w:val="32"/>
          <w:szCs w:val="32"/>
        </w:rPr>
        <w:sectPr>
          <w:headerReference r:id="rId3" w:type="default"/>
          <w:footerReference r:id="rId4" w:type="default"/>
          <w:pgSz w:w="11906" w:h="16838"/>
          <w:pgMar w:top="1134" w:right="1134" w:bottom="1134" w:left="1134" w:header="851" w:footer="992" w:gutter="0"/>
          <w:pgNumType w:start="0"/>
          <w:cols w:space="720" w:num="1"/>
          <w:titlePg/>
          <w:docGrid w:type="lines" w:linePitch="312" w:charSpace="0"/>
        </w:sectPr>
      </w:pPr>
    </w:p>
    <w:p w14:paraId="10B48170">
      <w:pPr>
        <w:pStyle w:val="3"/>
        <w:spacing w:line="360" w:lineRule="atLeast"/>
        <w:jc w:val="center"/>
        <w:rPr>
          <w:rFonts w:ascii="宋体" w:hAnsi="宋体"/>
          <w:b w:val="0"/>
          <w:bCs w:val="0"/>
          <w:sz w:val="32"/>
          <w:szCs w:val="32"/>
        </w:rPr>
      </w:pPr>
      <w:bookmarkStart w:id="1" w:name="_Toc74322008"/>
      <w:r>
        <w:rPr>
          <w:rFonts w:hint="eastAsia"/>
        </w:rPr>
        <w:t>第一章 竞争性谈判公告</w:t>
      </w:r>
      <w:bookmarkEnd w:id="1"/>
    </w:p>
    <w:p w14:paraId="50298165">
      <w:pPr>
        <w:pStyle w:val="16"/>
        <w:spacing w:line="360" w:lineRule="atLeast"/>
        <w:jc w:val="center"/>
        <w:rPr>
          <w:b/>
          <w:sz w:val="32"/>
          <w:szCs w:val="32"/>
        </w:rPr>
      </w:pPr>
      <w:r>
        <w:rPr>
          <w:rFonts w:hint="eastAsia"/>
          <w:b/>
          <w:sz w:val="32"/>
          <w:szCs w:val="32"/>
        </w:rPr>
        <w:t>广西科文招标有限公司</w:t>
      </w:r>
    </w:p>
    <w:p w14:paraId="7BF7F5C0">
      <w:pPr>
        <w:spacing w:line="360" w:lineRule="atLeast"/>
        <w:jc w:val="center"/>
        <w:rPr>
          <w:rFonts w:ascii="宋体" w:hAnsi="Courier New"/>
          <w:b/>
          <w:kern w:val="0"/>
          <w:sz w:val="32"/>
          <w:szCs w:val="32"/>
        </w:rPr>
      </w:pPr>
      <w:r>
        <w:rPr>
          <w:rFonts w:hint="eastAsia" w:ascii="宋体" w:hAnsi="Courier New"/>
          <w:b/>
          <w:kern w:val="0"/>
          <w:sz w:val="32"/>
          <w:szCs w:val="32"/>
        </w:rPr>
        <w:t>玉林市殡仪馆柴油采购(</w:t>
      </w:r>
      <w:r>
        <w:rPr>
          <w:rFonts w:hint="eastAsia" w:ascii="宋体" w:hAnsi="Courier New"/>
          <w:b/>
          <w:kern w:val="0"/>
          <w:sz w:val="32"/>
          <w:szCs w:val="32"/>
          <w:lang w:eastAsia="zh-CN"/>
        </w:rPr>
        <w:t>YLZC2025-J1-990226-KWZB</w:t>
      </w:r>
      <w:r>
        <w:rPr>
          <w:rFonts w:hint="eastAsia" w:ascii="宋体" w:hAnsi="Courier New"/>
          <w:b/>
          <w:kern w:val="0"/>
          <w:sz w:val="32"/>
          <w:szCs w:val="32"/>
        </w:rPr>
        <w:t>)</w:t>
      </w:r>
    </w:p>
    <w:p w14:paraId="7E84B438">
      <w:pPr>
        <w:spacing w:line="360" w:lineRule="atLeast"/>
        <w:jc w:val="center"/>
        <w:rPr>
          <w:rFonts w:ascii="宋体" w:hAnsi="Courier New"/>
          <w:b/>
          <w:kern w:val="0"/>
          <w:sz w:val="32"/>
          <w:szCs w:val="32"/>
        </w:rPr>
      </w:pPr>
      <w:r>
        <w:rPr>
          <w:rFonts w:hint="eastAsia" w:ascii="宋体" w:hAnsi="Courier New"/>
          <w:b/>
          <w:kern w:val="0"/>
          <w:sz w:val="32"/>
          <w:szCs w:val="32"/>
        </w:rPr>
        <w:t>竞争性谈判公告</w:t>
      </w:r>
    </w:p>
    <w:p w14:paraId="72146B73">
      <w:pPr>
        <w:spacing w:line="360" w:lineRule="auto"/>
        <w:rPr>
          <w:rFonts w:ascii="宋体" w:hAnsi="宋体"/>
          <w:szCs w:val="21"/>
        </w:rPr>
      </w:pPr>
    </w:p>
    <w:p w14:paraId="5203B916">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bookmarkStart w:id="2" w:name="_Hlk37430271"/>
      <w:r>
        <w:rPr>
          <w:rFonts w:hint="eastAsia" w:ascii="宋体" w:hAnsi="宋体"/>
          <w:szCs w:val="21"/>
        </w:rPr>
        <w:t>项目概况</w:t>
      </w:r>
    </w:p>
    <w:p w14:paraId="2D08B6B5">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rPr>
        <w:t>玉林市殡仪馆柴油采购项目的潜在供应商应在广西政府采购云平台（https://www.gcy.zfcg.gxzf.gov.cn/）获取（下载）竞争性谈判文件，并于2025年</w:t>
      </w:r>
      <w:r>
        <w:rPr>
          <w:rFonts w:hint="eastAsia" w:ascii="宋体" w:hAnsi="宋体"/>
          <w:szCs w:val="21"/>
          <w:lang w:eastAsia="zh-CN"/>
        </w:rPr>
        <w:t>8月6日</w:t>
      </w:r>
      <w:r>
        <w:rPr>
          <w:rFonts w:hint="eastAsia" w:ascii="宋体" w:hAnsi="宋体"/>
          <w:szCs w:val="21"/>
        </w:rPr>
        <w:t>9时00分（北京时间）前提交响应</w:t>
      </w:r>
      <w:r>
        <w:rPr>
          <w:rFonts w:ascii="宋体" w:hAnsi="宋体"/>
          <w:szCs w:val="21"/>
        </w:rPr>
        <w:t>文件</w:t>
      </w:r>
      <w:r>
        <w:rPr>
          <w:rFonts w:hint="eastAsia" w:ascii="宋体" w:hAnsi="宋体"/>
          <w:szCs w:val="21"/>
        </w:rPr>
        <w:t>。</w:t>
      </w:r>
    </w:p>
    <w:p w14:paraId="0CB0CAEB">
      <w:pPr>
        <w:spacing w:line="380" w:lineRule="exact"/>
        <w:ind w:firstLine="361" w:firstLineChars="150"/>
        <w:rPr>
          <w:rFonts w:ascii="黑体" w:hAnsi="黑体" w:eastAsia="黑体"/>
          <w:b/>
          <w:bCs/>
          <w:sz w:val="24"/>
        </w:rPr>
      </w:pPr>
      <w:bookmarkStart w:id="3" w:name="_Toc28359095"/>
      <w:bookmarkStart w:id="4" w:name="_Toc28359018"/>
      <w:bookmarkStart w:id="5" w:name="_Toc71366047"/>
      <w:bookmarkStart w:id="6" w:name="_Toc35393805"/>
      <w:bookmarkStart w:id="7" w:name="_Toc35393636"/>
      <w:bookmarkStart w:id="8" w:name="_Toc71365369"/>
      <w:r>
        <w:rPr>
          <w:rFonts w:hint="eastAsia" w:ascii="黑体" w:hAnsi="黑体" w:eastAsia="黑体"/>
          <w:b/>
          <w:bCs/>
          <w:sz w:val="24"/>
        </w:rPr>
        <w:t>一、项目基本情况</w:t>
      </w:r>
    </w:p>
    <w:p w14:paraId="349C6640">
      <w:pPr>
        <w:spacing w:line="380" w:lineRule="exact"/>
        <w:ind w:firstLine="420" w:firstLineChars="200"/>
        <w:rPr>
          <w:rFonts w:hint="eastAsia" w:ascii="宋体" w:hAnsi="宋体" w:eastAsia="宋体"/>
          <w:szCs w:val="21"/>
          <w:lang w:eastAsia="zh-CN"/>
        </w:rPr>
      </w:pPr>
      <w:r>
        <w:rPr>
          <w:rFonts w:hint="eastAsia" w:ascii="宋体" w:hAnsi="宋体"/>
          <w:szCs w:val="21"/>
        </w:rPr>
        <w:t>项目编号：</w:t>
      </w:r>
      <w:r>
        <w:rPr>
          <w:rFonts w:hint="eastAsia" w:ascii="宋体" w:hAnsi="宋体"/>
          <w:szCs w:val="21"/>
          <w:lang w:eastAsia="zh-CN"/>
        </w:rPr>
        <w:t>YLZC2025-J1-990226-KWZB</w:t>
      </w:r>
    </w:p>
    <w:p w14:paraId="195EC0AD">
      <w:pPr>
        <w:spacing w:line="380" w:lineRule="exact"/>
        <w:ind w:firstLine="420" w:firstLineChars="200"/>
        <w:rPr>
          <w:rFonts w:ascii="宋体" w:hAnsi="宋体"/>
          <w:szCs w:val="21"/>
        </w:rPr>
      </w:pPr>
      <w:r>
        <w:rPr>
          <w:rFonts w:hint="eastAsia" w:ascii="宋体" w:hAnsi="宋体"/>
          <w:szCs w:val="21"/>
        </w:rPr>
        <w:t>项目名称：玉林市殡仪馆柴油采购</w:t>
      </w:r>
    </w:p>
    <w:p w14:paraId="1589BB44">
      <w:pPr>
        <w:spacing w:line="380" w:lineRule="exact"/>
        <w:ind w:firstLine="420" w:firstLineChars="200"/>
        <w:rPr>
          <w:rFonts w:ascii="宋体" w:hAnsi="宋体"/>
          <w:szCs w:val="21"/>
        </w:rPr>
      </w:pPr>
      <w:r>
        <w:rPr>
          <w:rFonts w:hint="eastAsia" w:ascii="宋体" w:hAnsi="宋体"/>
          <w:szCs w:val="21"/>
        </w:rPr>
        <w:t>采购方式：竞争性谈判</w:t>
      </w:r>
    </w:p>
    <w:p w14:paraId="5E6DCC57">
      <w:pPr>
        <w:spacing w:line="380" w:lineRule="exact"/>
        <w:ind w:firstLine="420" w:firstLineChars="200"/>
        <w:rPr>
          <w:rFonts w:ascii="宋体" w:hAnsi="宋体"/>
          <w:szCs w:val="21"/>
        </w:rPr>
      </w:pPr>
      <w:r>
        <w:rPr>
          <w:rFonts w:hint="eastAsia" w:ascii="宋体" w:hAnsi="宋体"/>
          <w:szCs w:val="21"/>
        </w:rPr>
        <w:t>预算金额：100万元</w:t>
      </w:r>
    </w:p>
    <w:p w14:paraId="2B4A498D">
      <w:pPr>
        <w:spacing w:line="380" w:lineRule="exact"/>
        <w:ind w:firstLine="420" w:firstLineChars="200"/>
        <w:rPr>
          <w:rFonts w:hint="eastAsia" w:ascii="宋体" w:hAnsi="宋体" w:eastAsia="宋体"/>
          <w:szCs w:val="21"/>
          <w:lang w:val="en-US" w:eastAsia="zh-CN"/>
        </w:rPr>
      </w:pPr>
      <w:r>
        <w:rPr>
          <w:rFonts w:hint="eastAsia" w:ascii="宋体" w:hAnsi="宋体"/>
          <w:szCs w:val="21"/>
        </w:rPr>
        <w:t>最高限价：</w:t>
      </w:r>
      <w:r>
        <w:rPr>
          <w:rFonts w:hint="eastAsia" w:ascii="宋体" w:hAnsi="宋体"/>
          <w:szCs w:val="21"/>
          <w:lang w:val="en-US" w:eastAsia="zh-CN"/>
        </w:rPr>
        <w:t>/</w:t>
      </w:r>
    </w:p>
    <w:p w14:paraId="14667FAB">
      <w:pPr>
        <w:spacing w:line="380" w:lineRule="exact"/>
        <w:ind w:firstLine="420" w:firstLineChars="200"/>
        <w:rPr>
          <w:rFonts w:ascii="宋体" w:hAnsi="宋体"/>
          <w:szCs w:val="21"/>
        </w:rPr>
      </w:pPr>
      <w:r>
        <w:rPr>
          <w:rFonts w:hint="eastAsia" w:ascii="宋体" w:hAnsi="宋体"/>
          <w:szCs w:val="21"/>
        </w:rPr>
        <w:t>采购需求：</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6"/>
        <w:gridCol w:w="1352"/>
        <w:gridCol w:w="1307"/>
        <w:gridCol w:w="6526"/>
      </w:tblGrid>
      <w:tr w14:paraId="516DCF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9841" w:type="dxa"/>
            <w:gridSpan w:val="4"/>
            <w:tcBorders>
              <w:top w:val="single" w:color="auto" w:sz="4" w:space="0"/>
              <w:left w:val="single" w:color="auto" w:sz="4" w:space="0"/>
              <w:bottom w:val="single" w:color="auto" w:sz="4" w:space="0"/>
              <w:right w:val="single" w:color="auto" w:sz="4" w:space="0"/>
            </w:tcBorders>
            <w:vAlign w:val="bottom"/>
          </w:tcPr>
          <w:p w14:paraId="1FE19052">
            <w:pPr>
              <w:snapToGrid w:val="0"/>
              <w:spacing w:line="360" w:lineRule="auto"/>
              <w:jc w:val="left"/>
              <w:rPr>
                <w:rFonts w:ascii="宋体" w:hAnsi="宋体"/>
                <w:szCs w:val="21"/>
              </w:rPr>
            </w:pPr>
            <w:r>
              <w:rPr>
                <w:rFonts w:hint="eastAsia" w:ascii="宋体" w:hAnsi="宋体"/>
                <w:szCs w:val="21"/>
              </w:rPr>
              <w:t>预算金额：100万元</w:t>
            </w:r>
          </w:p>
        </w:tc>
      </w:tr>
      <w:tr w14:paraId="03538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56" w:type="dxa"/>
            <w:tcBorders>
              <w:top w:val="single" w:color="auto" w:sz="4" w:space="0"/>
              <w:left w:val="single" w:color="auto" w:sz="4" w:space="0"/>
              <w:bottom w:val="single" w:color="auto" w:sz="4" w:space="0"/>
              <w:right w:val="single" w:color="auto" w:sz="4" w:space="0"/>
            </w:tcBorders>
            <w:vAlign w:val="bottom"/>
          </w:tcPr>
          <w:p w14:paraId="1607F5CA">
            <w:pPr>
              <w:snapToGrid w:val="0"/>
              <w:spacing w:line="360" w:lineRule="auto"/>
              <w:jc w:val="center"/>
              <w:rPr>
                <w:rFonts w:ascii="宋体" w:hAnsi="宋体"/>
                <w:szCs w:val="21"/>
              </w:rPr>
            </w:pPr>
            <w:r>
              <w:rPr>
                <w:rFonts w:hint="eastAsia" w:ascii="宋体" w:hAnsi="宋体"/>
                <w:szCs w:val="21"/>
              </w:rPr>
              <w:t>序号</w:t>
            </w:r>
          </w:p>
        </w:tc>
        <w:tc>
          <w:tcPr>
            <w:tcW w:w="1352" w:type="dxa"/>
            <w:tcBorders>
              <w:top w:val="single" w:color="auto" w:sz="4" w:space="0"/>
              <w:left w:val="single" w:color="auto" w:sz="4" w:space="0"/>
              <w:bottom w:val="single" w:color="auto" w:sz="4" w:space="0"/>
              <w:right w:val="single" w:color="auto" w:sz="4" w:space="0"/>
            </w:tcBorders>
            <w:vAlign w:val="bottom"/>
          </w:tcPr>
          <w:p w14:paraId="29DC8A23">
            <w:pPr>
              <w:snapToGrid w:val="0"/>
              <w:spacing w:line="360" w:lineRule="auto"/>
              <w:jc w:val="center"/>
              <w:rPr>
                <w:rFonts w:ascii="宋体" w:hAnsi="宋体"/>
                <w:szCs w:val="21"/>
              </w:rPr>
            </w:pPr>
            <w:r>
              <w:rPr>
                <w:rFonts w:hint="eastAsia" w:ascii="宋体" w:hAnsi="宋体"/>
                <w:szCs w:val="21"/>
              </w:rPr>
              <w:t>标的的名称</w:t>
            </w:r>
          </w:p>
        </w:tc>
        <w:tc>
          <w:tcPr>
            <w:tcW w:w="1307" w:type="dxa"/>
            <w:tcBorders>
              <w:top w:val="single" w:color="auto" w:sz="4" w:space="0"/>
              <w:left w:val="single" w:color="auto" w:sz="4" w:space="0"/>
              <w:bottom w:val="single" w:color="auto" w:sz="4" w:space="0"/>
              <w:right w:val="single" w:color="auto" w:sz="4" w:space="0"/>
            </w:tcBorders>
            <w:vAlign w:val="bottom"/>
          </w:tcPr>
          <w:p w14:paraId="194415AB">
            <w:pPr>
              <w:snapToGrid w:val="0"/>
              <w:spacing w:line="360" w:lineRule="auto"/>
              <w:jc w:val="center"/>
              <w:rPr>
                <w:rFonts w:ascii="宋体" w:hAnsi="宋体"/>
                <w:szCs w:val="21"/>
              </w:rPr>
            </w:pPr>
            <w:r>
              <w:rPr>
                <w:rFonts w:hint="eastAsia" w:ascii="宋体" w:hAnsi="宋体"/>
                <w:szCs w:val="21"/>
              </w:rPr>
              <w:t>数量/单位</w:t>
            </w:r>
          </w:p>
        </w:tc>
        <w:tc>
          <w:tcPr>
            <w:tcW w:w="6526" w:type="dxa"/>
            <w:tcBorders>
              <w:top w:val="single" w:color="auto" w:sz="4" w:space="0"/>
              <w:left w:val="single" w:color="auto" w:sz="4" w:space="0"/>
              <w:bottom w:val="single" w:color="auto" w:sz="4" w:space="0"/>
              <w:right w:val="single" w:color="auto" w:sz="4" w:space="0"/>
            </w:tcBorders>
            <w:vAlign w:val="bottom"/>
          </w:tcPr>
          <w:p w14:paraId="06163D4F">
            <w:pPr>
              <w:snapToGrid w:val="0"/>
              <w:spacing w:line="360" w:lineRule="auto"/>
              <w:jc w:val="center"/>
              <w:rPr>
                <w:rFonts w:ascii="宋体" w:hAnsi="宋体"/>
                <w:szCs w:val="21"/>
              </w:rPr>
            </w:pPr>
            <w:r>
              <w:rPr>
                <w:rFonts w:hint="eastAsia" w:ascii="宋体" w:hAnsi="宋体"/>
                <w:szCs w:val="21"/>
              </w:rPr>
              <w:t>简要技术需求或者货物要求</w:t>
            </w:r>
          </w:p>
        </w:tc>
      </w:tr>
      <w:tr w14:paraId="36E89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14:paraId="6D70AE3E">
            <w:pPr>
              <w:snapToGrid w:val="0"/>
              <w:spacing w:line="360" w:lineRule="auto"/>
              <w:jc w:val="center"/>
              <w:rPr>
                <w:rFonts w:ascii="宋体" w:hAnsi="宋体"/>
                <w:szCs w:val="21"/>
              </w:rPr>
            </w:pPr>
            <w:r>
              <w:rPr>
                <w:rFonts w:hint="eastAsia" w:ascii="宋体" w:hAnsi="宋体"/>
                <w:szCs w:val="21"/>
              </w:rPr>
              <w:t>1</w:t>
            </w:r>
          </w:p>
        </w:tc>
        <w:tc>
          <w:tcPr>
            <w:tcW w:w="1352" w:type="dxa"/>
            <w:tcBorders>
              <w:top w:val="single" w:color="auto" w:sz="4" w:space="0"/>
              <w:left w:val="single" w:color="auto" w:sz="4" w:space="0"/>
              <w:bottom w:val="single" w:color="auto" w:sz="4" w:space="0"/>
              <w:right w:val="single" w:color="auto" w:sz="4" w:space="0"/>
            </w:tcBorders>
            <w:vAlign w:val="center"/>
          </w:tcPr>
          <w:p w14:paraId="1767FFEC">
            <w:pPr>
              <w:snapToGrid w:val="0"/>
              <w:spacing w:line="360" w:lineRule="auto"/>
              <w:jc w:val="center"/>
              <w:rPr>
                <w:rFonts w:ascii="宋体" w:hAnsi="宋体"/>
                <w:szCs w:val="21"/>
              </w:rPr>
            </w:pPr>
            <w:r>
              <w:rPr>
                <w:rFonts w:hint="eastAsia" w:ascii="宋体" w:hAnsi="宋体"/>
                <w:szCs w:val="21"/>
              </w:rPr>
              <w:t>柴油</w:t>
            </w:r>
          </w:p>
        </w:tc>
        <w:tc>
          <w:tcPr>
            <w:tcW w:w="1307" w:type="dxa"/>
            <w:tcBorders>
              <w:top w:val="single" w:color="auto" w:sz="4" w:space="0"/>
              <w:left w:val="single" w:color="auto" w:sz="4" w:space="0"/>
              <w:bottom w:val="single" w:color="auto" w:sz="4" w:space="0"/>
              <w:right w:val="single" w:color="auto" w:sz="4" w:space="0"/>
            </w:tcBorders>
            <w:vAlign w:val="center"/>
          </w:tcPr>
          <w:p w14:paraId="35B291BD">
            <w:pPr>
              <w:snapToGrid w:val="0"/>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eastAsia="zh-CN"/>
              </w:rPr>
              <w:t>宗</w:t>
            </w:r>
          </w:p>
        </w:tc>
        <w:tc>
          <w:tcPr>
            <w:tcW w:w="6526" w:type="dxa"/>
            <w:tcBorders>
              <w:top w:val="single" w:color="auto" w:sz="4" w:space="0"/>
              <w:left w:val="single" w:color="auto" w:sz="4" w:space="0"/>
              <w:bottom w:val="single" w:color="auto" w:sz="4" w:space="0"/>
              <w:right w:val="single" w:color="auto" w:sz="4" w:space="0"/>
            </w:tcBorders>
            <w:vAlign w:val="center"/>
          </w:tcPr>
          <w:p w14:paraId="53102A54">
            <w:pPr>
              <w:spacing w:line="400" w:lineRule="atLeast"/>
              <w:jc w:val="left"/>
              <w:rPr>
                <w:rFonts w:ascii="宋体" w:hAnsi="宋体" w:cs="宋体"/>
                <w:szCs w:val="21"/>
              </w:rPr>
            </w:pPr>
            <w:r>
              <w:rPr>
                <w:rFonts w:hint="eastAsia" w:ascii="宋体" w:hAnsi="宋体" w:cs="宋体"/>
                <w:szCs w:val="21"/>
              </w:rPr>
              <w:t>1、十六烷值不小于（发热量）45，符合GB/T386；</w:t>
            </w:r>
          </w:p>
          <w:p w14:paraId="585E0F84">
            <w:pPr>
              <w:spacing w:line="400" w:lineRule="atLeast"/>
              <w:jc w:val="left"/>
              <w:rPr>
                <w:rFonts w:ascii="宋体" w:hAnsi="宋体" w:cs="宋体"/>
                <w:szCs w:val="21"/>
              </w:rPr>
            </w:pPr>
            <w:r>
              <w:rPr>
                <w:rFonts w:hint="eastAsia" w:ascii="宋体" w:hAnsi="宋体" w:cs="宋体"/>
                <w:szCs w:val="21"/>
              </w:rPr>
              <w:t>2、馏程符合GB/T6536，50%馏出温度：不高于300℃，90%馏出温度：</w:t>
            </w:r>
          </w:p>
          <w:p w14:paraId="0A5289C1">
            <w:pPr>
              <w:snapToGrid w:val="0"/>
              <w:spacing w:line="360" w:lineRule="auto"/>
              <w:jc w:val="left"/>
              <w:rPr>
                <w:rFonts w:ascii="宋体" w:hAnsi="宋体"/>
                <w:szCs w:val="21"/>
              </w:rPr>
            </w:pPr>
            <w:r>
              <w:rPr>
                <w:rFonts w:hint="eastAsia" w:ascii="宋体" w:hAnsi="宋体" w:cs="宋体"/>
                <w:szCs w:val="21"/>
                <w:lang w:val="zh-CN"/>
              </w:rPr>
              <w:t>…</w:t>
            </w:r>
          </w:p>
        </w:tc>
      </w:tr>
    </w:tbl>
    <w:p w14:paraId="2E03BD0C">
      <w:pPr>
        <w:spacing w:line="360" w:lineRule="exact"/>
        <w:ind w:firstLine="420" w:firstLineChars="200"/>
        <w:rPr>
          <w:rFonts w:hint="eastAsia" w:ascii="宋体" w:hAnsi="宋体"/>
          <w:szCs w:val="21"/>
        </w:rPr>
      </w:pPr>
      <w:r>
        <w:rPr>
          <w:rFonts w:hint="eastAsia" w:ascii="宋体" w:hAnsi="宋体"/>
          <w:szCs w:val="21"/>
        </w:rPr>
        <w:t>合同履约期限：合同期限为壹年（自签订之日起计算）；如在该期限内未使用完本次采购总金额的，甲方有权通知乙方或双方协商延长合同期限。</w:t>
      </w:r>
    </w:p>
    <w:p w14:paraId="7032781D">
      <w:pPr>
        <w:spacing w:line="360" w:lineRule="exact"/>
        <w:ind w:firstLine="420" w:firstLineChars="200"/>
        <w:rPr>
          <w:rFonts w:ascii="宋体" w:hAnsi="宋体"/>
          <w:szCs w:val="21"/>
        </w:rPr>
      </w:pPr>
      <w:r>
        <w:rPr>
          <w:rFonts w:hint="eastAsia" w:ascii="宋体" w:hAnsi="宋体"/>
          <w:szCs w:val="21"/>
        </w:rPr>
        <w:t>本项目不接受联合体。</w:t>
      </w:r>
    </w:p>
    <w:p w14:paraId="2FB0D22D">
      <w:pPr>
        <w:spacing w:line="360" w:lineRule="exact"/>
        <w:ind w:firstLine="361" w:firstLineChars="150"/>
        <w:rPr>
          <w:rFonts w:ascii="黑体" w:hAnsi="黑体" w:eastAsia="黑体"/>
          <w:b/>
          <w:bCs/>
          <w:sz w:val="24"/>
        </w:rPr>
      </w:pPr>
      <w:r>
        <w:rPr>
          <w:rFonts w:hint="eastAsia" w:ascii="黑体" w:hAnsi="黑体" w:eastAsia="黑体"/>
          <w:b/>
          <w:bCs/>
          <w:sz w:val="24"/>
        </w:rPr>
        <w:t>二、申请人的资格条件：</w:t>
      </w:r>
    </w:p>
    <w:p w14:paraId="325871A3">
      <w:pPr>
        <w:spacing w:line="360" w:lineRule="exact"/>
        <w:ind w:firstLine="420" w:firstLineChars="200"/>
        <w:rPr>
          <w:rFonts w:ascii="宋体" w:hAnsi="宋体" w:cs="宋体"/>
          <w:bCs/>
          <w:kern w:val="0"/>
          <w:szCs w:val="21"/>
        </w:rPr>
      </w:pPr>
      <w:bookmarkStart w:id="9" w:name="_Hlk51746371"/>
      <w:r>
        <w:rPr>
          <w:rFonts w:hint="eastAsia" w:ascii="宋体" w:hAnsi="宋体" w:cs="宋体"/>
          <w:bCs/>
          <w:kern w:val="0"/>
          <w:szCs w:val="21"/>
        </w:rPr>
        <w:t xml:space="preserve">1、满足《中华人民共和国政府采购法》第二十二条规定；                                                                    </w:t>
      </w:r>
    </w:p>
    <w:p w14:paraId="08678AF6">
      <w:pPr>
        <w:spacing w:line="360" w:lineRule="exact"/>
        <w:ind w:firstLine="420" w:firstLineChars="200"/>
        <w:rPr>
          <w:rFonts w:ascii="宋体" w:hAnsi="宋体" w:cs="宋体"/>
          <w:bCs/>
          <w:color w:val="0000FF"/>
          <w:kern w:val="0"/>
          <w:szCs w:val="21"/>
        </w:rPr>
      </w:pPr>
      <w:r>
        <w:rPr>
          <w:rFonts w:hint="eastAsia" w:ascii="宋体" w:hAnsi="宋体" w:cs="宋体"/>
          <w:bCs/>
          <w:kern w:val="0"/>
          <w:szCs w:val="21"/>
        </w:rPr>
        <w:t>2、落实政府采购政策需满足的资格要求：无；</w:t>
      </w:r>
    </w:p>
    <w:p w14:paraId="72797EF3">
      <w:pPr>
        <w:spacing w:line="360" w:lineRule="exact"/>
        <w:ind w:firstLine="420" w:firstLineChars="200"/>
        <w:rPr>
          <w:rFonts w:ascii="宋体" w:hAnsi="宋体" w:cs="宋体"/>
          <w:bCs/>
          <w:kern w:val="0"/>
          <w:szCs w:val="21"/>
        </w:rPr>
      </w:pPr>
      <w:r>
        <w:rPr>
          <w:rFonts w:hint="eastAsia" w:ascii="宋体" w:hAnsi="宋体" w:cs="宋体"/>
          <w:bCs/>
          <w:kern w:val="0"/>
          <w:szCs w:val="21"/>
        </w:rPr>
        <w:t>3、本项目的特定资格要求：</w:t>
      </w:r>
      <w:bookmarkEnd w:id="9"/>
      <w:r>
        <w:rPr>
          <w:rFonts w:hint="eastAsia" w:ascii="宋体" w:hAnsi="宋体" w:cs="宋体"/>
          <w:bCs/>
          <w:kern w:val="0"/>
          <w:szCs w:val="21"/>
        </w:rPr>
        <w:t xml:space="preserve">具有有效的《成品油零售经营批准证书》和有效的《危险化学品经营许可证》。  </w:t>
      </w:r>
    </w:p>
    <w:p w14:paraId="001ACF9B">
      <w:pPr>
        <w:spacing w:line="360" w:lineRule="exact"/>
        <w:ind w:firstLine="361" w:firstLineChars="150"/>
        <w:rPr>
          <w:rFonts w:ascii="黑体" w:hAnsi="黑体" w:eastAsia="黑体"/>
          <w:b/>
          <w:bCs/>
          <w:sz w:val="24"/>
        </w:rPr>
      </w:pPr>
      <w:r>
        <w:rPr>
          <w:rFonts w:hint="eastAsia" w:ascii="黑体" w:hAnsi="黑体" w:eastAsia="黑体"/>
          <w:b/>
          <w:bCs/>
          <w:sz w:val="24"/>
        </w:rPr>
        <w:t>三、获取竞争性谈判文件</w:t>
      </w:r>
    </w:p>
    <w:p w14:paraId="6FF7384F">
      <w:pPr>
        <w:spacing w:line="360" w:lineRule="exact"/>
        <w:ind w:firstLine="420" w:firstLineChars="200"/>
        <w:rPr>
          <w:rFonts w:ascii="宋体" w:hAnsi="宋体" w:cs="宋体"/>
          <w:bCs/>
          <w:kern w:val="0"/>
          <w:szCs w:val="21"/>
        </w:rPr>
      </w:pPr>
      <w:r>
        <w:rPr>
          <w:rFonts w:hint="eastAsia" w:ascii="宋体" w:hAnsi="宋体" w:cs="宋体"/>
          <w:bCs/>
          <w:kern w:val="0"/>
          <w:szCs w:val="21"/>
        </w:rPr>
        <w:t>时间：</w:t>
      </w:r>
      <w:r>
        <w:rPr>
          <w:rFonts w:hint="eastAsia" w:ascii="宋体" w:hAnsi="宋体" w:cs="Arial"/>
        </w:rPr>
        <w:t>2025年</w:t>
      </w:r>
      <w:r>
        <w:rPr>
          <w:rFonts w:hint="eastAsia" w:ascii="宋体" w:hAnsi="宋体" w:cs="Arial"/>
          <w:lang w:eastAsia="zh-CN"/>
        </w:rPr>
        <w:t>7月31日</w:t>
      </w:r>
      <w:r>
        <w:rPr>
          <w:rFonts w:hint="eastAsia" w:ascii="宋体" w:hAnsi="宋体" w:cs="Arial"/>
          <w:szCs w:val="21"/>
        </w:rPr>
        <w:t>至</w:t>
      </w:r>
      <w:r>
        <w:rPr>
          <w:rFonts w:hint="eastAsia" w:ascii="宋体" w:hAnsi="宋体" w:cs="Arial"/>
        </w:rPr>
        <w:t>2025年</w:t>
      </w:r>
      <w:r>
        <w:rPr>
          <w:rFonts w:hint="eastAsia" w:ascii="宋体" w:hAnsi="宋体" w:cs="Arial"/>
          <w:lang w:val="en-US" w:eastAsia="zh-CN"/>
        </w:rPr>
        <w:t>8</w:t>
      </w:r>
      <w:r>
        <w:rPr>
          <w:rFonts w:hint="eastAsia" w:ascii="宋体" w:hAnsi="宋体" w:cs="Arial"/>
        </w:rPr>
        <w:t>月</w:t>
      </w:r>
      <w:r>
        <w:rPr>
          <w:rFonts w:hint="eastAsia" w:ascii="宋体" w:hAnsi="宋体" w:cs="Arial"/>
          <w:lang w:val="en-US" w:eastAsia="zh-CN"/>
        </w:rPr>
        <w:t>5</w:t>
      </w:r>
      <w:r>
        <w:rPr>
          <w:rFonts w:hint="eastAsia" w:ascii="宋体" w:hAnsi="宋体" w:cs="Arial"/>
        </w:rPr>
        <w:t>日</w:t>
      </w:r>
      <w:r>
        <w:rPr>
          <w:rFonts w:hint="eastAsia" w:ascii="宋体" w:hAnsi="宋体" w:cs="Arial"/>
          <w:szCs w:val="21"/>
        </w:rPr>
        <w:t>，每天08:00-12:00；1</w:t>
      </w:r>
      <w:r>
        <w:rPr>
          <w:rFonts w:hint="eastAsia" w:ascii="宋体" w:hAnsi="宋体" w:cs="Arial"/>
        </w:rPr>
        <w:t>5</w:t>
      </w:r>
      <w:r>
        <w:rPr>
          <w:rFonts w:hint="eastAsia" w:ascii="宋体" w:hAnsi="宋体" w:cs="Arial"/>
          <w:szCs w:val="21"/>
        </w:rPr>
        <w:t>:</w:t>
      </w:r>
      <w:r>
        <w:rPr>
          <w:rFonts w:hint="eastAsia" w:ascii="宋体" w:hAnsi="宋体" w:cs="Arial"/>
        </w:rPr>
        <w:t>00</w:t>
      </w:r>
      <w:r>
        <w:rPr>
          <w:rFonts w:hint="eastAsia" w:ascii="宋体" w:hAnsi="宋体" w:cs="Arial"/>
          <w:szCs w:val="21"/>
        </w:rPr>
        <w:t>-18:</w:t>
      </w:r>
      <w:r>
        <w:rPr>
          <w:rFonts w:hint="eastAsia" w:ascii="宋体" w:hAnsi="宋体" w:cs="Arial"/>
        </w:rPr>
        <w:t>00</w:t>
      </w:r>
      <w:r>
        <w:rPr>
          <w:rFonts w:hint="eastAsia" w:ascii="宋体" w:hAnsi="宋体" w:cs="Arial"/>
          <w:szCs w:val="21"/>
        </w:rPr>
        <w:t>（北京时间，</w:t>
      </w:r>
      <w:r>
        <w:rPr>
          <w:rFonts w:ascii="宋体" w:hAnsi="宋体" w:cs="Arial"/>
          <w:szCs w:val="21"/>
        </w:rPr>
        <w:t>法定节假日</w:t>
      </w:r>
      <w:r>
        <w:rPr>
          <w:rFonts w:hint="eastAsia" w:ascii="宋体" w:hAnsi="宋体" w:cs="Arial"/>
          <w:szCs w:val="21"/>
        </w:rPr>
        <w:t>除外）。</w:t>
      </w:r>
    </w:p>
    <w:p w14:paraId="12E465F2">
      <w:pPr>
        <w:spacing w:line="360" w:lineRule="exact"/>
        <w:ind w:firstLine="420" w:firstLineChars="200"/>
        <w:rPr>
          <w:rFonts w:ascii="宋体" w:hAnsi="宋体" w:cs="宋体"/>
          <w:bCs/>
          <w:kern w:val="0"/>
          <w:szCs w:val="21"/>
        </w:rPr>
      </w:pPr>
      <w:r>
        <w:rPr>
          <w:rFonts w:hint="eastAsia" w:ascii="宋体" w:hAnsi="宋体" w:cs="宋体"/>
          <w:bCs/>
          <w:kern w:val="0"/>
          <w:szCs w:val="21"/>
        </w:rPr>
        <w:t>地点：</w:t>
      </w:r>
      <w:r>
        <w:rPr>
          <w:rFonts w:hint="eastAsia" w:ascii="宋体" w:hAnsi="宋体"/>
          <w:szCs w:val="21"/>
        </w:rPr>
        <w:t>广西政府采购云平台（https://www.gcy.zfcg.gxzf.gov.cn/）</w:t>
      </w:r>
      <w:r>
        <w:rPr>
          <w:rFonts w:hint="eastAsia" w:ascii="宋体" w:hAnsi="宋体" w:cs="宋体"/>
          <w:bCs/>
          <w:kern w:val="0"/>
          <w:szCs w:val="21"/>
        </w:rPr>
        <w:t>。</w:t>
      </w:r>
    </w:p>
    <w:p w14:paraId="59A3DB34">
      <w:pPr>
        <w:spacing w:line="360" w:lineRule="exact"/>
        <w:ind w:firstLine="420" w:firstLineChars="200"/>
        <w:rPr>
          <w:rFonts w:ascii="宋体" w:hAnsi="宋体" w:cs="宋体"/>
          <w:bCs/>
          <w:kern w:val="0"/>
          <w:szCs w:val="21"/>
        </w:rPr>
      </w:pPr>
      <w:r>
        <w:rPr>
          <w:rFonts w:hint="eastAsia" w:ascii="宋体" w:hAnsi="宋体" w:cs="宋体"/>
          <w:bCs/>
          <w:kern w:val="0"/>
          <w:szCs w:val="21"/>
        </w:rPr>
        <w:t>方式：网上下载。本项目不发放纸质文件，供应商应自行在</w:t>
      </w:r>
      <w:r>
        <w:rPr>
          <w:rFonts w:hint="eastAsia" w:ascii="宋体" w:hAnsi="宋体"/>
          <w:szCs w:val="21"/>
        </w:rPr>
        <w:t>广西政府采购云平台（https://www.gcy.zfcg.gxzf.gov.cn/）</w:t>
      </w:r>
      <w:r>
        <w:rPr>
          <w:rFonts w:hint="eastAsia" w:ascii="宋体" w:hAnsi="宋体" w:cs="宋体"/>
          <w:bCs/>
          <w:kern w:val="0"/>
          <w:szCs w:val="21"/>
        </w:rPr>
        <w:t>下载竞争性谈判文件（操作路径：登录</w:t>
      </w:r>
      <w:r>
        <w:rPr>
          <w:rFonts w:hint="eastAsia" w:ascii="宋体" w:hAnsi="宋体"/>
          <w:szCs w:val="21"/>
        </w:rPr>
        <w:t>广西政府采购云平台</w:t>
      </w:r>
      <w:r>
        <w:rPr>
          <w:rFonts w:hint="eastAsia" w:ascii="宋体" w:hAnsi="宋体" w:cs="宋体"/>
          <w:bCs/>
          <w:kern w:val="0"/>
          <w:szCs w:val="21"/>
        </w:rPr>
        <w:t>-项目采购-获取采购文件-找到本项目-点击“申请获取采购文件”），电子响应文件制作需要基于</w:t>
      </w:r>
      <w:r>
        <w:rPr>
          <w:rFonts w:hint="eastAsia" w:ascii="宋体" w:hAnsi="宋体"/>
          <w:szCs w:val="21"/>
        </w:rPr>
        <w:t>广西政府采购云平台</w:t>
      </w:r>
      <w:r>
        <w:rPr>
          <w:rFonts w:hint="eastAsia" w:ascii="宋体" w:hAnsi="宋体" w:cs="宋体"/>
          <w:bCs/>
          <w:kern w:val="0"/>
          <w:szCs w:val="21"/>
        </w:rPr>
        <w:t>获取的竞争性谈判文件编制。</w:t>
      </w:r>
    </w:p>
    <w:p w14:paraId="61AA83A6">
      <w:pPr>
        <w:spacing w:line="360" w:lineRule="exact"/>
        <w:ind w:firstLine="420" w:firstLineChars="200"/>
        <w:rPr>
          <w:rFonts w:ascii="宋体" w:hAnsi="宋体" w:cs="宋体"/>
          <w:szCs w:val="21"/>
        </w:rPr>
      </w:pPr>
      <w:r>
        <w:rPr>
          <w:rFonts w:hint="eastAsia" w:ascii="宋体" w:hAnsi="宋体" w:cs="宋体"/>
          <w:bCs/>
          <w:kern w:val="0"/>
          <w:szCs w:val="21"/>
        </w:rPr>
        <w:t>售价：0.00元。</w:t>
      </w:r>
    </w:p>
    <w:p w14:paraId="5E04045A">
      <w:pPr>
        <w:spacing w:line="360" w:lineRule="exact"/>
        <w:ind w:firstLine="361" w:firstLineChars="150"/>
        <w:rPr>
          <w:rFonts w:ascii="黑体" w:hAnsi="黑体" w:eastAsia="黑体"/>
          <w:b/>
          <w:bCs/>
          <w:sz w:val="24"/>
        </w:rPr>
      </w:pPr>
      <w:r>
        <w:rPr>
          <w:rFonts w:hint="eastAsia" w:ascii="黑体" w:hAnsi="黑体" w:eastAsia="黑体"/>
          <w:b/>
          <w:bCs/>
          <w:sz w:val="24"/>
        </w:rPr>
        <w:t>四、响应文件提交</w:t>
      </w:r>
    </w:p>
    <w:p w14:paraId="2759C1F0">
      <w:pPr>
        <w:spacing w:line="360" w:lineRule="exact"/>
        <w:ind w:left="422"/>
        <w:rPr>
          <w:rFonts w:ascii="宋体" w:hAnsi="宋体"/>
          <w:bCs/>
          <w:szCs w:val="21"/>
          <w:u w:val="single"/>
        </w:rPr>
      </w:pPr>
      <w:r>
        <w:rPr>
          <w:rFonts w:hint="eastAsia" w:ascii="宋体" w:hAnsi="宋体" w:cs="宋体"/>
          <w:szCs w:val="21"/>
        </w:rPr>
        <w:t>1、首次响应文件提交截止时间</w:t>
      </w:r>
      <w:r>
        <w:rPr>
          <w:rFonts w:hint="eastAsia" w:ascii="宋体" w:hAnsi="宋体"/>
          <w:szCs w:val="21"/>
        </w:rPr>
        <w:t>：2025年</w:t>
      </w:r>
      <w:r>
        <w:rPr>
          <w:rFonts w:hint="eastAsia" w:ascii="宋体" w:hAnsi="宋体"/>
          <w:szCs w:val="21"/>
          <w:lang w:eastAsia="zh-CN"/>
        </w:rPr>
        <w:t>8月6日</w:t>
      </w:r>
      <w:r>
        <w:rPr>
          <w:rFonts w:hint="eastAsia" w:ascii="宋体" w:hAnsi="宋体"/>
          <w:szCs w:val="21"/>
        </w:rPr>
        <w:t>9时00分（北京时间）</w:t>
      </w:r>
    </w:p>
    <w:p w14:paraId="0D4A7BCD">
      <w:pPr>
        <w:spacing w:line="360" w:lineRule="exact"/>
        <w:ind w:left="422"/>
        <w:rPr>
          <w:rFonts w:ascii="宋体" w:hAnsi="宋体"/>
          <w:szCs w:val="21"/>
        </w:rPr>
      </w:pPr>
      <w:r>
        <w:rPr>
          <w:rFonts w:hint="eastAsia" w:ascii="宋体" w:hAnsi="宋体"/>
          <w:szCs w:val="21"/>
        </w:rPr>
        <w:t>2、地点：</w:t>
      </w:r>
      <w:r>
        <w:rPr>
          <w:rFonts w:hint="eastAsia" w:ascii="宋体" w:hAnsi="宋体" w:cs="宋体"/>
          <w:szCs w:val="21"/>
        </w:rPr>
        <w:t>通过广西政府采购云平台在线提交。</w:t>
      </w:r>
    </w:p>
    <w:p w14:paraId="4E3C71D3">
      <w:pPr>
        <w:spacing w:line="360" w:lineRule="exact"/>
        <w:ind w:firstLine="361" w:firstLineChars="150"/>
        <w:rPr>
          <w:rFonts w:ascii="黑体" w:hAnsi="黑体" w:eastAsia="黑体"/>
          <w:b/>
          <w:bCs/>
          <w:sz w:val="24"/>
        </w:rPr>
      </w:pPr>
      <w:r>
        <w:rPr>
          <w:rFonts w:hint="eastAsia" w:ascii="黑体" w:hAnsi="黑体" w:eastAsia="黑体"/>
          <w:b/>
          <w:bCs/>
          <w:sz w:val="24"/>
        </w:rPr>
        <w:t>五、开启</w:t>
      </w:r>
    </w:p>
    <w:p w14:paraId="0106E75B">
      <w:pPr>
        <w:spacing w:line="360" w:lineRule="exact"/>
        <w:ind w:firstLine="420" w:firstLineChars="200"/>
        <w:rPr>
          <w:rFonts w:ascii="宋体" w:hAnsi="宋体"/>
          <w:bCs/>
          <w:szCs w:val="21"/>
          <w:u w:val="single"/>
        </w:rPr>
      </w:pPr>
      <w:r>
        <w:rPr>
          <w:rFonts w:hint="eastAsia" w:ascii="宋体" w:hAnsi="宋体"/>
          <w:szCs w:val="21"/>
        </w:rPr>
        <w:t>1、首次响应文件开启时间：</w:t>
      </w:r>
      <w:r>
        <w:rPr>
          <w:rFonts w:hint="eastAsia" w:ascii="宋体" w:hAnsi="宋体" w:cs="宋体"/>
          <w:bCs/>
          <w:kern w:val="0"/>
          <w:szCs w:val="21"/>
        </w:rPr>
        <w:t>2025年</w:t>
      </w:r>
      <w:r>
        <w:rPr>
          <w:rFonts w:hint="eastAsia" w:ascii="宋体" w:hAnsi="宋体" w:cs="宋体"/>
          <w:bCs/>
          <w:kern w:val="0"/>
          <w:szCs w:val="21"/>
          <w:lang w:eastAsia="zh-CN"/>
        </w:rPr>
        <w:t>8月6日</w:t>
      </w:r>
      <w:r>
        <w:rPr>
          <w:rFonts w:hint="eastAsia" w:ascii="宋体" w:hAnsi="宋体" w:cs="宋体"/>
          <w:bCs/>
          <w:kern w:val="0"/>
          <w:szCs w:val="21"/>
        </w:rPr>
        <w:t>9时00分（北京时间）</w:t>
      </w:r>
    </w:p>
    <w:p w14:paraId="61DD2ADD">
      <w:pPr>
        <w:spacing w:line="360" w:lineRule="exact"/>
        <w:ind w:firstLine="420" w:firstLineChars="200"/>
        <w:rPr>
          <w:rFonts w:ascii="宋体" w:hAnsi="宋体"/>
          <w:szCs w:val="21"/>
        </w:rPr>
      </w:pPr>
      <w:r>
        <w:rPr>
          <w:rFonts w:hint="eastAsia" w:ascii="宋体" w:hAnsi="宋体"/>
          <w:szCs w:val="21"/>
        </w:rPr>
        <w:t>2、地点：</w:t>
      </w:r>
      <w:r>
        <w:rPr>
          <w:rFonts w:hint="eastAsia" w:ascii="宋体" w:hAnsi="宋体" w:cs="宋体"/>
          <w:szCs w:val="21"/>
        </w:rPr>
        <w:t>本项目将在</w:t>
      </w:r>
      <w:r>
        <w:rPr>
          <w:rFonts w:hint="eastAsia" w:ascii="宋体" w:hAnsi="宋体"/>
          <w:szCs w:val="21"/>
        </w:rPr>
        <w:t>广西政府采购云平台</w:t>
      </w:r>
      <w:r>
        <w:rPr>
          <w:rFonts w:hint="eastAsia" w:ascii="宋体" w:hAnsi="宋体" w:cs="宋体"/>
          <w:szCs w:val="21"/>
        </w:rPr>
        <w:t>电子开标大厅解密、开启。</w:t>
      </w:r>
    </w:p>
    <w:p w14:paraId="4B851BCD">
      <w:pPr>
        <w:spacing w:line="360" w:lineRule="exact"/>
        <w:ind w:firstLine="361" w:firstLineChars="150"/>
        <w:rPr>
          <w:rFonts w:ascii="黑体" w:hAnsi="黑体" w:eastAsia="黑体"/>
          <w:b/>
          <w:bCs/>
          <w:sz w:val="24"/>
        </w:rPr>
      </w:pPr>
      <w:r>
        <w:rPr>
          <w:rFonts w:hint="eastAsia" w:ascii="黑体" w:hAnsi="黑体" w:eastAsia="黑体"/>
          <w:b/>
          <w:bCs/>
          <w:sz w:val="24"/>
        </w:rPr>
        <w:t>六、公告期限</w:t>
      </w:r>
    </w:p>
    <w:p w14:paraId="15B6BBC5">
      <w:pPr>
        <w:spacing w:line="360" w:lineRule="exact"/>
        <w:ind w:firstLine="420" w:firstLineChars="200"/>
        <w:rPr>
          <w:rFonts w:ascii="宋体" w:hAnsi="宋体" w:cs="宋体"/>
          <w:kern w:val="0"/>
          <w:szCs w:val="21"/>
        </w:rPr>
      </w:pPr>
      <w:r>
        <w:rPr>
          <w:rFonts w:hint="eastAsia" w:ascii="宋体" w:hAnsi="宋体" w:cs="宋体"/>
          <w:kern w:val="0"/>
          <w:szCs w:val="21"/>
        </w:rPr>
        <w:t>自本公告发布之日起3个工作日。</w:t>
      </w:r>
    </w:p>
    <w:p w14:paraId="6A2B380B">
      <w:pPr>
        <w:spacing w:line="360" w:lineRule="exact"/>
        <w:ind w:firstLine="361" w:firstLineChars="150"/>
        <w:rPr>
          <w:rFonts w:ascii="黑体" w:hAnsi="黑体" w:eastAsia="黑体"/>
          <w:b/>
          <w:bCs/>
          <w:sz w:val="24"/>
        </w:rPr>
      </w:pPr>
      <w:r>
        <w:rPr>
          <w:rFonts w:hint="eastAsia" w:ascii="黑体" w:hAnsi="黑体" w:eastAsia="黑体"/>
          <w:b/>
          <w:bCs/>
          <w:sz w:val="24"/>
        </w:rPr>
        <w:t>七、其他补充事宜</w:t>
      </w:r>
    </w:p>
    <w:p w14:paraId="16EDC98F">
      <w:pPr>
        <w:widowControl/>
        <w:spacing w:line="360" w:lineRule="exact"/>
        <w:ind w:firstLine="420" w:firstLineChars="200"/>
        <w:rPr>
          <w:rFonts w:ascii="宋体" w:hAnsi="宋体" w:cs="宋体"/>
          <w:szCs w:val="21"/>
        </w:rPr>
      </w:pPr>
      <w:r>
        <w:rPr>
          <w:rFonts w:hint="eastAsia" w:ascii="宋体" w:hAnsi="宋体" w:cs="宋体"/>
          <w:szCs w:val="21"/>
        </w:rPr>
        <w:t>1、竞标保证金（人民币）：10000.00元。</w:t>
      </w:r>
    </w:p>
    <w:p w14:paraId="3A79CDD6">
      <w:pPr>
        <w:widowControl/>
        <w:spacing w:line="360" w:lineRule="exact"/>
        <w:ind w:firstLine="420" w:firstLineChars="200"/>
        <w:rPr>
          <w:rFonts w:ascii="宋体" w:hAnsi="宋体" w:cs="宋体"/>
          <w:szCs w:val="21"/>
        </w:rPr>
      </w:pPr>
      <w:r>
        <w:rPr>
          <w:rFonts w:hint="eastAsia" w:ascii="宋体" w:hAnsi="宋体" w:cs="宋体"/>
          <w:szCs w:val="21"/>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71A31E7">
      <w:pPr>
        <w:widowControl/>
        <w:spacing w:line="360" w:lineRule="exact"/>
        <w:ind w:firstLine="420" w:firstLineChars="200"/>
        <w:rPr>
          <w:rFonts w:ascii="宋体" w:hAnsi="宋体" w:cs="宋体"/>
          <w:szCs w:val="21"/>
        </w:rPr>
      </w:pPr>
      <w:r>
        <w:rPr>
          <w:rFonts w:hint="eastAsia" w:ascii="宋体" w:hAnsi="宋体" w:cs="宋体"/>
          <w:szCs w:val="21"/>
        </w:rPr>
        <w:t>3、根据财政部《关于在政府采购活动中查询及使用信用记录有关问题的通知》（财库〔2016〕125号）的规定，对在“信用中国”网站(www.creditchina.gov.cn)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4B756161">
      <w:pPr>
        <w:widowControl/>
        <w:spacing w:line="360" w:lineRule="exact"/>
        <w:ind w:firstLine="420" w:firstLineChars="200"/>
        <w:rPr>
          <w:rFonts w:ascii="宋体" w:hAnsi="宋体" w:cs="宋体"/>
          <w:szCs w:val="21"/>
        </w:rPr>
      </w:pPr>
      <w:r>
        <w:rPr>
          <w:rFonts w:hint="eastAsia" w:ascii="宋体" w:hAnsi="宋体" w:cs="宋体"/>
          <w:szCs w:val="21"/>
        </w:rPr>
        <w:t>4、网上查询地址：中国政府采购网（www.ccgp.gov.cn）、广西壮族自治区政府采购网（zfcg.gxzf.gov.cn）、广西玉林市人民政府门户网（</w:t>
      </w:r>
      <w:r>
        <w:fldChar w:fldCharType="begin"/>
      </w:r>
      <w:r>
        <w:instrText xml:space="preserve"> HYPERLINK "http://www.yulin.gov.cn/" </w:instrText>
      </w:r>
      <w:r>
        <w:fldChar w:fldCharType="separate"/>
      </w:r>
      <w:r>
        <w:rPr>
          <w:rFonts w:hint="eastAsia" w:ascii="宋体" w:hAnsi="宋体" w:cs="宋体"/>
          <w:szCs w:val="21"/>
        </w:rPr>
        <w:t>www.yulin.gov.cn</w:t>
      </w:r>
      <w:r>
        <w:rPr>
          <w:rFonts w:hint="eastAsia" w:ascii="宋体" w:hAnsi="宋体" w:cs="宋体"/>
          <w:szCs w:val="21"/>
        </w:rPr>
        <w:fldChar w:fldCharType="end"/>
      </w:r>
      <w:r>
        <w:rPr>
          <w:rFonts w:hint="eastAsia" w:ascii="宋体" w:hAnsi="宋体" w:cs="宋体"/>
          <w:szCs w:val="21"/>
        </w:rPr>
        <w:t>）。</w:t>
      </w:r>
    </w:p>
    <w:p w14:paraId="32575B3D">
      <w:pPr>
        <w:widowControl/>
        <w:spacing w:line="360" w:lineRule="exact"/>
        <w:ind w:firstLine="420" w:firstLineChars="200"/>
        <w:rPr>
          <w:rFonts w:ascii="宋体" w:hAnsi="宋体" w:cs="宋体"/>
          <w:szCs w:val="21"/>
        </w:rPr>
      </w:pPr>
      <w:r>
        <w:rPr>
          <w:rFonts w:hint="eastAsia" w:ascii="宋体" w:hAnsi="宋体" w:cs="宋体"/>
          <w:szCs w:val="21"/>
        </w:rPr>
        <w:t>5、本项目需要落实的政府采购政策：</w:t>
      </w:r>
    </w:p>
    <w:p w14:paraId="4DC04CF5">
      <w:pPr>
        <w:widowControl/>
        <w:spacing w:line="360" w:lineRule="exact"/>
        <w:ind w:firstLine="420" w:firstLineChars="200"/>
        <w:rPr>
          <w:rFonts w:ascii="宋体" w:hAnsi="宋体" w:cs="宋体"/>
          <w:szCs w:val="21"/>
        </w:rPr>
      </w:pPr>
      <w:r>
        <w:rPr>
          <w:rFonts w:hint="eastAsia" w:ascii="宋体" w:hAnsi="宋体" w:cs="宋体"/>
          <w:szCs w:val="21"/>
        </w:rPr>
        <w:t>（1）政府采购促进中小企业发展。</w:t>
      </w:r>
    </w:p>
    <w:p w14:paraId="25C93A2B">
      <w:pPr>
        <w:widowControl/>
        <w:spacing w:line="360" w:lineRule="exact"/>
        <w:ind w:firstLine="420" w:firstLineChars="200"/>
        <w:rPr>
          <w:rFonts w:ascii="宋体" w:hAnsi="宋体" w:cs="宋体"/>
          <w:szCs w:val="21"/>
        </w:rPr>
      </w:pPr>
      <w:r>
        <w:rPr>
          <w:rFonts w:hint="eastAsia" w:ascii="宋体" w:hAnsi="宋体" w:cs="宋体"/>
          <w:szCs w:val="21"/>
        </w:rPr>
        <w:t>（2）政府采购支持采用本国产品的政策。</w:t>
      </w:r>
    </w:p>
    <w:p w14:paraId="480F690B">
      <w:pPr>
        <w:widowControl/>
        <w:spacing w:line="360" w:lineRule="exact"/>
        <w:ind w:firstLine="420" w:firstLineChars="200"/>
        <w:rPr>
          <w:rFonts w:ascii="宋体" w:hAnsi="宋体" w:cs="宋体"/>
          <w:szCs w:val="21"/>
        </w:rPr>
      </w:pPr>
      <w:r>
        <w:rPr>
          <w:rFonts w:hint="eastAsia" w:ascii="宋体" w:hAnsi="宋体" w:cs="宋体"/>
          <w:szCs w:val="21"/>
        </w:rPr>
        <w:t>（3）强制采购节能产品；优先采购节能产品、环境标志产品。</w:t>
      </w:r>
    </w:p>
    <w:p w14:paraId="652F771A">
      <w:pPr>
        <w:widowControl/>
        <w:spacing w:line="360" w:lineRule="exact"/>
        <w:ind w:firstLine="420" w:firstLineChars="200"/>
        <w:rPr>
          <w:rFonts w:ascii="宋体" w:hAnsi="宋体" w:cs="宋体"/>
          <w:szCs w:val="21"/>
        </w:rPr>
      </w:pPr>
      <w:r>
        <w:rPr>
          <w:rFonts w:hint="eastAsia" w:ascii="宋体" w:hAnsi="宋体" w:cs="宋体"/>
          <w:szCs w:val="21"/>
        </w:rPr>
        <w:t>（4）政府采购促进残疾人就业政策。</w:t>
      </w:r>
    </w:p>
    <w:p w14:paraId="2950BB2B">
      <w:pPr>
        <w:widowControl/>
        <w:spacing w:line="360" w:lineRule="exact"/>
        <w:ind w:firstLine="420" w:firstLineChars="200"/>
        <w:rPr>
          <w:rFonts w:ascii="宋体" w:hAnsi="宋体" w:cs="宋体"/>
          <w:szCs w:val="21"/>
        </w:rPr>
      </w:pPr>
      <w:r>
        <w:rPr>
          <w:rFonts w:hint="eastAsia" w:ascii="宋体" w:hAnsi="宋体" w:cs="宋体"/>
          <w:szCs w:val="21"/>
        </w:rPr>
        <w:t>（5）政府采购支持监狱企业发展。</w:t>
      </w:r>
    </w:p>
    <w:p w14:paraId="11522C3F">
      <w:pPr>
        <w:widowControl/>
        <w:spacing w:line="360" w:lineRule="exact"/>
        <w:ind w:firstLine="420" w:firstLineChars="200"/>
        <w:rPr>
          <w:rFonts w:ascii="宋体" w:hAnsi="宋体" w:cs="宋体"/>
          <w:szCs w:val="21"/>
        </w:rPr>
      </w:pPr>
      <w:r>
        <w:rPr>
          <w:rFonts w:hint="eastAsia" w:ascii="宋体" w:hAnsi="宋体" w:cs="宋体"/>
          <w:szCs w:val="21"/>
        </w:rPr>
        <w:t>6、谈判注意事项：</w:t>
      </w:r>
    </w:p>
    <w:p w14:paraId="6850C73F">
      <w:pPr>
        <w:widowControl/>
        <w:spacing w:line="360" w:lineRule="exact"/>
        <w:ind w:firstLine="420" w:firstLineChars="200"/>
        <w:rPr>
          <w:rFonts w:ascii="宋体" w:hAnsi="宋体" w:cs="宋体"/>
          <w:bCs/>
          <w:szCs w:val="21"/>
        </w:rPr>
      </w:pPr>
      <w:r>
        <w:rPr>
          <w:rFonts w:hint="eastAsia" w:ascii="宋体" w:hAnsi="宋体" w:cs="宋体"/>
          <w:szCs w:val="21"/>
        </w:rPr>
        <w:t>（1）响应文件提交方式：本项目为全流程电子化政府采购项目，通过广西政府采购云平台（https://www.gcy.zfcg.gxzf.gov.cn/）实行在线电子竞标，供应商应先安装“广西政府采购云平台电子交易客户端”（请自行前往广西政府采购云平台电子交易客户端进行下载），并按照本项目竞争性谈判文件和广西政府采购云平台的要求编制、加密后在首次响应文件提交截止时间前通过网络上传至广西政府采购云平台，</w:t>
      </w:r>
      <w:r>
        <w:rPr>
          <w:rFonts w:hint="eastAsia" w:ascii="宋体" w:hAnsi="宋体" w:cs="宋体"/>
          <w:b/>
          <w:szCs w:val="21"/>
        </w:rPr>
        <w:t>供应商在广西政府采购云平台提交电子版响应文件时，请填写参加远程开标活动经办人联系方式。</w:t>
      </w:r>
    </w:p>
    <w:p w14:paraId="54DE1A9B">
      <w:pPr>
        <w:widowControl/>
        <w:spacing w:line="360" w:lineRule="exact"/>
        <w:ind w:firstLine="420" w:firstLineChars="200"/>
        <w:rPr>
          <w:rFonts w:ascii="宋体" w:hAnsi="宋体" w:cs="宋体"/>
          <w:szCs w:val="21"/>
        </w:rPr>
      </w:pPr>
      <w:r>
        <w:rPr>
          <w:rFonts w:hint="eastAsia" w:ascii="宋体" w:hAnsi="宋体" w:cs="宋体"/>
          <w:szCs w:val="21"/>
        </w:rPr>
        <w:t>（2）</w:t>
      </w:r>
      <w:r>
        <w:rPr>
          <w:rFonts w:ascii="宋体" w:hAnsi="宋体" w:cs="宋体"/>
          <w:szCs w:val="21"/>
        </w:rPr>
        <w:t>供应商应及时熟悉掌握电子标系统操作指南（见</w:t>
      </w:r>
      <w:r>
        <w:rPr>
          <w:rFonts w:hint="eastAsia" w:ascii="宋体" w:hAnsi="宋体" w:cs="宋体"/>
          <w:szCs w:val="21"/>
        </w:rPr>
        <w:t>广西政府采购云平台</w:t>
      </w:r>
      <w:r>
        <w:rPr>
          <w:rFonts w:ascii="宋体" w:hAnsi="宋体" w:cs="宋体"/>
          <w:szCs w:val="21"/>
        </w:rPr>
        <w:t>电子卖场首页右上角—服务中心—帮助文档—项目采购）：</w:t>
      </w:r>
      <w:r>
        <w:fldChar w:fldCharType="begin"/>
      </w:r>
      <w:r>
        <w:instrText xml:space="preserve"> HYPERLINK "https://service.zcygov.cn/" \l "/knowledges/tree?tag=AG1DtGwBFdiHxlNdhY0r" </w:instrText>
      </w:r>
      <w:r>
        <w:fldChar w:fldCharType="separate"/>
      </w:r>
      <w:r>
        <w:t>https://service.zcygov.cn/#/knowledges/tree?tag=AG1DtGwBFdiHxlNdhY0r</w:t>
      </w:r>
      <w:r>
        <w:fldChar w:fldCharType="end"/>
      </w:r>
      <w:r>
        <w:rPr>
          <w:rFonts w:hint="eastAsia" w:ascii="宋体" w:hAnsi="宋体" w:cs="宋体"/>
          <w:szCs w:val="21"/>
        </w:rPr>
        <w:t>；</w:t>
      </w:r>
      <w:r>
        <w:rPr>
          <w:rFonts w:ascii="宋体" w:hAnsi="宋体" w:cs="宋体"/>
          <w:szCs w:val="21"/>
        </w:rPr>
        <w:t>及时完成CA申领和绑定（见广西壮族自治区政府采购网—办事服务—下载专区-</w:t>
      </w:r>
      <w:r>
        <w:rPr>
          <w:rFonts w:hint="eastAsia" w:ascii="宋体" w:hAnsi="宋体" w:cs="宋体"/>
          <w:szCs w:val="21"/>
        </w:rPr>
        <w:t>广西政府采购云平台</w:t>
      </w:r>
      <w:r>
        <w:rPr>
          <w:rFonts w:ascii="宋体" w:hAnsi="宋体" w:cs="宋体"/>
          <w:szCs w:val="21"/>
        </w:rPr>
        <w:t>CA证书办理操作指南）。</w:t>
      </w:r>
    </w:p>
    <w:p w14:paraId="310816F6">
      <w:pPr>
        <w:widowControl/>
        <w:spacing w:line="360" w:lineRule="exact"/>
        <w:ind w:firstLine="420" w:firstLineChars="200"/>
        <w:rPr>
          <w:rFonts w:ascii="宋体" w:hAnsi="宋体" w:cs="宋体"/>
          <w:szCs w:val="21"/>
        </w:rPr>
      </w:pPr>
      <w:r>
        <w:rPr>
          <w:rFonts w:hint="eastAsia" w:ascii="宋体" w:hAnsi="宋体" w:cs="宋体"/>
          <w:szCs w:val="21"/>
        </w:rPr>
        <w:t>（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p>
    <w:p w14:paraId="51870DBA">
      <w:pPr>
        <w:widowControl/>
        <w:spacing w:line="360" w:lineRule="exact"/>
        <w:ind w:firstLine="420" w:firstLineChars="200"/>
        <w:rPr>
          <w:rFonts w:ascii="宋体" w:hAnsi="宋体" w:cs="宋体"/>
          <w:szCs w:val="21"/>
        </w:rPr>
      </w:pPr>
      <w:r>
        <w:rPr>
          <w:rFonts w:hint="eastAsia" w:ascii="宋体" w:hAnsi="宋体" w:cs="宋体"/>
          <w:szCs w:val="21"/>
        </w:rPr>
        <w:t>（4）为确保网上操作合法、有效和安全，请供应商确保在电子竞标过程中能够对相关数据电文进行加密和使用电子签章，妥善保管CA数字证书并使用有效的CA数字证书参与整个采购活动。</w:t>
      </w:r>
    </w:p>
    <w:p w14:paraId="39A3AA2F">
      <w:pPr>
        <w:spacing w:line="360" w:lineRule="exact"/>
        <w:ind w:firstLine="422" w:firstLineChars="200"/>
        <w:rPr>
          <w:rFonts w:ascii="宋体" w:hAnsi="宋体" w:cs="宋体"/>
          <w:b/>
          <w:bCs/>
          <w:szCs w:val="21"/>
        </w:rPr>
      </w:pPr>
      <w:r>
        <w:rPr>
          <w:rFonts w:hint="eastAsia" w:ascii="宋体" w:hAnsi="宋体" w:cs="宋体"/>
          <w:b/>
          <w:bCs/>
          <w:szCs w:val="21"/>
        </w:rPr>
        <w:t>注：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14:paraId="2F3D7E11">
      <w:pPr>
        <w:widowControl/>
        <w:spacing w:line="360" w:lineRule="exact"/>
        <w:ind w:firstLine="420" w:firstLineChars="200"/>
        <w:rPr>
          <w:rFonts w:ascii="宋体" w:hAnsi="宋体" w:cs="宋体"/>
          <w:szCs w:val="21"/>
        </w:rPr>
      </w:pPr>
      <w:r>
        <w:rPr>
          <w:rFonts w:hint="eastAsia" w:ascii="宋体" w:hAnsi="宋体" w:cs="宋体"/>
          <w:szCs w:val="21"/>
        </w:rPr>
        <w:t>7、CA证书在线解密：首次响应文件开启时，须要供应商携带制作响应文件时用来加密的有效数字证书（CA认证）登录广西政府采购云平台电子开标大厅现场按规定时间对加密的响应文件进行解密，否则后果自负。</w:t>
      </w:r>
    </w:p>
    <w:p w14:paraId="2D0D2417">
      <w:pPr>
        <w:widowControl/>
        <w:spacing w:line="360" w:lineRule="exact"/>
        <w:ind w:firstLine="420" w:firstLineChars="200"/>
        <w:rPr>
          <w:rFonts w:ascii="宋体" w:hAnsi="宋体"/>
          <w:bCs/>
          <w:szCs w:val="21"/>
          <w:u w:val="single"/>
        </w:rPr>
      </w:pPr>
      <w:r>
        <w:rPr>
          <w:rFonts w:hint="eastAsia" w:ascii="宋体" w:hAnsi="宋体" w:cs="宋体"/>
          <w:szCs w:val="21"/>
        </w:rPr>
        <w:t>8、供应商需要在具备有摄像头及语音功能且互联网网络状况良好的电脑登录广西政府采购云平台远程开标大厅参与本次谈判，否则后果自负。</w:t>
      </w:r>
    </w:p>
    <w:p w14:paraId="789A6B34">
      <w:pPr>
        <w:widowControl/>
        <w:spacing w:line="360" w:lineRule="exact"/>
        <w:ind w:firstLine="420" w:firstLineChars="200"/>
      </w:pPr>
      <w:r>
        <w:rPr>
          <w:rFonts w:hint="eastAsia" w:ascii="宋体" w:hAnsi="宋体" w:cs="宋体"/>
          <w:szCs w:val="21"/>
        </w:rPr>
        <w:t>9、若对项目采购电子交易系统操作有疑问，可登录</w:t>
      </w:r>
      <w:r>
        <w:fldChar w:fldCharType="begin"/>
      </w:r>
      <w:r>
        <w:instrText xml:space="preserve"> HYPERLINK </w:instrText>
      </w:r>
      <w:r>
        <w:fldChar w:fldCharType="separate"/>
      </w:r>
      <w:r>
        <w:fldChar w:fldCharType="end"/>
      </w:r>
      <w:r>
        <w:rPr>
          <w:rFonts w:hint="eastAsia" w:ascii="宋体" w:hAnsi="宋体" w:cs="宋体"/>
          <w:szCs w:val="21"/>
        </w:rPr>
        <w:t>广西政府采购云平台（https://www.gcy.zfcg.gxzf.gov.cn/），点击右侧咨询小采，获取采小蜜智能服务管家帮助，或拨打</w:t>
      </w:r>
      <w:r>
        <w:fldChar w:fldCharType="begin"/>
      </w:r>
      <w:r>
        <w:instrText xml:space="preserve"> HYPERLINK </w:instrText>
      </w:r>
      <w:r>
        <w:fldChar w:fldCharType="separate"/>
      </w:r>
      <w:r>
        <w:fldChar w:fldCharType="end"/>
      </w:r>
      <w:r>
        <w:rPr>
          <w:rFonts w:hint="eastAsia" w:ascii="宋体" w:hAnsi="宋体" w:cs="宋体"/>
          <w:szCs w:val="21"/>
        </w:rPr>
        <w:t>广西政府采购云平台服务热线95763获取热线服务帮助。</w:t>
      </w:r>
    </w:p>
    <w:p w14:paraId="5CAB53FC">
      <w:pPr>
        <w:widowControl/>
        <w:spacing w:line="360" w:lineRule="exact"/>
        <w:ind w:firstLine="420" w:firstLineChars="200"/>
        <w:rPr>
          <w:rFonts w:ascii="宋体" w:hAnsi="宋体" w:cs="宋体"/>
          <w:szCs w:val="21"/>
        </w:rPr>
      </w:pPr>
      <w:r>
        <w:rPr>
          <w:rFonts w:hint="eastAsia" w:ascii="宋体" w:hAnsi="宋体" w:cs="宋体"/>
          <w:szCs w:val="21"/>
        </w:rPr>
        <w:t>10、评审方式：</w:t>
      </w:r>
      <w:r>
        <w:rPr>
          <w:rFonts w:hint="eastAsia" w:ascii="宋体" w:hAnsi="宋体" w:cs="宋体"/>
          <w:kern w:val="0"/>
          <w:szCs w:val="21"/>
        </w:rPr>
        <w:t>本项目采用远程异地评审。</w:t>
      </w:r>
      <w:r>
        <w:rPr>
          <w:rFonts w:hint="eastAsia" w:ascii="宋体" w:hAnsi="宋体" w:cs="宋体"/>
          <w:szCs w:val="21"/>
        </w:rPr>
        <w:t>评标主会场地址：广西科文招标有限公司玉林分公司（广西玉林市文体北路5号富林·双泉雅苑商住小区1幢03号商铺）（主场地址）进行评审；评标副会场地址：广西科文招标有限公司（广西南宁市民族大道141号中鼎万象东方D区五层广西科文招标有限公司评标室）（副场地址）进行评审。　</w:t>
      </w:r>
    </w:p>
    <w:p w14:paraId="70900586">
      <w:pPr>
        <w:spacing w:line="360" w:lineRule="exact"/>
        <w:ind w:firstLine="361" w:firstLineChars="150"/>
        <w:rPr>
          <w:rFonts w:ascii="黑体" w:hAnsi="黑体" w:eastAsia="黑体"/>
          <w:b/>
          <w:bCs/>
          <w:sz w:val="24"/>
        </w:rPr>
      </w:pPr>
      <w:r>
        <w:rPr>
          <w:rFonts w:hint="eastAsia" w:ascii="黑体" w:hAnsi="黑体" w:eastAsia="黑体"/>
          <w:b/>
          <w:bCs/>
          <w:sz w:val="24"/>
        </w:rPr>
        <w:t>八、凡对本次采购提出询问，请按以下方式联系。</w:t>
      </w:r>
      <w:bookmarkEnd w:id="3"/>
      <w:bookmarkEnd w:id="4"/>
      <w:bookmarkEnd w:id="5"/>
      <w:bookmarkEnd w:id="6"/>
      <w:bookmarkEnd w:id="7"/>
      <w:bookmarkEnd w:id="8"/>
      <w:bookmarkStart w:id="10" w:name="_Toc35393637"/>
      <w:bookmarkStart w:id="11" w:name="_Toc28359019"/>
      <w:bookmarkStart w:id="12" w:name="_Toc35393806"/>
      <w:bookmarkStart w:id="13" w:name="_Toc28359096"/>
    </w:p>
    <w:p w14:paraId="0BBECEB3">
      <w:pPr>
        <w:widowControl/>
        <w:spacing w:line="360" w:lineRule="exact"/>
        <w:ind w:firstLine="420" w:firstLineChars="200"/>
        <w:rPr>
          <w:rFonts w:ascii="宋体" w:hAnsi="宋体" w:cs="宋体"/>
          <w:szCs w:val="21"/>
        </w:rPr>
      </w:pPr>
      <w:r>
        <w:rPr>
          <w:rFonts w:hint="eastAsia" w:ascii="宋体" w:hAnsi="宋体" w:cs="宋体"/>
          <w:szCs w:val="21"/>
        </w:rPr>
        <w:t>1.采购人信息</w:t>
      </w:r>
    </w:p>
    <w:p w14:paraId="326A77AC">
      <w:pPr>
        <w:widowControl/>
        <w:spacing w:line="360" w:lineRule="exact"/>
        <w:ind w:firstLine="420" w:firstLineChars="200"/>
        <w:rPr>
          <w:rFonts w:ascii="宋体" w:hAnsi="宋体" w:cs="宋体"/>
          <w:szCs w:val="21"/>
        </w:rPr>
      </w:pPr>
      <w:r>
        <w:rPr>
          <w:rFonts w:hint="eastAsia" w:ascii="宋体" w:hAnsi="宋体" w:cs="宋体"/>
          <w:szCs w:val="21"/>
        </w:rPr>
        <w:t>名称：玉林市殡仪馆</w:t>
      </w:r>
    </w:p>
    <w:p w14:paraId="2C31BCAB">
      <w:pPr>
        <w:widowControl/>
        <w:spacing w:line="360" w:lineRule="exact"/>
        <w:ind w:firstLine="420" w:firstLineChars="200"/>
        <w:rPr>
          <w:rFonts w:ascii="宋体" w:hAnsi="宋体" w:cs="宋体"/>
          <w:szCs w:val="21"/>
        </w:rPr>
      </w:pPr>
      <w:r>
        <w:rPr>
          <w:rFonts w:hint="eastAsia" w:ascii="宋体" w:hAnsi="宋体" w:cs="宋体"/>
          <w:szCs w:val="21"/>
        </w:rPr>
        <w:t>地址：玉林市兴业县大平山镇三山园艺场境内</w:t>
      </w:r>
    </w:p>
    <w:p w14:paraId="14E13D2B">
      <w:pPr>
        <w:widowControl/>
        <w:spacing w:line="360" w:lineRule="exact"/>
        <w:ind w:firstLine="420" w:firstLineChars="200"/>
        <w:rPr>
          <w:rFonts w:ascii="宋体" w:hAnsi="宋体" w:cs="宋体"/>
          <w:szCs w:val="21"/>
        </w:rPr>
      </w:pPr>
      <w:r>
        <w:rPr>
          <w:rFonts w:hint="eastAsia" w:ascii="宋体" w:hAnsi="宋体" w:cs="宋体"/>
          <w:szCs w:val="21"/>
        </w:rPr>
        <w:t>联系人：李全平</w:t>
      </w:r>
    </w:p>
    <w:p w14:paraId="60C443D3">
      <w:pPr>
        <w:widowControl/>
        <w:spacing w:line="360" w:lineRule="exact"/>
        <w:ind w:firstLine="420" w:firstLineChars="200"/>
        <w:rPr>
          <w:rFonts w:ascii="宋体" w:hAnsi="宋体" w:cs="宋体"/>
          <w:szCs w:val="21"/>
        </w:rPr>
      </w:pPr>
      <w:r>
        <w:rPr>
          <w:rFonts w:hint="eastAsia" w:ascii="宋体" w:hAnsi="宋体" w:cs="宋体"/>
          <w:szCs w:val="21"/>
        </w:rPr>
        <w:t>联系方式：</w:t>
      </w:r>
      <w:bookmarkStart w:id="14" w:name="_Toc28359086"/>
      <w:bookmarkStart w:id="15" w:name="_Toc28359009"/>
      <w:r>
        <w:rPr>
          <w:rFonts w:hint="eastAsia" w:ascii="宋体" w:hAnsi="宋体" w:cs="宋体"/>
          <w:szCs w:val="21"/>
        </w:rPr>
        <w:t>0775-2625351</w:t>
      </w:r>
    </w:p>
    <w:p w14:paraId="1A1E84B3">
      <w:pPr>
        <w:widowControl/>
        <w:spacing w:line="360" w:lineRule="exact"/>
        <w:ind w:firstLine="420" w:firstLineChars="200"/>
        <w:rPr>
          <w:rFonts w:ascii="宋体" w:hAnsi="宋体" w:cs="宋体"/>
          <w:szCs w:val="21"/>
        </w:rPr>
      </w:pPr>
      <w:r>
        <w:rPr>
          <w:rFonts w:hint="eastAsia" w:ascii="宋体" w:hAnsi="宋体" w:cs="宋体"/>
          <w:szCs w:val="21"/>
        </w:rPr>
        <w:t>2.采购代理机构信息</w:t>
      </w:r>
      <w:bookmarkEnd w:id="14"/>
      <w:bookmarkEnd w:id="15"/>
    </w:p>
    <w:p w14:paraId="51CA50DF">
      <w:pPr>
        <w:widowControl/>
        <w:spacing w:line="360" w:lineRule="exact"/>
        <w:ind w:firstLine="420" w:firstLineChars="200"/>
        <w:rPr>
          <w:rFonts w:ascii="宋体" w:hAnsi="宋体" w:cs="宋体"/>
          <w:szCs w:val="21"/>
        </w:rPr>
      </w:pPr>
      <w:r>
        <w:rPr>
          <w:rFonts w:hint="eastAsia" w:ascii="宋体" w:hAnsi="宋体" w:cs="宋体"/>
          <w:szCs w:val="21"/>
        </w:rPr>
        <w:t>名称：广西科文招标有限公司</w:t>
      </w:r>
    </w:p>
    <w:p w14:paraId="33C4F961">
      <w:pPr>
        <w:widowControl/>
        <w:spacing w:line="360" w:lineRule="exact"/>
        <w:ind w:firstLine="420" w:firstLineChars="200"/>
        <w:rPr>
          <w:rFonts w:ascii="宋体" w:hAnsi="宋体" w:cs="宋体"/>
          <w:szCs w:val="21"/>
        </w:rPr>
      </w:pPr>
      <w:r>
        <w:rPr>
          <w:rFonts w:hint="eastAsia" w:ascii="宋体" w:hAnsi="宋体" w:cs="宋体"/>
          <w:szCs w:val="21"/>
        </w:rPr>
        <w:t>地址：广西玉林市文体北路5号富林·双泉雅苑商住小区1幢03号商铺</w:t>
      </w:r>
    </w:p>
    <w:p w14:paraId="2CD657C8">
      <w:pPr>
        <w:widowControl/>
        <w:spacing w:line="360" w:lineRule="exact"/>
        <w:ind w:firstLine="420" w:firstLineChars="200"/>
        <w:rPr>
          <w:rFonts w:ascii="宋体" w:hAnsi="宋体" w:cs="宋体"/>
          <w:szCs w:val="21"/>
        </w:rPr>
      </w:pPr>
      <w:r>
        <w:rPr>
          <w:rFonts w:hint="eastAsia" w:ascii="宋体" w:hAnsi="宋体" w:cs="宋体"/>
          <w:szCs w:val="21"/>
        </w:rPr>
        <w:t>项目联系人：文庆金</w:t>
      </w:r>
    </w:p>
    <w:p w14:paraId="04A4EEBA">
      <w:pPr>
        <w:widowControl/>
        <w:spacing w:line="360" w:lineRule="exact"/>
        <w:ind w:firstLine="420" w:firstLineChars="200"/>
        <w:rPr>
          <w:rFonts w:ascii="宋体" w:hAnsi="宋体" w:cs="宋体"/>
          <w:szCs w:val="21"/>
        </w:rPr>
      </w:pPr>
      <w:r>
        <w:rPr>
          <w:rFonts w:hint="eastAsia" w:ascii="宋体" w:hAnsi="宋体" w:cs="宋体"/>
          <w:szCs w:val="21"/>
        </w:rPr>
        <w:t>联系方式：</w:t>
      </w:r>
      <w:bookmarkStart w:id="16" w:name="_Toc28359010"/>
      <w:bookmarkStart w:id="17" w:name="_Toc28359087"/>
      <w:r>
        <w:rPr>
          <w:rFonts w:hint="eastAsia" w:ascii="宋体" w:hAnsi="宋体" w:cs="宋体"/>
          <w:szCs w:val="21"/>
        </w:rPr>
        <w:t>0775-2685857</w:t>
      </w:r>
    </w:p>
    <w:p w14:paraId="5983C9AA">
      <w:pPr>
        <w:widowControl/>
        <w:spacing w:line="360" w:lineRule="exact"/>
        <w:ind w:firstLine="420" w:firstLineChars="200"/>
        <w:rPr>
          <w:rFonts w:ascii="宋体" w:hAnsi="宋体" w:cs="宋体"/>
          <w:szCs w:val="21"/>
        </w:rPr>
      </w:pPr>
      <w:r>
        <w:rPr>
          <w:rFonts w:hint="eastAsia" w:ascii="宋体" w:hAnsi="宋体" w:cs="宋体"/>
          <w:szCs w:val="21"/>
        </w:rPr>
        <w:t>3.</w:t>
      </w:r>
      <w:bookmarkEnd w:id="16"/>
      <w:bookmarkEnd w:id="17"/>
      <w:r>
        <w:rPr>
          <w:rFonts w:hint="eastAsia" w:ascii="宋体" w:hAnsi="宋体" w:cs="宋体"/>
          <w:szCs w:val="21"/>
        </w:rPr>
        <w:t>监督单位</w:t>
      </w:r>
    </w:p>
    <w:p w14:paraId="7B0ABFA7">
      <w:pPr>
        <w:widowControl/>
        <w:spacing w:line="360" w:lineRule="exact"/>
        <w:ind w:firstLine="420" w:firstLineChars="200"/>
        <w:rPr>
          <w:rFonts w:ascii="宋体" w:hAnsi="宋体" w:cs="宋体"/>
          <w:szCs w:val="21"/>
        </w:rPr>
      </w:pPr>
      <w:r>
        <w:rPr>
          <w:rFonts w:hint="eastAsia" w:ascii="宋体" w:hAnsi="宋体" w:cs="宋体"/>
          <w:szCs w:val="21"/>
        </w:rPr>
        <w:t xml:space="preserve">名称：玉林市财政局 </w:t>
      </w:r>
    </w:p>
    <w:p w14:paraId="31B3B4C1">
      <w:pPr>
        <w:widowControl/>
        <w:spacing w:line="360" w:lineRule="exact"/>
        <w:ind w:firstLine="420" w:firstLineChars="200"/>
        <w:rPr>
          <w:rFonts w:ascii="宋体" w:hAnsi="宋体" w:cs="宋体"/>
          <w:szCs w:val="21"/>
        </w:rPr>
      </w:pPr>
      <w:r>
        <w:rPr>
          <w:rFonts w:hint="eastAsia" w:ascii="宋体" w:hAnsi="宋体" w:cs="宋体"/>
          <w:szCs w:val="21"/>
        </w:rPr>
        <w:t>电话：0775-2697961</w:t>
      </w:r>
    </w:p>
    <w:p w14:paraId="09CBC5F5">
      <w:pPr>
        <w:spacing w:line="400" w:lineRule="exact"/>
        <w:ind w:firstLine="7245" w:firstLineChars="3450"/>
        <w:rPr>
          <w:rFonts w:ascii="宋体" w:hAnsi="宋体"/>
          <w:szCs w:val="21"/>
        </w:rPr>
      </w:pPr>
      <w:r>
        <w:rPr>
          <w:rFonts w:hint="eastAsia" w:ascii="宋体" w:hAnsi="宋体" w:cs="Arial"/>
          <w:szCs w:val="21"/>
        </w:rPr>
        <w:t>广西科文招标有限公司</w:t>
      </w:r>
    </w:p>
    <w:bookmarkEnd w:id="2"/>
    <w:bookmarkEnd w:id="10"/>
    <w:bookmarkEnd w:id="11"/>
    <w:bookmarkEnd w:id="12"/>
    <w:bookmarkEnd w:id="13"/>
    <w:p w14:paraId="3FA0B74A">
      <w:pPr>
        <w:spacing w:line="400" w:lineRule="exact"/>
        <w:ind w:firstLine="7665" w:firstLineChars="3650"/>
        <w:jc w:val="left"/>
        <w:rPr>
          <w:rFonts w:hint="eastAsia" w:ascii="宋体" w:hAnsi="宋体" w:eastAsia="宋体"/>
          <w:b/>
          <w:sz w:val="44"/>
          <w:szCs w:val="44"/>
          <w:lang w:eastAsia="zh-CN"/>
        </w:rPr>
      </w:pPr>
      <w:r>
        <w:rPr>
          <w:rFonts w:hint="eastAsia" w:ascii="宋体" w:hAnsi="宋体"/>
        </w:rPr>
        <w:t>2025年</w:t>
      </w:r>
      <w:r>
        <w:rPr>
          <w:rFonts w:hint="eastAsia" w:ascii="宋体" w:hAnsi="宋体"/>
          <w:lang w:eastAsia="zh-CN"/>
        </w:rPr>
        <w:t>7月31日</w:t>
      </w:r>
    </w:p>
    <w:p w14:paraId="5983539A">
      <w:pPr>
        <w:spacing w:line="280" w:lineRule="atLeast"/>
        <w:jc w:val="center"/>
        <w:rPr>
          <w:rFonts w:ascii="宋体" w:hAnsi="宋体"/>
          <w:b/>
          <w:sz w:val="44"/>
          <w:szCs w:val="44"/>
        </w:rPr>
      </w:pPr>
    </w:p>
    <w:p w14:paraId="612CF3F1">
      <w:pPr>
        <w:spacing w:line="280" w:lineRule="atLeast"/>
        <w:jc w:val="center"/>
        <w:rPr>
          <w:rFonts w:ascii="宋体" w:hAnsi="宋体"/>
          <w:b/>
          <w:sz w:val="44"/>
          <w:szCs w:val="44"/>
        </w:rPr>
      </w:pPr>
      <w:r>
        <w:rPr>
          <w:rFonts w:hint="eastAsia" w:ascii="宋体" w:hAnsi="宋体"/>
          <w:b/>
          <w:sz w:val="44"/>
          <w:szCs w:val="44"/>
        </w:rPr>
        <w:t>第二章 供应商须知</w:t>
      </w:r>
    </w:p>
    <w:p w14:paraId="22EB3949">
      <w:pPr>
        <w:spacing w:line="280" w:lineRule="atLeast"/>
        <w:jc w:val="center"/>
        <w:rPr>
          <w:rFonts w:ascii="宋体" w:hAnsi="宋体"/>
          <w:b/>
          <w:sz w:val="32"/>
          <w:szCs w:val="32"/>
        </w:rPr>
      </w:pPr>
    </w:p>
    <w:p w14:paraId="76237292">
      <w:pPr>
        <w:spacing w:line="280" w:lineRule="atLeast"/>
        <w:jc w:val="center"/>
        <w:rPr>
          <w:rFonts w:ascii="宋体" w:hAnsi="宋体"/>
          <w:b/>
          <w:sz w:val="32"/>
          <w:szCs w:val="32"/>
        </w:rPr>
      </w:pPr>
      <w:r>
        <w:rPr>
          <w:rFonts w:hint="eastAsia" w:ascii="宋体" w:hAnsi="宋体"/>
          <w:b/>
          <w:sz w:val="32"/>
          <w:szCs w:val="32"/>
        </w:rPr>
        <w:t>供应商须知前附表</w:t>
      </w:r>
    </w:p>
    <w:p w14:paraId="6977A74E">
      <w:pPr>
        <w:spacing w:line="280" w:lineRule="atLeast"/>
        <w:jc w:val="center"/>
        <w:rPr>
          <w:rFonts w:ascii="宋体" w:hAnsi="宋体"/>
          <w:b/>
          <w:sz w:val="32"/>
          <w:szCs w:val="32"/>
        </w:rPr>
      </w:pPr>
    </w:p>
    <w:tbl>
      <w:tblPr>
        <w:tblStyle w:val="27"/>
        <w:tblW w:w="96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95"/>
      </w:tblGrid>
      <w:tr w14:paraId="60D0A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5EFD5BF9">
            <w:pPr>
              <w:spacing w:line="360" w:lineRule="auto"/>
              <w:jc w:val="center"/>
              <w:rPr>
                <w:rFonts w:ascii="宋体" w:hAnsi="宋体" w:cs="宋体"/>
                <w:b/>
                <w:szCs w:val="21"/>
              </w:rPr>
            </w:pPr>
            <w:r>
              <w:rPr>
                <w:rFonts w:hint="eastAsia" w:ascii="宋体" w:hAnsi="宋体" w:cs="宋体"/>
                <w:b/>
                <w:szCs w:val="21"/>
              </w:rPr>
              <w:t>条款号</w:t>
            </w:r>
          </w:p>
        </w:tc>
        <w:tc>
          <w:tcPr>
            <w:tcW w:w="8695" w:type="dxa"/>
          </w:tcPr>
          <w:p w14:paraId="3D8C80C5">
            <w:pPr>
              <w:spacing w:line="360" w:lineRule="auto"/>
              <w:jc w:val="center"/>
              <w:rPr>
                <w:rFonts w:ascii="宋体" w:hAnsi="宋体" w:cs="宋体"/>
                <w:b/>
                <w:szCs w:val="21"/>
              </w:rPr>
            </w:pPr>
            <w:r>
              <w:rPr>
                <w:rFonts w:hint="eastAsia" w:ascii="宋体" w:hAnsi="宋体" w:cs="宋体"/>
                <w:b/>
                <w:szCs w:val="21"/>
              </w:rPr>
              <w:t>内    容</w:t>
            </w:r>
          </w:p>
        </w:tc>
      </w:tr>
      <w:tr w14:paraId="5D5F0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441D19E">
            <w:pPr>
              <w:spacing w:line="360" w:lineRule="auto"/>
              <w:jc w:val="center"/>
              <w:rPr>
                <w:rFonts w:ascii="宋体" w:hAnsi="宋体" w:cs="宋体"/>
                <w:szCs w:val="21"/>
              </w:rPr>
            </w:pPr>
            <w:r>
              <w:rPr>
                <w:rFonts w:hint="eastAsia" w:ascii="宋体" w:hAnsi="宋体" w:cs="宋体"/>
                <w:szCs w:val="21"/>
              </w:rPr>
              <w:t>3</w:t>
            </w:r>
          </w:p>
        </w:tc>
        <w:tc>
          <w:tcPr>
            <w:tcW w:w="8695" w:type="dxa"/>
            <w:vAlign w:val="center"/>
          </w:tcPr>
          <w:p w14:paraId="6FAC607E">
            <w:pPr>
              <w:spacing w:line="360" w:lineRule="auto"/>
              <w:rPr>
                <w:rFonts w:ascii="宋体" w:hAnsi="宋体" w:cs="宋体"/>
                <w:szCs w:val="21"/>
              </w:rPr>
            </w:pPr>
            <w:r>
              <w:rPr>
                <w:rFonts w:hint="eastAsia" w:ascii="宋体" w:hAnsi="宋体" w:cs="宋体"/>
                <w:szCs w:val="21"/>
              </w:rPr>
              <w:t>供应商的资格条件：详见竞争性谈判公告</w:t>
            </w:r>
          </w:p>
        </w:tc>
      </w:tr>
      <w:tr w14:paraId="70108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E820596">
            <w:pPr>
              <w:spacing w:line="360" w:lineRule="auto"/>
              <w:jc w:val="center"/>
              <w:rPr>
                <w:rFonts w:ascii="宋体" w:hAnsi="宋体" w:cs="宋体"/>
                <w:szCs w:val="21"/>
              </w:rPr>
            </w:pPr>
            <w:r>
              <w:rPr>
                <w:rFonts w:hint="eastAsia" w:ascii="宋体" w:hAnsi="宋体" w:cs="宋体"/>
                <w:szCs w:val="21"/>
              </w:rPr>
              <w:t>5.1</w:t>
            </w:r>
          </w:p>
        </w:tc>
        <w:tc>
          <w:tcPr>
            <w:tcW w:w="8695" w:type="dxa"/>
            <w:vAlign w:val="center"/>
          </w:tcPr>
          <w:p w14:paraId="5E19FF15">
            <w:pPr>
              <w:spacing w:line="360" w:lineRule="auto"/>
              <w:rPr>
                <w:rFonts w:ascii="宋体" w:hAnsi="宋体" w:cs="宋体"/>
                <w:szCs w:val="21"/>
              </w:rPr>
            </w:pPr>
            <w:r>
              <w:rPr>
                <w:rFonts w:hint="eastAsia" w:ascii="宋体" w:hAnsi="宋体" w:cs="宋体"/>
                <w:szCs w:val="21"/>
              </w:rPr>
              <w:t>是否接受联合体竞标: 详见竞争性谈判公告</w:t>
            </w:r>
          </w:p>
        </w:tc>
      </w:tr>
      <w:tr w14:paraId="4EE37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E733D21">
            <w:pPr>
              <w:spacing w:line="360" w:lineRule="auto"/>
              <w:jc w:val="center"/>
              <w:rPr>
                <w:rFonts w:ascii="宋体" w:hAnsi="宋体" w:cs="宋体"/>
                <w:szCs w:val="21"/>
              </w:rPr>
            </w:pPr>
            <w:r>
              <w:rPr>
                <w:rFonts w:hint="eastAsia" w:ascii="宋体" w:hAnsi="宋体" w:cs="宋体"/>
                <w:szCs w:val="21"/>
              </w:rPr>
              <w:t>5</w:t>
            </w:r>
            <w:r>
              <w:rPr>
                <w:rFonts w:ascii="宋体" w:hAnsi="宋体" w:cs="宋体"/>
                <w:szCs w:val="21"/>
              </w:rPr>
              <w:t>.2</w:t>
            </w:r>
          </w:p>
        </w:tc>
        <w:tc>
          <w:tcPr>
            <w:tcW w:w="8695" w:type="dxa"/>
            <w:vAlign w:val="center"/>
          </w:tcPr>
          <w:p w14:paraId="504A5FA2">
            <w:pPr>
              <w:spacing w:line="360" w:lineRule="auto"/>
              <w:rPr>
                <w:rFonts w:ascii="宋体" w:hAnsi="宋体" w:cs="宋体"/>
                <w:szCs w:val="21"/>
              </w:rPr>
            </w:pPr>
            <w:r>
              <w:rPr>
                <w:rFonts w:hint="eastAsia" w:ascii="宋体" w:hAnsi="宋体"/>
                <w:szCs w:val="21"/>
              </w:rPr>
              <w:t>如接受联合体竞标，联合体竞标要求如下：</w:t>
            </w:r>
          </w:p>
          <w:p w14:paraId="054948EA">
            <w:pPr>
              <w:autoSpaceDE w:val="0"/>
              <w:autoSpaceDN w:val="0"/>
              <w:snapToGrid w:val="0"/>
              <w:spacing w:line="400" w:lineRule="exact"/>
              <w:textAlignment w:val="bottom"/>
              <w:rPr>
                <w:rFonts w:ascii="宋体" w:hAnsi="宋体"/>
                <w:szCs w:val="21"/>
              </w:rPr>
            </w:pPr>
            <w:r>
              <w:rPr>
                <w:rFonts w:hint="eastAsia" w:ascii="宋体" w:hAnsi="宋体"/>
                <w:szCs w:val="21"/>
              </w:rPr>
              <w:t>1、两个以上供应商可以组成一个竞标联合体，以一个供应商的身份共同参加竞标，联合体供应商的名称应统一按“XXX 公司与 XXX 公司的联合体”的规则填写。</w:t>
            </w:r>
            <w:r>
              <w:rPr>
                <w:rFonts w:hint="eastAsia" w:ascii="宋体" w:hAnsi="宋体"/>
                <w:szCs w:val="21"/>
              </w:rPr>
              <w:tab/>
            </w:r>
          </w:p>
          <w:p w14:paraId="65103FBF">
            <w:pPr>
              <w:autoSpaceDE w:val="0"/>
              <w:autoSpaceDN w:val="0"/>
              <w:snapToGrid w:val="0"/>
              <w:spacing w:line="400" w:lineRule="exact"/>
              <w:textAlignment w:val="bottom"/>
              <w:rPr>
                <w:rFonts w:ascii="宋体" w:hAnsi="宋体"/>
                <w:szCs w:val="21"/>
              </w:rPr>
            </w:pPr>
            <w:r>
              <w:rPr>
                <w:rFonts w:hint="eastAsia" w:ascii="宋体" w:hAnsi="宋体"/>
                <w:szCs w:val="21"/>
              </w:rPr>
              <w:t>2、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本项目竞争性谈判公告“申请人的资格条件”第3点 “3、本项目的特定资格要求”的要求。</w:t>
            </w:r>
          </w:p>
          <w:p w14:paraId="4B486BB5">
            <w:pPr>
              <w:autoSpaceDE w:val="0"/>
              <w:autoSpaceDN w:val="0"/>
              <w:snapToGrid w:val="0"/>
              <w:spacing w:line="400" w:lineRule="exact"/>
              <w:textAlignment w:val="bottom"/>
              <w:rPr>
                <w:rFonts w:ascii="宋体" w:hAnsi="宋体"/>
                <w:szCs w:val="21"/>
              </w:rPr>
            </w:pPr>
            <w:r>
              <w:rPr>
                <w:rFonts w:hint="eastAsia" w:ascii="宋体" w:hAnsi="宋体"/>
                <w:szCs w:val="21"/>
              </w:rPr>
              <w:t>3、联合体竞标的，须提供《联合体竞标协议书》（格式后附），协议书必须明确主体方（或者牵头方）并明确约定联合体各方承担的工作和相应的责任（各方承担责任与义务的分工必须符合采购需求，否则，联合体响应无效），并将联合竞标协议放入响应文件。联合体各方必须共同与采购人签订采购合同，就采购合同约定的事项对采购人承担连带责任。</w:t>
            </w:r>
            <w:r>
              <w:rPr>
                <w:rFonts w:hint="eastAsia" w:ascii="宋体" w:hAnsi="宋体"/>
                <w:szCs w:val="21"/>
              </w:rPr>
              <w:tab/>
            </w:r>
          </w:p>
          <w:p w14:paraId="6673A175">
            <w:pPr>
              <w:autoSpaceDE w:val="0"/>
              <w:autoSpaceDN w:val="0"/>
              <w:snapToGrid w:val="0"/>
              <w:spacing w:line="400" w:lineRule="exact"/>
              <w:textAlignment w:val="bottom"/>
              <w:rPr>
                <w:rFonts w:ascii="宋体" w:hAnsi="宋体"/>
                <w:szCs w:val="21"/>
              </w:rPr>
            </w:pPr>
            <w:r>
              <w:rPr>
                <w:rFonts w:hint="eastAsia" w:ascii="宋体" w:hAnsi="宋体"/>
                <w:szCs w:val="21"/>
              </w:rPr>
              <w:t>4、以联合体形式参加政府采购活动的，联合体各方不得再单独参加或者与其他供应商另外组成联合体参加同一合同项下的政府采购活动，否则与之相关的响应文件作废。</w:t>
            </w:r>
            <w:r>
              <w:rPr>
                <w:rFonts w:hint="eastAsia" w:ascii="宋体" w:hAnsi="宋体"/>
                <w:szCs w:val="21"/>
              </w:rPr>
              <w:tab/>
            </w:r>
            <w:r>
              <w:rPr>
                <w:rFonts w:hint="eastAsia" w:ascii="宋体" w:hAnsi="宋体"/>
                <w:szCs w:val="21"/>
              </w:rPr>
              <w:tab/>
            </w:r>
          </w:p>
          <w:p w14:paraId="6E03AAA8">
            <w:pPr>
              <w:autoSpaceDE w:val="0"/>
              <w:autoSpaceDN w:val="0"/>
              <w:snapToGrid w:val="0"/>
              <w:spacing w:line="400" w:lineRule="exact"/>
              <w:textAlignment w:val="bottom"/>
              <w:rPr>
                <w:rFonts w:ascii="宋体" w:hAnsi="宋体"/>
                <w:szCs w:val="21"/>
              </w:rPr>
            </w:pPr>
            <w:r>
              <w:rPr>
                <w:rFonts w:hint="eastAsia" w:ascii="宋体" w:hAnsi="宋体"/>
                <w:szCs w:val="21"/>
              </w:rPr>
              <w:t>5、联合体中有同类资质的供应商按照联合体分工承担相同工作的，应当按照资质等级较低的供应商确定资质等级。</w:t>
            </w:r>
            <w:r>
              <w:rPr>
                <w:rFonts w:hint="eastAsia" w:ascii="宋体" w:hAnsi="宋体"/>
                <w:szCs w:val="21"/>
              </w:rPr>
              <w:tab/>
            </w:r>
            <w:r>
              <w:rPr>
                <w:rFonts w:hint="eastAsia" w:ascii="宋体" w:hAnsi="宋体"/>
                <w:szCs w:val="21"/>
              </w:rPr>
              <w:tab/>
            </w:r>
          </w:p>
          <w:p w14:paraId="108176F9">
            <w:pPr>
              <w:autoSpaceDE w:val="0"/>
              <w:autoSpaceDN w:val="0"/>
              <w:snapToGrid w:val="0"/>
              <w:spacing w:line="400" w:lineRule="exact"/>
              <w:textAlignment w:val="bottom"/>
              <w:rPr>
                <w:rFonts w:ascii="宋体" w:hAnsi="宋体"/>
                <w:szCs w:val="21"/>
              </w:rPr>
            </w:pPr>
            <w:r>
              <w:rPr>
                <w:rFonts w:hint="eastAsia" w:ascii="宋体" w:hAnsi="宋体"/>
                <w:szCs w:val="21"/>
              </w:rPr>
              <w:t>6、联合体竞标业绩、履约能力按照联合体各方其中较高的一方认定并计算（竞争性谈判文件另有规定的除外）。</w:t>
            </w:r>
            <w:r>
              <w:rPr>
                <w:rFonts w:hint="eastAsia" w:ascii="宋体" w:hAnsi="宋体"/>
                <w:szCs w:val="21"/>
              </w:rPr>
              <w:tab/>
            </w:r>
            <w:r>
              <w:rPr>
                <w:rFonts w:hint="eastAsia" w:ascii="宋体" w:hAnsi="宋体"/>
                <w:szCs w:val="21"/>
              </w:rPr>
              <w:tab/>
            </w:r>
            <w:r>
              <w:rPr>
                <w:rFonts w:hint="eastAsia" w:ascii="宋体" w:hAnsi="宋体"/>
                <w:szCs w:val="21"/>
              </w:rPr>
              <w:tab/>
            </w:r>
          </w:p>
          <w:p w14:paraId="3A95CF0D">
            <w:pPr>
              <w:spacing w:line="360" w:lineRule="auto"/>
              <w:rPr>
                <w:rFonts w:ascii="宋体" w:hAnsi="宋体" w:cs="宋体"/>
                <w:szCs w:val="21"/>
              </w:rPr>
            </w:pPr>
            <w:r>
              <w:rPr>
                <w:rFonts w:hint="eastAsia" w:ascii="宋体" w:hAnsi="宋体"/>
                <w:szCs w:val="21"/>
              </w:rPr>
              <w:t>7、联合体各方均应按照竞争性谈判文件的规定提交资格证明文件。</w:t>
            </w:r>
          </w:p>
        </w:tc>
      </w:tr>
      <w:tr w14:paraId="0D4D9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C6313D4">
            <w:pPr>
              <w:spacing w:line="360" w:lineRule="auto"/>
              <w:jc w:val="center"/>
              <w:rPr>
                <w:rFonts w:ascii="宋体" w:hAnsi="宋体" w:cs="宋体"/>
                <w:szCs w:val="21"/>
              </w:rPr>
            </w:pPr>
            <w:r>
              <w:rPr>
                <w:rFonts w:hint="eastAsia" w:ascii="宋体" w:hAnsi="宋体" w:cs="宋体"/>
                <w:szCs w:val="21"/>
              </w:rPr>
              <w:t>6.2</w:t>
            </w:r>
          </w:p>
        </w:tc>
        <w:tc>
          <w:tcPr>
            <w:tcW w:w="8695" w:type="dxa"/>
            <w:vAlign w:val="center"/>
          </w:tcPr>
          <w:p w14:paraId="5598D1E8">
            <w:pPr>
              <w:pStyle w:val="11"/>
              <w:spacing w:line="400" w:lineRule="exact"/>
              <w:rPr>
                <w:rFonts w:ascii="宋体" w:hAnsi="宋体"/>
                <w:szCs w:val="21"/>
                <w:u w:val="single"/>
              </w:rPr>
            </w:pPr>
            <w:r>
              <w:rPr>
                <w:rFonts w:hint="eastAsia" w:ascii="宋体" w:hAnsi="宋体"/>
                <w:szCs w:val="21"/>
              </w:rPr>
              <w:t>本项目不允许分包。</w:t>
            </w:r>
          </w:p>
        </w:tc>
      </w:tr>
      <w:tr w14:paraId="470E3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7C3EBAF">
            <w:pPr>
              <w:spacing w:line="360" w:lineRule="auto"/>
              <w:jc w:val="center"/>
              <w:rPr>
                <w:rFonts w:ascii="宋体" w:hAnsi="宋体" w:cs="宋体"/>
                <w:szCs w:val="21"/>
              </w:rPr>
            </w:pPr>
            <w:r>
              <w:rPr>
                <w:rFonts w:hint="eastAsia" w:ascii="宋体" w:hAnsi="宋体" w:cs="宋体"/>
                <w:szCs w:val="21"/>
              </w:rPr>
              <w:t>12.1</w:t>
            </w:r>
            <w:r>
              <w:rPr>
                <w:rFonts w:ascii="宋体" w:hAnsi="宋体" w:cs="宋体"/>
                <w:szCs w:val="21"/>
              </w:rPr>
              <w:t>.1</w:t>
            </w:r>
          </w:p>
        </w:tc>
        <w:tc>
          <w:tcPr>
            <w:tcW w:w="8695" w:type="dxa"/>
            <w:vAlign w:val="center"/>
          </w:tcPr>
          <w:p w14:paraId="75FDBF14">
            <w:pPr>
              <w:snapToGrid w:val="0"/>
              <w:spacing w:line="360" w:lineRule="auto"/>
              <w:jc w:val="left"/>
              <w:rPr>
                <w:rFonts w:ascii="宋体" w:hAnsi="宋体" w:cs="宋体"/>
                <w:b/>
                <w:szCs w:val="21"/>
              </w:rPr>
            </w:pPr>
            <w:r>
              <w:rPr>
                <w:rFonts w:hint="eastAsia" w:ascii="宋体" w:hAnsi="宋体" w:cs="宋体"/>
                <w:b/>
                <w:szCs w:val="21"/>
              </w:rPr>
              <w:t>资格证明文件</w:t>
            </w:r>
          </w:p>
          <w:p w14:paraId="08492084">
            <w:pPr>
              <w:snapToGrid w:val="0"/>
              <w:spacing w:line="360" w:lineRule="auto"/>
              <w:jc w:val="left"/>
              <w:rPr>
                <w:rFonts w:ascii="宋体" w:hAnsi="宋体" w:cs="宋体"/>
                <w:szCs w:val="21"/>
              </w:rPr>
            </w:pPr>
            <w:r>
              <w:rPr>
                <w:rFonts w:hint="eastAsia" w:ascii="宋体" w:hAnsi="宋体" w:cs="宋体"/>
                <w:szCs w:val="21"/>
              </w:rPr>
              <w:t>1、供应商为法人或者其他组织的，</w:t>
            </w:r>
            <w:r>
              <w:rPr>
                <w:rFonts w:hint="eastAsia" w:ascii="宋体" w:hAnsi="宋体"/>
                <w:szCs w:val="21"/>
              </w:rPr>
              <w:t>证明文件为其营业执照复印件（如营业执照或者事业单位法人证书或者执业许可证等）；供应商为自然人的，证明文件为其身份证复印件</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14:paraId="51699012">
            <w:pPr>
              <w:spacing w:line="360" w:lineRule="auto"/>
              <w:contextualSpacing/>
              <w:jc w:val="left"/>
              <w:rPr>
                <w:rFonts w:ascii="宋体" w:hAnsi="宋体" w:cs="宋体"/>
                <w:szCs w:val="21"/>
              </w:rPr>
            </w:pPr>
            <w:r>
              <w:rPr>
                <w:rFonts w:hint="eastAsia" w:ascii="宋体" w:hAnsi="宋体" w:cs="宋体"/>
                <w:szCs w:val="21"/>
              </w:rPr>
              <w:t>2、供应商依法缴纳税收的相关材料（2025年1月至截标前任意1个月的依法缴纳税收的凭据复印件；</w:t>
            </w:r>
            <w:r>
              <w:rPr>
                <w:rFonts w:hint="eastAsia"/>
              </w:rPr>
              <w:t>依法免税的，必须提供相应文件证明其依法免税。</w:t>
            </w:r>
            <w:r>
              <w:rPr>
                <w:rFonts w:hint="eastAsia" w:ascii="宋体" w:hAnsi="宋体" w:cs="宋体"/>
                <w:szCs w:val="21"/>
              </w:rPr>
              <w:t>从</w:t>
            </w:r>
            <w:r>
              <w:rPr>
                <w:szCs w:val="21"/>
              </w:rPr>
              <w:t>成立</w:t>
            </w:r>
            <w:r>
              <w:rPr>
                <w:rFonts w:hint="eastAsia"/>
                <w:szCs w:val="21"/>
              </w:rPr>
              <w:t>之日起</w:t>
            </w:r>
            <w:r>
              <w:rPr>
                <w:rFonts w:hint="eastAsia" w:ascii="宋体" w:hAnsi="宋体" w:cs="宋体"/>
                <w:szCs w:val="21"/>
              </w:rPr>
              <w:t>到响应文件提交截止时间止不足要求月数的，只需提供从</w:t>
            </w:r>
            <w:r>
              <w:rPr>
                <w:szCs w:val="21"/>
              </w:rPr>
              <w:t>成立</w:t>
            </w:r>
            <w:r>
              <w:rPr>
                <w:rFonts w:hint="eastAsia"/>
                <w:szCs w:val="21"/>
              </w:rPr>
              <w:t>之日起</w:t>
            </w:r>
            <w:r>
              <w:rPr>
                <w:rFonts w:hint="eastAsia" w:ascii="宋体" w:hAnsi="宋体" w:cs="宋体"/>
                <w:szCs w:val="21"/>
              </w:rPr>
              <w:t>的依法缴纳税收</w:t>
            </w:r>
            <w:r>
              <w:rPr>
                <w:rFonts w:hint="eastAsia"/>
              </w:rPr>
              <w:t>相应证明文件</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14:paraId="7EE6CA1C">
            <w:pPr>
              <w:spacing w:line="360" w:lineRule="auto"/>
              <w:contextualSpacing/>
              <w:jc w:val="left"/>
              <w:rPr>
                <w:rFonts w:ascii="宋体" w:hAnsi="宋体" w:cs="宋体"/>
                <w:szCs w:val="21"/>
              </w:rPr>
            </w:pPr>
            <w:r>
              <w:rPr>
                <w:rFonts w:hint="eastAsia" w:ascii="宋体" w:hAnsi="宋体" w:cs="宋体"/>
                <w:szCs w:val="21"/>
              </w:rPr>
              <w:t>3、供应商依法缴纳社会保障资金的相关材料（2025年1月至截标前任意1个月的依法缴纳社会保障资金的缴费凭证（完税证明或者社会保险缴费证明）复印件。供应商</w:t>
            </w:r>
            <w:r>
              <w:rPr>
                <w:rFonts w:hint="eastAsia"/>
              </w:rPr>
              <w:t>依法不需要缴纳社会保障资金的，必须提供相应文件证明不需要缴纳社会保障资金。</w:t>
            </w:r>
            <w:r>
              <w:rPr>
                <w:rFonts w:hint="eastAsia" w:ascii="宋体" w:hAnsi="宋体" w:cs="宋体"/>
                <w:szCs w:val="21"/>
              </w:rPr>
              <w:t>从</w:t>
            </w:r>
            <w:r>
              <w:rPr>
                <w:szCs w:val="21"/>
              </w:rPr>
              <w:t>成立</w:t>
            </w:r>
            <w:r>
              <w:rPr>
                <w:rFonts w:hint="eastAsia"/>
                <w:szCs w:val="21"/>
              </w:rPr>
              <w:t>之日起</w:t>
            </w:r>
            <w:r>
              <w:rPr>
                <w:rFonts w:hint="eastAsia" w:ascii="宋体" w:hAnsi="宋体" w:cs="宋体"/>
                <w:szCs w:val="21"/>
              </w:rPr>
              <w:t>到响应文件提交截止时间止不足要求月数的只需提供从</w:t>
            </w:r>
            <w:r>
              <w:rPr>
                <w:szCs w:val="21"/>
              </w:rPr>
              <w:t>成立</w:t>
            </w:r>
            <w:r>
              <w:rPr>
                <w:rFonts w:hint="eastAsia"/>
                <w:szCs w:val="21"/>
              </w:rPr>
              <w:t>之日起</w:t>
            </w:r>
            <w:r>
              <w:rPr>
                <w:rFonts w:hint="eastAsia" w:ascii="宋体" w:hAnsi="宋体" w:cs="宋体"/>
                <w:szCs w:val="21"/>
              </w:rPr>
              <w:t>的依法缴纳社会保障资金的</w:t>
            </w:r>
            <w:r>
              <w:rPr>
                <w:rFonts w:hint="eastAsia"/>
              </w:rPr>
              <w:t>相应证明文件</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14:paraId="7038F96C">
            <w:pPr>
              <w:spacing w:line="360" w:lineRule="auto"/>
              <w:contextualSpacing/>
              <w:jc w:val="left"/>
              <w:rPr>
                <w:rFonts w:ascii="宋体" w:hAnsi="宋体" w:cs="宋体"/>
                <w:b/>
                <w:szCs w:val="21"/>
              </w:rPr>
            </w:pPr>
            <w:r>
              <w:rPr>
                <w:rFonts w:hint="eastAsia" w:ascii="宋体" w:hAnsi="宋体" w:cs="宋体"/>
                <w:szCs w:val="21"/>
              </w:rPr>
              <w:t>4、竞标人财务状况报告（2024年度财务报表复印件或者银行出具的资信证明；竞标人属于成立</w:t>
            </w:r>
            <w:r>
              <w:rPr>
                <w:rFonts w:ascii="宋体" w:hAnsi="宋体" w:cs="宋体"/>
                <w:szCs w:val="21"/>
              </w:rPr>
              <w:t>时间</w:t>
            </w:r>
            <w:r>
              <w:rPr>
                <w:rFonts w:hint="eastAsia" w:ascii="宋体" w:hAnsi="宋体" w:cs="宋体"/>
                <w:szCs w:val="21"/>
              </w:rPr>
              <w:t>在规定年度之后</w:t>
            </w:r>
            <w:r>
              <w:rPr>
                <w:rFonts w:ascii="宋体" w:hAnsi="宋体" w:cs="宋体"/>
                <w:szCs w:val="21"/>
              </w:rPr>
              <w:t>的</w:t>
            </w:r>
            <w:r>
              <w:rPr>
                <w:rFonts w:hint="eastAsia" w:ascii="宋体" w:hAnsi="宋体" w:cs="宋体"/>
                <w:szCs w:val="21"/>
              </w:rPr>
              <w:t>法人或其他组织</w:t>
            </w:r>
            <w:r>
              <w:rPr>
                <w:rFonts w:ascii="宋体" w:hAnsi="宋体" w:cs="宋体"/>
                <w:szCs w:val="21"/>
              </w:rPr>
              <w:t>，需提供成立</w:t>
            </w:r>
            <w:r>
              <w:rPr>
                <w:rFonts w:hint="eastAsia" w:ascii="宋体" w:hAnsi="宋体" w:cs="宋体"/>
                <w:szCs w:val="21"/>
              </w:rPr>
              <w:t>之日起至竞标截止时间前</w:t>
            </w:r>
            <w:r>
              <w:rPr>
                <w:rFonts w:ascii="宋体" w:hAnsi="宋体" w:cs="宋体"/>
                <w:szCs w:val="21"/>
              </w:rPr>
              <w:t>的月报表</w:t>
            </w:r>
            <w:r>
              <w:rPr>
                <w:rFonts w:hint="eastAsia" w:ascii="宋体" w:hAnsi="宋体" w:cs="宋体"/>
                <w:szCs w:val="21"/>
              </w:rPr>
              <w:t>或银行出具的资信证明；资信证明应在有效期内，未注明有效期的，银行出具时间至竞标截止时间不超过一年；</w:t>
            </w:r>
            <w:r>
              <w:rPr>
                <w:rFonts w:hint="eastAsia" w:ascii="宋体" w:hAnsi="宋体" w:cs="宋体"/>
                <w:bCs/>
                <w:szCs w:val="21"/>
              </w:rPr>
              <w:t>（</w:t>
            </w:r>
            <w:r>
              <w:rPr>
                <w:rFonts w:hint="eastAsia" w:ascii="宋体" w:hAnsi="宋体"/>
                <w:b/>
                <w:szCs w:val="21"/>
              </w:rPr>
              <w:t>除自然人外必须提供</w:t>
            </w:r>
            <w:r>
              <w:rPr>
                <w:rFonts w:hint="eastAsia" w:ascii="宋体" w:hAnsi="宋体" w:cs="宋体"/>
                <w:b/>
                <w:szCs w:val="21"/>
              </w:rPr>
              <w:t>，否则响应文件按无效响应处理</w:t>
            </w:r>
            <w:r>
              <w:rPr>
                <w:rFonts w:hint="eastAsia" w:ascii="宋体" w:hAnsi="宋体" w:cs="宋体"/>
                <w:bCs/>
                <w:szCs w:val="21"/>
              </w:rPr>
              <w:t>）</w:t>
            </w:r>
          </w:p>
          <w:p w14:paraId="71D9248B">
            <w:pPr>
              <w:snapToGrid w:val="0"/>
              <w:spacing w:line="360" w:lineRule="auto"/>
              <w:jc w:val="left"/>
              <w:rPr>
                <w:rFonts w:ascii="宋体" w:hAnsi="宋体" w:cs="宋体"/>
                <w:szCs w:val="21"/>
              </w:rPr>
            </w:pPr>
            <w:r>
              <w:rPr>
                <w:rFonts w:hint="eastAsia" w:ascii="宋体" w:hAnsi="宋体" w:cs="宋体"/>
                <w:szCs w:val="21"/>
              </w:rPr>
              <w:t>5、供应商直接控股、管理关系信息表（格式后附）；（</w:t>
            </w:r>
            <w:r>
              <w:rPr>
                <w:rFonts w:hint="eastAsia" w:ascii="宋体" w:hAnsi="宋体" w:cs="宋体"/>
                <w:b/>
                <w:szCs w:val="21"/>
              </w:rPr>
              <w:t>必须提供，否则响应文件按无效响应处理</w:t>
            </w:r>
            <w:r>
              <w:rPr>
                <w:rFonts w:hint="eastAsia" w:ascii="宋体" w:hAnsi="宋体" w:cs="宋体"/>
                <w:szCs w:val="21"/>
              </w:rPr>
              <w:t>）</w:t>
            </w:r>
          </w:p>
          <w:p w14:paraId="141081BE">
            <w:pPr>
              <w:spacing w:line="360" w:lineRule="auto"/>
              <w:contextualSpacing/>
              <w:jc w:val="left"/>
              <w:rPr>
                <w:rFonts w:ascii="宋体" w:hAnsi="宋体" w:cs="宋体"/>
                <w:szCs w:val="21"/>
              </w:rPr>
            </w:pPr>
            <w:r>
              <w:rPr>
                <w:rFonts w:hint="eastAsia" w:ascii="宋体" w:hAnsi="宋体" w:cs="宋体"/>
                <w:szCs w:val="21"/>
              </w:rPr>
              <w:t>6、竞标声明（格式后附）；</w:t>
            </w:r>
            <w:r>
              <w:rPr>
                <w:rFonts w:hint="eastAsia" w:ascii="宋体" w:hAnsi="宋体" w:cs="宋体"/>
                <w:b/>
                <w:szCs w:val="21"/>
              </w:rPr>
              <w:t>（必须提供，否则响应文件按无效响应处理）</w:t>
            </w:r>
          </w:p>
          <w:p w14:paraId="25BE17CA">
            <w:pPr>
              <w:spacing w:line="360" w:lineRule="auto"/>
              <w:contextualSpacing/>
              <w:jc w:val="left"/>
              <w:rPr>
                <w:rFonts w:ascii="宋体" w:hAnsi="宋体" w:cs="宋体"/>
                <w:szCs w:val="21"/>
              </w:rPr>
            </w:pPr>
            <w:r>
              <w:rPr>
                <w:rFonts w:hint="eastAsia" w:ascii="宋体" w:hAnsi="宋体" w:cs="宋体"/>
                <w:szCs w:val="21"/>
              </w:rPr>
              <w:t>7、具有有效的《成品</w:t>
            </w:r>
            <w:r>
              <w:rPr>
                <w:rFonts w:hint="eastAsia"/>
                <w:szCs w:val="21"/>
              </w:rPr>
              <w:t>油零售经营批准证书》和有效的《危险化学品经营许可证》</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14:paraId="293A8F85">
            <w:pPr>
              <w:snapToGrid w:val="0"/>
              <w:spacing w:line="360" w:lineRule="auto"/>
              <w:jc w:val="left"/>
              <w:rPr>
                <w:rFonts w:ascii="宋体" w:hAnsi="宋体" w:cs="宋体"/>
                <w:szCs w:val="21"/>
              </w:rPr>
            </w:pPr>
            <w:r>
              <w:rPr>
                <w:rFonts w:hint="eastAsia"/>
              </w:rPr>
              <w:t>8</w:t>
            </w:r>
            <w:r>
              <w:rPr>
                <w:rFonts w:hint="eastAsia" w:ascii="宋体" w:hAnsi="宋体" w:cs="宋体"/>
                <w:szCs w:val="21"/>
              </w:rPr>
              <w:t>、除谈判文件规定必须提供以外，供应商认为需要提供的其他证明材料。</w:t>
            </w:r>
          </w:p>
          <w:p w14:paraId="4643682A">
            <w:pPr>
              <w:snapToGrid w:val="0"/>
              <w:spacing w:line="360" w:lineRule="auto"/>
              <w:ind w:firstLine="422" w:firstLineChars="200"/>
              <w:jc w:val="left"/>
              <w:rPr>
                <w:rFonts w:ascii="宋体" w:hAnsi="宋体" w:cs="宋体"/>
                <w:b/>
                <w:szCs w:val="21"/>
              </w:rPr>
            </w:pPr>
            <w:r>
              <w:rPr>
                <w:rFonts w:hint="eastAsia" w:ascii="宋体" w:hAnsi="宋体" w:cs="宋体"/>
                <w:b/>
                <w:szCs w:val="21"/>
              </w:rPr>
              <w:t>注：</w:t>
            </w:r>
          </w:p>
          <w:p w14:paraId="16B57637">
            <w:pPr>
              <w:snapToGrid w:val="0"/>
              <w:spacing w:line="360" w:lineRule="auto"/>
              <w:ind w:firstLine="413" w:firstLineChars="196"/>
              <w:jc w:val="left"/>
              <w:rPr>
                <w:rFonts w:ascii="宋体" w:hAnsi="宋体" w:cs="宋体"/>
                <w:b/>
                <w:szCs w:val="21"/>
              </w:rPr>
            </w:pPr>
            <w:r>
              <w:rPr>
                <w:rFonts w:hint="eastAsia" w:ascii="宋体" w:hAnsi="宋体" w:cs="宋体"/>
                <w:b/>
                <w:szCs w:val="21"/>
              </w:rPr>
              <w:t>1.以上标明“必须提供”的材料属于复印件的，必须加盖供应商公章，否则响应文件按无效响应处理。</w:t>
            </w:r>
          </w:p>
          <w:p w14:paraId="096666C0">
            <w:pPr>
              <w:snapToGrid w:val="0"/>
              <w:spacing w:line="360" w:lineRule="auto"/>
              <w:ind w:firstLine="422" w:firstLineChars="200"/>
              <w:jc w:val="left"/>
              <w:rPr>
                <w:rFonts w:ascii="宋体" w:hAnsi="宋体" w:cs="宋体"/>
                <w:b/>
                <w:szCs w:val="21"/>
              </w:rPr>
            </w:pPr>
            <w:r>
              <w:rPr>
                <w:rFonts w:hint="eastAsia" w:ascii="宋体" w:hAnsi="宋体" w:cs="宋体"/>
                <w:b/>
                <w:szCs w:val="21"/>
              </w:rPr>
              <w:t>2.竞标声明必须由法定代表人在规定签章处逐一签字并加盖供应商公章，否则响应文件按无效响应处理。</w:t>
            </w:r>
          </w:p>
          <w:p w14:paraId="27C8FC03">
            <w:pPr>
              <w:snapToGrid w:val="0"/>
              <w:spacing w:line="360" w:lineRule="auto"/>
              <w:ind w:firstLine="422" w:firstLineChars="200"/>
              <w:jc w:val="left"/>
              <w:rPr>
                <w:rFonts w:ascii="宋体" w:hAnsi="宋体" w:cs="宋体"/>
                <w:b/>
                <w:szCs w:val="21"/>
              </w:rPr>
            </w:pPr>
            <w:r>
              <w:rPr>
                <w:rFonts w:hint="eastAsia" w:ascii="宋体" w:hAnsi="宋体" w:cs="宋体"/>
                <w:b/>
                <w:szCs w:val="21"/>
              </w:rPr>
              <w:t>3.供应商直接控股、管理关系信息表必须由法定代表人或者委托代理人在规定签章处逐一签字并加盖供应商公章，否则响应文件按无效响应处理。</w:t>
            </w:r>
          </w:p>
          <w:p w14:paraId="1291F30B">
            <w:pPr>
              <w:snapToGrid w:val="0"/>
              <w:spacing w:line="360" w:lineRule="auto"/>
              <w:ind w:firstLine="422" w:firstLineChars="200"/>
              <w:jc w:val="left"/>
              <w:rPr>
                <w:rFonts w:ascii="宋体" w:hAnsi="宋体" w:cs="宋体"/>
                <w:b/>
                <w:szCs w:val="21"/>
              </w:rPr>
            </w:pPr>
            <w:r>
              <w:rPr>
                <w:rFonts w:hint="eastAsia" w:ascii="宋体" w:hAnsi="宋体" w:cs="宋体"/>
                <w:b/>
                <w:szCs w:val="21"/>
              </w:rPr>
              <w:t>4.联合体竞标时，第1-5项资格证明文件联合体各方均必须分别提供，联合体各方分别盖章和签字，否则响应文件按无效响应处理。</w:t>
            </w:r>
          </w:p>
          <w:p w14:paraId="66C31930">
            <w:pPr>
              <w:snapToGrid w:val="0"/>
              <w:spacing w:line="360" w:lineRule="auto"/>
              <w:ind w:firstLine="422" w:firstLineChars="200"/>
              <w:jc w:val="left"/>
              <w:rPr>
                <w:rFonts w:ascii="宋体" w:hAnsi="宋体" w:cs="宋体"/>
                <w:b/>
                <w:szCs w:val="21"/>
              </w:rPr>
            </w:pPr>
            <w:r>
              <w:rPr>
                <w:rFonts w:hint="eastAsia" w:ascii="宋体" w:hAnsi="宋体" w:cs="宋体"/>
                <w:b/>
                <w:szCs w:val="21"/>
              </w:rPr>
              <w:t>5.</w:t>
            </w:r>
            <w:r>
              <w:rPr>
                <w:rFonts w:hint="eastAsia" w:ascii="宋体" w:hAnsi="宋体"/>
                <w:b/>
                <w:bCs/>
                <w:szCs w:val="21"/>
              </w:rPr>
              <w:t>分公司参加竞标的，应当取得总公司授权</w:t>
            </w:r>
            <w:r>
              <w:rPr>
                <w:rFonts w:hint="eastAsia" w:ascii="宋体" w:hAnsi="宋体" w:cs="宋体"/>
                <w:b/>
                <w:szCs w:val="21"/>
              </w:rPr>
              <w:t>，否则响应文件按无效响应处理。</w:t>
            </w:r>
          </w:p>
        </w:tc>
      </w:tr>
      <w:tr w14:paraId="04C12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6032C48">
            <w:pPr>
              <w:spacing w:line="360" w:lineRule="auto"/>
              <w:jc w:val="center"/>
              <w:rPr>
                <w:rFonts w:ascii="宋体" w:hAnsi="宋体" w:cs="宋体"/>
                <w:szCs w:val="21"/>
              </w:rPr>
            </w:pPr>
            <w:r>
              <w:rPr>
                <w:rFonts w:hint="eastAsia" w:ascii="宋体" w:hAnsi="宋体" w:cs="宋体"/>
                <w:szCs w:val="21"/>
              </w:rPr>
              <w:t>12.</w:t>
            </w:r>
            <w:r>
              <w:rPr>
                <w:rFonts w:ascii="宋体" w:hAnsi="宋体" w:cs="宋体"/>
                <w:szCs w:val="21"/>
              </w:rPr>
              <w:t>1</w:t>
            </w:r>
            <w:r>
              <w:rPr>
                <w:rFonts w:hint="eastAsia" w:ascii="宋体" w:hAnsi="宋体" w:cs="宋体"/>
                <w:szCs w:val="21"/>
              </w:rPr>
              <w:t>.</w:t>
            </w:r>
            <w:r>
              <w:rPr>
                <w:rFonts w:ascii="宋体" w:hAnsi="宋体" w:cs="宋体"/>
                <w:szCs w:val="21"/>
              </w:rPr>
              <w:t>2</w:t>
            </w:r>
          </w:p>
        </w:tc>
        <w:tc>
          <w:tcPr>
            <w:tcW w:w="8695" w:type="dxa"/>
            <w:vAlign w:val="center"/>
          </w:tcPr>
          <w:p w14:paraId="29B7DDC6">
            <w:pPr>
              <w:spacing w:line="360" w:lineRule="auto"/>
              <w:rPr>
                <w:rFonts w:ascii="宋体" w:hAnsi="宋体" w:cs="宋体"/>
                <w:b/>
                <w:bCs/>
                <w:szCs w:val="21"/>
              </w:rPr>
            </w:pPr>
            <w:r>
              <w:rPr>
                <w:rFonts w:hint="eastAsia" w:ascii="宋体" w:hAnsi="宋体" w:cs="宋体"/>
                <w:b/>
                <w:bCs/>
                <w:szCs w:val="21"/>
              </w:rPr>
              <w:t>报价文件</w:t>
            </w:r>
          </w:p>
          <w:p w14:paraId="04AE6E91">
            <w:pPr>
              <w:spacing w:line="360" w:lineRule="auto"/>
              <w:rPr>
                <w:rFonts w:ascii="宋体" w:hAnsi="宋体" w:cs="宋体"/>
                <w:szCs w:val="21"/>
              </w:rPr>
            </w:pPr>
            <w:r>
              <w:rPr>
                <w:rFonts w:hint="eastAsia" w:ascii="宋体" w:hAnsi="宋体" w:cs="宋体"/>
                <w:szCs w:val="21"/>
              </w:rPr>
              <w:t>1、竞标报价表（格式后附）；（</w:t>
            </w:r>
            <w:r>
              <w:rPr>
                <w:rFonts w:hint="eastAsia" w:ascii="宋体" w:hAnsi="宋体" w:cs="宋体"/>
                <w:b/>
                <w:szCs w:val="21"/>
              </w:rPr>
              <w:t>必须提供，否则响应文件按无效响应处理</w:t>
            </w:r>
            <w:r>
              <w:rPr>
                <w:rFonts w:hint="eastAsia" w:ascii="宋体" w:hAnsi="宋体" w:cs="宋体"/>
                <w:szCs w:val="21"/>
              </w:rPr>
              <w:t>）</w:t>
            </w:r>
          </w:p>
          <w:p w14:paraId="5B797FBA">
            <w:pPr>
              <w:spacing w:line="360" w:lineRule="auto"/>
              <w:rPr>
                <w:rFonts w:ascii="宋体" w:hAnsi="宋体" w:cs="宋体"/>
                <w:b/>
                <w:szCs w:val="21"/>
              </w:rPr>
            </w:pPr>
            <w:r>
              <w:rPr>
                <w:rFonts w:hint="eastAsia" w:ascii="宋体" w:hAnsi="宋体" w:cs="宋体"/>
                <w:szCs w:val="21"/>
              </w:rPr>
              <w:t>2、供应商认为需要提供的其他有关资料。</w:t>
            </w:r>
          </w:p>
          <w:p w14:paraId="3E7DE881">
            <w:pPr>
              <w:snapToGrid w:val="0"/>
              <w:spacing w:line="360" w:lineRule="auto"/>
              <w:ind w:firstLine="422" w:firstLineChars="200"/>
              <w:jc w:val="left"/>
              <w:rPr>
                <w:rFonts w:ascii="宋体" w:hAnsi="宋体" w:cs="宋体"/>
                <w:b/>
                <w:szCs w:val="21"/>
              </w:rPr>
            </w:pPr>
            <w:r>
              <w:rPr>
                <w:rFonts w:hint="eastAsia" w:ascii="宋体" w:hAnsi="宋体" w:cs="宋体"/>
                <w:b/>
                <w:szCs w:val="21"/>
              </w:rPr>
              <w:t>注：以上标明“必须提供”的材料属于复印件的，必须加盖供应商公章，否则响应文件按无效响应处理。</w:t>
            </w:r>
          </w:p>
        </w:tc>
      </w:tr>
      <w:tr w14:paraId="3EAC8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14:paraId="49BCC28B">
            <w:pPr>
              <w:spacing w:line="360" w:lineRule="auto"/>
              <w:jc w:val="center"/>
              <w:rPr>
                <w:rFonts w:ascii="宋体" w:hAnsi="宋体" w:cs="宋体"/>
                <w:szCs w:val="21"/>
              </w:rPr>
            </w:pPr>
            <w:r>
              <w:rPr>
                <w:rFonts w:hint="eastAsia" w:ascii="宋体" w:hAnsi="宋体" w:cs="宋体"/>
                <w:szCs w:val="21"/>
              </w:rPr>
              <w:t>12.</w:t>
            </w:r>
            <w:r>
              <w:rPr>
                <w:rFonts w:ascii="宋体" w:hAnsi="宋体" w:cs="宋体"/>
                <w:szCs w:val="21"/>
              </w:rPr>
              <w:t>1.</w:t>
            </w:r>
            <w:r>
              <w:rPr>
                <w:rFonts w:hint="eastAsia" w:ascii="宋体" w:hAnsi="宋体" w:cs="宋体"/>
                <w:szCs w:val="21"/>
              </w:rPr>
              <w:t>3</w:t>
            </w:r>
          </w:p>
        </w:tc>
        <w:tc>
          <w:tcPr>
            <w:tcW w:w="8695" w:type="dxa"/>
            <w:vAlign w:val="center"/>
          </w:tcPr>
          <w:p w14:paraId="61DF3DE0">
            <w:pPr>
              <w:spacing w:line="360" w:lineRule="auto"/>
              <w:rPr>
                <w:rFonts w:ascii="宋体" w:hAnsi="宋体" w:cs="宋体"/>
                <w:szCs w:val="21"/>
              </w:rPr>
            </w:pPr>
            <w:r>
              <w:rPr>
                <w:rFonts w:hint="eastAsia" w:ascii="宋体" w:hAnsi="宋体" w:cs="宋体"/>
                <w:b/>
                <w:szCs w:val="21"/>
              </w:rPr>
              <w:t>商务技术文件</w:t>
            </w:r>
          </w:p>
          <w:p w14:paraId="5DF9BCF8">
            <w:pPr>
              <w:numPr>
                <w:ilvl w:val="0"/>
                <w:numId w:val="2"/>
              </w:numPr>
              <w:spacing w:line="360" w:lineRule="auto"/>
              <w:rPr>
                <w:rFonts w:ascii="宋体" w:hAnsi="宋体" w:cs="宋体"/>
                <w:szCs w:val="21"/>
              </w:rPr>
            </w:pPr>
            <w:r>
              <w:rPr>
                <w:rFonts w:hint="eastAsia" w:ascii="宋体" w:hAnsi="宋体" w:cs="宋体"/>
                <w:szCs w:val="21"/>
              </w:rPr>
              <w:t>无串通竞标行为的承诺函（格式后附）；（</w:t>
            </w:r>
            <w:r>
              <w:rPr>
                <w:rFonts w:hint="eastAsia" w:ascii="宋体" w:hAnsi="宋体" w:cs="宋体"/>
                <w:b/>
                <w:szCs w:val="21"/>
              </w:rPr>
              <w:t>必须提供，否则响应文件按无效响应处理</w:t>
            </w:r>
            <w:r>
              <w:rPr>
                <w:rFonts w:hint="eastAsia" w:ascii="宋体" w:hAnsi="宋体" w:cs="宋体"/>
                <w:szCs w:val="21"/>
              </w:rPr>
              <w:t>）</w:t>
            </w:r>
          </w:p>
          <w:p w14:paraId="312D2A03">
            <w:pPr>
              <w:spacing w:line="360" w:lineRule="auto"/>
            </w:pPr>
            <w:r>
              <w:rPr>
                <w:rFonts w:hint="eastAsia" w:ascii="宋体" w:hAnsi="宋体" w:cs="宋体"/>
                <w:szCs w:val="21"/>
              </w:rPr>
              <w:t>2、法定代表人身份证明及法定代表人有效身份证正反面复印件（格式后附）；（</w:t>
            </w:r>
            <w:r>
              <w:rPr>
                <w:rFonts w:hint="eastAsia" w:ascii="宋体" w:hAnsi="宋体" w:cs="宋体"/>
                <w:b/>
                <w:szCs w:val="21"/>
              </w:rPr>
              <w:t>必须提供，否则响应文件按无效响应处理</w:t>
            </w:r>
            <w:r>
              <w:rPr>
                <w:rFonts w:hint="eastAsia" w:ascii="宋体" w:hAnsi="宋体" w:cs="宋体"/>
                <w:szCs w:val="21"/>
              </w:rPr>
              <w:t>）</w:t>
            </w:r>
          </w:p>
          <w:p w14:paraId="62E1966E">
            <w:pPr>
              <w:snapToGrid w:val="0"/>
              <w:spacing w:line="360" w:lineRule="auto"/>
              <w:jc w:val="left"/>
              <w:rPr>
                <w:rFonts w:ascii="宋体" w:hAnsi="宋体" w:cs="宋体"/>
                <w:b/>
                <w:szCs w:val="21"/>
              </w:rPr>
            </w:pPr>
            <w:r>
              <w:rPr>
                <w:rFonts w:hint="eastAsia" w:ascii="宋体" w:hAnsi="宋体" w:cs="宋体"/>
                <w:szCs w:val="21"/>
              </w:rPr>
              <w:t>3、授权委托书及委托代理人有效身份证正反面复印件（格式后附）；（</w:t>
            </w:r>
            <w:r>
              <w:rPr>
                <w:rFonts w:hint="eastAsia" w:ascii="宋体" w:hAnsi="宋体" w:cs="宋体"/>
                <w:b/>
                <w:szCs w:val="21"/>
              </w:rPr>
              <w:t>委托时必须提供，否则响应文件按无效响应处理</w:t>
            </w:r>
            <w:r>
              <w:rPr>
                <w:rFonts w:hint="eastAsia" w:ascii="宋体" w:hAnsi="宋体" w:cs="宋体"/>
                <w:szCs w:val="21"/>
              </w:rPr>
              <w:t>）</w:t>
            </w:r>
          </w:p>
          <w:p w14:paraId="35C98DAC">
            <w:pPr>
              <w:spacing w:line="360" w:lineRule="auto"/>
              <w:rPr>
                <w:rFonts w:ascii="宋体" w:hAnsi="宋体" w:cs="宋体"/>
                <w:szCs w:val="21"/>
              </w:rPr>
            </w:pPr>
            <w:r>
              <w:rPr>
                <w:rFonts w:hint="eastAsia" w:ascii="宋体" w:hAnsi="宋体" w:cs="宋体"/>
                <w:szCs w:val="21"/>
              </w:rPr>
              <w:t>4、竞标保证金提交凭证；（</w:t>
            </w:r>
            <w:r>
              <w:rPr>
                <w:rFonts w:hint="eastAsia" w:ascii="宋体" w:hAnsi="宋体" w:cs="宋体"/>
                <w:b/>
                <w:szCs w:val="21"/>
              </w:rPr>
              <w:t>必须提供，否则响应文件按无效响应处理</w:t>
            </w:r>
            <w:r>
              <w:rPr>
                <w:rFonts w:hint="eastAsia" w:ascii="宋体" w:hAnsi="宋体" w:cs="宋体"/>
                <w:szCs w:val="21"/>
              </w:rPr>
              <w:t>）</w:t>
            </w:r>
          </w:p>
          <w:p w14:paraId="2AFD3AE6">
            <w:pPr>
              <w:spacing w:line="360" w:lineRule="auto"/>
              <w:rPr>
                <w:rFonts w:ascii="宋体" w:hAnsi="宋体" w:cs="宋体"/>
                <w:szCs w:val="21"/>
              </w:rPr>
            </w:pPr>
            <w:r>
              <w:rPr>
                <w:rFonts w:hint="eastAsia" w:ascii="宋体" w:hAnsi="宋体" w:cs="宋体"/>
                <w:szCs w:val="21"/>
              </w:rPr>
              <w:t>5、商务要求偏离表（格式后附）；（</w:t>
            </w:r>
            <w:r>
              <w:rPr>
                <w:rFonts w:hint="eastAsia" w:ascii="宋体" w:hAnsi="宋体" w:cs="宋体"/>
                <w:b/>
                <w:szCs w:val="21"/>
              </w:rPr>
              <w:t>必须提供，否则响应文件按无效响应处理</w:t>
            </w:r>
            <w:r>
              <w:rPr>
                <w:rFonts w:hint="eastAsia" w:ascii="宋体" w:hAnsi="宋体" w:cs="宋体"/>
                <w:szCs w:val="21"/>
              </w:rPr>
              <w:t>）</w:t>
            </w:r>
          </w:p>
          <w:p w14:paraId="64CDD5C7">
            <w:pPr>
              <w:snapToGrid w:val="0"/>
              <w:spacing w:line="360" w:lineRule="auto"/>
              <w:jc w:val="left"/>
              <w:rPr>
                <w:rFonts w:ascii="宋体" w:hAnsi="宋体" w:cs="宋体"/>
                <w:b/>
                <w:szCs w:val="21"/>
              </w:rPr>
            </w:pPr>
            <w:r>
              <w:rPr>
                <w:rFonts w:hint="eastAsia" w:ascii="宋体" w:hAnsi="宋体" w:cs="宋体"/>
                <w:szCs w:val="21"/>
              </w:rPr>
              <w:t>6、售后服务承诺（格式自拟）；（</w:t>
            </w:r>
            <w:r>
              <w:rPr>
                <w:rFonts w:hint="eastAsia" w:ascii="宋体" w:hAnsi="宋体" w:cs="宋体"/>
                <w:b/>
                <w:szCs w:val="21"/>
              </w:rPr>
              <w:t>必须提供，否则响应文件按无效响应处理）</w:t>
            </w:r>
          </w:p>
          <w:p w14:paraId="1733B9DD">
            <w:pPr>
              <w:snapToGrid w:val="0"/>
              <w:spacing w:line="360" w:lineRule="auto"/>
              <w:jc w:val="left"/>
              <w:rPr>
                <w:rFonts w:ascii="宋体" w:hAnsi="宋体" w:cs="宋体"/>
                <w:b/>
                <w:szCs w:val="21"/>
              </w:rPr>
            </w:pPr>
            <w:r>
              <w:rPr>
                <w:rFonts w:hint="eastAsia" w:ascii="宋体" w:hAnsi="宋体" w:cs="宋体"/>
                <w:szCs w:val="21"/>
              </w:rPr>
              <w:t>7、货物配置清单（均不含报价）（格式后附）；</w:t>
            </w:r>
            <w:r>
              <w:rPr>
                <w:rFonts w:hint="eastAsia" w:ascii="宋体" w:hAnsi="宋体" w:cs="宋体"/>
                <w:b/>
                <w:szCs w:val="21"/>
              </w:rPr>
              <w:t xml:space="preserve"> </w:t>
            </w:r>
            <w:r>
              <w:rPr>
                <w:rFonts w:hint="eastAsia" w:ascii="宋体" w:hAnsi="宋体" w:cs="宋体"/>
                <w:szCs w:val="21"/>
              </w:rPr>
              <w:t>（</w:t>
            </w:r>
            <w:r>
              <w:rPr>
                <w:rFonts w:hint="eastAsia" w:ascii="宋体" w:hAnsi="宋体" w:cs="宋体"/>
                <w:b/>
                <w:szCs w:val="21"/>
              </w:rPr>
              <w:t>必须提供，否则响应文件按无效响应处理）</w:t>
            </w:r>
          </w:p>
          <w:p w14:paraId="0891ED0C">
            <w:pPr>
              <w:snapToGrid w:val="0"/>
              <w:spacing w:line="360" w:lineRule="auto"/>
              <w:jc w:val="left"/>
              <w:rPr>
                <w:rFonts w:ascii="宋体" w:hAnsi="宋体" w:cs="宋体"/>
                <w:szCs w:val="21"/>
              </w:rPr>
            </w:pPr>
            <w:r>
              <w:rPr>
                <w:rFonts w:hint="eastAsia" w:ascii="宋体" w:hAnsi="宋体" w:cs="宋体"/>
                <w:szCs w:val="21"/>
              </w:rPr>
              <w:t>8、技术偏离表（格式后附）；</w:t>
            </w:r>
            <w:r>
              <w:rPr>
                <w:rFonts w:hint="eastAsia" w:ascii="宋体" w:hAnsi="宋体" w:cs="宋体"/>
                <w:b/>
                <w:szCs w:val="21"/>
              </w:rPr>
              <w:t>（必须提供，否则响应文件按无效响应处理）</w:t>
            </w:r>
          </w:p>
          <w:p w14:paraId="43001868">
            <w:pPr>
              <w:snapToGrid w:val="0"/>
              <w:spacing w:line="360" w:lineRule="auto"/>
              <w:jc w:val="left"/>
              <w:rPr>
                <w:rFonts w:ascii="宋体" w:hAnsi="宋体" w:cs="宋体"/>
                <w:szCs w:val="21"/>
              </w:rPr>
            </w:pPr>
            <w:r>
              <w:rPr>
                <w:rFonts w:hint="eastAsia" w:ascii="宋体" w:hAnsi="宋体" w:cs="宋体"/>
                <w:szCs w:val="21"/>
              </w:rPr>
              <w:t>9、对应采购需求的技术要求、商务要求提供的其他文件资料（格式自拟）；(</w:t>
            </w:r>
            <w:r>
              <w:rPr>
                <w:rFonts w:hint="eastAsia" w:ascii="宋体" w:hAnsi="宋体" w:cs="宋体"/>
                <w:b/>
                <w:szCs w:val="21"/>
              </w:rPr>
              <w:t>如有要求提交的则必须提供，否则响应文件按无效响应处理）</w:t>
            </w:r>
          </w:p>
          <w:p w14:paraId="7D5ED5D8">
            <w:pPr>
              <w:snapToGrid w:val="0"/>
              <w:spacing w:line="360" w:lineRule="auto"/>
              <w:jc w:val="left"/>
              <w:rPr>
                <w:rFonts w:ascii="宋体" w:hAnsi="宋体" w:cs="宋体"/>
                <w:szCs w:val="21"/>
              </w:rPr>
            </w:pPr>
            <w:r>
              <w:rPr>
                <w:rFonts w:hint="eastAsia" w:ascii="宋体" w:hAnsi="宋体" w:cs="宋体"/>
                <w:szCs w:val="21"/>
              </w:rPr>
              <w:t>10、</w:t>
            </w:r>
            <w:r>
              <w:rPr>
                <w:rFonts w:hint="eastAsia" w:ascii="宋体" w:hAnsi="宋体"/>
                <w:szCs w:val="21"/>
              </w:rPr>
              <w:t>中小企业声明函或者残疾人福利性单位声明函（格式后附）或者供应商属于监狱企业的，提供由省级以上监狱管理局、戒毒管理局（含新疆生产建设兵团）出具的属于监狱企业的证明文件；</w:t>
            </w:r>
            <w:r>
              <w:rPr>
                <w:rFonts w:hint="eastAsia" w:ascii="宋体" w:hAnsi="宋体"/>
                <w:b/>
                <w:bCs/>
                <w:szCs w:val="21"/>
              </w:rPr>
              <w:t>（如有请提供）</w:t>
            </w:r>
          </w:p>
          <w:p w14:paraId="6445F312">
            <w:pPr>
              <w:snapToGrid w:val="0"/>
              <w:spacing w:line="360" w:lineRule="auto"/>
              <w:jc w:val="left"/>
              <w:rPr>
                <w:rFonts w:ascii="宋体" w:hAnsi="宋体" w:cs="宋体"/>
                <w:szCs w:val="21"/>
              </w:rPr>
            </w:pPr>
            <w:r>
              <w:rPr>
                <w:rFonts w:hint="eastAsia" w:ascii="宋体" w:hAnsi="宋体" w:cs="宋体"/>
                <w:szCs w:val="21"/>
              </w:rPr>
              <w:t>11、供应商认为需要提供的其他有关资料。</w:t>
            </w:r>
          </w:p>
          <w:p w14:paraId="6189A736">
            <w:pPr>
              <w:snapToGrid w:val="0"/>
              <w:spacing w:line="360" w:lineRule="exact"/>
              <w:ind w:firstLine="422" w:firstLineChars="200"/>
              <w:jc w:val="left"/>
              <w:rPr>
                <w:rFonts w:ascii="宋体" w:hAnsi="宋体" w:cs="宋体"/>
                <w:b/>
                <w:szCs w:val="21"/>
              </w:rPr>
            </w:pPr>
            <w:r>
              <w:rPr>
                <w:rFonts w:hint="eastAsia" w:ascii="宋体" w:hAnsi="宋体" w:cs="宋体"/>
                <w:b/>
                <w:szCs w:val="21"/>
              </w:rPr>
              <w:t>注：以上标明“必须提供”材料复印件的，必须加盖供应商公章，否则响应文件按无效响应处理。</w:t>
            </w:r>
          </w:p>
        </w:tc>
      </w:tr>
      <w:tr w14:paraId="25884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4" w:hRule="atLeast"/>
          <w:jc w:val="center"/>
        </w:trPr>
        <w:tc>
          <w:tcPr>
            <w:tcW w:w="992" w:type="dxa"/>
            <w:vAlign w:val="center"/>
          </w:tcPr>
          <w:p w14:paraId="00C3DC4C">
            <w:pPr>
              <w:spacing w:line="360" w:lineRule="auto"/>
              <w:jc w:val="center"/>
              <w:rPr>
                <w:rFonts w:ascii="宋体" w:hAnsi="宋体" w:cs="宋体"/>
                <w:szCs w:val="21"/>
              </w:rPr>
            </w:pPr>
            <w:r>
              <w:rPr>
                <w:rFonts w:hint="eastAsia" w:ascii="宋体" w:hAnsi="宋体" w:cs="宋体"/>
                <w:szCs w:val="21"/>
              </w:rPr>
              <w:t>15.2</w:t>
            </w:r>
          </w:p>
        </w:tc>
        <w:tc>
          <w:tcPr>
            <w:tcW w:w="8695" w:type="dxa"/>
            <w:vAlign w:val="center"/>
          </w:tcPr>
          <w:p w14:paraId="7E4C6FA2">
            <w:pPr>
              <w:snapToGrid w:val="0"/>
              <w:spacing w:line="400" w:lineRule="exact"/>
              <w:jc w:val="left"/>
              <w:rPr>
                <w:rFonts w:ascii="宋体" w:hAnsi="宋体" w:cs="宋体"/>
                <w:szCs w:val="21"/>
              </w:rPr>
            </w:pPr>
            <w:r>
              <w:rPr>
                <w:rFonts w:hint="eastAsia" w:ascii="宋体" w:hAnsi="宋体"/>
                <w:szCs w:val="21"/>
              </w:rPr>
              <w:t>竞标报价必须包含满足本次竞标全部采购需求所应提供的货物，以及伴随的服务和工程（如有）的价格；包含竞标货物、工程的成本、运输（含保险）、安装（如有）、调试、检验、技术服务、培训、税费等所有费用。（采购需求另有约定的，从其约定。）</w:t>
            </w:r>
          </w:p>
        </w:tc>
      </w:tr>
      <w:tr w14:paraId="43E7C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BF13864">
            <w:pPr>
              <w:spacing w:line="360" w:lineRule="auto"/>
              <w:jc w:val="center"/>
              <w:rPr>
                <w:rFonts w:ascii="宋体" w:hAnsi="宋体" w:cs="宋体"/>
                <w:szCs w:val="21"/>
              </w:rPr>
            </w:pPr>
            <w:r>
              <w:rPr>
                <w:rFonts w:hint="eastAsia" w:ascii="宋体" w:hAnsi="宋体" w:cs="宋体"/>
                <w:szCs w:val="21"/>
              </w:rPr>
              <w:t>16.</w:t>
            </w:r>
            <w:r>
              <w:rPr>
                <w:rFonts w:ascii="宋体" w:hAnsi="宋体" w:cs="宋体"/>
                <w:szCs w:val="21"/>
              </w:rPr>
              <w:t>2</w:t>
            </w:r>
          </w:p>
        </w:tc>
        <w:tc>
          <w:tcPr>
            <w:tcW w:w="8695" w:type="dxa"/>
            <w:vAlign w:val="center"/>
          </w:tcPr>
          <w:p w14:paraId="71B9E185">
            <w:pPr>
              <w:pStyle w:val="10"/>
              <w:widowControl w:val="0"/>
              <w:tabs>
                <w:tab w:val="clear" w:pos="454"/>
              </w:tabs>
              <w:snapToGrid w:val="0"/>
              <w:spacing w:afterLines="0" w:line="400" w:lineRule="exact"/>
              <w:ind w:left="283" w:hanging="283" w:hangingChars="135"/>
              <w:rPr>
                <w:rFonts w:ascii="宋体" w:hAnsi="宋体" w:cs="宋体"/>
                <w:kern w:val="2"/>
                <w:sz w:val="21"/>
                <w:szCs w:val="21"/>
              </w:rPr>
            </w:pPr>
            <w:r>
              <w:rPr>
                <w:rFonts w:hint="eastAsia" w:ascii="宋体" w:hAnsi="宋体" w:cs="宋体"/>
                <w:kern w:val="2"/>
                <w:sz w:val="21"/>
                <w:szCs w:val="21"/>
              </w:rPr>
              <w:t xml:space="preserve">竞标有效期：首次响应文件提交截止之日起60天内。 </w:t>
            </w:r>
          </w:p>
        </w:tc>
      </w:tr>
      <w:tr w14:paraId="7F51A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14900C7">
            <w:pPr>
              <w:spacing w:line="360" w:lineRule="auto"/>
              <w:jc w:val="center"/>
              <w:rPr>
                <w:rFonts w:ascii="宋体" w:hAnsi="宋体" w:cs="宋体"/>
                <w:szCs w:val="21"/>
              </w:rPr>
            </w:pPr>
            <w:r>
              <w:rPr>
                <w:rFonts w:hint="eastAsia" w:ascii="宋体" w:hAnsi="宋体" w:cs="宋体"/>
                <w:szCs w:val="21"/>
              </w:rPr>
              <w:t>17.1</w:t>
            </w:r>
          </w:p>
        </w:tc>
        <w:tc>
          <w:tcPr>
            <w:tcW w:w="8695" w:type="dxa"/>
            <w:vAlign w:val="center"/>
          </w:tcPr>
          <w:p w14:paraId="303942B0">
            <w:pPr>
              <w:spacing w:line="360" w:lineRule="auto"/>
              <w:rPr>
                <w:rFonts w:ascii="宋体" w:hAnsi="宋体" w:cs="宋体"/>
                <w:szCs w:val="21"/>
              </w:rPr>
            </w:pPr>
            <w:r>
              <w:rPr>
                <w:rFonts w:hint="eastAsia" w:ascii="宋体" w:hAnsi="宋体" w:cs="宋体"/>
                <w:szCs w:val="21"/>
              </w:rPr>
              <w:t xml:space="preserve">□本项目不收取竞标保证金。 </w:t>
            </w:r>
          </w:p>
          <w:p w14:paraId="1ADAF135">
            <w:pPr>
              <w:spacing w:line="360" w:lineRule="auto"/>
              <w:rPr>
                <w:rFonts w:ascii="宋体" w:hAnsi="宋体" w:cs="宋体"/>
                <w:szCs w:val="21"/>
              </w:rPr>
            </w:pPr>
            <w:r>
              <w:rPr>
                <w:rFonts w:hint="eastAsia" w:ascii="宋体" w:hAnsi="宋体" w:cs="宋体"/>
                <w:szCs w:val="21"/>
              </w:rPr>
              <w:t>☑本项目收取竞标保证金</w:t>
            </w:r>
            <w:r>
              <w:rPr>
                <w:rFonts w:hint="eastAsia" w:ascii="宋体" w:hAnsi="宋体" w:cs="宋体"/>
                <w:szCs w:val="21"/>
                <w:u w:val="single"/>
              </w:rPr>
              <w:t>10000.00</w:t>
            </w:r>
            <w:r>
              <w:rPr>
                <w:rFonts w:hint="eastAsia" w:ascii="宋体" w:hAnsi="宋体" w:cs="宋体"/>
                <w:szCs w:val="21"/>
              </w:rPr>
              <w:t xml:space="preserve">元。 </w:t>
            </w:r>
          </w:p>
          <w:p w14:paraId="5E930A71">
            <w:pPr>
              <w:spacing w:line="360" w:lineRule="auto"/>
              <w:rPr>
                <w:rFonts w:ascii="宋体" w:hAnsi="宋体" w:cs="宋体"/>
                <w:szCs w:val="21"/>
              </w:rPr>
            </w:pPr>
            <w:r>
              <w:rPr>
                <w:rFonts w:hint="eastAsia" w:ascii="宋体" w:hAnsi="宋体" w:cs="宋体"/>
                <w:szCs w:val="21"/>
              </w:rPr>
              <w:t xml:space="preserve">竞标保证金的交纳方式：银行转账、支票、汇票、本票或者银行、保险机构出具的保函（包 </w:t>
            </w:r>
          </w:p>
          <w:p w14:paraId="3D5C3635">
            <w:pPr>
              <w:spacing w:line="360" w:lineRule="auto"/>
              <w:rPr>
                <w:rFonts w:ascii="宋体" w:hAnsi="宋体" w:cs="宋体"/>
                <w:szCs w:val="21"/>
              </w:rPr>
            </w:pPr>
            <w:r>
              <w:rPr>
                <w:rFonts w:hint="eastAsia" w:ascii="宋体" w:hAnsi="宋体" w:cs="宋体"/>
                <w:szCs w:val="21"/>
              </w:rPr>
              <w:t>含电子保函），禁止采用现钞方式。采用银行转账方式的，在响应文件提交截止时间前从竞标人账户交至指定账户并且到账（开户名称：</w:t>
            </w:r>
            <w:r>
              <w:rPr>
                <w:rFonts w:hint="eastAsia" w:ascii="宋体" w:hAnsi="宋体" w:cs="宋体"/>
              </w:rPr>
              <w:t>广西科文招标有限公司玉林第二分公司</w:t>
            </w:r>
            <w:r>
              <w:rPr>
                <w:rFonts w:hint="eastAsia" w:ascii="宋体" w:hAnsi="宋体" w:cs="宋体"/>
                <w:szCs w:val="21"/>
              </w:rPr>
              <w:t>，开户银行：</w:t>
            </w:r>
            <w:r>
              <w:rPr>
                <w:rFonts w:hint="eastAsia" w:ascii="宋体" w:hAnsi="宋体" w:cs="宋体"/>
              </w:rPr>
              <w:t>广西北部湾银行股份有限公司玉林市玉东支行</w:t>
            </w:r>
            <w:r>
              <w:rPr>
                <w:rFonts w:hint="eastAsia" w:ascii="宋体" w:hAnsi="宋体" w:cs="宋体"/>
                <w:szCs w:val="21"/>
              </w:rPr>
              <w:t>，银行账号：</w:t>
            </w:r>
            <w:r>
              <w:rPr>
                <w:rFonts w:hint="eastAsia" w:ascii="宋体" w:hAnsi="宋体" w:cs="宋体"/>
              </w:rPr>
              <w:t>805461433000002</w:t>
            </w:r>
            <w:r>
              <w:rPr>
                <w:rFonts w:hint="eastAsia" w:ascii="宋体" w:hAnsi="宋体" w:cs="宋体"/>
                <w:szCs w:val="21"/>
              </w:rPr>
              <w:t xml:space="preserve">）。 </w:t>
            </w:r>
          </w:p>
          <w:p w14:paraId="52B7168F">
            <w:pPr>
              <w:spacing w:line="360" w:lineRule="auto"/>
              <w:rPr>
                <w:rFonts w:ascii="宋体" w:hAnsi="宋体" w:cs="宋体"/>
                <w:szCs w:val="21"/>
              </w:rPr>
            </w:pPr>
            <w:r>
              <w:rPr>
                <w:rFonts w:hint="eastAsia" w:ascii="宋体" w:hAnsi="宋体" w:cs="宋体"/>
                <w:szCs w:val="21"/>
              </w:rPr>
              <w:t xml:space="preserve">相关要求： </w:t>
            </w:r>
          </w:p>
          <w:p w14:paraId="67C09A56">
            <w:pPr>
              <w:spacing w:line="360" w:lineRule="auto"/>
              <w:rPr>
                <w:rFonts w:ascii="宋体" w:hAnsi="宋体" w:cs="宋体"/>
                <w:b/>
                <w:bCs/>
                <w:szCs w:val="21"/>
              </w:rPr>
            </w:pPr>
            <w:r>
              <w:rPr>
                <w:rFonts w:hint="eastAsia" w:ascii="宋体" w:hAnsi="宋体" w:cs="宋体"/>
                <w:szCs w:val="21"/>
              </w:rPr>
              <w:t>1.竞标保证金采用银行转账交纳方式，在响应文件提交截止时间前交至指定账户并且到账，供应商应将银行转账底单的复印件作为竞标保证金提交凭证，放置于商务及技术文件中，</w:t>
            </w:r>
            <w:r>
              <w:rPr>
                <w:rFonts w:hint="eastAsia" w:ascii="宋体" w:hAnsi="宋体" w:cs="宋体"/>
                <w:b/>
                <w:bCs/>
                <w:szCs w:val="21"/>
              </w:rPr>
              <w:t xml:space="preserve">否则竞标无效。 </w:t>
            </w:r>
          </w:p>
          <w:p w14:paraId="21F1D36B">
            <w:pPr>
              <w:spacing w:line="360" w:lineRule="auto"/>
              <w:rPr>
                <w:rFonts w:ascii="宋体" w:hAnsi="宋体" w:cs="宋体"/>
                <w:szCs w:val="21"/>
              </w:rPr>
            </w:pPr>
            <w:r>
              <w:rPr>
                <w:rFonts w:hint="eastAsia" w:ascii="宋体" w:hAnsi="宋体" w:cs="宋体"/>
                <w:szCs w:val="21"/>
              </w:rPr>
              <w:t xml:space="preserve">2.竞标保证金采用支票、汇票、本票或者银行、保险机构出具的保函（包含电子保函）交纳 </w:t>
            </w:r>
          </w:p>
          <w:p w14:paraId="2B7DF565">
            <w:pPr>
              <w:spacing w:line="360" w:lineRule="auto"/>
              <w:rPr>
                <w:rFonts w:ascii="宋体" w:hAnsi="宋体" w:cs="宋体"/>
                <w:szCs w:val="21"/>
              </w:rPr>
            </w:pPr>
            <w:r>
              <w:rPr>
                <w:rFonts w:hint="eastAsia" w:ascii="宋体" w:hAnsi="宋体" w:cs="宋体"/>
                <w:szCs w:val="21"/>
              </w:rPr>
              <w:t xml:space="preserve">方式的，供应商应将支票、汇票、本票或者银行、保险机构出具的保函（包含电子保函）的 </w:t>
            </w:r>
          </w:p>
          <w:p w14:paraId="434C2982">
            <w:pPr>
              <w:spacing w:line="360" w:lineRule="auto"/>
              <w:rPr>
                <w:rFonts w:ascii="宋体" w:hAnsi="宋体" w:cs="宋体"/>
                <w:szCs w:val="21"/>
              </w:rPr>
            </w:pPr>
            <w:r>
              <w:rPr>
                <w:rFonts w:hint="eastAsia" w:ascii="宋体" w:hAnsi="宋体" w:cs="宋体"/>
                <w:szCs w:val="21"/>
              </w:rPr>
              <w:t>复印件作为竞标保证金提交凭证，放置于商务及技术文件中，</w:t>
            </w:r>
            <w:r>
              <w:rPr>
                <w:rFonts w:hint="eastAsia" w:ascii="宋体" w:hAnsi="宋体" w:cs="宋体"/>
                <w:b/>
                <w:bCs/>
                <w:szCs w:val="21"/>
              </w:rPr>
              <w:t>否则竞标无效</w:t>
            </w:r>
            <w:r>
              <w:rPr>
                <w:rFonts w:hint="eastAsia" w:ascii="宋体" w:hAnsi="宋体" w:cs="宋体"/>
                <w:szCs w:val="21"/>
              </w:rPr>
              <w:t>。</w:t>
            </w:r>
          </w:p>
          <w:p w14:paraId="0616A622">
            <w:pPr>
              <w:spacing w:line="360" w:lineRule="auto"/>
              <w:rPr>
                <w:rFonts w:ascii="宋体" w:hAnsi="宋体" w:cs="宋体"/>
                <w:szCs w:val="21"/>
              </w:rPr>
            </w:pPr>
            <w:r>
              <w:rPr>
                <w:rFonts w:hint="eastAsia" w:ascii="宋体" w:hAnsi="宋体" w:cs="宋体"/>
                <w:szCs w:val="21"/>
              </w:rPr>
              <w:t xml:space="preserve">3.竞标人为联合体的，可以由联合体中的一方或者多方共同交纳竞标保证金，其交纳的保证 </w:t>
            </w:r>
          </w:p>
          <w:p w14:paraId="68AC1112">
            <w:pPr>
              <w:spacing w:line="360" w:lineRule="auto"/>
              <w:rPr>
                <w:rFonts w:ascii="宋体" w:hAnsi="宋体" w:cs="宋体"/>
                <w:szCs w:val="21"/>
              </w:rPr>
            </w:pPr>
            <w:r>
              <w:rPr>
                <w:rFonts w:hint="eastAsia" w:ascii="宋体" w:hAnsi="宋体" w:cs="宋体"/>
                <w:szCs w:val="21"/>
              </w:rPr>
              <w:t xml:space="preserve">金对联合体各方均具有约束力。 </w:t>
            </w:r>
          </w:p>
          <w:p w14:paraId="25CE3A69">
            <w:pPr>
              <w:spacing w:line="360" w:lineRule="auto"/>
              <w:rPr>
                <w:rFonts w:ascii="宋体" w:hAnsi="宋体" w:cs="宋体"/>
                <w:b/>
                <w:bCs/>
                <w:szCs w:val="21"/>
              </w:rPr>
            </w:pPr>
            <w:r>
              <w:rPr>
                <w:rFonts w:hint="eastAsia" w:ascii="宋体" w:hAnsi="宋体" w:cs="宋体"/>
                <w:b/>
                <w:bCs/>
                <w:szCs w:val="21"/>
              </w:rPr>
              <w:t xml:space="preserve">备注： </w:t>
            </w:r>
          </w:p>
          <w:p w14:paraId="378601BE">
            <w:pPr>
              <w:spacing w:line="360" w:lineRule="auto"/>
              <w:rPr>
                <w:rFonts w:ascii="宋体" w:hAnsi="宋体" w:cs="宋体"/>
                <w:b/>
                <w:bCs/>
                <w:szCs w:val="21"/>
              </w:rPr>
            </w:pPr>
            <w:r>
              <w:rPr>
                <w:rFonts w:hint="eastAsia" w:ascii="宋体" w:hAnsi="宋体" w:cs="宋体"/>
                <w:b/>
                <w:bCs/>
                <w:szCs w:val="21"/>
              </w:rPr>
              <w:t xml:space="preserve">1. 竞标保证金在响应文件提交截止时间后提交的，或者不按规定交纳方式交纳的，或者未足额交纳的（包含保函额度不足的），视为无效竞标保证金。 </w:t>
            </w:r>
          </w:p>
          <w:p w14:paraId="258C3B46">
            <w:pPr>
              <w:spacing w:line="360" w:lineRule="auto"/>
              <w:rPr>
                <w:rFonts w:ascii="宋体" w:hAnsi="宋体" w:cs="宋体"/>
                <w:b/>
                <w:bCs/>
                <w:szCs w:val="21"/>
              </w:rPr>
            </w:pPr>
            <w:r>
              <w:rPr>
                <w:rFonts w:hint="eastAsia" w:ascii="宋体" w:hAnsi="宋体" w:cs="宋体"/>
                <w:b/>
                <w:bCs/>
                <w:szCs w:val="21"/>
              </w:rPr>
              <w:t xml:space="preserve">2.竞标人采用现钞方式或者从个人账户（自然人竞标除外）转出的竞标保证金，视为无效竞 </w:t>
            </w:r>
          </w:p>
          <w:p w14:paraId="27A0E991">
            <w:pPr>
              <w:spacing w:line="360" w:lineRule="auto"/>
              <w:rPr>
                <w:rFonts w:ascii="宋体" w:hAnsi="宋体" w:cs="宋体"/>
                <w:b/>
                <w:bCs/>
                <w:szCs w:val="21"/>
              </w:rPr>
            </w:pPr>
            <w:r>
              <w:rPr>
                <w:rFonts w:hint="eastAsia" w:ascii="宋体" w:hAnsi="宋体" w:cs="宋体"/>
                <w:b/>
                <w:bCs/>
                <w:szCs w:val="21"/>
              </w:rPr>
              <w:t xml:space="preserve">标保证金。 </w:t>
            </w:r>
          </w:p>
          <w:p w14:paraId="21D1A2AC">
            <w:pPr>
              <w:spacing w:line="360" w:lineRule="auto"/>
              <w:rPr>
                <w:rFonts w:ascii="宋体" w:hAnsi="宋体" w:cs="宋体"/>
                <w:b/>
                <w:bCs/>
                <w:szCs w:val="21"/>
              </w:rPr>
            </w:pPr>
            <w:r>
              <w:rPr>
                <w:rFonts w:hint="eastAsia" w:ascii="宋体" w:hAnsi="宋体" w:cs="宋体"/>
                <w:b/>
                <w:bCs/>
                <w:szCs w:val="21"/>
              </w:rPr>
              <w:t xml:space="preserve">3.支票、汇票或者本票出现无效或者背书情形的，视为无效竞标保证金。 </w:t>
            </w:r>
          </w:p>
          <w:p w14:paraId="046FF1FF">
            <w:pPr>
              <w:spacing w:line="360" w:lineRule="auto"/>
              <w:rPr>
                <w:rFonts w:ascii="宋体" w:hAnsi="宋体" w:cs="宋体"/>
                <w:b/>
                <w:bCs/>
                <w:szCs w:val="21"/>
              </w:rPr>
            </w:pPr>
            <w:r>
              <w:rPr>
                <w:rFonts w:hint="eastAsia" w:ascii="宋体" w:hAnsi="宋体" w:cs="宋体"/>
                <w:b/>
                <w:bCs/>
                <w:szCs w:val="21"/>
              </w:rPr>
              <w:t xml:space="preserve">4.保函有效期低于竞标有效期的，视为无效竞标保证金。 </w:t>
            </w:r>
          </w:p>
          <w:p w14:paraId="474FCF07">
            <w:pPr>
              <w:autoSpaceDE w:val="0"/>
              <w:autoSpaceDN w:val="0"/>
              <w:snapToGrid w:val="0"/>
              <w:spacing w:line="400" w:lineRule="exact"/>
              <w:textAlignment w:val="bottom"/>
              <w:rPr>
                <w:rFonts w:ascii="宋体" w:hAnsi="宋体" w:cs="宋体"/>
                <w:szCs w:val="21"/>
              </w:rPr>
            </w:pPr>
            <w:r>
              <w:rPr>
                <w:rFonts w:hint="eastAsia" w:ascii="宋体" w:hAnsi="宋体" w:cs="宋体"/>
                <w:b/>
                <w:bCs/>
                <w:szCs w:val="21"/>
              </w:rPr>
              <w:t xml:space="preserve">5.采用银行、保险机构出具保函的，必须为无条件保函，否则视为无效竞标保证金。 </w:t>
            </w:r>
          </w:p>
        </w:tc>
      </w:tr>
      <w:tr w14:paraId="4E65D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992" w:type="dxa"/>
            <w:vAlign w:val="center"/>
          </w:tcPr>
          <w:p w14:paraId="3C1006BA">
            <w:pPr>
              <w:spacing w:line="360" w:lineRule="auto"/>
              <w:jc w:val="center"/>
              <w:rPr>
                <w:rFonts w:ascii="宋体" w:hAnsi="宋体" w:cs="宋体"/>
                <w:szCs w:val="21"/>
              </w:rPr>
            </w:pPr>
            <w:r>
              <w:rPr>
                <w:rFonts w:hint="eastAsia" w:ascii="宋体" w:hAnsi="宋体" w:cs="宋体"/>
                <w:szCs w:val="21"/>
              </w:rPr>
              <w:t>18.2</w:t>
            </w:r>
          </w:p>
        </w:tc>
        <w:tc>
          <w:tcPr>
            <w:tcW w:w="8695" w:type="dxa"/>
            <w:vAlign w:val="center"/>
          </w:tcPr>
          <w:p w14:paraId="24E78CFE">
            <w:pPr>
              <w:spacing w:line="400" w:lineRule="exact"/>
              <w:rPr>
                <w:rFonts w:ascii="宋体" w:hAnsi="宋体" w:cs="宋体"/>
                <w:szCs w:val="21"/>
              </w:rPr>
            </w:pPr>
            <w:r>
              <w:rPr>
                <w:rFonts w:hint="eastAsia" w:ascii="宋体" w:hAnsi="宋体" w:cs="宋体"/>
                <w:szCs w:val="21"/>
              </w:rPr>
              <w:t>响应文件应按资格证明文件、报价文件、商务技术文件分别编制，并按</w:t>
            </w:r>
            <w:r>
              <w:fldChar w:fldCharType="begin"/>
            </w:r>
            <w:r>
              <w:instrText xml:space="preserve"> HYPERLINK </w:instrText>
            </w:r>
            <w:r>
              <w:fldChar w:fldCharType="separate"/>
            </w:r>
            <w:r>
              <w:fldChar w:fldCharType="end"/>
            </w:r>
            <w:r>
              <w:rPr>
                <w:rFonts w:hint="eastAsia" w:ascii="宋体" w:hAnsi="宋体" w:cs="宋体"/>
                <w:bCs/>
                <w:kern w:val="0"/>
                <w:szCs w:val="21"/>
              </w:rPr>
              <w:t>广西政府采购云平台</w:t>
            </w:r>
            <w:r>
              <w:rPr>
                <w:rFonts w:hint="eastAsia" w:ascii="宋体" w:hAnsi="宋体" w:cs="宋体"/>
                <w:szCs w:val="21"/>
              </w:rPr>
              <w:t>的要求编制、加密、上传。</w:t>
            </w:r>
          </w:p>
        </w:tc>
      </w:tr>
      <w:tr w14:paraId="11F0E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D3DBC15">
            <w:pPr>
              <w:spacing w:line="360" w:lineRule="auto"/>
              <w:jc w:val="center"/>
              <w:rPr>
                <w:rFonts w:ascii="宋体" w:hAnsi="宋体" w:cs="宋体"/>
                <w:szCs w:val="21"/>
              </w:rPr>
            </w:pPr>
            <w:r>
              <w:rPr>
                <w:rFonts w:hint="eastAsia" w:ascii="宋体" w:hAnsi="宋体" w:cs="宋体"/>
                <w:szCs w:val="21"/>
              </w:rPr>
              <w:t>20.1</w:t>
            </w:r>
          </w:p>
        </w:tc>
        <w:tc>
          <w:tcPr>
            <w:tcW w:w="8695" w:type="dxa"/>
            <w:vAlign w:val="center"/>
          </w:tcPr>
          <w:p w14:paraId="5048ABF8">
            <w:pPr>
              <w:spacing w:line="400" w:lineRule="exact"/>
              <w:contextualSpacing/>
              <w:jc w:val="left"/>
              <w:rPr>
                <w:rFonts w:ascii="宋体" w:hAnsi="宋体" w:cs="宋体"/>
                <w:szCs w:val="21"/>
                <w:u w:val="single"/>
              </w:rPr>
            </w:pPr>
            <w:r>
              <w:rPr>
                <w:rFonts w:hint="eastAsia" w:ascii="宋体" w:hAnsi="宋体" w:cs="宋体"/>
                <w:szCs w:val="21"/>
              </w:rPr>
              <w:t>首次响应文件提交截止时间：详见竞争性谈判公告。</w:t>
            </w:r>
          </w:p>
          <w:p w14:paraId="656F73CC">
            <w:pPr>
              <w:spacing w:line="400" w:lineRule="exact"/>
              <w:contextualSpacing/>
              <w:jc w:val="left"/>
              <w:rPr>
                <w:rFonts w:ascii="宋体" w:hAnsi="宋体" w:cs="宋体"/>
                <w:szCs w:val="21"/>
              </w:rPr>
            </w:pPr>
            <w:r>
              <w:rPr>
                <w:rFonts w:hint="eastAsia" w:ascii="宋体" w:hAnsi="宋体" w:cs="宋体"/>
                <w:szCs w:val="21"/>
              </w:rPr>
              <w:t>首次响应文件提交地点：详见竞争性谈判公告。</w:t>
            </w:r>
          </w:p>
        </w:tc>
      </w:tr>
      <w:tr w14:paraId="05D8C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081EA01">
            <w:pPr>
              <w:spacing w:line="360" w:lineRule="auto"/>
              <w:jc w:val="center"/>
              <w:rPr>
                <w:rFonts w:ascii="宋体" w:hAnsi="宋体" w:cs="宋体"/>
                <w:szCs w:val="21"/>
              </w:rPr>
            </w:pPr>
            <w:r>
              <w:rPr>
                <w:rFonts w:hint="eastAsia" w:ascii="宋体" w:hAnsi="宋体" w:cs="宋体"/>
                <w:szCs w:val="21"/>
              </w:rPr>
              <w:t>24.1</w:t>
            </w:r>
          </w:p>
        </w:tc>
        <w:tc>
          <w:tcPr>
            <w:tcW w:w="8695" w:type="dxa"/>
            <w:vAlign w:val="center"/>
          </w:tcPr>
          <w:p w14:paraId="35B935C5">
            <w:pPr>
              <w:snapToGrid w:val="0"/>
              <w:spacing w:line="400" w:lineRule="exact"/>
              <w:jc w:val="left"/>
              <w:rPr>
                <w:rFonts w:ascii="宋体" w:hAnsi="宋体" w:cs="宋体"/>
                <w:szCs w:val="21"/>
                <w:u w:val="single"/>
              </w:rPr>
            </w:pPr>
            <w:r>
              <w:rPr>
                <w:rFonts w:hint="eastAsia" w:ascii="宋体" w:hAnsi="宋体" w:cs="宋体"/>
                <w:szCs w:val="21"/>
              </w:rPr>
              <w:t>谈判小组的人数：</w:t>
            </w:r>
            <w:r>
              <w:rPr>
                <w:rFonts w:hint="eastAsia" w:ascii="宋体" w:hAnsi="宋体" w:cs="宋体"/>
                <w:szCs w:val="21"/>
                <w:u w:val="single"/>
              </w:rPr>
              <w:t xml:space="preserve"> 3 </w:t>
            </w:r>
            <w:r>
              <w:rPr>
                <w:rFonts w:hint="eastAsia" w:ascii="宋体" w:hAnsi="宋体" w:cs="宋体"/>
                <w:szCs w:val="21"/>
              </w:rPr>
              <w:t>人。</w:t>
            </w:r>
          </w:p>
        </w:tc>
      </w:tr>
      <w:tr w14:paraId="33467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C608A90">
            <w:pPr>
              <w:spacing w:line="360" w:lineRule="auto"/>
              <w:jc w:val="center"/>
              <w:rPr>
                <w:rFonts w:ascii="宋体" w:hAnsi="宋体" w:cs="宋体"/>
                <w:szCs w:val="21"/>
              </w:rPr>
            </w:pPr>
            <w:r>
              <w:rPr>
                <w:rFonts w:hint="eastAsia" w:ascii="宋体" w:hAnsi="宋体" w:cs="宋体"/>
                <w:szCs w:val="21"/>
              </w:rPr>
              <w:t>25.2</w:t>
            </w:r>
          </w:p>
        </w:tc>
        <w:tc>
          <w:tcPr>
            <w:tcW w:w="8695" w:type="dxa"/>
            <w:vAlign w:val="center"/>
          </w:tcPr>
          <w:p w14:paraId="2D399156">
            <w:pPr>
              <w:snapToGrid w:val="0"/>
              <w:spacing w:line="400" w:lineRule="exact"/>
              <w:jc w:val="left"/>
              <w:rPr>
                <w:rFonts w:ascii="宋体" w:hAnsi="宋体" w:cs="宋体"/>
                <w:szCs w:val="21"/>
              </w:rPr>
            </w:pPr>
            <w:r>
              <w:rPr>
                <w:rFonts w:hint="eastAsia" w:ascii="宋体" w:hAnsi="宋体" w:cs="宋体"/>
                <w:szCs w:val="21"/>
              </w:rPr>
              <w:t>采购代理机构将依托电子交易平台发起开始解密指令，</w:t>
            </w:r>
            <w:r>
              <w:rPr>
                <w:rFonts w:hint="eastAsia" w:ascii="宋体" w:hAnsi="宋体" w:cs="宋体"/>
                <w:b/>
                <w:szCs w:val="21"/>
              </w:rPr>
              <w:t>供应商的法定代表人或其委托代理人须携带加密时所用的CA锁按平台提示和采购文件的规定登录到</w:t>
            </w:r>
            <w:r>
              <w:fldChar w:fldCharType="begin"/>
            </w:r>
            <w:r>
              <w:instrText xml:space="preserve"> HYPERLINK </w:instrText>
            </w:r>
            <w:r>
              <w:fldChar w:fldCharType="separate"/>
            </w:r>
            <w:r>
              <w:fldChar w:fldCharType="end"/>
            </w:r>
            <w:r>
              <w:rPr>
                <w:rFonts w:hint="eastAsia" w:ascii="宋体" w:hAnsi="宋体" w:cs="宋体"/>
                <w:b/>
                <w:szCs w:val="21"/>
              </w:rPr>
              <w:t>广西政府采购云平台电子开标大厅签到并在发起解密指令之时起30分钟内完成对电子响应文件在线解密。</w:t>
            </w:r>
            <w:r>
              <w:rPr>
                <w:rFonts w:hint="eastAsia" w:ascii="宋体" w:hAnsi="宋体"/>
                <w:b/>
                <w:bCs/>
                <w:szCs w:val="21"/>
              </w:rPr>
              <w:t>响应文件未按时解密的，视为响应文件无效。</w:t>
            </w:r>
          </w:p>
        </w:tc>
      </w:tr>
      <w:tr w14:paraId="34C71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4EF0FF70">
            <w:pPr>
              <w:spacing w:line="360" w:lineRule="auto"/>
              <w:jc w:val="center"/>
              <w:rPr>
                <w:rFonts w:ascii="宋体" w:hAnsi="宋体" w:cs="宋体"/>
                <w:szCs w:val="21"/>
              </w:rPr>
            </w:pPr>
            <w:r>
              <w:rPr>
                <w:rFonts w:ascii="宋体" w:hAnsi="宋体" w:cs="宋体"/>
                <w:szCs w:val="21"/>
              </w:rPr>
              <w:t>26</w:t>
            </w:r>
          </w:p>
        </w:tc>
        <w:tc>
          <w:tcPr>
            <w:tcW w:w="8695" w:type="dxa"/>
            <w:vAlign w:val="center"/>
          </w:tcPr>
          <w:p w14:paraId="4B47D44D">
            <w:pPr>
              <w:snapToGrid w:val="0"/>
              <w:spacing w:line="400" w:lineRule="exact"/>
            </w:pPr>
            <w:r>
              <w:rPr>
                <w:rFonts w:hint="eastAsia"/>
              </w:rPr>
              <w:t>商务要求评审中允许负偏离的条款数为</w:t>
            </w:r>
            <w:r>
              <w:rPr>
                <w:rFonts w:hint="eastAsia"/>
                <w:b/>
                <w:bCs/>
              </w:rPr>
              <w:fldChar w:fldCharType="begin"/>
            </w:r>
            <w:r>
              <w:rPr>
                <w:rFonts w:hint="eastAsia"/>
                <w:b/>
                <w:bCs/>
              </w:rPr>
              <w:instrText xml:space="preserve"> eq \o\ac(□,</w:instrText>
            </w:r>
            <w:r>
              <w:rPr>
                <w:rFonts w:hint="eastAsia"/>
                <w:b/>
                <w:bCs/>
                <w:position w:val="2"/>
                <w:sz w:val="13"/>
              </w:rPr>
              <w:instrText xml:space="preserve">√</w:instrText>
            </w:r>
            <w:r>
              <w:rPr>
                <w:rFonts w:hint="eastAsia"/>
                <w:b/>
                <w:bCs/>
              </w:rPr>
              <w:instrText xml:space="preserve">)</w:instrText>
            </w:r>
            <w:r>
              <w:rPr>
                <w:rFonts w:hint="eastAsia"/>
                <w:b/>
                <w:bCs/>
              </w:rPr>
              <w:fldChar w:fldCharType="end"/>
            </w:r>
            <w:r>
              <w:rPr>
                <w:rFonts w:hint="eastAsia"/>
                <w:u w:val="single"/>
              </w:rPr>
              <w:t xml:space="preserve"> 0 </w:t>
            </w:r>
            <w:r>
              <w:rPr>
                <w:rFonts w:hint="eastAsia"/>
              </w:rPr>
              <w:t xml:space="preserve">项 </w:t>
            </w:r>
          </w:p>
          <w:p w14:paraId="2715BEF1">
            <w:pPr>
              <w:snapToGrid w:val="0"/>
              <w:spacing w:line="400" w:lineRule="exact"/>
              <w:rPr>
                <w:rFonts w:ascii="宋体" w:hAnsi="宋体" w:cs="宋体"/>
                <w:szCs w:val="21"/>
              </w:rPr>
            </w:pPr>
            <w:r>
              <w:rPr>
                <w:rFonts w:hint="eastAsia"/>
              </w:rPr>
              <w:t>技术要求评审中允许负偏离的条款数为</w:t>
            </w:r>
            <w:r>
              <w:rPr>
                <w:rFonts w:hint="eastAsia" w:ascii="宋体" w:hAnsi="宋体"/>
                <w:b/>
                <w:bCs/>
                <w:szCs w:val="21"/>
              </w:rPr>
              <w:fldChar w:fldCharType="begin"/>
            </w:r>
            <w:r>
              <w:rPr>
                <w:rFonts w:hint="eastAsia" w:ascii="宋体" w:hAnsi="宋体"/>
                <w:b/>
                <w:bCs/>
                <w:szCs w:val="21"/>
              </w:rPr>
              <w:instrText xml:space="preserve"> eq \o\ac(□,</w:instrText>
            </w:r>
            <w:r>
              <w:rPr>
                <w:rFonts w:hint="eastAsia" w:ascii="宋体" w:hAnsi="宋体"/>
                <w:b/>
                <w:bCs/>
                <w:position w:val="2"/>
                <w:sz w:val="13"/>
                <w:szCs w:val="21"/>
              </w:rPr>
              <w:instrText xml:space="preserve">√</w:instrText>
            </w:r>
            <w:r>
              <w:rPr>
                <w:rFonts w:hint="eastAsia" w:ascii="宋体" w:hAnsi="宋体"/>
                <w:b/>
                <w:bCs/>
                <w:szCs w:val="21"/>
              </w:rPr>
              <w:instrText xml:space="preserve">)</w:instrText>
            </w:r>
            <w:r>
              <w:rPr>
                <w:rFonts w:hint="eastAsia" w:ascii="宋体" w:hAnsi="宋体"/>
                <w:b/>
                <w:bCs/>
                <w:szCs w:val="21"/>
              </w:rPr>
              <w:fldChar w:fldCharType="end"/>
            </w:r>
            <w:r>
              <w:rPr>
                <w:rFonts w:hint="eastAsia" w:ascii="宋体" w:hAnsi="宋体"/>
                <w:szCs w:val="21"/>
                <w:u w:val="single"/>
              </w:rPr>
              <w:t xml:space="preserve"> 0 </w:t>
            </w:r>
            <w:r>
              <w:rPr>
                <w:rFonts w:hint="eastAsia" w:ascii="宋体" w:hAnsi="宋体"/>
                <w:szCs w:val="21"/>
              </w:rPr>
              <w:t>项</w:t>
            </w:r>
            <w:r>
              <w:rPr>
                <w:rFonts w:hint="eastAsia"/>
              </w:rPr>
              <w:t xml:space="preserve"> </w:t>
            </w:r>
          </w:p>
        </w:tc>
      </w:tr>
      <w:tr w14:paraId="6F6B3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7" w:hRule="atLeast"/>
          <w:jc w:val="center"/>
        </w:trPr>
        <w:tc>
          <w:tcPr>
            <w:tcW w:w="992" w:type="dxa"/>
            <w:vMerge w:val="continue"/>
            <w:vAlign w:val="center"/>
          </w:tcPr>
          <w:p w14:paraId="5591DEDD">
            <w:pPr>
              <w:spacing w:line="360" w:lineRule="auto"/>
              <w:jc w:val="center"/>
              <w:rPr>
                <w:rFonts w:ascii="宋体" w:hAnsi="宋体" w:cs="宋体"/>
                <w:szCs w:val="21"/>
              </w:rPr>
            </w:pPr>
          </w:p>
        </w:tc>
        <w:tc>
          <w:tcPr>
            <w:tcW w:w="8695" w:type="dxa"/>
            <w:vAlign w:val="center"/>
          </w:tcPr>
          <w:p w14:paraId="3DCAD321">
            <w:pPr>
              <w:snapToGrid w:val="0"/>
              <w:spacing w:line="400" w:lineRule="exact"/>
              <w:rPr>
                <w:rFonts w:ascii="宋体" w:hAnsi="宋体" w:cs="宋体"/>
                <w:szCs w:val="21"/>
              </w:rPr>
            </w:pPr>
            <w:r>
              <w:rPr>
                <w:rFonts w:hint="eastAsia" w:ascii="宋体" w:hAnsi="宋体" w:cs="宋体"/>
                <w:szCs w:val="21"/>
              </w:rPr>
              <w:t>谈判的顺序：按</w:t>
            </w:r>
            <w:r>
              <w:fldChar w:fldCharType="begin"/>
            </w:r>
            <w:r>
              <w:instrText xml:space="preserve"> HYPERLINK </w:instrText>
            </w:r>
            <w:r>
              <w:fldChar w:fldCharType="separate"/>
            </w:r>
            <w:r>
              <w:fldChar w:fldCharType="end"/>
            </w:r>
            <w:r>
              <w:rPr>
                <w:rFonts w:hint="eastAsia" w:ascii="宋体" w:hAnsi="宋体" w:cs="宋体"/>
                <w:szCs w:val="21"/>
              </w:rPr>
              <w:t>广西政府采购云平台系统的编号顺序。</w:t>
            </w:r>
          </w:p>
          <w:p w14:paraId="4DC669D7">
            <w:pPr>
              <w:snapToGrid w:val="0"/>
              <w:spacing w:line="400" w:lineRule="exact"/>
              <w:rPr>
                <w:rFonts w:ascii="宋体" w:hAnsi="宋体" w:cs="宋体"/>
                <w:b/>
                <w:szCs w:val="21"/>
              </w:rPr>
            </w:pPr>
            <w:r>
              <w:rPr>
                <w:rFonts w:hint="eastAsia" w:ascii="宋体" w:hAnsi="宋体" w:cs="宋体"/>
                <w:b/>
                <w:szCs w:val="21"/>
              </w:rPr>
              <w:t>符合谈判资格的供应商必须在接到谈判通知后规定时间内参加谈判，未在规定时间内参加谈判的视同放弃参加谈判权利，其响应文件按无效响应处理。</w:t>
            </w:r>
          </w:p>
          <w:p w14:paraId="2A16946D">
            <w:pPr>
              <w:snapToGrid w:val="0"/>
              <w:spacing w:line="400" w:lineRule="exact"/>
              <w:rPr>
                <w:rFonts w:ascii="宋体" w:hAnsi="宋体" w:cs="宋体"/>
                <w:szCs w:val="21"/>
              </w:rPr>
            </w:pPr>
            <w:r>
              <w:rPr>
                <w:rFonts w:hint="eastAsia" w:ascii="宋体" w:hAnsi="宋体" w:cs="宋体"/>
                <w:b/>
                <w:szCs w:val="21"/>
              </w:rPr>
              <w:t>参与谈判前，供应商法定代表人或者委托代理人必须向谈判小组出示本人有效证件原件[有效证件可以是身份证（含临时身份证明）或者护照的其中一项]。</w:t>
            </w:r>
          </w:p>
        </w:tc>
      </w:tr>
      <w:tr w14:paraId="6957B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992" w:type="dxa"/>
            <w:vMerge w:val="continue"/>
            <w:vAlign w:val="center"/>
          </w:tcPr>
          <w:p w14:paraId="08E159F3">
            <w:pPr>
              <w:spacing w:line="360" w:lineRule="auto"/>
              <w:jc w:val="center"/>
              <w:rPr>
                <w:rFonts w:ascii="宋体" w:hAnsi="宋体" w:cs="宋体"/>
                <w:szCs w:val="21"/>
              </w:rPr>
            </w:pPr>
          </w:p>
        </w:tc>
        <w:tc>
          <w:tcPr>
            <w:tcW w:w="8695" w:type="dxa"/>
            <w:vAlign w:val="center"/>
          </w:tcPr>
          <w:p w14:paraId="386E0224">
            <w:pPr>
              <w:pStyle w:val="11"/>
              <w:rPr>
                <w:rFonts w:ascii="宋体" w:hAnsi="宋体" w:cs="宋体"/>
                <w:szCs w:val="21"/>
              </w:rPr>
            </w:pPr>
            <w:r>
              <w:rPr>
                <w:rFonts w:hint="eastAsia" w:ascii="宋体" w:hAnsi="宋体" w:cs="宋体"/>
                <w:b/>
                <w:szCs w:val="21"/>
              </w:rPr>
              <w:t>评标价相同时，按照最后报价由低到高顺序依次推荐；最后报价相同时，按节能环保优先、技术指标高优先、质保期长优先、合同履约期短优先、故障响应时间短优先的顺序依次推荐。</w:t>
            </w:r>
          </w:p>
        </w:tc>
      </w:tr>
      <w:tr w14:paraId="6B524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3BAEA99">
            <w:pPr>
              <w:snapToGrid w:val="0"/>
              <w:spacing w:line="400" w:lineRule="exact"/>
              <w:jc w:val="center"/>
              <w:rPr>
                <w:rFonts w:ascii="宋体" w:hAnsi="宋体" w:cs="宋体"/>
                <w:szCs w:val="21"/>
              </w:rPr>
            </w:pPr>
            <w:r>
              <w:rPr>
                <w:rFonts w:hint="eastAsia" w:ascii="宋体" w:hAnsi="宋体" w:cs="宋体"/>
                <w:szCs w:val="21"/>
              </w:rPr>
              <w:t>28.1</w:t>
            </w:r>
          </w:p>
        </w:tc>
        <w:tc>
          <w:tcPr>
            <w:tcW w:w="8695" w:type="dxa"/>
            <w:vAlign w:val="center"/>
          </w:tcPr>
          <w:p w14:paraId="6B7A7420">
            <w:pPr>
              <w:snapToGrid w:val="0"/>
              <w:spacing w:line="400" w:lineRule="exact"/>
              <w:rPr>
                <w:rFonts w:ascii="宋体" w:hAnsi="宋体" w:cs="宋体"/>
                <w:szCs w:val="21"/>
              </w:rPr>
            </w:pPr>
            <w:r>
              <w:rPr>
                <w:rFonts w:hint="eastAsia" w:ascii="宋体" w:hAnsi="宋体"/>
                <w:szCs w:val="21"/>
              </w:rPr>
              <w:t>本项目不收取履约保证金。</w:t>
            </w:r>
          </w:p>
        </w:tc>
      </w:tr>
      <w:tr w14:paraId="5D1B2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5853E1C">
            <w:pPr>
              <w:spacing w:line="360" w:lineRule="auto"/>
              <w:jc w:val="center"/>
              <w:rPr>
                <w:rFonts w:ascii="宋体" w:hAnsi="宋体" w:cs="宋体"/>
                <w:szCs w:val="21"/>
              </w:rPr>
            </w:pPr>
            <w:r>
              <w:rPr>
                <w:rFonts w:ascii="宋体" w:hAnsi="宋体" w:cs="宋体"/>
                <w:szCs w:val="21"/>
              </w:rPr>
              <w:t>29</w:t>
            </w:r>
            <w:r>
              <w:rPr>
                <w:rFonts w:hint="eastAsia" w:ascii="宋体" w:hAnsi="宋体" w:cs="宋体"/>
                <w:szCs w:val="21"/>
              </w:rPr>
              <w:t>.1</w:t>
            </w:r>
          </w:p>
        </w:tc>
        <w:tc>
          <w:tcPr>
            <w:tcW w:w="8695" w:type="dxa"/>
            <w:vAlign w:val="center"/>
          </w:tcPr>
          <w:p w14:paraId="70CE0DB3">
            <w:pPr>
              <w:autoSpaceDE w:val="0"/>
              <w:autoSpaceDN w:val="0"/>
              <w:snapToGrid w:val="0"/>
              <w:spacing w:line="360" w:lineRule="auto"/>
              <w:textAlignment w:val="bottom"/>
              <w:rPr>
                <w:rFonts w:ascii="宋体" w:hAnsi="宋体"/>
                <w:szCs w:val="21"/>
              </w:rPr>
            </w:pPr>
            <w:r>
              <w:rPr>
                <w:rFonts w:hint="eastAsia" w:ascii="宋体" w:hAnsi="宋体"/>
                <w:szCs w:val="21"/>
              </w:rPr>
              <w:t xml:space="preserve">签订合同携带的证明材料： </w:t>
            </w:r>
          </w:p>
          <w:p w14:paraId="409CFE3E">
            <w:pPr>
              <w:autoSpaceDE w:val="0"/>
              <w:autoSpaceDN w:val="0"/>
              <w:snapToGrid w:val="0"/>
              <w:spacing w:line="360" w:lineRule="auto"/>
              <w:textAlignment w:val="bottom"/>
              <w:rPr>
                <w:rFonts w:ascii="宋体" w:hAnsi="宋体"/>
                <w:szCs w:val="21"/>
              </w:rPr>
            </w:pPr>
            <w:r>
              <w:rPr>
                <w:rFonts w:hint="eastAsia" w:ascii="宋体" w:hAnsi="宋体"/>
                <w:szCs w:val="21"/>
              </w:rPr>
              <w:t>1、委托代理人负责签订合同的，须携带授权委托书及委托代理人身份证原件等其他资格证件。</w:t>
            </w:r>
          </w:p>
          <w:p w14:paraId="2C2B8705">
            <w:pPr>
              <w:snapToGrid w:val="0"/>
              <w:spacing w:line="360" w:lineRule="auto"/>
              <w:rPr>
                <w:rFonts w:ascii="宋体" w:hAnsi="宋体" w:cs="宋体"/>
                <w:szCs w:val="21"/>
              </w:rPr>
            </w:pPr>
            <w:r>
              <w:rPr>
                <w:rFonts w:hint="eastAsia" w:ascii="宋体" w:hAnsi="宋体"/>
                <w:szCs w:val="21"/>
              </w:rPr>
              <w:t>2、法定代表人负责签订合同的，须携带法定代表人</w:t>
            </w:r>
            <w:r>
              <w:rPr>
                <w:rFonts w:ascii="宋体" w:hAnsi="宋体"/>
                <w:szCs w:val="21"/>
              </w:rPr>
              <w:t>身份证明原件</w:t>
            </w:r>
            <w:r>
              <w:rPr>
                <w:rFonts w:hint="eastAsia" w:ascii="宋体" w:hAnsi="宋体"/>
                <w:szCs w:val="21"/>
              </w:rPr>
              <w:t>及</w:t>
            </w:r>
            <w:r>
              <w:rPr>
                <w:rFonts w:ascii="宋体" w:hAnsi="宋体"/>
                <w:szCs w:val="21"/>
              </w:rPr>
              <w:t>身份证原件</w:t>
            </w:r>
            <w:r>
              <w:rPr>
                <w:rFonts w:hint="eastAsia" w:ascii="宋体" w:hAnsi="宋体"/>
                <w:szCs w:val="21"/>
              </w:rPr>
              <w:t>等其他证明材料。</w:t>
            </w:r>
          </w:p>
        </w:tc>
      </w:tr>
      <w:tr w14:paraId="01678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3B849A0">
            <w:pPr>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1.2</w:t>
            </w:r>
          </w:p>
        </w:tc>
        <w:tc>
          <w:tcPr>
            <w:tcW w:w="8695" w:type="dxa"/>
            <w:vAlign w:val="center"/>
          </w:tcPr>
          <w:p w14:paraId="3264C3B2">
            <w:pPr>
              <w:snapToGrid w:val="0"/>
              <w:spacing w:line="360" w:lineRule="auto"/>
              <w:rPr>
                <w:rFonts w:ascii="宋体" w:hAnsi="宋体" w:cs="宋体"/>
                <w:szCs w:val="21"/>
              </w:rPr>
            </w:pPr>
            <w:r>
              <w:rPr>
                <w:rFonts w:hint="eastAsia" w:ascii="宋体" w:hAnsi="宋体" w:cs="宋体"/>
                <w:szCs w:val="21"/>
              </w:rPr>
              <w:t>接收质疑函方式：以纸质书面形式。</w:t>
            </w:r>
          </w:p>
          <w:p w14:paraId="1132876B">
            <w:pPr>
              <w:pStyle w:val="16"/>
              <w:snapToGrid w:val="0"/>
              <w:spacing w:line="360" w:lineRule="auto"/>
              <w:rPr>
                <w:rFonts w:hAnsi="宋体" w:cs="宋体"/>
                <w:sz w:val="21"/>
              </w:rPr>
            </w:pPr>
            <w:r>
              <w:rPr>
                <w:rFonts w:hint="eastAsia" w:hAnsi="宋体" w:cs="宋体"/>
                <w:sz w:val="21"/>
              </w:rPr>
              <w:t>质疑联系部门及联系方式：广西科文招标有限公司，质疑联系人：文庆金  联系电话：0775- 2685857，</w:t>
            </w:r>
            <w:r>
              <w:rPr>
                <w:rFonts w:hAnsi="宋体" w:cs="宋体"/>
                <w:sz w:val="21"/>
              </w:rPr>
              <w:t>通讯地址</w:t>
            </w:r>
            <w:r>
              <w:rPr>
                <w:rFonts w:hint="eastAsia" w:hAnsi="宋体" w:cs="宋体"/>
                <w:sz w:val="21"/>
              </w:rPr>
              <w:t>：广西玉林市文体北路5号富林·双泉雅苑商住小区1幢03号商铺</w:t>
            </w:r>
          </w:p>
          <w:p w14:paraId="531A00F1">
            <w:pPr>
              <w:pStyle w:val="16"/>
              <w:snapToGrid w:val="0"/>
              <w:spacing w:line="360" w:lineRule="auto"/>
              <w:rPr>
                <w:rFonts w:hAnsi="宋体" w:cs="宋体"/>
                <w:kern w:val="2"/>
                <w:sz w:val="21"/>
              </w:rPr>
            </w:pPr>
            <w:r>
              <w:rPr>
                <w:rFonts w:hint="eastAsia" w:hAnsi="宋体" w:cs="宋体"/>
                <w:sz w:val="21"/>
              </w:rPr>
              <w:t>现场提交质疑办理业务时间：工作日，8:00-12:00；15:00-18:00（北京时间）</w:t>
            </w:r>
          </w:p>
        </w:tc>
      </w:tr>
      <w:tr w14:paraId="27462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463558D">
            <w:pPr>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2</w:t>
            </w:r>
            <w:r>
              <w:rPr>
                <w:rFonts w:hint="eastAsia" w:ascii="宋体" w:hAnsi="宋体" w:cs="宋体"/>
                <w:szCs w:val="21"/>
              </w:rPr>
              <w:t>.1</w:t>
            </w:r>
          </w:p>
        </w:tc>
        <w:tc>
          <w:tcPr>
            <w:tcW w:w="8695" w:type="dxa"/>
            <w:vAlign w:val="center"/>
          </w:tcPr>
          <w:p w14:paraId="1C457997">
            <w:pPr>
              <w:pStyle w:val="16"/>
              <w:snapToGrid w:val="0"/>
              <w:spacing w:line="360" w:lineRule="auto"/>
              <w:rPr>
                <w:rFonts w:hAnsi="宋体" w:cs="宋体"/>
                <w:sz w:val="21"/>
              </w:rPr>
            </w:pPr>
            <w:r>
              <w:rPr>
                <w:rFonts w:hint="eastAsia" w:hAnsi="宋体" w:cs="宋体"/>
                <w:sz w:val="21"/>
              </w:rPr>
              <w:t>1、采购代理服务费支付方式：本项目的采购代理服务费按以下收费标准向成交人收取，领取成交通知书前，成交供应商应向采购代理机构一次付清采购代理服务费，否则采购代理机构有权不予以办理。</w:t>
            </w:r>
          </w:p>
          <w:p w14:paraId="293DC170">
            <w:pPr>
              <w:pStyle w:val="16"/>
              <w:snapToGrid w:val="0"/>
              <w:spacing w:line="360" w:lineRule="auto"/>
              <w:rPr>
                <w:rFonts w:hAnsi="宋体" w:cs="宋体"/>
                <w:sz w:val="21"/>
              </w:rPr>
            </w:pPr>
            <w:r>
              <w:rPr>
                <w:rFonts w:hint="eastAsia" w:hAnsi="宋体" w:cs="宋体"/>
                <w:sz w:val="21"/>
              </w:rPr>
              <w:t>2、采购代理服务费收取标准：</w:t>
            </w:r>
            <w:r>
              <w:rPr>
                <w:rFonts w:hint="eastAsia" w:hAnsi="宋体" w:cs="宋体"/>
                <w:sz w:val="21"/>
                <w:lang w:eastAsia="zh-CN"/>
              </w:rPr>
              <w:t>按固定金额</w:t>
            </w:r>
            <w:r>
              <w:rPr>
                <w:rFonts w:hint="eastAsia" w:hAnsi="宋体" w:cs="宋体"/>
                <w:sz w:val="21"/>
                <w:lang w:val="en-US" w:eastAsia="zh-CN"/>
              </w:rPr>
              <w:t>15000元</w:t>
            </w:r>
            <w:r>
              <w:rPr>
                <w:rFonts w:hint="eastAsia" w:hAnsi="宋体" w:cs="宋体"/>
                <w:sz w:val="21"/>
              </w:rPr>
              <w:t>收取。</w:t>
            </w:r>
          </w:p>
          <w:p w14:paraId="2928A281">
            <w:pPr>
              <w:pStyle w:val="16"/>
              <w:snapToGrid w:val="0"/>
              <w:spacing w:line="360" w:lineRule="auto"/>
              <w:rPr>
                <w:rFonts w:hAnsi="宋体" w:cs="宋体"/>
                <w:sz w:val="21"/>
              </w:rPr>
            </w:pPr>
            <w:r>
              <w:rPr>
                <w:rFonts w:hint="eastAsia" w:hAnsi="宋体" w:cs="宋体"/>
                <w:sz w:val="21"/>
              </w:rPr>
              <w:t>3、广西科文招标有限公司玉林第二分公司</w:t>
            </w:r>
          </w:p>
          <w:p w14:paraId="654C1A1F">
            <w:pPr>
              <w:pStyle w:val="16"/>
              <w:snapToGrid w:val="0"/>
              <w:spacing w:line="360" w:lineRule="auto"/>
              <w:rPr>
                <w:rFonts w:hAnsi="宋体" w:cs="宋体"/>
                <w:sz w:val="21"/>
              </w:rPr>
            </w:pPr>
            <w:r>
              <w:rPr>
                <w:rFonts w:hint="eastAsia" w:hAnsi="宋体" w:cs="宋体"/>
                <w:sz w:val="21"/>
              </w:rPr>
              <w:t>账户名称：广西科文招标有限公司玉林第二分公司</w:t>
            </w:r>
          </w:p>
          <w:p w14:paraId="4E7D5D7D">
            <w:pPr>
              <w:pStyle w:val="16"/>
              <w:snapToGrid w:val="0"/>
              <w:spacing w:line="360" w:lineRule="auto"/>
              <w:rPr>
                <w:rFonts w:hAnsi="宋体" w:cs="宋体"/>
                <w:sz w:val="21"/>
              </w:rPr>
            </w:pPr>
            <w:r>
              <w:rPr>
                <w:rFonts w:hint="eastAsia" w:hAnsi="宋体" w:cs="宋体"/>
                <w:sz w:val="21"/>
              </w:rPr>
              <w:t>开户银行：广西北部湾银行股份有限公司玉林市玉东支行</w:t>
            </w:r>
          </w:p>
          <w:p w14:paraId="2709A605">
            <w:pPr>
              <w:pStyle w:val="16"/>
              <w:snapToGrid w:val="0"/>
              <w:spacing w:line="360" w:lineRule="auto"/>
              <w:rPr>
                <w:rFonts w:hAnsi="宋体" w:cs="宋体"/>
                <w:sz w:val="21"/>
                <w:u w:val="single"/>
              </w:rPr>
            </w:pPr>
            <w:r>
              <w:rPr>
                <w:rFonts w:hint="eastAsia" w:hAnsi="宋体" w:cs="宋体"/>
                <w:sz w:val="21"/>
              </w:rPr>
              <w:t>银行账号：805461433000002</w:t>
            </w:r>
          </w:p>
        </w:tc>
      </w:tr>
      <w:tr w14:paraId="5C97A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313DE43">
            <w:pPr>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3.1</w:t>
            </w:r>
          </w:p>
        </w:tc>
        <w:tc>
          <w:tcPr>
            <w:tcW w:w="8695" w:type="dxa"/>
            <w:vAlign w:val="center"/>
          </w:tcPr>
          <w:p w14:paraId="67AD46F7">
            <w:pPr>
              <w:pStyle w:val="16"/>
              <w:snapToGrid w:val="0"/>
              <w:spacing w:line="360" w:lineRule="auto"/>
              <w:rPr>
                <w:rFonts w:hAnsi="宋体" w:cs="宋体"/>
                <w:sz w:val="21"/>
              </w:rPr>
            </w:pPr>
            <w:r>
              <w:rPr>
                <w:rFonts w:hint="eastAsia" w:hAnsi="宋体" w:cs="宋体"/>
                <w:sz w:val="21"/>
              </w:rPr>
              <w:t>解释：</w:t>
            </w:r>
            <w:r>
              <w:rPr>
                <w:rFonts w:hAnsi="宋体" w:cs="宋体"/>
                <w:sz w:val="21"/>
              </w:rPr>
              <w:t>构成本</w:t>
            </w:r>
            <w:r>
              <w:rPr>
                <w:rFonts w:hint="eastAsia" w:hAnsi="宋体" w:cs="宋体"/>
                <w:sz w:val="21"/>
              </w:rPr>
              <w:t>谈判文件</w:t>
            </w:r>
            <w:r>
              <w:rPr>
                <w:rFonts w:hAnsi="宋体" w:cs="宋体"/>
                <w:sz w:val="21"/>
              </w:rPr>
              <w:t>的各个组成文件应互为解释，互为说明；除</w:t>
            </w:r>
            <w:r>
              <w:rPr>
                <w:rFonts w:hint="eastAsia" w:hAnsi="宋体" w:cs="宋体"/>
                <w:sz w:val="21"/>
              </w:rPr>
              <w:t>谈判文件</w:t>
            </w:r>
            <w:r>
              <w:rPr>
                <w:rFonts w:hAnsi="宋体" w:cs="宋体"/>
                <w:sz w:val="21"/>
              </w:rPr>
              <w:t>中有特别规定外，仅适用于</w:t>
            </w:r>
            <w:r>
              <w:rPr>
                <w:rFonts w:hint="eastAsia" w:hAnsi="宋体" w:cs="宋体"/>
                <w:sz w:val="21"/>
              </w:rPr>
              <w:t>竞标</w:t>
            </w:r>
            <w:r>
              <w:rPr>
                <w:rFonts w:hAnsi="宋体" w:cs="宋体"/>
                <w:sz w:val="21"/>
              </w:rPr>
              <w:t>阶段的规定，按</w:t>
            </w:r>
            <w:r>
              <w:rPr>
                <w:rFonts w:hint="eastAsia" w:hAnsi="宋体" w:cs="宋体"/>
                <w:sz w:val="21"/>
              </w:rPr>
              <w:t>更正公告（澄清公告）</w:t>
            </w:r>
            <w:r>
              <w:rPr>
                <w:rFonts w:hAnsi="宋体" w:cs="宋体"/>
                <w:sz w:val="21"/>
              </w:rPr>
              <w:t>、</w:t>
            </w:r>
            <w:r>
              <w:rPr>
                <w:rFonts w:hint="eastAsia" w:hAnsi="宋体" w:cs="宋体"/>
                <w:sz w:val="21"/>
              </w:rPr>
              <w:t>竞争性谈判</w:t>
            </w:r>
            <w:r>
              <w:rPr>
                <w:rFonts w:hAnsi="宋体" w:cs="宋体"/>
                <w:sz w:val="21"/>
              </w:rPr>
              <w:t>公告、</w:t>
            </w:r>
            <w:r>
              <w:rPr>
                <w:rFonts w:hint="eastAsia" w:hAnsi="宋体" w:cs="宋体"/>
                <w:sz w:val="21"/>
              </w:rPr>
              <w:t>供应商</w:t>
            </w:r>
            <w:r>
              <w:rPr>
                <w:rFonts w:hAnsi="宋体" w:cs="宋体"/>
                <w:sz w:val="21"/>
              </w:rPr>
              <w:t>须知</w:t>
            </w:r>
            <w:r>
              <w:rPr>
                <w:rFonts w:hint="eastAsia" w:hAnsi="宋体" w:cs="宋体"/>
                <w:sz w:val="21"/>
              </w:rPr>
              <w:t>、采购需求</w:t>
            </w:r>
            <w:r>
              <w:rPr>
                <w:rFonts w:hAnsi="宋体" w:cs="宋体"/>
                <w:sz w:val="21"/>
              </w:rPr>
              <w:t>、</w:t>
            </w:r>
            <w:r>
              <w:rPr>
                <w:rFonts w:hint="eastAsia" w:hAnsi="宋体" w:cs="宋体"/>
                <w:sz w:val="21"/>
              </w:rPr>
              <w:t>评审程序和评定成交的标准</w:t>
            </w:r>
            <w:r>
              <w:rPr>
                <w:rFonts w:hAnsi="宋体" w:cs="宋体"/>
                <w:sz w:val="21"/>
              </w:rPr>
              <w:t>、</w:t>
            </w:r>
            <w:r>
              <w:rPr>
                <w:rFonts w:hint="eastAsia" w:hAnsi="宋体" w:cs="宋体"/>
                <w:sz w:val="21"/>
              </w:rPr>
              <w:t>响应</w:t>
            </w:r>
            <w:r>
              <w:rPr>
                <w:rFonts w:hAnsi="宋体" w:cs="宋体"/>
                <w:sz w:val="21"/>
              </w:rPr>
              <w:t>文件格式</w:t>
            </w:r>
            <w:r>
              <w:rPr>
                <w:rFonts w:hint="eastAsia" w:hAnsi="宋体" w:cs="宋体"/>
                <w:sz w:val="21"/>
              </w:rPr>
              <w:t>、合同文本</w:t>
            </w:r>
            <w:r>
              <w:rPr>
                <w:rFonts w:hAnsi="宋体" w:cs="宋体"/>
                <w:sz w:val="21"/>
              </w:rPr>
              <w:t>的先后顺序解释；同一组成文件中就同一事项的规定或约定不一致的，以编排顺序在后者为准；同一组成文件不同版本之间有不一致的，以形成时间在后者为准；</w:t>
            </w:r>
            <w:r>
              <w:rPr>
                <w:rFonts w:hint="eastAsia" w:hAnsi="宋体" w:cs="宋体"/>
                <w:sz w:val="21"/>
              </w:rPr>
              <w:t>更正公告（澄清公告）</w:t>
            </w:r>
            <w:r>
              <w:rPr>
                <w:rFonts w:hAnsi="宋体" w:cs="宋体"/>
                <w:sz w:val="21"/>
              </w:rPr>
              <w:t>与同步更新的</w:t>
            </w:r>
            <w:r>
              <w:rPr>
                <w:rFonts w:hint="eastAsia" w:hAnsi="宋体" w:cs="宋体"/>
                <w:sz w:val="21"/>
              </w:rPr>
              <w:t>谈判文件</w:t>
            </w:r>
            <w:r>
              <w:rPr>
                <w:rFonts w:hAnsi="宋体" w:cs="宋体"/>
                <w:sz w:val="21"/>
              </w:rPr>
              <w:t>不一致时以</w:t>
            </w:r>
            <w:r>
              <w:rPr>
                <w:rFonts w:hint="eastAsia" w:hAnsi="宋体" w:cs="宋体"/>
                <w:sz w:val="21"/>
              </w:rPr>
              <w:t>更正公告（澄清公告）</w:t>
            </w:r>
            <w:r>
              <w:rPr>
                <w:rFonts w:hAnsi="宋体" w:cs="宋体"/>
                <w:sz w:val="21"/>
              </w:rPr>
              <w:t>为准。按本款前述规定仍不能形成结论的，由</w:t>
            </w:r>
            <w:r>
              <w:rPr>
                <w:rFonts w:hint="eastAsia" w:hAnsi="宋体" w:cs="宋体"/>
                <w:sz w:val="21"/>
              </w:rPr>
              <w:t>采购</w:t>
            </w:r>
            <w:r>
              <w:rPr>
                <w:rFonts w:hAnsi="宋体" w:cs="宋体"/>
                <w:sz w:val="21"/>
              </w:rPr>
              <w:t>人</w:t>
            </w:r>
            <w:r>
              <w:rPr>
                <w:rFonts w:hint="eastAsia" w:hAnsi="宋体" w:cs="宋体"/>
                <w:sz w:val="21"/>
              </w:rPr>
              <w:t>或者采购代理机构</w:t>
            </w:r>
            <w:r>
              <w:rPr>
                <w:rFonts w:hAnsi="宋体" w:cs="宋体"/>
                <w:sz w:val="21"/>
              </w:rPr>
              <w:t>负责解释。</w:t>
            </w:r>
          </w:p>
        </w:tc>
      </w:tr>
      <w:tr w14:paraId="136D5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06E338E">
            <w:pPr>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3.2</w:t>
            </w:r>
          </w:p>
        </w:tc>
        <w:tc>
          <w:tcPr>
            <w:tcW w:w="8695" w:type="dxa"/>
            <w:vAlign w:val="center"/>
          </w:tcPr>
          <w:p w14:paraId="2677F224">
            <w:pPr>
              <w:pStyle w:val="16"/>
              <w:snapToGrid w:val="0"/>
              <w:spacing w:line="360" w:lineRule="auto"/>
              <w:rPr>
                <w:rFonts w:hAnsi="宋体" w:cs="宋体"/>
                <w:sz w:val="21"/>
              </w:rPr>
            </w:pPr>
            <w:r>
              <w:rPr>
                <w:rFonts w:hint="eastAsia" w:hAnsi="宋体" w:cs="宋体"/>
                <w:sz w:val="21"/>
              </w:rPr>
              <w:t>1、本谈判文件中描述供应商的“公章”是指根据我国对公章的管理规定，用供应商法定主体行为名称制作的印章【含通过指定电子化政府采购平台办理数字证书（CA认证）获得的以法定主体行为名称制作的电子印章】，除本谈判文件有特殊规定外，供应商的财务章、部门章、分公司章、工会章、合同章、竞标/竞标专用章、业务专用章及银行的转账章、现金收讫章、现金付讫章等其他形式印章均不能代替公章。</w:t>
            </w:r>
          </w:p>
          <w:p w14:paraId="7243275B">
            <w:pPr>
              <w:pStyle w:val="16"/>
              <w:snapToGrid w:val="0"/>
              <w:spacing w:line="360" w:lineRule="auto"/>
              <w:rPr>
                <w:rFonts w:hAnsi="宋体" w:cs="宋体"/>
                <w:sz w:val="21"/>
              </w:rPr>
            </w:pPr>
            <w:r>
              <w:rPr>
                <w:rFonts w:hint="eastAsia" w:hAnsi="宋体" w:cs="宋体"/>
                <w:sz w:val="21"/>
              </w:rPr>
              <w:t>2、供应商为其他组织或者自然人时，本谈判文件规定的法定代表人指负责人或者自然人。本谈判文件所称负责人是指参加竞标的其他组织</w:t>
            </w:r>
            <w:r>
              <w:rPr>
                <w:rFonts w:hint="eastAsia" w:hAnsi="宋体" w:cs="宋体"/>
                <w:bCs/>
                <w:sz w:val="21"/>
              </w:rPr>
              <w:t>营业执照或者执业许可证等证照上的</w:t>
            </w:r>
            <w:r>
              <w:rPr>
                <w:rFonts w:hint="eastAsia" w:hAnsi="宋体" w:cs="宋体"/>
                <w:sz w:val="21"/>
              </w:rPr>
              <w:t>负责人，本谈判文件所称自然人指参与竞标的自然人本人，</w:t>
            </w:r>
            <w:r>
              <w:rPr>
                <w:rFonts w:hint="eastAsia" w:hAnsi="宋体" w:cs="宋体"/>
                <w:bCs/>
                <w:sz w:val="21"/>
              </w:rPr>
              <w:t>且应具备独立承担民事责任能力，自然人应当为年满18周岁以上成年人（十六周岁以上的未成年人，以自己的劳动收入为主要生活来源的，视为完全民事行为能力人）。</w:t>
            </w:r>
          </w:p>
          <w:p w14:paraId="2B6E6D5D">
            <w:pPr>
              <w:pStyle w:val="16"/>
              <w:snapToGrid w:val="0"/>
              <w:spacing w:line="360" w:lineRule="auto"/>
              <w:rPr>
                <w:rFonts w:hAnsi="宋体" w:cs="宋体"/>
                <w:sz w:val="21"/>
              </w:rPr>
            </w:pPr>
            <w:r>
              <w:rPr>
                <w:rFonts w:hAnsi="宋体" w:cs="宋体"/>
                <w:sz w:val="21"/>
              </w:rPr>
              <w:t>3</w:t>
            </w:r>
            <w:r>
              <w:rPr>
                <w:rFonts w:hint="eastAsia" w:hAnsi="宋体" w:cs="宋体"/>
                <w:sz w:val="21"/>
              </w:rPr>
              <w:t>、本谈判文件中描述供应商的“签字”是指供应商的法定代表人（或负责人）或者委托代理人在文件规定签署处签名【含通过指定电子化政府采购平台办理数字证书（CA认证）获得的以供应商法定代表人（负责人）或者委托代理人姓名制作的电子印章】的行为，私章、印鉴等其他形式均不能代替签字。</w:t>
            </w:r>
          </w:p>
          <w:p w14:paraId="5AF2B039">
            <w:pPr>
              <w:pStyle w:val="16"/>
              <w:snapToGrid w:val="0"/>
              <w:spacing w:line="360" w:lineRule="auto"/>
              <w:rPr>
                <w:rFonts w:hAnsi="宋体" w:cs="宋体"/>
                <w:sz w:val="21"/>
              </w:rPr>
            </w:pPr>
            <w:r>
              <w:rPr>
                <w:rFonts w:hAnsi="宋体" w:cs="宋体"/>
                <w:sz w:val="21"/>
              </w:rPr>
              <w:t>4</w:t>
            </w:r>
            <w:r>
              <w:rPr>
                <w:rFonts w:hint="eastAsia" w:hAnsi="宋体" w:cs="宋体"/>
                <w:sz w:val="21"/>
              </w:rPr>
              <w:t>、自然人竞标的，谈判文件规定盖公章处由自然人摁手指指印。</w:t>
            </w:r>
          </w:p>
          <w:p w14:paraId="5B9B9898">
            <w:pPr>
              <w:pStyle w:val="16"/>
              <w:snapToGrid w:val="0"/>
              <w:spacing w:line="360" w:lineRule="auto"/>
              <w:rPr>
                <w:rFonts w:hAnsi="宋体" w:cs="宋体"/>
                <w:sz w:val="21"/>
              </w:rPr>
            </w:pPr>
            <w:r>
              <w:rPr>
                <w:rFonts w:hint="eastAsia" w:hAnsi="宋体" w:cs="宋体"/>
                <w:sz w:val="21"/>
              </w:rPr>
              <w:t>5、本谈判文件所称的“以上”“以下”“以内”“届满”，包括本数；所称的“不满”“超过”“以外”，不包括本数。</w:t>
            </w:r>
          </w:p>
        </w:tc>
      </w:tr>
    </w:tbl>
    <w:p w14:paraId="6379FF10">
      <w:pPr>
        <w:spacing w:line="400" w:lineRule="exact"/>
        <w:jc w:val="center"/>
        <w:rPr>
          <w:rFonts w:ascii="宋体" w:hAnsi="宋体"/>
          <w:b/>
          <w:sz w:val="32"/>
          <w:szCs w:val="32"/>
        </w:rPr>
      </w:pPr>
      <w:r>
        <w:rPr>
          <w:rFonts w:ascii="宋体" w:hAnsi="宋体"/>
          <w:b/>
          <w:sz w:val="32"/>
          <w:szCs w:val="32"/>
        </w:rPr>
        <w:br w:type="page"/>
      </w:r>
      <w:r>
        <w:rPr>
          <w:rFonts w:hint="eastAsia" w:ascii="宋体" w:hAnsi="宋体"/>
          <w:b/>
          <w:sz w:val="32"/>
          <w:szCs w:val="32"/>
        </w:rPr>
        <w:t>供应商须知正文</w:t>
      </w:r>
    </w:p>
    <w:p w14:paraId="54B19D79">
      <w:pPr>
        <w:spacing w:line="400" w:lineRule="exact"/>
        <w:jc w:val="center"/>
        <w:rPr>
          <w:rFonts w:ascii="宋体" w:hAnsi="宋体"/>
          <w:b/>
          <w:sz w:val="32"/>
          <w:szCs w:val="32"/>
        </w:rPr>
      </w:pPr>
    </w:p>
    <w:p w14:paraId="0B465049">
      <w:pPr>
        <w:spacing w:line="400" w:lineRule="exact"/>
        <w:jc w:val="center"/>
        <w:rPr>
          <w:rFonts w:ascii="宋体" w:hAnsi="宋体"/>
          <w:b/>
          <w:sz w:val="32"/>
          <w:szCs w:val="32"/>
        </w:rPr>
      </w:pPr>
      <w:r>
        <w:rPr>
          <w:rFonts w:hint="eastAsia" w:ascii="宋体" w:hAnsi="宋体"/>
          <w:b/>
          <w:sz w:val="32"/>
          <w:szCs w:val="32"/>
        </w:rPr>
        <w:t>一、总则</w:t>
      </w:r>
    </w:p>
    <w:p w14:paraId="591CD2D3">
      <w:pPr>
        <w:spacing w:line="400" w:lineRule="exact"/>
        <w:rPr>
          <w:rFonts w:ascii="宋体" w:hAnsi="宋体"/>
          <w:szCs w:val="21"/>
        </w:rPr>
      </w:pPr>
    </w:p>
    <w:p w14:paraId="447FB4EF">
      <w:pPr>
        <w:spacing w:line="360" w:lineRule="auto"/>
        <w:ind w:firstLine="482" w:firstLineChars="200"/>
        <w:rPr>
          <w:rFonts w:ascii="黑体" w:hAnsi="黑体" w:eastAsia="黑体" w:cs="宋体"/>
          <w:b/>
          <w:bCs/>
          <w:sz w:val="24"/>
        </w:rPr>
      </w:pPr>
      <w:r>
        <w:rPr>
          <w:rFonts w:hint="eastAsia" w:ascii="黑体" w:hAnsi="黑体" w:eastAsia="黑体" w:cs="宋体"/>
          <w:b/>
          <w:bCs/>
          <w:sz w:val="24"/>
        </w:rPr>
        <w:t>1. 适用范围</w:t>
      </w:r>
    </w:p>
    <w:p w14:paraId="5BDD6A50">
      <w:pPr>
        <w:spacing w:line="360" w:lineRule="auto"/>
        <w:ind w:firstLine="420" w:firstLineChars="200"/>
        <w:rPr>
          <w:rFonts w:ascii="宋体" w:hAnsi="宋体" w:cs="宋体"/>
          <w:szCs w:val="21"/>
        </w:rPr>
      </w:pPr>
      <w:r>
        <w:rPr>
          <w:rFonts w:hint="eastAsia" w:ascii="宋体" w:hAnsi="宋体" w:cs="宋体"/>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3DE4FBBC">
      <w:pPr>
        <w:spacing w:line="360" w:lineRule="auto"/>
        <w:ind w:firstLine="420" w:firstLineChars="200"/>
        <w:rPr>
          <w:rFonts w:ascii="宋体" w:hAnsi="宋体" w:cs="宋体"/>
          <w:szCs w:val="21"/>
        </w:rPr>
      </w:pPr>
      <w:r>
        <w:rPr>
          <w:rFonts w:hint="eastAsia" w:ascii="宋体" w:hAnsi="宋体" w:cs="宋体"/>
          <w:szCs w:val="21"/>
        </w:rPr>
        <w:t>1.2</w:t>
      </w:r>
      <w:r>
        <w:rPr>
          <w:rFonts w:hint="eastAsia" w:ascii="宋体" w:hAnsi="宋体" w:cs="宋体"/>
          <w:spacing w:val="-6"/>
          <w:szCs w:val="21"/>
        </w:rPr>
        <w:t>本竞争性谈判文件（以下简称谈判文件）适用于本项目的所有采购程序和环节（法律、法规另有规定的，从其规定）。</w:t>
      </w:r>
    </w:p>
    <w:p w14:paraId="6104A628">
      <w:pPr>
        <w:spacing w:line="360" w:lineRule="auto"/>
        <w:ind w:firstLine="482" w:firstLineChars="200"/>
        <w:rPr>
          <w:rFonts w:ascii="黑体" w:hAnsi="黑体" w:eastAsia="黑体" w:cs="宋体"/>
          <w:b/>
          <w:bCs/>
          <w:sz w:val="24"/>
        </w:rPr>
      </w:pPr>
      <w:r>
        <w:rPr>
          <w:rFonts w:hint="eastAsia" w:ascii="黑体" w:hAnsi="黑体" w:eastAsia="黑体" w:cs="宋体"/>
          <w:b/>
          <w:bCs/>
          <w:sz w:val="24"/>
        </w:rPr>
        <w:t>2. 定义</w:t>
      </w:r>
    </w:p>
    <w:p w14:paraId="675FA433">
      <w:pPr>
        <w:spacing w:line="360" w:lineRule="auto"/>
        <w:ind w:firstLine="420" w:firstLineChars="200"/>
        <w:rPr>
          <w:rFonts w:ascii="宋体" w:hAnsi="宋体" w:cs="宋体"/>
          <w:szCs w:val="21"/>
        </w:rPr>
      </w:pPr>
      <w:r>
        <w:rPr>
          <w:rFonts w:hint="eastAsia" w:ascii="宋体" w:hAnsi="宋体" w:cs="宋体"/>
          <w:szCs w:val="21"/>
        </w:rPr>
        <w:t>2.1“采购人”是指依法进行采购的国家机关、事业单位、团体组织。</w:t>
      </w:r>
    </w:p>
    <w:p w14:paraId="1F6D620D">
      <w:pPr>
        <w:spacing w:line="360" w:lineRule="auto"/>
        <w:ind w:firstLine="420" w:firstLineChars="200"/>
        <w:rPr>
          <w:rFonts w:ascii="宋体" w:hAnsi="宋体"/>
          <w:b/>
          <w:szCs w:val="21"/>
        </w:rPr>
      </w:pPr>
      <w:r>
        <w:rPr>
          <w:rFonts w:hint="eastAsia" w:ascii="宋体" w:hAnsi="宋体" w:cs="宋体"/>
          <w:szCs w:val="21"/>
        </w:rPr>
        <w:t>2.2“采购代理机构”</w:t>
      </w:r>
      <w:r>
        <w:rPr>
          <w:rFonts w:hint="eastAsia" w:ascii="宋体" w:hAnsi="宋体"/>
          <w:b/>
          <w:szCs w:val="21"/>
        </w:rPr>
        <w:t>是指政府采购集中采购机构和集中采购机构以外的采购代理机构。</w:t>
      </w:r>
    </w:p>
    <w:p w14:paraId="72715541">
      <w:pPr>
        <w:spacing w:line="360" w:lineRule="auto"/>
        <w:ind w:firstLine="420" w:firstLineChars="200"/>
        <w:rPr>
          <w:rFonts w:ascii="宋体" w:hAnsi="宋体" w:cs="宋体"/>
          <w:szCs w:val="21"/>
        </w:rPr>
      </w:pPr>
      <w:r>
        <w:rPr>
          <w:rFonts w:hint="eastAsia" w:ascii="宋体" w:hAnsi="宋体" w:cs="宋体"/>
          <w:szCs w:val="21"/>
        </w:rPr>
        <w:t>2.3“供应商”是指向采购人提供货物、工程或者服务的法人、其他组织或者自然人。</w:t>
      </w:r>
    </w:p>
    <w:p w14:paraId="0B39F9BA">
      <w:pPr>
        <w:spacing w:line="360" w:lineRule="auto"/>
        <w:ind w:firstLine="420" w:firstLineChars="200"/>
        <w:rPr>
          <w:rFonts w:ascii="宋体" w:hAnsi="宋体" w:cs="宋体"/>
          <w:szCs w:val="21"/>
        </w:rPr>
      </w:pPr>
      <w:r>
        <w:rPr>
          <w:rFonts w:hint="eastAsia" w:ascii="宋体" w:hAnsi="宋体" w:cs="宋体"/>
          <w:szCs w:val="21"/>
        </w:rPr>
        <w:t>2.4“货物”是指各种形态和种类的物品，包括原材料、燃料、设备、产品等。</w:t>
      </w:r>
    </w:p>
    <w:p w14:paraId="3C79163A">
      <w:pPr>
        <w:spacing w:line="360" w:lineRule="auto"/>
        <w:ind w:firstLine="420" w:firstLineChars="200"/>
        <w:rPr>
          <w:rFonts w:ascii="宋体" w:hAnsi="宋体" w:cs="宋体"/>
          <w:szCs w:val="21"/>
        </w:rPr>
      </w:pPr>
      <w:r>
        <w:rPr>
          <w:rFonts w:hint="eastAsia" w:ascii="宋体" w:hAnsi="宋体" w:cs="宋体"/>
          <w:szCs w:val="21"/>
        </w:rPr>
        <w:t>2.5“竞标”是指按照本项目竞争性谈判公告或者邀请函规定的方式供应商获取谈判文件、提交响应文件并希望获得标的的行为。</w:t>
      </w:r>
    </w:p>
    <w:p w14:paraId="5B969D5F">
      <w:pPr>
        <w:spacing w:line="360" w:lineRule="auto"/>
        <w:ind w:firstLine="420" w:firstLineChars="200"/>
        <w:rPr>
          <w:rFonts w:ascii="宋体" w:hAnsi="宋体" w:cs="宋体"/>
          <w:szCs w:val="21"/>
        </w:rPr>
      </w:pPr>
      <w:r>
        <w:rPr>
          <w:rFonts w:hint="eastAsia" w:ascii="宋体" w:hAnsi="宋体" w:cs="宋体"/>
          <w:szCs w:val="21"/>
        </w:rPr>
        <w:t>2.6“售后服务” 是指包含但不限于供应商须承担的备品备件、包装、运输、装卸、保险、货到就位以及安装、调试、培训、保修和其他类似的义务。</w:t>
      </w:r>
    </w:p>
    <w:p w14:paraId="72CF01C3">
      <w:pPr>
        <w:spacing w:line="360" w:lineRule="auto"/>
        <w:ind w:firstLine="420" w:firstLineChars="200"/>
        <w:rPr>
          <w:rFonts w:ascii="宋体" w:hAnsi="宋体" w:cs="宋体"/>
          <w:szCs w:val="21"/>
        </w:rPr>
      </w:pPr>
      <w:r>
        <w:rPr>
          <w:rFonts w:hint="eastAsia" w:ascii="宋体" w:hAnsi="宋体" w:cs="宋体"/>
          <w:szCs w:val="21"/>
        </w:rPr>
        <w:t>2.7“书面形式”是指合同书、信件和数据电文（包括电报、电传、传真、电子数据交换和电子邮件）等可以有形地表现所载内容的形式。</w:t>
      </w:r>
    </w:p>
    <w:p w14:paraId="4E6A52A5">
      <w:pPr>
        <w:spacing w:line="360" w:lineRule="auto"/>
        <w:ind w:firstLine="420" w:firstLineChars="200"/>
        <w:rPr>
          <w:rFonts w:ascii="宋体" w:hAnsi="宋体" w:cs="宋体"/>
          <w:szCs w:val="21"/>
        </w:rPr>
      </w:pPr>
      <w:r>
        <w:rPr>
          <w:rFonts w:hint="eastAsia" w:ascii="宋体" w:hAnsi="宋体" w:cs="宋体"/>
          <w:szCs w:val="21"/>
        </w:rPr>
        <w:t>2.8“响应文件”</w:t>
      </w:r>
      <w:r>
        <w:rPr>
          <w:rFonts w:hint="eastAsia" w:ascii="宋体" w:hAnsi="宋体" w:cs="宋体"/>
          <w:spacing w:val="-6"/>
          <w:szCs w:val="21"/>
        </w:rPr>
        <w:t>是指：供应商根据本谈判文件要求，编制包含报价、技术和服务等所有内容的文件。</w:t>
      </w:r>
    </w:p>
    <w:p w14:paraId="4503BB37">
      <w:pPr>
        <w:spacing w:line="360" w:lineRule="auto"/>
        <w:ind w:firstLine="420" w:firstLineChars="200"/>
        <w:rPr>
          <w:rFonts w:ascii="宋体" w:hAnsi="宋体" w:cs="宋体"/>
          <w:szCs w:val="21"/>
        </w:rPr>
      </w:pPr>
      <w:r>
        <w:rPr>
          <w:rFonts w:hint="eastAsia" w:ascii="宋体" w:hAnsi="宋体" w:cs="宋体"/>
          <w:szCs w:val="21"/>
        </w:rPr>
        <w:t>2.9 “实质性要求”是指采购需求中带“▲”的条款或者不能负偏离的条款或者已经指明不满足按响应文件按无效响应处理的条款。</w:t>
      </w:r>
    </w:p>
    <w:p w14:paraId="64248F46">
      <w:pPr>
        <w:spacing w:line="360" w:lineRule="auto"/>
        <w:ind w:firstLine="420" w:firstLineChars="200"/>
        <w:rPr>
          <w:rFonts w:ascii="宋体" w:hAnsi="宋体" w:cs="宋体"/>
          <w:szCs w:val="21"/>
        </w:rPr>
      </w:pPr>
      <w:r>
        <w:rPr>
          <w:rFonts w:hint="eastAsia" w:ascii="宋体" w:hAnsi="宋体" w:cs="宋体"/>
          <w:szCs w:val="21"/>
        </w:rPr>
        <w:t>2.10“正偏离”，是指响应文件对谈判文件“采购需求”中有关条款作出优于条款要求并有利于采购人的响应情形；</w:t>
      </w:r>
    </w:p>
    <w:p w14:paraId="20952065">
      <w:pPr>
        <w:spacing w:line="360" w:lineRule="auto"/>
        <w:ind w:firstLine="420" w:firstLineChars="200"/>
        <w:rPr>
          <w:rFonts w:ascii="宋体" w:hAnsi="宋体" w:cs="宋体"/>
          <w:szCs w:val="21"/>
        </w:rPr>
      </w:pPr>
      <w:r>
        <w:rPr>
          <w:rFonts w:hint="eastAsia" w:ascii="宋体" w:hAnsi="宋体" w:cs="宋体"/>
          <w:szCs w:val="21"/>
        </w:rPr>
        <w:t>2.11“负偏离”，是指响应文件对谈判文件“采购需求”中有关条款作出的响应不满足条款要求，导致采购人要求不能得到满足的情形。</w:t>
      </w:r>
    </w:p>
    <w:p w14:paraId="060223EF">
      <w:pPr>
        <w:spacing w:line="360" w:lineRule="auto"/>
        <w:ind w:firstLine="420" w:firstLineChars="200"/>
        <w:rPr>
          <w:rFonts w:ascii="宋体" w:hAnsi="宋体" w:cs="宋体"/>
          <w:szCs w:val="21"/>
        </w:rPr>
      </w:pPr>
      <w:r>
        <w:rPr>
          <w:rFonts w:hint="eastAsia" w:ascii="宋体" w:hAnsi="宋体" w:cs="宋体"/>
          <w:szCs w:val="21"/>
        </w:rPr>
        <w:t>2.12“允许负偏离的条款”是指采购需求中的不属于“实质性要求”的条款。</w:t>
      </w:r>
    </w:p>
    <w:p w14:paraId="5CD1BF70">
      <w:pPr>
        <w:spacing w:line="360" w:lineRule="auto"/>
        <w:ind w:firstLine="420" w:firstLineChars="200"/>
        <w:rPr>
          <w:rFonts w:ascii="宋体" w:hAnsi="宋体" w:cs="宋体"/>
          <w:szCs w:val="21"/>
        </w:rPr>
      </w:pPr>
      <w:r>
        <w:rPr>
          <w:rFonts w:hint="eastAsia" w:ascii="宋体" w:hAnsi="宋体" w:cs="宋体"/>
          <w:szCs w:val="21"/>
        </w:rPr>
        <w:t>2.13“首次报价”是指供应商提交的首次响应文件中的竞标报价。</w:t>
      </w:r>
    </w:p>
    <w:p w14:paraId="2375FA17">
      <w:pPr>
        <w:spacing w:line="360" w:lineRule="auto"/>
        <w:ind w:firstLine="482" w:firstLineChars="200"/>
        <w:contextualSpacing/>
        <w:rPr>
          <w:rFonts w:ascii="黑体" w:hAnsi="黑体" w:eastAsia="黑体" w:cs="宋体"/>
          <w:b/>
          <w:bCs/>
          <w:sz w:val="24"/>
        </w:rPr>
      </w:pPr>
      <w:r>
        <w:rPr>
          <w:rFonts w:hint="eastAsia" w:ascii="黑体" w:hAnsi="黑体" w:eastAsia="黑体" w:cs="宋体"/>
          <w:b/>
          <w:bCs/>
          <w:sz w:val="24"/>
        </w:rPr>
        <w:t>3. 供应商的资格条件</w:t>
      </w:r>
    </w:p>
    <w:p w14:paraId="58BEFF7B">
      <w:pPr>
        <w:spacing w:line="360" w:lineRule="auto"/>
        <w:ind w:firstLine="420" w:firstLineChars="200"/>
        <w:contextualSpacing/>
        <w:rPr>
          <w:rFonts w:ascii="宋体" w:hAnsi="宋体" w:cs="宋体"/>
          <w:szCs w:val="21"/>
        </w:rPr>
      </w:pPr>
      <w:r>
        <w:rPr>
          <w:rFonts w:hint="eastAsia" w:ascii="宋体" w:hAnsi="宋体" w:cs="宋体"/>
          <w:szCs w:val="21"/>
        </w:rPr>
        <w:t>供应商的资格条件详见“供应商须知前附表”。</w:t>
      </w:r>
    </w:p>
    <w:p w14:paraId="3C8E83A3">
      <w:pPr>
        <w:spacing w:line="360" w:lineRule="auto"/>
        <w:ind w:firstLine="482" w:firstLineChars="200"/>
        <w:rPr>
          <w:rFonts w:ascii="黑体" w:hAnsi="黑体" w:eastAsia="黑体" w:cs="宋体"/>
          <w:b/>
          <w:bCs/>
          <w:sz w:val="24"/>
        </w:rPr>
      </w:pPr>
      <w:r>
        <w:rPr>
          <w:rFonts w:hint="eastAsia" w:ascii="黑体" w:hAnsi="黑体" w:eastAsia="黑体" w:cs="宋体"/>
          <w:b/>
          <w:bCs/>
          <w:sz w:val="24"/>
        </w:rPr>
        <w:t>4. 竞标费用</w:t>
      </w:r>
    </w:p>
    <w:p w14:paraId="7677B20B">
      <w:pPr>
        <w:spacing w:line="360" w:lineRule="auto"/>
        <w:ind w:firstLine="420" w:firstLineChars="200"/>
        <w:rPr>
          <w:rFonts w:ascii="宋体" w:hAnsi="宋体" w:cs="宋体"/>
          <w:szCs w:val="21"/>
        </w:rPr>
      </w:pPr>
      <w:r>
        <w:rPr>
          <w:rFonts w:hint="eastAsia" w:ascii="宋体" w:hAnsi="宋体" w:cs="宋体"/>
          <w:szCs w:val="21"/>
        </w:rPr>
        <w:t>竞标费用：供应商应承担参与本次采购活动有关的所有费用，包括但不限于获取谈判文件、勘查现场、编制和提交响应文件、参加谈判与应答、签订合同等，不论竞标结果如何，均应自行承担。</w:t>
      </w:r>
    </w:p>
    <w:p w14:paraId="566B43AE">
      <w:pPr>
        <w:spacing w:line="360" w:lineRule="auto"/>
        <w:ind w:firstLine="482" w:firstLineChars="200"/>
        <w:rPr>
          <w:rFonts w:ascii="黑体" w:hAnsi="黑体" w:eastAsia="黑体" w:cs="宋体"/>
          <w:b/>
          <w:bCs/>
          <w:sz w:val="24"/>
        </w:rPr>
      </w:pPr>
      <w:r>
        <w:rPr>
          <w:rFonts w:hint="eastAsia" w:ascii="黑体" w:hAnsi="黑体" w:eastAsia="黑体" w:cs="宋体"/>
          <w:b/>
          <w:bCs/>
          <w:sz w:val="24"/>
        </w:rPr>
        <w:t>5.联合体竞标</w:t>
      </w:r>
    </w:p>
    <w:p w14:paraId="3A57B933">
      <w:pPr>
        <w:spacing w:line="360" w:lineRule="auto"/>
        <w:ind w:firstLine="420" w:firstLineChars="200"/>
        <w:rPr>
          <w:rFonts w:ascii="宋体" w:hAnsi="宋体" w:cs="宋体"/>
          <w:szCs w:val="21"/>
        </w:rPr>
      </w:pPr>
      <w:r>
        <w:rPr>
          <w:rFonts w:hint="eastAsia" w:ascii="宋体" w:hAnsi="宋体" w:cs="宋体"/>
          <w:szCs w:val="21"/>
        </w:rPr>
        <w:t>5.1本项目是否接受联合体竞标，详见“供应商须知前附表”。</w:t>
      </w:r>
    </w:p>
    <w:p w14:paraId="7968CD72">
      <w:pPr>
        <w:spacing w:line="360" w:lineRule="auto"/>
        <w:ind w:firstLine="420" w:firstLineChars="200"/>
        <w:rPr>
          <w:rFonts w:ascii="宋体" w:hAnsi="宋体" w:cs="宋体"/>
          <w:szCs w:val="21"/>
        </w:rPr>
      </w:pPr>
      <w:r>
        <w:rPr>
          <w:rFonts w:hint="eastAsia" w:ascii="宋体" w:hAnsi="宋体" w:cs="宋体"/>
          <w:szCs w:val="21"/>
        </w:rPr>
        <w:t>5.2</w:t>
      </w:r>
      <w:r>
        <w:rPr>
          <w:rFonts w:hint="eastAsia" w:ascii="宋体" w:hAnsi="宋体"/>
          <w:bCs/>
          <w:szCs w:val="21"/>
        </w:rPr>
        <w:t>如接受联合体竞标，</w:t>
      </w:r>
      <w:r>
        <w:rPr>
          <w:rFonts w:hint="eastAsia" w:ascii="宋体" w:hAnsi="宋体" w:cs="宋体"/>
          <w:szCs w:val="21"/>
        </w:rPr>
        <w:t>联合体竞标要求详见“供应商须知前附表”。</w:t>
      </w:r>
    </w:p>
    <w:p w14:paraId="544CA4AD">
      <w:pPr>
        <w:spacing w:line="360" w:lineRule="auto"/>
        <w:ind w:firstLine="420" w:firstLineChars="200"/>
        <w:rPr>
          <w:rFonts w:ascii="宋体" w:hAnsi="宋体" w:cs="宋体"/>
          <w:szCs w:val="21"/>
        </w:rPr>
      </w:pPr>
      <w:r>
        <w:rPr>
          <w:rFonts w:hint="eastAsia" w:ascii="宋体" w:hAnsi="宋体" w:cs="宋体"/>
          <w:szCs w:val="21"/>
        </w:rPr>
        <w:t>5.3</w:t>
      </w:r>
      <w:bookmarkStart w:id="18" w:name="_Hlk65857072"/>
      <w:r>
        <w:rPr>
          <w:rFonts w:hint="eastAsia" w:ascii="宋体" w:hAnsi="宋体"/>
          <w:szCs w:val="21"/>
        </w:rPr>
        <w:t>根据《政府采购促进中小企业发展管理办法》（财库〔2020〕46号）第九条第二款的规定</w:t>
      </w:r>
      <w:r>
        <w:rPr>
          <w:rFonts w:hint="eastAsia" w:hAnsi="宋体" w:cs="宋体"/>
          <w:szCs w:val="21"/>
        </w:rPr>
        <w:t>及</w:t>
      </w:r>
      <w:r>
        <w:rPr>
          <w:rFonts w:ascii="宋体" w:hAnsi="宋体" w:cs="宋体"/>
          <w:szCs w:val="21"/>
        </w:rPr>
        <w:t>《</w:t>
      </w:r>
      <w:r>
        <w:rPr>
          <w:rFonts w:hint="eastAsia" w:hAnsi="宋体" w:cs="宋体"/>
          <w:szCs w:val="21"/>
        </w:rPr>
        <w:t>广西壮族自治区财政厅关于持续优化政府采购营商环境推动高质量发展的通知</w:t>
      </w:r>
      <w:r>
        <w:rPr>
          <w:rFonts w:ascii="宋体" w:hAnsi="宋体" w:cs="宋体"/>
          <w:szCs w:val="21"/>
        </w:rPr>
        <w:t>》</w:t>
      </w:r>
      <w:r>
        <w:rPr>
          <w:rFonts w:hint="eastAsia" w:hAnsi="宋体" w:cs="宋体"/>
          <w:szCs w:val="21"/>
        </w:rPr>
        <w:t>桂财采〔2024〕55号</w:t>
      </w:r>
      <w:r>
        <w:rPr>
          <w:rFonts w:hint="eastAsia" w:ascii="宋体" w:hAnsi="宋体"/>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18"/>
    </w:p>
    <w:p w14:paraId="4622728B">
      <w:pPr>
        <w:spacing w:line="360" w:lineRule="auto"/>
        <w:ind w:firstLine="482" w:firstLineChars="200"/>
        <w:rPr>
          <w:rFonts w:ascii="黑体" w:hAnsi="黑体" w:eastAsia="黑体" w:cs="宋体"/>
          <w:b/>
          <w:bCs/>
          <w:sz w:val="24"/>
        </w:rPr>
      </w:pPr>
      <w:r>
        <w:rPr>
          <w:rFonts w:hint="eastAsia" w:ascii="黑体" w:hAnsi="黑体" w:eastAsia="黑体" w:cs="宋体"/>
          <w:b/>
          <w:bCs/>
          <w:sz w:val="24"/>
        </w:rPr>
        <w:t xml:space="preserve">6.转包与分包             </w:t>
      </w:r>
    </w:p>
    <w:p w14:paraId="21E82368">
      <w:pPr>
        <w:pStyle w:val="6"/>
        <w:keepNext w:val="0"/>
        <w:keepLines w:val="0"/>
        <w:spacing w:before="0" w:after="0" w:line="360" w:lineRule="auto"/>
        <w:ind w:left="420" w:leftChars="200"/>
        <w:rPr>
          <w:rFonts w:ascii="宋体" w:hAnsi="宋体"/>
          <w:b w:val="0"/>
          <w:sz w:val="21"/>
          <w:szCs w:val="21"/>
        </w:rPr>
      </w:pPr>
      <w:bookmarkStart w:id="19" w:name="_Toc254970673"/>
      <w:bookmarkStart w:id="20" w:name="_Toc254970532"/>
      <w:r>
        <w:rPr>
          <w:rFonts w:hint="eastAsia" w:ascii="宋体" w:hAnsi="宋体"/>
          <w:b w:val="0"/>
          <w:sz w:val="21"/>
          <w:szCs w:val="21"/>
        </w:rPr>
        <w:t>6.1本项目不允许转包。</w:t>
      </w:r>
    </w:p>
    <w:p w14:paraId="35550091">
      <w:pPr>
        <w:pStyle w:val="6"/>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2A613A8E">
      <w:pPr>
        <w:pStyle w:val="6"/>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14:paraId="55944B23">
      <w:pPr>
        <w:spacing w:line="360" w:lineRule="auto"/>
        <w:ind w:firstLine="482" w:firstLineChars="200"/>
        <w:rPr>
          <w:rFonts w:ascii="黑体" w:hAnsi="黑体" w:eastAsia="黑体" w:cs="宋体"/>
          <w:b/>
          <w:bCs/>
          <w:sz w:val="24"/>
        </w:rPr>
      </w:pPr>
      <w:r>
        <w:rPr>
          <w:rFonts w:hint="eastAsia" w:ascii="黑体" w:hAnsi="黑体" w:eastAsia="黑体" w:cs="宋体"/>
          <w:b/>
          <w:bCs/>
          <w:sz w:val="24"/>
        </w:rPr>
        <w:t>7.特别说明</w:t>
      </w:r>
      <w:bookmarkEnd w:id="19"/>
      <w:bookmarkEnd w:id="20"/>
    </w:p>
    <w:p w14:paraId="59B0F07C">
      <w:pPr>
        <w:spacing w:line="360" w:lineRule="auto"/>
        <w:ind w:firstLine="420" w:firstLineChars="200"/>
        <w:rPr>
          <w:rFonts w:ascii="宋体" w:hAnsi="宋体" w:cs="宋体"/>
          <w:szCs w:val="21"/>
        </w:rPr>
      </w:pPr>
      <w:bookmarkStart w:id="21" w:name="_8.1提供相同品牌产品且通过资格审查、符合性审查的不同投标人参加同一合"/>
      <w:bookmarkEnd w:id="21"/>
      <w:r>
        <w:rPr>
          <w:rFonts w:hint="eastAsia" w:ascii="宋体" w:hAnsi="宋体" w:cs="宋体"/>
          <w:szCs w:val="21"/>
        </w:rPr>
        <w:t>7.1</w:t>
      </w:r>
      <w:r>
        <w:rPr>
          <w:rFonts w:hint="eastAsia" w:ascii="宋体" w:hAnsi="宋体"/>
          <w:szCs w:val="21"/>
        </w:rPr>
        <w:t xml:space="preserve">如果本谈判文件要求提供供应商或制造商的资格、信誉、荣誉、业绩与企业认证等材料的，资格、信誉、荣誉、业绩与企业认证等必须为供应商或者制造商所拥有或自身获得 </w:t>
      </w:r>
      <w:r>
        <w:rPr>
          <w:rFonts w:hint="eastAsia" w:ascii="宋体" w:hAnsi="宋体" w:cs="宋体"/>
          <w:szCs w:val="21"/>
        </w:rPr>
        <w:t>。</w:t>
      </w:r>
    </w:p>
    <w:p w14:paraId="1EC56C3F">
      <w:pPr>
        <w:spacing w:line="360" w:lineRule="auto"/>
        <w:ind w:firstLine="420" w:firstLineChars="200"/>
        <w:rPr>
          <w:rFonts w:ascii="宋体" w:hAnsi="宋体" w:cs="宋体"/>
          <w:szCs w:val="21"/>
        </w:rPr>
      </w:pPr>
      <w:r>
        <w:rPr>
          <w:rFonts w:hint="eastAsia" w:ascii="宋体" w:hAnsi="宋体" w:cs="宋体"/>
          <w:szCs w:val="21"/>
        </w:rPr>
        <w:t>7.2供应商应仔细阅读谈判文件的所有内容，按照谈判文件的要求提交响应文件，并对所提供的全部资料的真实性承担法律责任。</w:t>
      </w:r>
    </w:p>
    <w:p w14:paraId="09ABF9AE">
      <w:pPr>
        <w:spacing w:line="360" w:lineRule="auto"/>
        <w:ind w:firstLine="420" w:firstLineChars="200"/>
        <w:rPr>
          <w:rFonts w:ascii="宋体" w:hAnsi="宋体" w:cs="宋体"/>
          <w:szCs w:val="21"/>
        </w:rPr>
      </w:pPr>
      <w:r>
        <w:rPr>
          <w:rFonts w:hint="eastAsia" w:ascii="宋体" w:hAnsi="宋体" w:cs="宋体"/>
          <w:szCs w:val="21"/>
        </w:rPr>
        <w:t>7.3供应商在竞标活动中提供任何虚假材料,其响应文件按无效响应处理，并报监管部门查处；签订合同后发现的,成交供应商须依法赔偿采购人，且民事赔偿并不免除违法供应商的行政与刑事责任。</w:t>
      </w:r>
    </w:p>
    <w:p w14:paraId="34E34645">
      <w:pPr>
        <w:spacing w:line="360" w:lineRule="auto"/>
        <w:ind w:firstLine="420" w:firstLineChars="200"/>
        <w:rPr>
          <w:rFonts w:ascii="宋体" w:hAnsi="宋体" w:cs="宋体"/>
          <w:szCs w:val="21"/>
        </w:rPr>
      </w:pPr>
      <w:r>
        <w:rPr>
          <w:rFonts w:hint="eastAsia" w:ascii="宋体" w:hAnsi="宋体" w:cs="宋体"/>
          <w:szCs w:val="21"/>
        </w:rPr>
        <w:t>7.4在政府采购活动中，采购人员及相关人员与供应商有下列利害关系之一的，应当回避：</w:t>
      </w:r>
    </w:p>
    <w:p w14:paraId="7845C3FC">
      <w:pPr>
        <w:spacing w:line="360" w:lineRule="auto"/>
        <w:ind w:firstLine="420" w:firstLineChars="200"/>
        <w:rPr>
          <w:rFonts w:ascii="宋体" w:hAnsi="宋体" w:cs="宋体"/>
          <w:szCs w:val="21"/>
        </w:rPr>
      </w:pPr>
      <w:r>
        <w:rPr>
          <w:rFonts w:hint="eastAsia" w:ascii="宋体" w:hAnsi="宋体" w:cs="宋体"/>
          <w:szCs w:val="21"/>
        </w:rPr>
        <w:t>（1）参加采购活动前3年内与供应商存在劳动关系；</w:t>
      </w:r>
    </w:p>
    <w:p w14:paraId="36F40649">
      <w:pPr>
        <w:spacing w:line="360" w:lineRule="auto"/>
        <w:ind w:firstLine="420" w:firstLineChars="200"/>
        <w:rPr>
          <w:rFonts w:ascii="宋体" w:hAnsi="宋体" w:cs="宋体"/>
          <w:szCs w:val="21"/>
        </w:rPr>
      </w:pPr>
      <w:r>
        <w:rPr>
          <w:rFonts w:hint="eastAsia" w:ascii="宋体" w:hAnsi="宋体" w:cs="宋体"/>
          <w:szCs w:val="21"/>
        </w:rPr>
        <w:t>（2）参加采购活动前3年内担任供应商的董事、监事；</w:t>
      </w:r>
    </w:p>
    <w:p w14:paraId="13CDB864">
      <w:pPr>
        <w:spacing w:line="360" w:lineRule="auto"/>
        <w:ind w:firstLine="420" w:firstLineChars="200"/>
        <w:rPr>
          <w:rFonts w:ascii="宋体" w:hAnsi="宋体" w:cs="宋体"/>
          <w:szCs w:val="21"/>
        </w:rPr>
      </w:pPr>
      <w:r>
        <w:rPr>
          <w:rFonts w:hint="eastAsia" w:ascii="宋体" w:hAnsi="宋体" w:cs="宋体"/>
          <w:szCs w:val="21"/>
        </w:rPr>
        <w:t>（3）参加采购活动前3年内是供应商的控股股东或者实际控制人；</w:t>
      </w:r>
    </w:p>
    <w:p w14:paraId="4404C0F3">
      <w:pPr>
        <w:spacing w:line="360" w:lineRule="auto"/>
        <w:ind w:firstLine="420" w:firstLineChars="200"/>
        <w:rPr>
          <w:rFonts w:ascii="宋体" w:hAnsi="宋体" w:cs="宋体"/>
          <w:szCs w:val="21"/>
        </w:rPr>
      </w:pPr>
      <w:r>
        <w:rPr>
          <w:rFonts w:hint="eastAsia" w:ascii="宋体" w:hAnsi="宋体" w:cs="宋体"/>
          <w:szCs w:val="21"/>
        </w:rPr>
        <w:t>（4）与供应商的法定代表人或者负责人有夫妻、直系血亲、三代以内旁系血亲或者近姻亲关系；</w:t>
      </w:r>
    </w:p>
    <w:p w14:paraId="2E74BF8E">
      <w:pPr>
        <w:spacing w:line="360" w:lineRule="auto"/>
        <w:ind w:firstLine="420" w:firstLineChars="200"/>
        <w:rPr>
          <w:rFonts w:ascii="宋体" w:hAnsi="宋体" w:cs="宋体"/>
          <w:szCs w:val="21"/>
        </w:rPr>
      </w:pPr>
      <w:r>
        <w:rPr>
          <w:rFonts w:hint="eastAsia" w:ascii="宋体" w:hAnsi="宋体" w:cs="宋体"/>
          <w:szCs w:val="21"/>
        </w:rPr>
        <w:t>（5）与供应商有其他可能影响政府采购活动公平、公正进行的关系。</w:t>
      </w:r>
    </w:p>
    <w:p w14:paraId="5A919307">
      <w:pPr>
        <w:spacing w:line="360" w:lineRule="auto"/>
        <w:ind w:firstLine="420" w:firstLineChars="200"/>
        <w:rPr>
          <w:rFonts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F2A5DAD">
      <w:pPr>
        <w:spacing w:line="360" w:lineRule="auto"/>
        <w:ind w:firstLine="420" w:firstLineChars="200"/>
        <w:rPr>
          <w:rFonts w:ascii="宋体" w:hAnsi="宋体" w:cs="宋体"/>
          <w:szCs w:val="21"/>
        </w:rPr>
      </w:pPr>
      <w:r>
        <w:rPr>
          <w:rFonts w:hint="eastAsia" w:ascii="宋体" w:hAnsi="宋体" w:cs="宋体"/>
          <w:szCs w:val="21"/>
        </w:rPr>
        <w:t>7.5有下列情形之一的视为供应商相互串通竞标，响应文件将被视为无效：</w:t>
      </w:r>
    </w:p>
    <w:p w14:paraId="67DDB404">
      <w:pPr>
        <w:spacing w:line="360" w:lineRule="auto"/>
        <w:ind w:firstLine="420" w:firstLineChars="200"/>
        <w:rPr>
          <w:rFonts w:ascii="宋体" w:hAnsi="宋体" w:cs="宋体"/>
          <w:szCs w:val="21"/>
        </w:rPr>
      </w:pPr>
      <w:r>
        <w:rPr>
          <w:rFonts w:hint="eastAsia" w:ascii="宋体" w:hAnsi="宋体" w:cs="宋体"/>
          <w:szCs w:val="21"/>
        </w:rPr>
        <w:t>（1）不同供应商的响应文件由同一单位或者个人编制；</w:t>
      </w:r>
    </w:p>
    <w:p w14:paraId="5435D3B2">
      <w:pPr>
        <w:spacing w:line="360" w:lineRule="auto"/>
        <w:ind w:firstLine="420" w:firstLineChars="200"/>
        <w:rPr>
          <w:rFonts w:ascii="宋体" w:hAnsi="宋体" w:cs="宋体"/>
          <w:szCs w:val="21"/>
        </w:rPr>
      </w:pPr>
      <w:r>
        <w:rPr>
          <w:rFonts w:hint="eastAsia" w:ascii="宋体" w:hAnsi="宋体" w:cs="宋体"/>
          <w:szCs w:val="21"/>
        </w:rPr>
        <w:t>（2）不同供应商委托同一单位或者个人办理竞标事宜；</w:t>
      </w:r>
    </w:p>
    <w:p w14:paraId="5D1D1CD2">
      <w:pPr>
        <w:spacing w:line="360" w:lineRule="auto"/>
        <w:ind w:firstLine="420" w:firstLineChars="200"/>
        <w:rPr>
          <w:rFonts w:ascii="宋体" w:hAnsi="宋体" w:cs="宋体"/>
          <w:szCs w:val="21"/>
        </w:rPr>
      </w:pPr>
      <w:r>
        <w:rPr>
          <w:rFonts w:hint="eastAsia" w:ascii="宋体" w:hAnsi="宋体" w:cs="宋体"/>
          <w:szCs w:val="21"/>
        </w:rPr>
        <w:t>（3）不同的供应商的响应文件载明的项目管理员为同一个人；</w:t>
      </w:r>
    </w:p>
    <w:p w14:paraId="1618DEAE">
      <w:pPr>
        <w:spacing w:line="360" w:lineRule="auto"/>
        <w:ind w:firstLine="420" w:firstLineChars="200"/>
        <w:rPr>
          <w:rFonts w:ascii="宋体" w:hAnsi="宋体" w:cs="宋体"/>
          <w:szCs w:val="21"/>
        </w:rPr>
      </w:pPr>
      <w:r>
        <w:rPr>
          <w:rFonts w:hint="eastAsia" w:ascii="宋体" w:hAnsi="宋体" w:cs="宋体"/>
          <w:szCs w:val="21"/>
        </w:rPr>
        <w:t>（4）不同供应商的响应文件异常一致或者报价呈规律性差异；</w:t>
      </w:r>
    </w:p>
    <w:p w14:paraId="37628863">
      <w:pPr>
        <w:spacing w:line="360" w:lineRule="auto"/>
        <w:ind w:firstLine="420" w:firstLineChars="200"/>
        <w:rPr>
          <w:rFonts w:ascii="宋体" w:hAnsi="宋体" w:cs="宋体"/>
          <w:szCs w:val="21"/>
        </w:rPr>
      </w:pPr>
      <w:r>
        <w:rPr>
          <w:rFonts w:hint="eastAsia" w:ascii="宋体" w:hAnsi="宋体" w:cs="宋体"/>
          <w:szCs w:val="21"/>
        </w:rPr>
        <w:t>（5）不同供应商的响应文件相互混装；</w:t>
      </w:r>
    </w:p>
    <w:p w14:paraId="5BC25250">
      <w:pPr>
        <w:spacing w:line="360" w:lineRule="auto"/>
        <w:ind w:firstLine="420" w:firstLineChars="200"/>
        <w:rPr>
          <w:rFonts w:ascii="宋体" w:hAnsi="宋体" w:cs="宋体"/>
          <w:szCs w:val="21"/>
        </w:rPr>
      </w:pPr>
      <w:r>
        <w:rPr>
          <w:rFonts w:hint="eastAsia" w:ascii="宋体" w:hAnsi="宋体" w:cs="宋体"/>
          <w:szCs w:val="21"/>
        </w:rPr>
        <w:t>（6）不同供应商的竞标保证金从同一单位或者个人账户转出。</w:t>
      </w:r>
    </w:p>
    <w:p w14:paraId="52359F1B">
      <w:pPr>
        <w:spacing w:line="360" w:lineRule="auto"/>
        <w:ind w:firstLine="420" w:firstLineChars="200"/>
        <w:rPr>
          <w:rFonts w:ascii="宋体" w:hAnsi="宋体" w:cs="宋体"/>
          <w:szCs w:val="21"/>
        </w:rPr>
      </w:pPr>
      <w:r>
        <w:rPr>
          <w:rFonts w:hint="eastAsia" w:ascii="宋体" w:hAnsi="宋体" w:cs="宋体"/>
          <w:szCs w:val="21"/>
        </w:rPr>
        <w:t>7.6供应商有下列情形之一的，属于恶意串通行为</w:t>
      </w:r>
      <w:bookmarkStart w:id="22" w:name="_Hlk54682620"/>
      <w:r>
        <w:rPr>
          <w:rFonts w:hint="eastAsia" w:ascii="宋体" w:hAnsi="宋体" w:cs="宋体"/>
          <w:szCs w:val="21"/>
        </w:rPr>
        <w:t>，将报同级监督管理部门</w:t>
      </w:r>
      <w:bookmarkEnd w:id="22"/>
      <w:r>
        <w:rPr>
          <w:rFonts w:hint="eastAsia" w:ascii="宋体" w:hAnsi="宋体" w:cs="宋体"/>
          <w:szCs w:val="21"/>
        </w:rPr>
        <w:t>：</w:t>
      </w:r>
    </w:p>
    <w:p w14:paraId="2F77FDB1">
      <w:pPr>
        <w:spacing w:line="360" w:lineRule="auto"/>
        <w:ind w:firstLine="420" w:firstLineChars="200"/>
        <w:rPr>
          <w:rFonts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14:paraId="1A1AE975">
      <w:pPr>
        <w:spacing w:line="360" w:lineRule="auto"/>
        <w:ind w:firstLine="420" w:firstLineChars="200"/>
        <w:rPr>
          <w:rFonts w:ascii="宋体" w:hAnsi="宋体" w:cs="宋体"/>
          <w:szCs w:val="21"/>
        </w:rPr>
      </w:pPr>
      <w:r>
        <w:rPr>
          <w:rFonts w:hint="eastAsia" w:ascii="宋体" w:hAnsi="宋体" w:cs="宋体"/>
          <w:szCs w:val="21"/>
        </w:rPr>
        <w:t>（2）供应商按照采购人或者采购代理机构的授意撤换、修改响应文件；</w:t>
      </w:r>
    </w:p>
    <w:p w14:paraId="59F8F1F7">
      <w:pPr>
        <w:spacing w:line="360" w:lineRule="auto"/>
        <w:ind w:firstLine="420" w:firstLineChars="200"/>
        <w:rPr>
          <w:rFonts w:ascii="宋体" w:hAnsi="宋体" w:cs="宋体"/>
          <w:szCs w:val="21"/>
        </w:rPr>
      </w:pPr>
      <w:r>
        <w:rPr>
          <w:rFonts w:hint="eastAsia" w:ascii="宋体" w:hAnsi="宋体" w:cs="宋体"/>
          <w:szCs w:val="21"/>
        </w:rPr>
        <w:t>（3）供应商之间协商报价、技术方案等响应文件或者响应文件的实质性内容；</w:t>
      </w:r>
    </w:p>
    <w:p w14:paraId="14FDC5B7">
      <w:pPr>
        <w:spacing w:line="360" w:lineRule="auto"/>
        <w:ind w:firstLine="420" w:firstLineChars="200"/>
        <w:rPr>
          <w:rFonts w:ascii="宋体" w:hAnsi="宋体" w:cs="宋体"/>
          <w:szCs w:val="21"/>
        </w:rPr>
      </w:pPr>
      <w:r>
        <w:rPr>
          <w:rFonts w:hint="eastAsia" w:ascii="宋体" w:hAnsi="宋体" w:cs="宋体"/>
          <w:szCs w:val="21"/>
        </w:rPr>
        <w:t>（4）属于同一集团、协会、商会等组织成员的供应商按照该组织要求协同参加政府采购活动；</w:t>
      </w:r>
    </w:p>
    <w:p w14:paraId="28EEFB79">
      <w:pPr>
        <w:spacing w:line="360" w:lineRule="auto"/>
        <w:ind w:firstLine="420" w:firstLineChars="200"/>
        <w:rPr>
          <w:rFonts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（5）供应商之间事先约定一致抬高或者压低报价,或者在政府采购活动中事先约定轮流以高价位或者低价位成交,或者事先约定由某一特定供应商成交,然后再参加竞标；</w:t>
      </w:r>
    </w:p>
    <w:p w14:paraId="2645B182">
      <w:pPr>
        <w:spacing w:line="360" w:lineRule="auto"/>
        <w:ind w:firstLine="420" w:firstLineChars="200"/>
        <w:rPr>
          <w:rFonts w:ascii="宋体" w:hAnsi="宋体" w:cs="宋体"/>
          <w:szCs w:val="21"/>
        </w:rPr>
      </w:pPr>
      <w:r>
        <w:rPr>
          <w:rFonts w:hint="eastAsia" w:ascii="宋体" w:hAnsi="宋体" w:cs="宋体"/>
          <w:szCs w:val="21"/>
        </w:rPr>
        <w:t>（6）供应商之间商定部分供应商放弃参加政府采购活动或者放弃成交；</w:t>
      </w:r>
    </w:p>
    <w:p w14:paraId="558F3164">
      <w:pPr>
        <w:spacing w:line="360" w:lineRule="auto"/>
        <w:ind w:firstLine="420" w:firstLineChars="200"/>
        <w:rPr>
          <w:rFonts w:ascii="宋体" w:hAnsi="宋体" w:cs="宋体"/>
          <w:szCs w:val="21"/>
        </w:rPr>
      </w:pPr>
      <w:r>
        <w:rPr>
          <w:rFonts w:hint="eastAsia" w:ascii="宋体" w:hAnsi="宋体" w:cs="宋体"/>
          <w:szCs w:val="21"/>
        </w:rPr>
        <w:t>（7）供应商与采购人或者采购代理机构之间、供应商相互之间，为谋求特定供应商成交或者排斥其他供应商的其他串通行为。</w:t>
      </w:r>
    </w:p>
    <w:p w14:paraId="5D44BB57">
      <w:pPr>
        <w:spacing w:line="360" w:lineRule="auto"/>
        <w:ind w:left="1" w:firstLine="417" w:firstLineChars="199"/>
        <w:jc w:val="center"/>
        <w:rPr>
          <w:rFonts w:ascii="宋体" w:hAnsi="宋体"/>
        </w:rPr>
      </w:pPr>
      <w:bookmarkStart w:id="23" w:name="_Toc254970675"/>
      <w:bookmarkStart w:id="24" w:name="_Toc254970534"/>
    </w:p>
    <w:p w14:paraId="312920CC">
      <w:pPr>
        <w:spacing w:line="360" w:lineRule="auto"/>
        <w:jc w:val="center"/>
        <w:rPr>
          <w:rFonts w:ascii="宋体" w:hAnsi="宋体"/>
          <w:b/>
          <w:sz w:val="32"/>
          <w:szCs w:val="32"/>
        </w:rPr>
      </w:pPr>
      <w:r>
        <w:rPr>
          <w:rFonts w:hint="eastAsia" w:ascii="宋体" w:hAnsi="宋体"/>
          <w:b/>
          <w:sz w:val="32"/>
          <w:szCs w:val="32"/>
        </w:rPr>
        <w:t>二、谈判文件</w:t>
      </w:r>
      <w:bookmarkEnd w:id="23"/>
      <w:bookmarkEnd w:id="24"/>
    </w:p>
    <w:p w14:paraId="6DA95FD0">
      <w:pPr>
        <w:spacing w:line="360" w:lineRule="auto"/>
        <w:jc w:val="center"/>
        <w:rPr>
          <w:rFonts w:ascii="宋体" w:hAnsi="宋体"/>
          <w:szCs w:val="21"/>
        </w:rPr>
      </w:pPr>
    </w:p>
    <w:p w14:paraId="3BED7540">
      <w:pPr>
        <w:spacing w:line="360" w:lineRule="auto"/>
        <w:ind w:firstLine="482" w:firstLineChars="200"/>
        <w:rPr>
          <w:rFonts w:ascii="黑体" w:hAnsi="黑体" w:eastAsia="黑体" w:cs="宋体"/>
          <w:b/>
          <w:bCs/>
          <w:sz w:val="24"/>
        </w:rPr>
      </w:pPr>
      <w:r>
        <w:rPr>
          <w:rFonts w:hint="eastAsia" w:ascii="黑体" w:hAnsi="黑体" w:eastAsia="黑体" w:cs="宋体"/>
          <w:b/>
          <w:bCs/>
          <w:sz w:val="24"/>
        </w:rPr>
        <w:t>8.谈判文件的构成</w:t>
      </w:r>
    </w:p>
    <w:p w14:paraId="6BA83B68">
      <w:pPr>
        <w:spacing w:line="360" w:lineRule="auto"/>
        <w:ind w:firstLine="420" w:firstLineChars="200"/>
        <w:jc w:val="left"/>
        <w:rPr>
          <w:rFonts w:ascii="宋体" w:hAnsi="宋体"/>
          <w:szCs w:val="21"/>
        </w:rPr>
      </w:pPr>
      <w:r>
        <w:rPr>
          <w:rFonts w:hint="eastAsia" w:ascii="宋体" w:hAnsi="宋体"/>
          <w:szCs w:val="21"/>
        </w:rPr>
        <w:t>（1）竞争性谈判公告；</w:t>
      </w:r>
    </w:p>
    <w:p w14:paraId="0E3EE456">
      <w:pPr>
        <w:spacing w:line="360" w:lineRule="auto"/>
        <w:ind w:firstLine="420" w:firstLineChars="200"/>
        <w:jc w:val="left"/>
        <w:rPr>
          <w:rFonts w:ascii="宋体" w:hAnsi="宋体"/>
          <w:szCs w:val="21"/>
        </w:rPr>
      </w:pPr>
      <w:r>
        <w:rPr>
          <w:rFonts w:hint="eastAsia" w:ascii="宋体" w:hAnsi="宋体"/>
          <w:szCs w:val="21"/>
        </w:rPr>
        <w:t xml:space="preserve">（2）供应商须知； </w:t>
      </w:r>
    </w:p>
    <w:p w14:paraId="308F8041">
      <w:pPr>
        <w:spacing w:line="360" w:lineRule="auto"/>
        <w:ind w:firstLine="420" w:firstLineChars="200"/>
        <w:jc w:val="left"/>
        <w:rPr>
          <w:rFonts w:ascii="宋体" w:hAnsi="宋体"/>
          <w:szCs w:val="21"/>
        </w:rPr>
      </w:pPr>
      <w:r>
        <w:rPr>
          <w:rFonts w:hint="eastAsia" w:ascii="宋体" w:hAnsi="宋体"/>
          <w:szCs w:val="21"/>
        </w:rPr>
        <w:t>（3）采购需求；</w:t>
      </w:r>
    </w:p>
    <w:p w14:paraId="7A814C77">
      <w:pPr>
        <w:spacing w:line="360" w:lineRule="auto"/>
        <w:ind w:firstLine="420" w:firstLineChars="200"/>
        <w:jc w:val="left"/>
        <w:rPr>
          <w:rFonts w:ascii="宋体" w:hAnsi="宋体"/>
          <w:szCs w:val="21"/>
        </w:rPr>
      </w:pPr>
      <w:r>
        <w:rPr>
          <w:rFonts w:hint="eastAsia" w:ascii="宋体" w:hAnsi="宋体"/>
          <w:szCs w:val="21"/>
        </w:rPr>
        <w:t>（4）响应文件格式</w:t>
      </w:r>
    </w:p>
    <w:p w14:paraId="65FAA7AC">
      <w:pPr>
        <w:spacing w:line="360" w:lineRule="auto"/>
        <w:ind w:firstLine="420" w:firstLineChars="200"/>
        <w:jc w:val="left"/>
        <w:rPr>
          <w:rFonts w:ascii="宋体" w:hAnsi="宋体"/>
          <w:szCs w:val="21"/>
        </w:rPr>
      </w:pPr>
      <w:r>
        <w:rPr>
          <w:rFonts w:hint="eastAsia" w:ascii="宋体" w:hAnsi="宋体"/>
          <w:szCs w:val="21"/>
        </w:rPr>
        <w:t>（5）合同文本；</w:t>
      </w:r>
    </w:p>
    <w:p w14:paraId="7AEBFFC0">
      <w:pPr>
        <w:spacing w:line="360" w:lineRule="auto"/>
        <w:ind w:firstLine="420" w:firstLineChars="200"/>
        <w:jc w:val="left"/>
        <w:rPr>
          <w:rFonts w:ascii="宋体" w:hAnsi="宋体"/>
          <w:szCs w:val="21"/>
        </w:rPr>
      </w:pPr>
      <w:r>
        <w:rPr>
          <w:rFonts w:hint="eastAsia" w:ascii="宋体" w:hAnsi="宋体"/>
          <w:szCs w:val="21"/>
        </w:rPr>
        <w:t>（6）评审程序和评定成交的标准；</w:t>
      </w:r>
    </w:p>
    <w:p w14:paraId="11CBAEBA">
      <w:pPr>
        <w:spacing w:line="360" w:lineRule="auto"/>
        <w:ind w:firstLine="482" w:firstLineChars="200"/>
        <w:rPr>
          <w:rFonts w:ascii="黑体" w:hAnsi="黑体" w:eastAsia="黑体" w:cs="宋体"/>
          <w:b/>
          <w:bCs/>
          <w:sz w:val="24"/>
        </w:rPr>
      </w:pPr>
      <w:r>
        <w:rPr>
          <w:rFonts w:hint="eastAsia" w:ascii="黑体" w:hAnsi="黑体" w:eastAsia="黑体" w:cs="宋体"/>
          <w:b/>
          <w:bCs/>
          <w:sz w:val="24"/>
        </w:rPr>
        <w:t>9.供应商的询问</w:t>
      </w:r>
    </w:p>
    <w:p w14:paraId="16DDE730">
      <w:pPr>
        <w:spacing w:line="360" w:lineRule="auto"/>
        <w:ind w:firstLine="420" w:firstLineChars="200"/>
        <w:rPr>
          <w:rFonts w:ascii="宋体" w:hAnsi="宋体"/>
          <w:szCs w:val="21"/>
        </w:rPr>
      </w:pPr>
      <w:r>
        <w:rPr>
          <w:rFonts w:hint="eastAsia" w:ascii="宋体" w:hAnsi="宋体"/>
          <w:szCs w:val="21"/>
        </w:rPr>
        <w:t>供应商应认真阅读谈判文件的采购需求，如供应商对谈判文件有疑问的，如要求采购人作出澄清或者修改的，供应商尽可能在</w:t>
      </w:r>
      <w:r>
        <w:rPr>
          <w:rFonts w:ascii="宋体" w:hAnsi="宋体"/>
          <w:szCs w:val="21"/>
        </w:rPr>
        <w:t>提交首次响应文件截止之日前</w:t>
      </w:r>
      <w:r>
        <w:rPr>
          <w:rFonts w:hint="eastAsia" w:ascii="宋体" w:hAnsi="宋体"/>
          <w:szCs w:val="21"/>
        </w:rPr>
        <w:t>，以纸质书面形式向</w:t>
      </w:r>
      <w:r>
        <w:rPr>
          <w:rFonts w:ascii="宋体" w:hAnsi="宋体"/>
          <w:szCs w:val="21"/>
        </w:rPr>
        <w:t>采购人、采购代理机构</w:t>
      </w:r>
      <w:r>
        <w:rPr>
          <w:rFonts w:hint="eastAsia" w:ascii="宋体" w:hAnsi="宋体"/>
          <w:szCs w:val="21"/>
        </w:rPr>
        <w:t>提出</w:t>
      </w:r>
      <w:r>
        <w:rPr>
          <w:rFonts w:hint="eastAsia" w:ascii="宋体" w:hAnsi="宋体" w:cs="宋体"/>
          <w:szCs w:val="21"/>
        </w:rPr>
        <w:t>，否则，由此产生的后果由供应商自行负责。</w:t>
      </w:r>
    </w:p>
    <w:p w14:paraId="50B49979">
      <w:pPr>
        <w:spacing w:line="360" w:lineRule="auto"/>
        <w:ind w:firstLine="482" w:firstLineChars="200"/>
        <w:rPr>
          <w:rFonts w:ascii="黑体" w:hAnsi="黑体" w:eastAsia="黑体" w:cs="宋体"/>
          <w:b/>
          <w:bCs/>
          <w:sz w:val="24"/>
        </w:rPr>
      </w:pPr>
      <w:r>
        <w:rPr>
          <w:rFonts w:hint="eastAsia" w:ascii="黑体" w:hAnsi="黑体" w:eastAsia="黑体" w:cs="宋体"/>
          <w:b/>
          <w:bCs/>
          <w:sz w:val="24"/>
        </w:rPr>
        <w:t>10.谈判文件的澄清和修改</w:t>
      </w:r>
    </w:p>
    <w:p w14:paraId="1024C33C">
      <w:pPr>
        <w:spacing w:line="360" w:lineRule="auto"/>
        <w:ind w:firstLine="420" w:firstLineChars="200"/>
        <w:rPr>
          <w:rFonts w:ascii="宋体" w:hAnsi="宋体"/>
          <w:szCs w:val="21"/>
        </w:rPr>
      </w:pPr>
      <w:r>
        <w:rPr>
          <w:rFonts w:hint="eastAsia" w:ascii="宋体" w:hAnsi="宋体" w:cs="宋体"/>
          <w:szCs w:val="21"/>
        </w:rPr>
        <w:t>10.1</w:t>
      </w:r>
      <w:r>
        <w:rPr>
          <w:rFonts w:ascii="宋体" w:hAnsi="宋体"/>
          <w:szCs w:val="21"/>
        </w:rPr>
        <w:t>提交首次响应文件截止之日前，采购人、采购代理机构或者谈判小组可以对已发出的谈判文件进行必要的澄清或者修改，澄清或者修改的内容作为谈判文件的组成部分。</w:t>
      </w:r>
      <w:r>
        <w:rPr>
          <w:rFonts w:hint="eastAsia" w:ascii="宋体" w:hAnsi="宋体" w:cs="宋体"/>
          <w:szCs w:val="21"/>
        </w:rPr>
        <w:t>澄清或者修改将在原公告发布媒体上发布更正公告。</w:t>
      </w:r>
      <w:r>
        <w:rPr>
          <w:rFonts w:ascii="宋体" w:hAnsi="宋体"/>
          <w:szCs w:val="21"/>
        </w:rPr>
        <w:t>澄清或者修改的内容可能影响响应文件编制的，采购人、采购代理机构或者谈判小组应当在提交首次响应文件截止之日3个工作日前，</w:t>
      </w:r>
      <w:r>
        <w:rPr>
          <w:rFonts w:hint="eastAsia" w:ascii="宋体" w:hAnsi="宋体" w:cs="宋体"/>
          <w:szCs w:val="21"/>
        </w:rPr>
        <w:t>在原公告发布媒体上发布更正公告；</w:t>
      </w:r>
      <w:r>
        <w:rPr>
          <w:rFonts w:ascii="宋体" w:hAnsi="宋体"/>
          <w:szCs w:val="21"/>
        </w:rPr>
        <w:t>不足3个工作日的，应当顺延提交首次响应文件截止之日。</w:t>
      </w:r>
    </w:p>
    <w:p w14:paraId="71DE14F9">
      <w:pPr>
        <w:spacing w:line="400" w:lineRule="exact"/>
        <w:ind w:firstLine="420" w:firstLineChars="200"/>
        <w:rPr>
          <w:rFonts w:ascii="宋体" w:hAnsi="宋体"/>
          <w:szCs w:val="21"/>
        </w:rPr>
      </w:pPr>
      <w:r>
        <w:rPr>
          <w:rFonts w:hint="eastAsia" w:ascii="宋体" w:hAnsi="宋体" w:cs="宋体"/>
        </w:rPr>
        <w:t>10.2采购人和采购代理机构可以视采购具体情况，变更</w:t>
      </w:r>
      <w:r>
        <w:rPr>
          <w:rFonts w:hint="eastAsia" w:ascii="宋体" w:hAnsi="宋体" w:cs="宋体"/>
          <w:szCs w:val="21"/>
        </w:rPr>
        <w:t>首次响应文件提交截止时间</w:t>
      </w:r>
      <w:r>
        <w:rPr>
          <w:rFonts w:hint="eastAsia" w:ascii="宋体" w:hAnsi="宋体" w:cs="宋体"/>
        </w:rPr>
        <w:t>，</w:t>
      </w:r>
      <w:r>
        <w:rPr>
          <w:rFonts w:hint="eastAsia" w:ascii="宋体" w:hAnsi="宋体"/>
        </w:rPr>
        <w:t>并</w:t>
      </w:r>
      <w:r>
        <w:rPr>
          <w:rFonts w:hint="eastAsia" w:ascii="宋体" w:hAnsi="宋体"/>
          <w:szCs w:val="21"/>
        </w:rPr>
        <w:t>在原公告发布媒体上发布更正公告。</w:t>
      </w:r>
    </w:p>
    <w:p w14:paraId="7B5D3B5E">
      <w:pPr>
        <w:spacing w:line="400" w:lineRule="exact"/>
        <w:ind w:firstLine="420" w:firstLineChars="200"/>
        <w:rPr>
          <w:rFonts w:ascii="宋体" w:hAnsi="宋体" w:cs="宋体"/>
        </w:rPr>
      </w:pPr>
      <w:r>
        <w:rPr>
          <w:rFonts w:hint="eastAsia" w:ascii="宋体" w:hAnsi="宋体" w:cs="宋体"/>
        </w:rPr>
        <w:t>10.3</w:t>
      </w:r>
      <w:r>
        <w:rPr>
          <w:rFonts w:hint="eastAsia" w:ascii="宋体" w:hAnsi="宋体" w:cs="宋体"/>
          <w:szCs w:val="21"/>
        </w:rPr>
        <w:t>谈判文件</w:t>
      </w:r>
      <w:r>
        <w:rPr>
          <w:rFonts w:hint="eastAsia" w:ascii="宋体" w:hAnsi="宋体"/>
          <w:szCs w:val="21"/>
        </w:rPr>
        <w:t>澄清、答复、修改、补充的内容为</w:t>
      </w:r>
      <w:r>
        <w:rPr>
          <w:rFonts w:hint="eastAsia" w:ascii="宋体" w:hAnsi="宋体" w:cs="宋体"/>
          <w:szCs w:val="21"/>
        </w:rPr>
        <w:t>谈判文件</w:t>
      </w:r>
      <w:r>
        <w:rPr>
          <w:rFonts w:hint="eastAsia" w:ascii="宋体" w:hAnsi="宋体"/>
          <w:szCs w:val="21"/>
        </w:rPr>
        <w:t>的组成部分。</w:t>
      </w:r>
      <w:r>
        <w:rPr>
          <w:rFonts w:hint="eastAsia" w:ascii="宋体" w:hAnsi="宋体"/>
          <w:b/>
          <w:szCs w:val="21"/>
        </w:rPr>
        <w:t>当</w:t>
      </w:r>
      <w:r>
        <w:rPr>
          <w:rFonts w:hint="eastAsia" w:ascii="宋体" w:hAnsi="宋体" w:cs="宋体"/>
          <w:b/>
          <w:szCs w:val="21"/>
        </w:rPr>
        <w:t>谈判文件</w:t>
      </w:r>
      <w:r>
        <w:rPr>
          <w:rFonts w:hint="eastAsia" w:ascii="宋体" w:hAnsi="宋体"/>
          <w:b/>
          <w:szCs w:val="21"/>
        </w:rPr>
        <w:t>与</w:t>
      </w:r>
      <w:r>
        <w:rPr>
          <w:rFonts w:hint="eastAsia" w:ascii="宋体" w:hAnsi="宋体" w:cs="宋体"/>
          <w:b/>
          <w:szCs w:val="21"/>
        </w:rPr>
        <w:t>谈判文件</w:t>
      </w:r>
      <w:r>
        <w:rPr>
          <w:rFonts w:hint="eastAsia" w:ascii="宋体" w:hAnsi="宋体"/>
          <w:b/>
          <w:szCs w:val="21"/>
        </w:rPr>
        <w:t>的澄清、答复、修改、补充通知就同一内容的表述不一致时，以最后发出的文件为准。</w:t>
      </w:r>
    </w:p>
    <w:p w14:paraId="46DC6F63">
      <w:pPr>
        <w:spacing w:line="400" w:lineRule="exact"/>
        <w:ind w:firstLine="422" w:firstLineChars="200"/>
        <w:rPr>
          <w:rFonts w:ascii="宋体" w:hAnsi="宋体"/>
          <w:b/>
          <w:szCs w:val="21"/>
        </w:rPr>
      </w:pPr>
      <w:r>
        <w:rPr>
          <w:rFonts w:hint="eastAsia" w:ascii="宋体" w:hAnsi="宋体" w:cs="宋体"/>
          <w:b/>
        </w:rPr>
        <w:t>10.4</w:t>
      </w:r>
      <w:r>
        <w:rPr>
          <w:rFonts w:hint="eastAsia" w:ascii="宋体" w:hAnsi="宋体"/>
          <w:b/>
          <w:szCs w:val="21"/>
        </w:rPr>
        <w:t>响应文件未按谈判文件的澄清、修改后的内容编制的，其响应文件作无效响应处理。</w:t>
      </w:r>
    </w:p>
    <w:p w14:paraId="6F3E7388">
      <w:pPr>
        <w:spacing w:line="360" w:lineRule="auto"/>
        <w:ind w:firstLine="420" w:firstLineChars="200"/>
        <w:rPr>
          <w:rFonts w:ascii="宋体" w:hAnsi="宋体"/>
          <w:szCs w:val="21"/>
        </w:rPr>
      </w:pPr>
    </w:p>
    <w:p w14:paraId="6BE96B5C">
      <w:pPr>
        <w:spacing w:line="360" w:lineRule="auto"/>
        <w:rPr>
          <w:rFonts w:ascii="宋体" w:hAnsi="宋体"/>
          <w:szCs w:val="21"/>
        </w:rPr>
      </w:pPr>
    </w:p>
    <w:p w14:paraId="23CB4C5A">
      <w:pPr>
        <w:spacing w:line="360" w:lineRule="auto"/>
        <w:jc w:val="center"/>
        <w:rPr>
          <w:rFonts w:ascii="宋体" w:hAnsi="宋体"/>
          <w:b/>
          <w:szCs w:val="21"/>
        </w:rPr>
      </w:pPr>
      <w:r>
        <w:rPr>
          <w:rFonts w:hint="eastAsia" w:ascii="宋体" w:hAnsi="宋体"/>
          <w:b/>
          <w:sz w:val="32"/>
          <w:szCs w:val="32"/>
        </w:rPr>
        <w:t>三、响应文件的编制</w:t>
      </w:r>
    </w:p>
    <w:p w14:paraId="0C3AFD19">
      <w:pPr>
        <w:spacing w:line="360" w:lineRule="auto"/>
        <w:rPr>
          <w:rFonts w:ascii="宋体" w:hAnsi="宋体"/>
          <w:szCs w:val="21"/>
        </w:rPr>
      </w:pPr>
    </w:p>
    <w:p w14:paraId="31215E0C">
      <w:pPr>
        <w:spacing w:line="360" w:lineRule="auto"/>
        <w:ind w:firstLine="482" w:firstLineChars="200"/>
        <w:rPr>
          <w:rFonts w:ascii="黑体" w:hAnsi="黑体" w:eastAsia="黑体" w:cs="宋体"/>
          <w:b/>
          <w:bCs/>
          <w:sz w:val="24"/>
        </w:rPr>
      </w:pPr>
      <w:r>
        <w:rPr>
          <w:rFonts w:hint="eastAsia" w:ascii="黑体" w:hAnsi="黑体" w:eastAsia="黑体" w:cs="宋体"/>
          <w:b/>
          <w:bCs/>
          <w:sz w:val="24"/>
        </w:rPr>
        <w:t>11.响应文件的编制原则</w:t>
      </w:r>
    </w:p>
    <w:p w14:paraId="1E1CB3EB">
      <w:pPr>
        <w:spacing w:line="360" w:lineRule="auto"/>
        <w:ind w:firstLine="420" w:firstLineChars="200"/>
        <w:rPr>
          <w:rFonts w:ascii="宋体" w:hAnsi="宋体" w:cs="宋体"/>
          <w:szCs w:val="21"/>
        </w:rPr>
      </w:pPr>
      <w:r>
        <w:rPr>
          <w:rFonts w:hint="eastAsia" w:ascii="宋体" w:hAnsi="宋体" w:cs="宋体"/>
          <w:szCs w:val="21"/>
        </w:rPr>
        <w:t>供应商必须按照谈判文件的要求编制响应文件，并对其提交的响应文件的真实性、合法性承担法律责任。响应文件必须对谈判文件作出实质性响应。</w:t>
      </w:r>
    </w:p>
    <w:p w14:paraId="1D2C4616">
      <w:pPr>
        <w:spacing w:line="360" w:lineRule="auto"/>
        <w:ind w:firstLine="482" w:firstLineChars="200"/>
        <w:rPr>
          <w:rFonts w:ascii="黑体" w:hAnsi="黑体" w:eastAsia="黑体" w:cs="宋体"/>
          <w:b/>
          <w:bCs/>
          <w:sz w:val="24"/>
        </w:rPr>
      </w:pPr>
      <w:r>
        <w:rPr>
          <w:rFonts w:hint="eastAsia" w:ascii="黑体" w:hAnsi="黑体" w:eastAsia="黑体" w:cs="宋体"/>
          <w:b/>
          <w:bCs/>
          <w:sz w:val="24"/>
        </w:rPr>
        <w:t>12.响应文件的组成</w:t>
      </w:r>
    </w:p>
    <w:p w14:paraId="5F8AC670">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2.1</w:t>
      </w:r>
      <w:r>
        <w:rPr>
          <w:rFonts w:hint="eastAsia" w:ascii="宋体" w:hAnsi="宋体" w:cs="宋体"/>
          <w:szCs w:val="21"/>
        </w:rPr>
        <w:t>响应文件由资格证明文件、报价文件、商务技术文件三部分组成。</w:t>
      </w:r>
    </w:p>
    <w:p w14:paraId="529955BF">
      <w:pPr>
        <w:spacing w:line="360" w:lineRule="auto"/>
        <w:ind w:left="840" w:leftChars="200" w:hanging="420" w:hangingChars="200"/>
        <w:rPr>
          <w:rFonts w:ascii="宋体" w:hAnsi="宋体" w:cs="宋体"/>
          <w:szCs w:val="21"/>
        </w:rPr>
      </w:pPr>
      <w:r>
        <w:rPr>
          <w:rFonts w:hint="eastAsia" w:ascii="宋体" w:hAnsi="宋体" w:cs="宋体"/>
          <w:szCs w:val="21"/>
        </w:rPr>
        <w:t>12.1</w:t>
      </w:r>
      <w:r>
        <w:rPr>
          <w:rFonts w:ascii="宋体" w:hAnsi="宋体" w:cs="宋体"/>
          <w:szCs w:val="21"/>
        </w:rPr>
        <w:t>.1</w:t>
      </w:r>
      <w:r>
        <w:rPr>
          <w:rFonts w:hint="eastAsia" w:ascii="宋体" w:hAnsi="宋体" w:cs="宋体"/>
          <w:szCs w:val="21"/>
        </w:rPr>
        <w:t>资格证明文件：详见“供应商须知前附表”；</w:t>
      </w:r>
    </w:p>
    <w:p w14:paraId="0D7BBC61">
      <w:pPr>
        <w:spacing w:line="360" w:lineRule="auto"/>
        <w:ind w:left="840" w:leftChars="200" w:hanging="420" w:hangingChars="200"/>
        <w:rPr>
          <w:rFonts w:ascii="宋体" w:hAnsi="宋体" w:cs="宋体"/>
          <w:szCs w:val="21"/>
        </w:rPr>
      </w:pPr>
      <w:r>
        <w:rPr>
          <w:rFonts w:hint="eastAsia" w:ascii="宋体" w:hAnsi="宋体" w:cs="宋体"/>
          <w:szCs w:val="21"/>
        </w:rPr>
        <w:t>12.</w:t>
      </w:r>
      <w:r>
        <w:rPr>
          <w:rFonts w:ascii="宋体" w:hAnsi="宋体" w:cs="宋体"/>
          <w:szCs w:val="21"/>
        </w:rPr>
        <w:t>1.</w:t>
      </w:r>
      <w:r>
        <w:rPr>
          <w:rFonts w:hint="eastAsia" w:ascii="宋体" w:hAnsi="宋体" w:cs="宋体"/>
          <w:szCs w:val="21"/>
        </w:rPr>
        <w:t>2报价文件：详见“供应商须知前附表”；</w:t>
      </w:r>
    </w:p>
    <w:p w14:paraId="7ACC6FEF">
      <w:pPr>
        <w:spacing w:line="360" w:lineRule="auto"/>
        <w:ind w:left="840" w:leftChars="200" w:hanging="420" w:hangingChars="200"/>
        <w:rPr>
          <w:rFonts w:ascii="宋体" w:hAnsi="宋体" w:cs="宋体"/>
          <w:szCs w:val="21"/>
        </w:rPr>
      </w:pPr>
      <w:r>
        <w:rPr>
          <w:rFonts w:hint="eastAsia" w:ascii="宋体" w:hAnsi="宋体" w:cs="宋体"/>
          <w:szCs w:val="21"/>
        </w:rPr>
        <w:t>12.1.3商务技术文件：详见“供应商须知前附表”。</w:t>
      </w:r>
    </w:p>
    <w:p w14:paraId="507F06A6">
      <w:pPr>
        <w:spacing w:line="360" w:lineRule="auto"/>
        <w:ind w:firstLine="482" w:firstLineChars="200"/>
        <w:rPr>
          <w:rFonts w:ascii="黑体" w:hAnsi="黑体" w:eastAsia="黑体" w:cs="宋体"/>
          <w:b/>
          <w:bCs/>
          <w:sz w:val="24"/>
        </w:rPr>
      </w:pPr>
      <w:r>
        <w:rPr>
          <w:rFonts w:hint="eastAsia" w:ascii="黑体" w:hAnsi="黑体" w:eastAsia="黑体" w:cs="宋体"/>
          <w:b/>
          <w:bCs/>
          <w:sz w:val="24"/>
        </w:rPr>
        <w:t>13.计量单位</w:t>
      </w:r>
    </w:p>
    <w:p w14:paraId="6CBF7D30">
      <w:pPr>
        <w:spacing w:line="360" w:lineRule="auto"/>
        <w:ind w:firstLine="420" w:firstLineChars="200"/>
        <w:rPr>
          <w:rFonts w:ascii="宋体" w:hAnsi="宋体" w:cs="宋体"/>
          <w:szCs w:val="21"/>
        </w:rPr>
      </w:pPr>
      <w:r>
        <w:rPr>
          <w:rFonts w:hint="eastAsia" w:ascii="宋体" w:hAnsi="宋体" w:cs="宋体"/>
          <w:szCs w:val="21"/>
        </w:rPr>
        <w:t>谈判文件已有明确规定的，使用谈判文件规定的计量单位；谈判文件没有规定的，应采用中华人民共和国法定计量单位，货币种类为人民币，否则视同未响应。</w:t>
      </w:r>
    </w:p>
    <w:p w14:paraId="241489A2">
      <w:pPr>
        <w:spacing w:line="360" w:lineRule="auto"/>
        <w:ind w:firstLine="482" w:firstLineChars="200"/>
        <w:rPr>
          <w:rFonts w:ascii="黑体" w:hAnsi="黑体" w:eastAsia="黑体" w:cs="宋体"/>
          <w:b/>
          <w:bCs/>
          <w:sz w:val="24"/>
        </w:rPr>
      </w:pPr>
      <w:r>
        <w:rPr>
          <w:rFonts w:hint="eastAsia" w:ascii="黑体" w:hAnsi="黑体" w:eastAsia="黑体" w:cs="宋体"/>
          <w:b/>
          <w:bCs/>
          <w:sz w:val="24"/>
        </w:rPr>
        <w:t>14.竞标的风险</w:t>
      </w:r>
    </w:p>
    <w:p w14:paraId="1009F180">
      <w:pPr>
        <w:spacing w:line="360" w:lineRule="auto"/>
        <w:ind w:firstLine="420" w:firstLineChars="200"/>
        <w:rPr>
          <w:rFonts w:ascii="宋体" w:hAnsi="宋体" w:cs="宋体"/>
          <w:szCs w:val="21"/>
        </w:rPr>
      </w:pPr>
      <w:r>
        <w:rPr>
          <w:rFonts w:hint="eastAsia" w:ascii="宋体" w:hAnsi="宋体" w:cs="宋体"/>
          <w:szCs w:val="21"/>
        </w:rPr>
        <w:t>供应商没有按照谈判文件要求提供全部资料，或者供应商没有对谈判文件在各方面作出实质性响应可能导致其响应文件按无效响应处理，是供应商应当考虑的风险。</w:t>
      </w:r>
    </w:p>
    <w:p w14:paraId="6DF85F80">
      <w:pPr>
        <w:spacing w:line="360" w:lineRule="auto"/>
        <w:ind w:firstLine="482" w:firstLineChars="200"/>
        <w:rPr>
          <w:rFonts w:ascii="黑体" w:hAnsi="黑体" w:eastAsia="黑体" w:cs="宋体"/>
          <w:b/>
          <w:bCs/>
          <w:sz w:val="24"/>
        </w:rPr>
      </w:pPr>
      <w:r>
        <w:rPr>
          <w:rFonts w:hint="eastAsia" w:ascii="黑体" w:hAnsi="黑体" w:eastAsia="黑体" w:cs="宋体"/>
          <w:b/>
          <w:bCs/>
          <w:sz w:val="24"/>
        </w:rPr>
        <w:t>15.竞标报价</w:t>
      </w:r>
    </w:p>
    <w:p w14:paraId="61BAEAA6">
      <w:pPr>
        <w:spacing w:line="360" w:lineRule="auto"/>
        <w:ind w:firstLine="420" w:firstLineChars="200"/>
        <w:rPr>
          <w:rFonts w:ascii="宋体" w:hAnsi="宋体" w:cs="宋体"/>
          <w:szCs w:val="21"/>
        </w:rPr>
      </w:pPr>
      <w:r>
        <w:rPr>
          <w:rFonts w:hint="eastAsia" w:ascii="宋体" w:hAnsi="宋体" w:cs="宋体"/>
          <w:szCs w:val="21"/>
        </w:rPr>
        <w:t>15.1竞标报价应按谈判文件中“竞标报价表”格式填写。</w:t>
      </w:r>
    </w:p>
    <w:p w14:paraId="6DBBA07D">
      <w:pPr>
        <w:tabs>
          <w:tab w:val="left" w:pos="2492"/>
        </w:tabs>
        <w:spacing w:line="360" w:lineRule="auto"/>
        <w:ind w:firstLine="420" w:firstLineChars="200"/>
        <w:rPr>
          <w:rFonts w:ascii="宋体" w:hAnsi="宋体" w:cs="宋体"/>
          <w:szCs w:val="21"/>
        </w:rPr>
      </w:pPr>
      <w:r>
        <w:rPr>
          <w:rFonts w:hint="eastAsia" w:ascii="宋体" w:hAnsi="宋体" w:cs="宋体"/>
          <w:szCs w:val="21"/>
        </w:rPr>
        <w:t>15.2竞标报价的内容详见“供应商须知前附表”。</w:t>
      </w:r>
    </w:p>
    <w:p w14:paraId="604AAB93">
      <w:pPr>
        <w:spacing w:line="360" w:lineRule="auto"/>
        <w:ind w:left="426" w:leftChars="203"/>
        <w:rPr>
          <w:rFonts w:ascii="宋体" w:hAnsi="宋体" w:cs="宋体"/>
          <w:szCs w:val="21"/>
        </w:rPr>
      </w:pPr>
      <w:r>
        <w:rPr>
          <w:rFonts w:hint="eastAsia" w:ascii="宋体" w:hAnsi="宋体" w:cs="宋体"/>
          <w:szCs w:val="21"/>
        </w:rPr>
        <w:t>15.3竞标报价要求</w:t>
      </w:r>
    </w:p>
    <w:p w14:paraId="479DF0B8">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5.3.1</w:t>
      </w:r>
      <w:r>
        <w:rPr>
          <w:rFonts w:hint="eastAsia" w:ascii="宋体" w:hAnsi="宋体" w:cs="宋体"/>
          <w:szCs w:val="21"/>
        </w:rPr>
        <w:t>供应商的竞标报价应符合以下要求，否则响应文件按无效响应处理：</w:t>
      </w:r>
    </w:p>
    <w:p w14:paraId="218C8364">
      <w:pPr>
        <w:spacing w:line="360" w:lineRule="auto"/>
        <w:ind w:left="420" w:leftChars="200"/>
        <w:rPr>
          <w:rFonts w:ascii="宋体" w:hAnsi="宋体" w:cs="宋体"/>
          <w:szCs w:val="21"/>
        </w:rPr>
      </w:pPr>
      <w:r>
        <w:rPr>
          <w:rFonts w:hint="eastAsia" w:ascii="宋体" w:hAnsi="宋体" w:cs="宋体"/>
          <w:szCs w:val="21"/>
        </w:rPr>
        <w:t>（1）供应商必须就“采购需求”中所竞标的每个分标的全部内容分别作完整唯一总价报价，</w:t>
      </w:r>
    </w:p>
    <w:p w14:paraId="78D41FB7">
      <w:pPr>
        <w:spacing w:line="360" w:lineRule="auto"/>
        <w:rPr>
          <w:rFonts w:ascii="宋体" w:hAnsi="宋体" w:cs="宋体"/>
          <w:szCs w:val="21"/>
        </w:rPr>
      </w:pPr>
      <w:r>
        <w:rPr>
          <w:rFonts w:hint="eastAsia" w:ascii="宋体" w:hAnsi="宋体" w:cs="宋体"/>
          <w:szCs w:val="21"/>
        </w:rPr>
        <w:t>不得存在漏项报价；</w:t>
      </w:r>
    </w:p>
    <w:p w14:paraId="412013C9">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）供应商必须就所竞标的分标的单项内容作唯一报价。</w:t>
      </w:r>
    </w:p>
    <w:p w14:paraId="52FB218B">
      <w:pPr>
        <w:spacing w:line="360" w:lineRule="auto"/>
        <w:ind w:firstLine="420" w:firstLineChars="200"/>
        <w:rPr>
          <w:rFonts w:ascii="宋体" w:hAnsi="宋体" w:cs="宋体"/>
          <w:szCs w:val="21"/>
        </w:rPr>
      </w:pPr>
      <w:r>
        <w:rPr>
          <w:rFonts w:hint="eastAsia" w:ascii="宋体" w:hAnsi="宋体" w:cs="宋体"/>
          <w:szCs w:val="21"/>
        </w:rPr>
        <w:t>15.3.</w:t>
      </w:r>
      <w:r>
        <w:rPr>
          <w:rFonts w:ascii="宋体" w:hAnsi="宋体" w:cs="宋体"/>
          <w:szCs w:val="21"/>
        </w:rPr>
        <w:t>2</w:t>
      </w:r>
      <w:r>
        <w:rPr>
          <w:rFonts w:hint="eastAsia" w:ascii="宋体" w:hAnsi="宋体" w:cs="宋体"/>
          <w:szCs w:val="21"/>
        </w:rPr>
        <w:t>最后报价超过所竞标分标规定的采购预算金额或者最高限价的，其响应文件将按无效响应处理。</w:t>
      </w:r>
    </w:p>
    <w:p w14:paraId="039FA84C">
      <w:pPr>
        <w:spacing w:line="360" w:lineRule="auto"/>
        <w:ind w:firstLine="482" w:firstLineChars="200"/>
        <w:rPr>
          <w:rFonts w:ascii="黑体" w:hAnsi="黑体" w:eastAsia="黑体" w:cs="宋体"/>
          <w:b/>
          <w:bCs/>
          <w:sz w:val="24"/>
        </w:rPr>
      </w:pPr>
      <w:r>
        <w:rPr>
          <w:rFonts w:hint="eastAsia" w:ascii="黑体" w:hAnsi="黑体" w:eastAsia="黑体" w:cs="宋体"/>
          <w:b/>
          <w:bCs/>
          <w:sz w:val="24"/>
        </w:rPr>
        <w:t>16.竞标有效期</w:t>
      </w:r>
    </w:p>
    <w:p w14:paraId="47367657">
      <w:pPr>
        <w:spacing w:line="360" w:lineRule="auto"/>
        <w:ind w:firstLine="420" w:firstLineChars="200"/>
        <w:rPr>
          <w:rFonts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3CB7FB16">
      <w:pPr>
        <w:spacing w:line="360" w:lineRule="auto"/>
        <w:ind w:firstLine="420" w:firstLineChars="200"/>
        <w:rPr>
          <w:rFonts w:ascii="宋体" w:hAnsi="宋体" w:cs="宋体"/>
          <w:szCs w:val="21"/>
        </w:rPr>
      </w:pPr>
      <w:r>
        <w:rPr>
          <w:rFonts w:hint="eastAsia" w:ascii="宋体" w:hAnsi="宋体" w:cs="宋体"/>
          <w:szCs w:val="21"/>
        </w:rPr>
        <w:t>16.2 竞标有效期应由供应商按“供应商须知前附表”规定的期限作出响应。</w:t>
      </w:r>
    </w:p>
    <w:p w14:paraId="68499CCB">
      <w:pPr>
        <w:spacing w:line="360" w:lineRule="auto"/>
        <w:ind w:firstLine="420" w:firstLineChars="200"/>
        <w:rPr>
          <w:rFonts w:ascii="宋体" w:hAnsi="宋体" w:cs="宋体"/>
          <w:szCs w:val="21"/>
        </w:rPr>
      </w:pPr>
      <w:r>
        <w:rPr>
          <w:rFonts w:hint="eastAsia" w:ascii="宋体" w:hAnsi="宋体" w:cs="宋体"/>
          <w:szCs w:val="21"/>
        </w:rPr>
        <w:t>16.3供应商的响应文件在竞标有效期内均保持有效。</w:t>
      </w:r>
    </w:p>
    <w:p w14:paraId="0D36DDC7">
      <w:pPr>
        <w:spacing w:line="360" w:lineRule="auto"/>
        <w:ind w:firstLine="482" w:firstLineChars="200"/>
        <w:rPr>
          <w:rFonts w:ascii="黑体" w:hAnsi="黑体" w:eastAsia="黑体" w:cs="宋体"/>
          <w:b/>
          <w:bCs/>
          <w:sz w:val="24"/>
        </w:rPr>
      </w:pPr>
      <w:r>
        <w:rPr>
          <w:rFonts w:hint="eastAsia" w:ascii="黑体" w:hAnsi="黑体" w:eastAsia="黑体" w:cs="宋体"/>
          <w:b/>
          <w:bCs/>
          <w:sz w:val="24"/>
        </w:rPr>
        <w:t>17.竞标保证金</w:t>
      </w:r>
    </w:p>
    <w:p w14:paraId="40A52295">
      <w:pPr>
        <w:spacing w:line="360" w:lineRule="auto"/>
        <w:ind w:left="420" w:leftChars="200"/>
        <w:rPr>
          <w:rFonts w:ascii="宋体" w:hAnsi="宋体" w:cs="宋体"/>
          <w:szCs w:val="21"/>
        </w:rPr>
      </w:pPr>
      <w:r>
        <w:rPr>
          <w:rFonts w:hint="eastAsia" w:ascii="宋体" w:hAnsi="宋体" w:cs="宋体"/>
          <w:szCs w:val="21"/>
        </w:rPr>
        <w:t>17.1供应商须按“供应商须知前附表”的规定提交竞标保证金。</w:t>
      </w:r>
    </w:p>
    <w:p w14:paraId="7DC64440">
      <w:pPr>
        <w:spacing w:line="360" w:lineRule="auto"/>
        <w:ind w:left="420" w:leftChars="200"/>
        <w:rPr>
          <w:rFonts w:ascii="宋体" w:hAnsi="宋体" w:cs="宋体"/>
          <w:szCs w:val="21"/>
        </w:rPr>
      </w:pPr>
      <w:r>
        <w:rPr>
          <w:rFonts w:hint="eastAsia" w:ascii="宋体" w:hAnsi="宋体" w:cs="宋体"/>
          <w:szCs w:val="21"/>
        </w:rPr>
        <w:t>17.2竞标保证金的退还</w:t>
      </w:r>
    </w:p>
    <w:p w14:paraId="725B6F71">
      <w:pPr>
        <w:spacing w:line="360" w:lineRule="auto"/>
        <w:ind w:firstLine="420" w:firstLineChars="200"/>
        <w:rPr>
          <w:rFonts w:ascii="宋体" w:hAnsi="宋体" w:cs="宋体"/>
          <w:szCs w:val="21"/>
        </w:rPr>
      </w:pPr>
      <w:r>
        <w:rPr>
          <w:rFonts w:hint="eastAsia" w:ascii="宋体" w:hAnsi="宋体" w:cs="宋体"/>
          <w:szCs w:val="21"/>
        </w:rPr>
        <w:t>未</w:t>
      </w:r>
      <w:r>
        <w:rPr>
          <w:rFonts w:hint="eastAsia" w:ascii="宋体" w:hAnsi="宋体" w:cs="宋体"/>
          <w:spacing w:val="-6"/>
          <w:szCs w:val="21"/>
        </w:rPr>
        <w:t>成交供应商的竞标保证金自成交通知书发出之日起5个工作日内退还</w:t>
      </w:r>
      <w:r>
        <w:rPr>
          <w:rFonts w:hint="eastAsia" w:ascii="宋体" w:hAnsi="宋体"/>
          <w:szCs w:val="21"/>
        </w:rPr>
        <w:t>；</w:t>
      </w:r>
      <w:r>
        <w:rPr>
          <w:rFonts w:hint="eastAsia" w:ascii="宋体" w:hAnsi="宋体" w:cs="宋体"/>
          <w:szCs w:val="21"/>
        </w:rPr>
        <w:t xml:space="preserve">成交供应商的竞标保证金自签订合同之日起5个工作日内退还。 </w:t>
      </w:r>
    </w:p>
    <w:p w14:paraId="55275287">
      <w:pPr>
        <w:spacing w:line="360" w:lineRule="auto"/>
        <w:ind w:left="420" w:leftChars="200"/>
        <w:rPr>
          <w:rFonts w:ascii="宋体" w:hAnsi="宋体" w:cs="宋体"/>
          <w:szCs w:val="21"/>
        </w:rPr>
      </w:pPr>
      <w:r>
        <w:rPr>
          <w:rFonts w:hint="eastAsia" w:ascii="宋体" w:hAnsi="宋体" w:cs="宋体"/>
          <w:szCs w:val="21"/>
        </w:rPr>
        <w:t>17.3竞标保证金不计息。</w:t>
      </w:r>
    </w:p>
    <w:p w14:paraId="04B1F54D">
      <w:pPr>
        <w:spacing w:line="360" w:lineRule="auto"/>
        <w:ind w:left="420" w:leftChars="200"/>
        <w:rPr>
          <w:rFonts w:ascii="宋体" w:hAnsi="宋体" w:cs="宋体"/>
          <w:szCs w:val="21"/>
        </w:rPr>
      </w:pPr>
      <w:r>
        <w:rPr>
          <w:rFonts w:hint="eastAsia" w:ascii="宋体" w:hAnsi="宋体" w:cs="宋体"/>
          <w:szCs w:val="21"/>
        </w:rPr>
        <w:t xml:space="preserve">17.4供应商有下列情形之一的，竞标保证金将不予退还： </w:t>
      </w:r>
    </w:p>
    <w:p w14:paraId="10558A18">
      <w:pPr>
        <w:spacing w:line="360" w:lineRule="auto"/>
        <w:ind w:left="420" w:leftChars="200"/>
        <w:rPr>
          <w:rFonts w:ascii="宋体" w:hAnsi="宋体" w:cs="宋体"/>
          <w:szCs w:val="21"/>
        </w:rPr>
      </w:pPr>
      <w:r>
        <w:rPr>
          <w:rFonts w:hint="eastAsia" w:ascii="宋体" w:hAnsi="宋体" w:cs="宋体"/>
          <w:szCs w:val="21"/>
        </w:rPr>
        <w:t>（1）供应商在提交首次响应文件截止时间后撤回响应文件的；</w:t>
      </w:r>
    </w:p>
    <w:p w14:paraId="1E294A86">
      <w:pPr>
        <w:spacing w:line="360" w:lineRule="auto"/>
        <w:ind w:left="420" w:leftChars="200"/>
        <w:rPr>
          <w:rFonts w:ascii="宋体" w:hAnsi="宋体" w:cs="宋体"/>
          <w:szCs w:val="21"/>
        </w:rPr>
      </w:pPr>
      <w:r>
        <w:rPr>
          <w:rFonts w:hint="eastAsia" w:ascii="宋体" w:hAnsi="宋体"/>
          <w:szCs w:val="21"/>
        </w:rPr>
        <w:t>（2）未按规定提交履约保证金的；</w:t>
      </w:r>
    </w:p>
    <w:p w14:paraId="051AEA41">
      <w:pPr>
        <w:spacing w:line="360" w:lineRule="auto"/>
        <w:ind w:left="420" w:leftChars="200"/>
        <w:rPr>
          <w:rFonts w:ascii="宋体" w:hAnsi="宋体" w:cs="宋体"/>
          <w:szCs w:val="21"/>
        </w:rPr>
      </w:pPr>
      <w:r>
        <w:rPr>
          <w:rFonts w:hint="eastAsia" w:ascii="宋体" w:hAnsi="宋体" w:cs="宋体"/>
          <w:szCs w:val="21"/>
        </w:rPr>
        <w:t>（3）供应商在响应文件中提供虚假材料的；</w:t>
      </w:r>
    </w:p>
    <w:p w14:paraId="3D318A5D">
      <w:pPr>
        <w:spacing w:line="360" w:lineRule="auto"/>
        <w:ind w:firstLine="420" w:firstLineChars="200"/>
        <w:rPr>
          <w:rFonts w:ascii="宋体" w:hAnsi="宋体" w:cs="宋体"/>
          <w:szCs w:val="21"/>
        </w:rPr>
      </w:pPr>
      <w:r>
        <w:rPr>
          <w:rFonts w:hint="eastAsia" w:ascii="宋体" w:hAnsi="宋体" w:cs="宋体"/>
          <w:szCs w:val="21"/>
        </w:rPr>
        <w:t>（4）除因不可抗力或者谈判文件认可的情形以外，成交供应商不与采购人签订合同的；</w:t>
      </w:r>
    </w:p>
    <w:p w14:paraId="50B9B955">
      <w:pPr>
        <w:spacing w:line="360" w:lineRule="auto"/>
        <w:ind w:left="420" w:leftChars="200"/>
        <w:rPr>
          <w:rFonts w:ascii="宋体" w:hAnsi="宋体" w:cs="宋体"/>
          <w:szCs w:val="21"/>
        </w:rPr>
      </w:pPr>
      <w:r>
        <w:rPr>
          <w:rFonts w:hint="eastAsia" w:ascii="宋体" w:hAnsi="宋体" w:cs="宋体"/>
          <w:szCs w:val="21"/>
        </w:rPr>
        <w:t>（5）供应商与采购人、其他供应商或者采购代理机构恶意串通的；</w:t>
      </w:r>
    </w:p>
    <w:p w14:paraId="1249FC0A">
      <w:pPr>
        <w:spacing w:line="360" w:lineRule="auto"/>
        <w:ind w:left="420" w:leftChars="200"/>
        <w:rPr>
          <w:rFonts w:ascii="宋体" w:hAnsi="宋体" w:cs="宋体"/>
          <w:szCs w:val="21"/>
        </w:rPr>
      </w:pPr>
      <w:r>
        <w:rPr>
          <w:rFonts w:hint="eastAsia" w:ascii="宋体" w:hAnsi="宋体" w:cs="宋体"/>
          <w:szCs w:val="21"/>
        </w:rPr>
        <w:t>（6）法律法规规定的其他情形。</w:t>
      </w:r>
    </w:p>
    <w:p w14:paraId="7875E98A">
      <w:pPr>
        <w:spacing w:line="360" w:lineRule="auto"/>
        <w:ind w:firstLine="482" w:firstLineChars="200"/>
        <w:rPr>
          <w:rFonts w:ascii="黑体" w:hAnsi="黑体" w:eastAsia="黑体" w:cs="宋体"/>
          <w:b/>
          <w:bCs/>
          <w:sz w:val="24"/>
        </w:rPr>
      </w:pPr>
      <w:r>
        <w:rPr>
          <w:rFonts w:hint="eastAsia" w:ascii="黑体" w:hAnsi="黑体" w:eastAsia="黑体" w:cs="宋体"/>
          <w:b/>
          <w:bCs/>
          <w:sz w:val="24"/>
        </w:rPr>
        <w:t>18. 响应文件编制的要求</w:t>
      </w:r>
    </w:p>
    <w:p w14:paraId="5152583B">
      <w:pPr>
        <w:spacing w:line="360" w:lineRule="auto"/>
        <w:ind w:firstLine="420" w:firstLineChars="200"/>
        <w:rPr>
          <w:rFonts w:ascii="宋体" w:hAnsi="宋体" w:cs="宋体"/>
          <w:szCs w:val="21"/>
        </w:rPr>
      </w:pPr>
      <w:r>
        <w:rPr>
          <w:rFonts w:hint="eastAsia" w:ascii="宋体" w:hAnsi="宋体" w:cs="宋体"/>
          <w:szCs w:val="21"/>
        </w:rPr>
        <w:t>18.1供应商应按本谈判文件规定的格式和顺序编制、装订响应文件并标注页码，响应文件内容</w:t>
      </w:r>
      <w:r>
        <w:rPr>
          <w:rFonts w:hint="eastAsia" w:ascii="宋体" w:hAnsi="宋体" w:cs="宋体"/>
          <w:spacing w:val="-6"/>
          <w:szCs w:val="21"/>
        </w:rPr>
        <w:t>不完整、编排混乱导致响应文件被误读、漏读或者查找不到相关内容的，</w:t>
      </w:r>
      <w:r>
        <w:rPr>
          <w:rFonts w:hint="eastAsia" w:ascii="宋体" w:hAnsi="宋体"/>
        </w:rPr>
        <w:t>由此引发的</w:t>
      </w:r>
      <w:r>
        <w:rPr>
          <w:rFonts w:hint="eastAsia" w:ascii="宋体" w:hAnsi="宋体" w:cs="宋体"/>
          <w:spacing w:val="-6"/>
          <w:szCs w:val="21"/>
        </w:rPr>
        <w:t>后果由供应商承担。</w:t>
      </w:r>
    </w:p>
    <w:p w14:paraId="05D79537">
      <w:pPr>
        <w:spacing w:line="360" w:lineRule="auto"/>
        <w:ind w:firstLine="420" w:firstLineChars="200"/>
        <w:rPr>
          <w:rFonts w:ascii="宋体" w:hAnsi="宋体" w:cs="宋体"/>
          <w:szCs w:val="21"/>
        </w:rPr>
      </w:pPr>
      <w:r>
        <w:rPr>
          <w:rFonts w:hint="eastAsia" w:ascii="宋体" w:hAnsi="宋体" w:cs="宋体"/>
          <w:szCs w:val="21"/>
        </w:rPr>
        <w:t>18.2响应文件应按资格证明文件、报价商务技术文件分别编制电子文件，并按</w:t>
      </w:r>
      <w:r>
        <w:fldChar w:fldCharType="begin"/>
      </w:r>
      <w:r>
        <w:instrText xml:space="preserve"> HYPERLINK </w:instrText>
      </w:r>
      <w:r>
        <w:fldChar w:fldCharType="separate"/>
      </w:r>
      <w:r>
        <w:fldChar w:fldCharType="end"/>
      </w:r>
      <w:r>
        <w:rPr>
          <w:rFonts w:hint="eastAsia" w:ascii="宋体" w:hAnsi="宋体" w:cs="宋体"/>
          <w:szCs w:val="21"/>
        </w:rPr>
        <w:t>广西政府采购云平台的要求编制、加密、上传。</w:t>
      </w:r>
    </w:p>
    <w:p w14:paraId="2CA3B392">
      <w:pPr>
        <w:spacing w:line="360" w:lineRule="auto"/>
        <w:ind w:firstLine="420" w:firstLineChars="200"/>
        <w:rPr>
          <w:rFonts w:ascii="宋体" w:hAnsi="宋体" w:cs="宋体"/>
          <w:szCs w:val="21"/>
        </w:rPr>
      </w:pPr>
      <w:r>
        <w:rPr>
          <w:rFonts w:hint="eastAsia" w:ascii="宋体" w:hAnsi="宋体" w:cs="宋体"/>
          <w:szCs w:val="21"/>
        </w:rPr>
        <w:t>18.</w:t>
      </w:r>
      <w:bookmarkStart w:id="25" w:name="_Hlk65832699"/>
      <w:r>
        <w:rPr>
          <w:rFonts w:hint="eastAsia" w:ascii="宋体" w:hAnsi="宋体" w:cs="宋体"/>
          <w:szCs w:val="21"/>
        </w:rPr>
        <w:t>3</w:t>
      </w:r>
      <w:bookmarkEnd w:id="25"/>
      <w:r>
        <w:rPr>
          <w:rFonts w:hint="eastAsia" w:ascii="宋体" w:hAnsi="宋体"/>
          <w:szCs w:val="21"/>
        </w:rPr>
        <w:t>响应文件须由供应商在规定位置盖公章并签字</w:t>
      </w:r>
      <w:bookmarkStart w:id="26" w:name="_Hlk65832569"/>
      <w:r>
        <w:rPr>
          <w:rFonts w:hint="eastAsia" w:ascii="宋体" w:hAnsi="宋体"/>
          <w:szCs w:val="21"/>
        </w:rPr>
        <w:t>（具体以供应商须知前附表或响应文件格式规定为准）</w:t>
      </w:r>
      <w:bookmarkEnd w:id="26"/>
      <w:r>
        <w:rPr>
          <w:rFonts w:hint="eastAsia" w:ascii="宋体" w:hAnsi="宋体" w:cs="宋体"/>
          <w:szCs w:val="21"/>
        </w:rPr>
        <w:t>，否则其响应文件按无效响应处理。</w:t>
      </w:r>
    </w:p>
    <w:p w14:paraId="4EE0FEB2">
      <w:pPr>
        <w:spacing w:line="360" w:lineRule="auto"/>
        <w:ind w:firstLine="420" w:firstLineChars="200"/>
        <w:rPr>
          <w:rFonts w:ascii="宋体" w:hAnsi="宋体" w:cs="宋体"/>
          <w:szCs w:val="21"/>
        </w:rPr>
      </w:pPr>
      <w:r>
        <w:rPr>
          <w:rFonts w:hint="eastAsia" w:ascii="宋体" w:hAnsi="宋体" w:cs="宋体"/>
          <w:szCs w:val="21"/>
        </w:rPr>
        <w:t>18.4响应文件成交注的供应商名称应与营业执照（事业单位法人证书、执业许可证、自然人身份证）及公章一致，否则其响应文件按无效响应处理。</w:t>
      </w:r>
    </w:p>
    <w:p w14:paraId="37E1D156">
      <w:pPr>
        <w:spacing w:line="360" w:lineRule="auto"/>
        <w:ind w:firstLine="420" w:firstLineChars="200"/>
        <w:rPr>
          <w:rFonts w:ascii="宋体" w:hAnsi="宋体" w:cs="宋体"/>
          <w:szCs w:val="21"/>
        </w:rPr>
      </w:pPr>
      <w:r>
        <w:rPr>
          <w:rFonts w:hint="eastAsia" w:ascii="宋体" w:hAnsi="宋体" w:cs="宋体"/>
          <w:szCs w:val="21"/>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2C80CEDC">
      <w:pPr>
        <w:spacing w:line="360" w:lineRule="auto"/>
        <w:ind w:firstLine="480" w:firstLineChars="200"/>
        <w:rPr>
          <w:rFonts w:ascii="黑体" w:hAnsi="黑体" w:eastAsia="黑体" w:cs="宋体"/>
          <w:b/>
          <w:bCs/>
          <w:sz w:val="24"/>
        </w:rPr>
      </w:pPr>
      <w:r>
        <w:rPr>
          <w:rFonts w:hint="eastAsia" w:ascii="黑体" w:hAnsi="黑体" w:eastAsia="黑体"/>
          <w:sz w:val="24"/>
        </w:rPr>
        <w:t>19.响应文件的加密、解密</w:t>
      </w:r>
    </w:p>
    <w:p w14:paraId="01889960">
      <w:pPr>
        <w:spacing w:line="360" w:lineRule="auto"/>
        <w:ind w:firstLine="420" w:firstLineChars="200"/>
        <w:rPr>
          <w:rFonts w:ascii="宋体" w:hAnsi="宋体" w:cs="宋体"/>
          <w:szCs w:val="21"/>
        </w:rPr>
      </w:pPr>
      <w:r>
        <w:rPr>
          <w:rFonts w:hint="eastAsia" w:ascii="宋体" w:hAnsi="宋体"/>
          <w:szCs w:val="21"/>
        </w:rPr>
        <w:t>19.1电子</w:t>
      </w:r>
      <w:r>
        <w:rPr>
          <w:rFonts w:hint="eastAsia" w:ascii="宋体" w:hAnsi="宋体" w:cs="宋体"/>
          <w:szCs w:val="21"/>
        </w:rPr>
        <w:t>响应文件</w:t>
      </w:r>
      <w:r>
        <w:rPr>
          <w:rFonts w:hint="eastAsia" w:ascii="宋体" w:hAnsi="宋体"/>
          <w:szCs w:val="21"/>
        </w:rPr>
        <w:t>编制完成后，供应商应按</w:t>
      </w:r>
      <w:r>
        <w:fldChar w:fldCharType="begin"/>
      </w:r>
      <w:r>
        <w:instrText xml:space="preserve"> HYPERLINK </w:instrText>
      </w:r>
      <w:r>
        <w:fldChar w:fldCharType="separate"/>
      </w:r>
      <w:r>
        <w:fldChar w:fldCharType="end"/>
      </w:r>
      <w:r>
        <w:rPr>
          <w:rFonts w:hint="eastAsia" w:ascii="宋体" w:hAnsi="宋体"/>
          <w:szCs w:val="21"/>
        </w:rPr>
        <w:t>广西政府采购云平台的要求进行加密，并在规定时间内解密，否则，由此产生的后果由供应商自行负责。</w:t>
      </w:r>
    </w:p>
    <w:p w14:paraId="7B38D0F8">
      <w:pPr>
        <w:spacing w:line="360" w:lineRule="auto"/>
        <w:ind w:firstLine="482" w:firstLineChars="200"/>
        <w:rPr>
          <w:rFonts w:ascii="黑体" w:hAnsi="黑体" w:eastAsia="黑体" w:cs="宋体"/>
          <w:b/>
          <w:bCs/>
          <w:sz w:val="24"/>
        </w:rPr>
      </w:pPr>
      <w:r>
        <w:rPr>
          <w:rFonts w:hint="eastAsia" w:ascii="黑体" w:hAnsi="黑体" w:eastAsia="黑体" w:cs="宋体"/>
          <w:b/>
          <w:bCs/>
          <w:sz w:val="24"/>
        </w:rPr>
        <w:t>20.响应文件的提交</w:t>
      </w:r>
    </w:p>
    <w:p w14:paraId="560BA2D4">
      <w:pPr>
        <w:widowControl/>
        <w:spacing w:line="360" w:lineRule="auto"/>
        <w:ind w:firstLine="420" w:firstLineChars="200"/>
        <w:rPr>
          <w:rFonts w:ascii="宋体" w:hAnsi="宋体" w:cs="宋体"/>
          <w:b/>
          <w:szCs w:val="21"/>
        </w:rPr>
      </w:pPr>
      <w:r>
        <w:rPr>
          <w:rFonts w:hint="eastAsia" w:ascii="宋体" w:hAnsi="宋体" w:cs="宋体"/>
          <w:szCs w:val="21"/>
        </w:rPr>
        <w:t>20.2本项目为全流程电子化政府采购项目，通过</w:t>
      </w:r>
      <w:r>
        <w:fldChar w:fldCharType="begin"/>
      </w:r>
      <w:r>
        <w:instrText xml:space="preserve"> HYPERLINK </w:instrText>
      </w:r>
      <w:r>
        <w:fldChar w:fldCharType="separate"/>
      </w:r>
      <w:r>
        <w:fldChar w:fldCharType="end"/>
      </w:r>
      <w:r>
        <w:rPr>
          <w:rFonts w:hint="eastAsia" w:ascii="宋体" w:hAnsi="宋体" w:cs="宋体"/>
          <w:szCs w:val="21"/>
        </w:rPr>
        <w:t>广西政府采购云平台（https://www.gcy.zfcg.gxzf.gov.cn/）实行在线电子竞标，供应商应先安装“</w:t>
      </w:r>
      <w:r>
        <w:fldChar w:fldCharType="begin"/>
      </w:r>
      <w:r>
        <w:instrText xml:space="preserve"> HYPERLINK </w:instrText>
      </w:r>
      <w:r>
        <w:fldChar w:fldCharType="separate"/>
      </w:r>
      <w:r>
        <w:fldChar w:fldCharType="end"/>
      </w:r>
      <w:r>
        <w:rPr>
          <w:rFonts w:hint="eastAsia" w:ascii="宋体" w:hAnsi="宋体" w:cs="宋体"/>
          <w:szCs w:val="21"/>
        </w:rPr>
        <w:t>广西政府采购云平台电子交易客户端”（请自行前往</w:t>
      </w:r>
      <w:r>
        <w:fldChar w:fldCharType="begin"/>
      </w:r>
      <w:r>
        <w:instrText xml:space="preserve"> HYPERLINK </w:instrText>
      </w:r>
      <w:r>
        <w:fldChar w:fldCharType="separate"/>
      </w:r>
      <w:r>
        <w:fldChar w:fldCharType="end"/>
      </w:r>
      <w:r>
        <w:rPr>
          <w:rFonts w:hint="eastAsia" w:ascii="宋体" w:hAnsi="宋体" w:cs="宋体"/>
          <w:szCs w:val="21"/>
        </w:rPr>
        <w:t>广西政府采购云平台进行下载），并按照本项目竞争性谈判文件和</w:t>
      </w:r>
      <w:r>
        <w:fldChar w:fldCharType="begin"/>
      </w:r>
      <w:r>
        <w:instrText xml:space="preserve"> HYPERLINK </w:instrText>
      </w:r>
      <w:r>
        <w:fldChar w:fldCharType="separate"/>
      </w:r>
      <w:r>
        <w:fldChar w:fldCharType="end"/>
      </w:r>
      <w:r>
        <w:rPr>
          <w:rFonts w:hint="eastAsia" w:ascii="宋体" w:hAnsi="宋体" w:cs="宋体"/>
          <w:szCs w:val="21"/>
        </w:rPr>
        <w:t>广西政府采购云平台的要求编制、加密后在首次响应文件提交截止时间前通过网络上传至</w:t>
      </w:r>
      <w:r>
        <w:fldChar w:fldCharType="begin"/>
      </w:r>
      <w:r>
        <w:instrText xml:space="preserve"> HYPERLINK </w:instrText>
      </w:r>
      <w:r>
        <w:fldChar w:fldCharType="separate"/>
      </w:r>
      <w:r>
        <w:fldChar w:fldCharType="end"/>
      </w:r>
      <w:r>
        <w:rPr>
          <w:rFonts w:hint="eastAsia" w:ascii="宋体" w:hAnsi="宋体" w:cs="宋体"/>
          <w:szCs w:val="21"/>
        </w:rPr>
        <w:t>广西政府采购云平台，</w:t>
      </w:r>
      <w:r>
        <w:rPr>
          <w:rFonts w:hint="eastAsia" w:ascii="宋体" w:hAnsi="宋体" w:cs="宋体"/>
          <w:b/>
          <w:szCs w:val="21"/>
        </w:rPr>
        <w:t>供应商在</w:t>
      </w:r>
      <w:r>
        <w:fldChar w:fldCharType="begin"/>
      </w:r>
      <w:r>
        <w:instrText xml:space="preserve"> HYPERLINK </w:instrText>
      </w:r>
      <w:r>
        <w:fldChar w:fldCharType="separate"/>
      </w:r>
      <w:r>
        <w:fldChar w:fldCharType="end"/>
      </w:r>
      <w:r>
        <w:rPr>
          <w:rFonts w:hint="eastAsia" w:ascii="宋体" w:hAnsi="宋体" w:cs="宋体"/>
          <w:b/>
          <w:szCs w:val="21"/>
        </w:rPr>
        <w:t>广西政府采购云平台提交电子版响应文件时，请填写参加远程开标活动经办人联系方式。</w:t>
      </w:r>
    </w:p>
    <w:p w14:paraId="5A1AA244">
      <w:pPr>
        <w:pStyle w:val="6"/>
        <w:keepNext w:val="0"/>
        <w:keepLines w:val="0"/>
        <w:spacing w:before="0" w:after="0" w:line="360" w:lineRule="auto"/>
        <w:ind w:firstLine="420" w:firstLineChars="200"/>
        <w:jc w:val="left"/>
        <w:rPr>
          <w:rFonts w:ascii="宋体" w:hAnsi="宋体"/>
          <w:b w:val="0"/>
          <w:sz w:val="21"/>
          <w:szCs w:val="21"/>
        </w:rPr>
      </w:pPr>
      <w:r>
        <w:rPr>
          <w:rFonts w:hint="eastAsia" w:ascii="宋体" w:hAnsi="宋体"/>
          <w:b w:val="0"/>
          <w:sz w:val="21"/>
          <w:szCs w:val="21"/>
        </w:rPr>
        <w:t>20.3未在规定时间内上传或者未按</w:t>
      </w:r>
      <w:r>
        <w:fldChar w:fldCharType="begin"/>
      </w:r>
      <w:r>
        <w:instrText xml:space="preserve"> HYPERLINK </w:instrText>
      </w:r>
      <w:r>
        <w:fldChar w:fldCharType="separate"/>
      </w:r>
      <w:r>
        <w:fldChar w:fldCharType="end"/>
      </w:r>
      <w:r>
        <w:rPr>
          <w:rFonts w:hint="eastAsia" w:ascii="宋体" w:hAnsi="宋体"/>
          <w:b w:val="0"/>
          <w:sz w:val="21"/>
          <w:szCs w:val="21"/>
        </w:rPr>
        <w:t>广西政府采购云平台的要求编制、加密的电子响应文件，</w:t>
      </w:r>
      <w:r>
        <w:fldChar w:fldCharType="begin"/>
      </w:r>
      <w:r>
        <w:instrText xml:space="preserve"> HYPERLINK </w:instrText>
      </w:r>
      <w:r>
        <w:fldChar w:fldCharType="separate"/>
      </w:r>
      <w:r>
        <w:fldChar w:fldCharType="end"/>
      </w:r>
      <w:r>
        <w:rPr>
          <w:rFonts w:hint="eastAsia" w:ascii="宋体" w:hAnsi="宋体"/>
          <w:b w:val="0"/>
          <w:sz w:val="21"/>
          <w:szCs w:val="21"/>
        </w:rPr>
        <w:t>广西政府采购云平台将拒收。</w:t>
      </w:r>
    </w:p>
    <w:p w14:paraId="22AA8D82">
      <w:pPr>
        <w:widowControl/>
        <w:spacing w:line="360" w:lineRule="auto"/>
        <w:ind w:firstLine="420" w:firstLineChars="200"/>
        <w:rPr>
          <w:rFonts w:ascii="宋体" w:hAnsi="宋体" w:cs="宋体"/>
          <w:szCs w:val="21"/>
        </w:rPr>
      </w:pPr>
      <w:r>
        <w:rPr>
          <w:rFonts w:hint="eastAsia" w:ascii="宋体" w:hAnsi="宋体" w:cs="宋体"/>
          <w:szCs w:val="21"/>
        </w:rPr>
        <w:t>20.4电子响应文件提交方式见“竞争性谈判公告”中“四、响应文件提交”。</w:t>
      </w:r>
    </w:p>
    <w:p w14:paraId="087D53EB">
      <w:pPr>
        <w:spacing w:line="360" w:lineRule="auto"/>
        <w:ind w:firstLine="482" w:firstLineChars="200"/>
        <w:rPr>
          <w:rFonts w:ascii="黑体" w:hAnsi="黑体" w:eastAsia="黑体" w:cs="宋体"/>
          <w:b/>
          <w:bCs/>
          <w:sz w:val="24"/>
        </w:rPr>
      </w:pPr>
      <w:r>
        <w:rPr>
          <w:rFonts w:hint="eastAsia" w:ascii="黑体" w:hAnsi="黑体" w:eastAsia="黑体" w:cs="宋体"/>
          <w:b/>
          <w:bCs/>
          <w:sz w:val="24"/>
        </w:rPr>
        <w:t>21.首次响应文件的补充、修改与撤回</w:t>
      </w:r>
    </w:p>
    <w:p w14:paraId="617A5CD9">
      <w:pPr>
        <w:spacing w:line="360" w:lineRule="auto"/>
        <w:ind w:firstLine="420" w:firstLineChars="200"/>
        <w:rPr>
          <w:rFonts w:ascii="宋体" w:hAnsi="宋体" w:cs="宋体"/>
          <w:szCs w:val="21"/>
        </w:rPr>
      </w:pPr>
      <w:r>
        <w:rPr>
          <w:rFonts w:hint="eastAsia" w:ascii="宋体" w:hAnsi="宋体" w:cs="宋体"/>
          <w:bCs/>
          <w:szCs w:val="21"/>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w:t>
      </w:r>
      <w:r>
        <w:fldChar w:fldCharType="begin"/>
      </w:r>
      <w:r>
        <w:instrText xml:space="preserve"> HYPERLINK </w:instrText>
      </w:r>
      <w:r>
        <w:fldChar w:fldCharType="separate"/>
      </w:r>
      <w:r>
        <w:fldChar w:fldCharType="end"/>
      </w:r>
      <w:r>
        <w:rPr>
          <w:rFonts w:hint="eastAsia" w:ascii="宋体" w:hAnsi="宋体" w:cs="宋体"/>
          <w:bCs/>
          <w:szCs w:val="21"/>
        </w:rPr>
        <w:t>广西政府采购云平台将予以拒收。</w:t>
      </w:r>
    </w:p>
    <w:p w14:paraId="7231CAF6">
      <w:pPr>
        <w:spacing w:line="360" w:lineRule="auto"/>
        <w:ind w:firstLine="482" w:firstLineChars="200"/>
        <w:rPr>
          <w:rFonts w:ascii="黑体" w:hAnsi="黑体" w:eastAsia="黑体" w:cs="宋体"/>
          <w:b/>
          <w:bCs/>
          <w:sz w:val="24"/>
        </w:rPr>
      </w:pPr>
      <w:r>
        <w:rPr>
          <w:rFonts w:hint="eastAsia" w:ascii="黑体" w:hAnsi="黑体" w:eastAsia="黑体" w:cs="宋体"/>
          <w:b/>
          <w:bCs/>
          <w:sz w:val="24"/>
        </w:rPr>
        <w:t>22.首次响应文件的退回</w:t>
      </w:r>
    </w:p>
    <w:p w14:paraId="60349276">
      <w:pPr>
        <w:spacing w:line="360" w:lineRule="auto"/>
        <w:ind w:firstLine="420" w:firstLineChars="200"/>
        <w:rPr>
          <w:rFonts w:ascii="宋体" w:hAnsi="宋体" w:cs="宋体"/>
          <w:szCs w:val="21"/>
        </w:rPr>
      </w:pPr>
      <w:r>
        <w:rPr>
          <w:rFonts w:hint="eastAsia" w:ascii="宋体" w:hAnsi="宋体" w:cs="宋体"/>
          <w:szCs w:val="21"/>
        </w:rPr>
        <w:t>22.1在首次响应文件提交截止时间止提交响应文件的供应商不足3家时，</w:t>
      </w:r>
      <w:r>
        <w:rPr>
          <w:rFonts w:hint="eastAsia" w:ascii="宋体" w:hAnsi="宋体"/>
          <w:szCs w:val="21"/>
        </w:rPr>
        <w:t>采购代理机构将根据</w:t>
      </w:r>
      <w:r>
        <w:fldChar w:fldCharType="begin"/>
      </w:r>
      <w:r>
        <w:instrText xml:space="preserve"> HYPERLINK </w:instrText>
      </w:r>
      <w:r>
        <w:fldChar w:fldCharType="separate"/>
      </w:r>
      <w:r>
        <w:fldChar w:fldCharType="end"/>
      </w:r>
      <w:r>
        <w:rPr>
          <w:rFonts w:hint="eastAsia" w:ascii="宋体" w:hAnsi="宋体"/>
          <w:szCs w:val="21"/>
        </w:rPr>
        <w:t>广西政府采购云平台的操作将电子版响应文件退回，</w:t>
      </w:r>
      <w:r>
        <w:rPr>
          <w:rFonts w:hint="eastAsia" w:ascii="宋体" w:hAnsi="宋体" w:cs="宋体"/>
          <w:szCs w:val="21"/>
        </w:rPr>
        <w:t>除此之外采购人和采购代理机构对已提交的电子响应文件概不退回。</w:t>
      </w:r>
    </w:p>
    <w:p w14:paraId="66292436">
      <w:pPr>
        <w:spacing w:line="360" w:lineRule="auto"/>
        <w:ind w:firstLine="482" w:firstLineChars="200"/>
        <w:rPr>
          <w:rFonts w:ascii="黑体" w:hAnsi="黑体" w:eastAsia="黑体" w:cs="宋体"/>
          <w:b/>
          <w:bCs/>
          <w:sz w:val="24"/>
        </w:rPr>
      </w:pPr>
      <w:r>
        <w:rPr>
          <w:rFonts w:hint="eastAsia" w:ascii="黑体" w:hAnsi="黑体" w:eastAsia="黑体" w:cs="宋体"/>
          <w:b/>
          <w:bCs/>
          <w:sz w:val="24"/>
        </w:rPr>
        <w:t>23. 截止时间后的撤回</w:t>
      </w:r>
    </w:p>
    <w:p w14:paraId="5DD2FF6C">
      <w:pPr>
        <w:spacing w:line="360" w:lineRule="auto"/>
        <w:ind w:firstLine="420" w:firstLineChars="200"/>
        <w:rPr>
          <w:rFonts w:ascii="宋体" w:hAnsi="宋体" w:cs="宋体"/>
          <w:szCs w:val="21"/>
        </w:rPr>
      </w:pPr>
      <w:r>
        <w:rPr>
          <w:rFonts w:hint="eastAsia" w:ascii="宋体" w:hAnsi="宋体" w:cs="宋体"/>
          <w:szCs w:val="21"/>
        </w:rPr>
        <w:t>23.1供应商在首次响应文件提交截止时间后书面通知采购人、采购代理机构书面撤回响应文件的，将根据本须知正文17.4的规定不予退还其竞标保证金。</w:t>
      </w:r>
    </w:p>
    <w:p w14:paraId="0ABDDE90">
      <w:pPr>
        <w:spacing w:line="360" w:lineRule="auto"/>
        <w:ind w:firstLine="420" w:firstLineChars="200"/>
        <w:rPr>
          <w:rFonts w:ascii="宋体" w:hAnsi="宋体"/>
          <w:szCs w:val="21"/>
        </w:rPr>
      </w:pPr>
    </w:p>
    <w:p w14:paraId="02DF1414">
      <w:pPr>
        <w:spacing w:line="360" w:lineRule="auto"/>
        <w:jc w:val="center"/>
        <w:rPr>
          <w:rFonts w:ascii="宋体" w:hAnsi="宋体"/>
          <w:b/>
          <w:sz w:val="32"/>
          <w:szCs w:val="32"/>
        </w:rPr>
      </w:pPr>
      <w:r>
        <w:rPr>
          <w:rFonts w:hint="eastAsia" w:ascii="宋体" w:hAnsi="宋体"/>
          <w:b/>
          <w:sz w:val="32"/>
          <w:szCs w:val="32"/>
        </w:rPr>
        <w:t>四、评审及谈判</w:t>
      </w:r>
    </w:p>
    <w:p w14:paraId="0F8D48B5">
      <w:pPr>
        <w:spacing w:line="360" w:lineRule="auto"/>
        <w:ind w:left="420" w:firstLine="420"/>
        <w:rPr>
          <w:rFonts w:ascii="宋体" w:hAnsi="宋体"/>
          <w:szCs w:val="21"/>
        </w:rPr>
      </w:pPr>
    </w:p>
    <w:p w14:paraId="70FFDA14">
      <w:pPr>
        <w:spacing w:line="360" w:lineRule="auto"/>
        <w:ind w:firstLine="482" w:firstLineChars="200"/>
        <w:rPr>
          <w:rFonts w:ascii="黑体" w:hAnsi="黑体" w:eastAsia="黑体" w:cs="宋体"/>
          <w:b/>
          <w:bCs/>
          <w:sz w:val="24"/>
        </w:rPr>
      </w:pPr>
      <w:r>
        <w:rPr>
          <w:rFonts w:hint="eastAsia" w:ascii="黑体" w:hAnsi="黑体" w:eastAsia="黑体" w:cs="宋体"/>
          <w:b/>
          <w:bCs/>
          <w:sz w:val="24"/>
        </w:rPr>
        <w:t>24.谈判小组成立</w:t>
      </w:r>
    </w:p>
    <w:p w14:paraId="11D89000">
      <w:pPr>
        <w:spacing w:line="360" w:lineRule="auto"/>
        <w:ind w:firstLine="420" w:firstLineChars="200"/>
        <w:rPr>
          <w:rFonts w:ascii="宋体" w:hAnsi="宋体" w:cs="宋体"/>
          <w:szCs w:val="21"/>
        </w:rPr>
      </w:pPr>
      <w:r>
        <w:rPr>
          <w:rFonts w:hint="eastAsia" w:ascii="宋体" w:hAnsi="宋体" w:cs="宋体"/>
          <w:szCs w:val="21"/>
        </w:rPr>
        <w:t>24.1竞争性谈判小组成立：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5D7FE1AC">
      <w:pPr>
        <w:spacing w:line="360" w:lineRule="auto"/>
        <w:ind w:firstLine="420" w:firstLineChars="200"/>
        <w:rPr>
          <w:rFonts w:ascii="宋体" w:hAnsi="宋体" w:cs="宋体"/>
          <w:szCs w:val="21"/>
        </w:rPr>
      </w:pPr>
      <w:r>
        <w:rPr>
          <w:rFonts w:hint="eastAsia" w:ascii="宋体" w:hAnsi="宋体" w:cs="宋体"/>
          <w:szCs w:val="21"/>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244621B9">
      <w:pPr>
        <w:spacing w:line="360" w:lineRule="auto"/>
        <w:ind w:firstLine="482" w:firstLineChars="200"/>
        <w:rPr>
          <w:rFonts w:ascii="黑体" w:hAnsi="黑体" w:eastAsia="黑体" w:cs="宋体"/>
          <w:b/>
          <w:bCs/>
          <w:sz w:val="24"/>
        </w:rPr>
      </w:pPr>
      <w:r>
        <w:rPr>
          <w:rFonts w:ascii="黑体" w:hAnsi="黑体" w:eastAsia="黑体" w:cs="宋体"/>
          <w:b/>
          <w:bCs/>
          <w:sz w:val="24"/>
        </w:rPr>
        <w:t>25.</w:t>
      </w:r>
      <w:r>
        <w:rPr>
          <w:rFonts w:hint="eastAsia" w:ascii="黑体" w:hAnsi="黑体" w:eastAsia="黑体" w:cs="宋体"/>
          <w:b/>
          <w:bCs/>
          <w:sz w:val="24"/>
        </w:rPr>
        <w:t xml:space="preserve"> 首次响应文件的开启</w:t>
      </w:r>
    </w:p>
    <w:p w14:paraId="55A1450D">
      <w:pPr>
        <w:spacing w:line="360" w:lineRule="auto"/>
        <w:ind w:firstLine="420" w:firstLineChars="200"/>
        <w:rPr>
          <w:rFonts w:ascii="宋体" w:hAnsi="宋体" w:cs="宋体"/>
          <w:szCs w:val="21"/>
        </w:rPr>
      </w:pPr>
      <w:r>
        <w:rPr>
          <w:rFonts w:hint="eastAsia" w:ascii="宋体" w:hAnsi="宋体" w:cs="宋体"/>
          <w:szCs w:val="21"/>
        </w:rPr>
        <w:t>25.1首次响应文件由谈判小组或者采购代理机构在“供应商须知前附表”规定的时间开启。</w:t>
      </w:r>
    </w:p>
    <w:p w14:paraId="3461753C">
      <w:pPr>
        <w:spacing w:line="360" w:lineRule="auto"/>
        <w:ind w:firstLine="420" w:firstLineChars="200"/>
        <w:rPr>
          <w:rFonts w:ascii="宋体" w:hAnsi="宋体" w:cs="宋体"/>
          <w:szCs w:val="21"/>
        </w:rPr>
      </w:pPr>
      <w:r>
        <w:rPr>
          <w:rFonts w:hint="eastAsia" w:ascii="宋体" w:hAnsi="宋体" w:cs="宋体"/>
          <w:szCs w:val="21"/>
        </w:rPr>
        <w:t>25.2 响应文件解密：采购代理机构将在“供应商须知前附表”规定的时间通过电子交易平台组织响应文件开启，采购代理机构将依托电子交易平台发起开始解密指令，</w:t>
      </w:r>
      <w:r>
        <w:rPr>
          <w:rFonts w:hint="eastAsia" w:ascii="宋体" w:hAnsi="宋体" w:cs="宋体"/>
          <w:b/>
          <w:szCs w:val="21"/>
        </w:rPr>
        <w:t>供应商的法定代表人或其委托代理人须携带加密时所用的CA锁按平台提示和采购文件的规定登录到</w:t>
      </w:r>
      <w:r>
        <w:fldChar w:fldCharType="begin"/>
      </w:r>
      <w:r>
        <w:instrText xml:space="preserve"> HYPERLINK </w:instrText>
      </w:r>
      <w:r>
        <w:fldChar w:fldCharType="separate"/>
      </w:r>
      <w:r>
        <w:fldChar w:fldCharType="end"/>
      </w:r>
      <w:r>
        <w:rPr>
          <w:rFonts w:hint="eastAsia" w:ascii="宋体" w:hAnsi="宋体" w:cs="宋体"/>
          <w:b/>
          <w:szCs w:val="21"/>
        </w:rPr>
        <w:t>广西政府采购云平台电子开标大厅签到并在发起解密指令之时起30分钟内完成对电子响应文件在线解密。</w:t>
      </w:r>
      <w:r>
        <w:rPr>
          <w:rFonts w:hint="eastAsia" w:ascii="宋体" w:hAnsi="宋体"/>
          <w:b/>
          <w:bCs/>
          <w:szCs w:val="21"/>
        </w:rPr>
        <w:t>响应文件未按时解密的，视为响应文件无效。</w:t>
      </w:r>
      <w:r>
        <w:rPr>
          <w:rFonts w:hint="eastAsia" w:ascii="宋体" w:hAnsi="宋体" w:cs="宋体"/>
          <w:szCs w:val="21"/>
        </w:rPr>
        <w:t>（解密异常情况处理：详见本章26.2电子交易活动的中止。）</w:t>
      </w:r>
    </w:p>
    <w:p w14:paraId="3E1F1582">
      <w:pPr>
        <w:spacing w:line="360" w:lineRule="auto"/>
        <w:ind w:firstLine="420" w:firstLineChars="200"/>
        <w:rPr>
          <w:rFonts w:ascii="宋体" w:hAnsi="宋体" w:cs="宋体"/>
          <w:szCs w:val="21"/>
        </w:rPr>
      </w:pPr>
      <w:r>
        <w:rPr>
          <w:rFonts w:hint="eastAsia" w:ascii="宋体" w:hAnsi="宋体" w:cs="宋体"/>
          <w:szCs w:val="21"/>
        </w:rPr>
        <w:t>25.3成功解密响应文件的供应商不足3家的，不得谈判。</w:t>
      </w:r>
    </w:p>
    <w:p w14:paraId="4B9EB189">
      <w:pPr>
        <w:spacing w:line="360" w:lineRule="auto"/>
        <w:ind w:firstLine="482" w:firstLineChars="200"/>
        <w:rPr>
          <w:rFonts w:ascii="黑体" w:hAnsi="黑体" w:eastAsia="黑体" w:cs="宋体"/>
          <w:b/>
          <w:bCs/>
          <w:sz w:val="24"/>
        </w:rPr>
      </w:pPr>
      <w:r>
        <w:rPr>
          <w:rFonts w:ascii="黑体" w:hAnsi="黑体" w:eastAsia="黑体" w:cs="宋体"/>
          <w:b/>
          <w:bCs/>
          <w:sz w:val="24"/>
        </w:rPr>
        <w:t>26</w:t>
      </w:r>
      <w:r>
        <w:rPr>
          <w:rFonts w:hint="eastAsia" w:ascii="黑体" w:hAnsi="黑体" w:eastAsia="黑体" w:cs="宋体"/>
          <w:b/>
          <w:bCs/>
          <w:sz w:val="24"/>
        </w:rPr>
        <w:t>. 评审程序和评定成交的标准</w:t>
      </w:r>
    </w:p>
    <w:p w14:paraId="39351C97">
      <w:pPr>
        <w:spacing w:line="360" w:lineRule="auto"/>
        <w:ind w:firstLine="420" w:firstLineChars="200"/>
        <w:rPr>
          <w:rFonts w:ascii="宋体" w:hAnsi="宋体" w:cs="宋体"/>
          <w:szCs w:val="21"/>
        </w:rPr>
      </w:pPr>
      <w:r>
        <w:rPr>
          <w:rFonts w:ascii="宋体" w:hAnsi="宋体" w:cs="宋体"/>
          <w:szCs w:val="21"/>
        </w:rPr>
        <w:t>26.</w:t>
      </w:r>
      <w:r>
        <w:rPr>
          <w:rFonts w:hint="eastAsia" w:ascii="宋体" w:hAnsi="宋体" w:cs="宋体"/>
          <w:szCs w:val="21"/>
        </w:rPr>
        <w:t>1谈判小组按照“第四章  评审程序和评定成交的标准”规定的评审程序对响应文件进行评审，并按照评定成交的标准推荐成交候选供应商。</w:t>
      </w:r>
    </w:p>
    <w:p w14:paraId="4524E858">
      <w:pPr>
        <w:spacing w:line="360" w:lineRule="auto"/>
        <w:ind w:firstLine="420" w:firstLineChars="200"/>
        <w:rPr>
          <w:rFonts w:ascii="宋体" w:hAnsi="宋体" w:cs="宋体"/>
          <w:szCs w:val="21"/>
        </w:rPr>
      </w:pPr>
      <w:r>
        <w:rPr>
          <w:rFonts w:hint="eastAsia" w:ascii="宋体" w:hAnsi="宋体" w:cs="宋体"/>
          <w:szCs w:val="21"/>
        </w:rPr>
        <w:t>26.2电子交易活动的中止。采购过程中出现以下情形，导致电子交易平台无法正常运行，或者无法保证电子交易的公平、公正和安全时，采购机构可中止电子交易活动：</w:t>
      </w:r>
    </w:p>
    <w:p w14:paraId="3897E9D4">
      <w:pPr>
        <w:spacing w:line="360" w:lineRule="auto"/>
        <w:ind w:firstLine="420" w:firstLineChars="200"/>
        <w:rPr>
          <w:rFonts w:ascii="宋体" w:hAnsi="宋体" w:cs="宋体"/>
          <w:szCs w:val="21"/>
        </w:rPr>
      </w:pPr>
      <w:r>
        <w:rPr>
          <w:rFonts w:hint="eastAsia" w:ascii="宋体" w:hAnsi="宋体" w:cs="宋体"/>
          <w:szCs w:val="21"/>
        </w:rPr>
        <w:t xml:space="preserve">（1）电子交易平台发生故障而无法登录访问的； </w:t>
      </w:r>
    </w:p>
    <w:p w14:paraId="0896017D">
      <w:pPr>
        <w:spacing w:line="360" w:lineRule="auto"/>
        <w:ind w:firstLine="420" w:firstLineChars="200"/>
        <w:rPr>
          <w:rFonts w:ascii="宋体" w:hAnsi="宋体" w:cs="宋体"/>
          <w:szCs w:val="21"/>
        </w:rPr>
      </w:pPr>
      <w:r>
        <w:rPr>
          <w:rFonts w:hint="eastAsia" w:ascii="宋体" w:hAnsi="宋体" w:cs="宋体"/>
          <w:szCs w:val="21"/>
        </w:rPr>
        <w:t>（2）电子交易平台应用或数据库出现错误，不能进行正常操作的；</w:t>
      </w:r>
    </w:p>
    <w:p w14:paraId="3EB1973F">
      <w:pPr>
        <w:spacing w:line="360" w:lineRule="auto"/>
        <w:ind w:firstLine="420" w:firstLineChars="200"/>
        <w:rPr>
          <w:rFonts w:ascii="宋体" w:hAnsi="宋体" w:cs="宋体"/>
          <w:szCs w:val="21"/>
        </w:rPr>
      </w:pPr>
      <w:r>
        <w:rPr>
          <w:rFonts w:hint="eastAsia" w:ascii="宋体" w:hAnsi="宋体" w:cs="宋体"/>
          <w:szCs w:val="21"/>
        </w:rPr>
        <w:t>（3）电子交易平台发现严重安全漏洞，有潜在泄密危险的；</w:t>
      </w:r>
    </w:p>
    <w:p w14:paraId="459B324F">
      <w:pPr>
        <w:spacing w:line="360" w:lineRule="auto"/>
        <w:ind w:firstLine="420" w:firstLineChars="200"/>
        <w:rPr>
          <w:rFonts w:ascii="宋体" w:hAnsi="宋体" w:cs="宋体"/>
          <w:szCs w:val="21"/>
        </w:rPr>
      </w:pPr>
      <w:r>
        <w:rPr>
          <w:rFonts w:hint="eastAsia" w:ascii="宋体" w:hAnsi="宋体" w:cs="宋体"/>
          <w:szCs w:val="21"/>
        </w:rPr>
        <w:t xml:space="preserve">（4）病毒发作导致不能进行正常操作的； </w:t>
      </w:r>
    </w:p>
    <w:p w14:paraId="49D6ECA5">
      <w:pPr>
        <w:spacing w:line="360" w:lineRule="auto"/>
        <w:ind w:firstLine="420" w:firstLineChars="200"/>
        <w:rPr>
          <w:rFonts w:ascii="宋体" w:hAnsi="宋体" w:cs="宋体"/>
          <w:szCs w:val="21"/>
        </w:rPr>
      </w:pPr>
      <w:r>
        <w:rPr>
          <w:rFonts w:hint="eastAsia" w:ascii="宋体" w:hAnsi="宋体" w:cs="宋体"/>
          <w:szCs w:val="21"/>
        </w:rPr>
        <w:t>（4）其他无法保证电子交易的公平、公正和安全的情况。</w:t>
      </w:r>
    </w:p>
    <w:p w14:paraId="7BE09297">
      <w:pPr>
        <w:spacing w:line="360" w:lineRule="auto"/>
        <w:ind w:firstLine="420" w:firstLineChars="200"/>
        <w:rPr>
          <w:rFonts w:ascii="宋体" w:hAnsi="宋体" w:cs="宋体"/>
          <w:szCs w:val="21"/>
        </w:rPr>
      </w:pPr>
      <w:r>
        <w:rPr>
          <w:rFonts w:hint="eastAsia" w:ascii="宋体" w:hAnsi="宋体" w:cs="宋体"/>
          <w:szCs w:val="21"/>
        </w:rPr>
        <w:t>26.3出现以上情形，不影响采购公平、公正性的，采购代理机构可以待上述情形消除后继续组织电子交易活动；影响或可能影响采购公平、公正性的，经采购代理机构确认后，应当重新采购。</w:t>
      </w:r>
    </w:p>
    <w:p w14:paraId="106BEFEC">
      <w:pPr>
        <w:spacing w:line="360" w:lineRule="auto"/>
        <w:ind w:firstLine="482" w:firstLineChars="200"/>
        <w:rPr>
          <w:rFonts w:ascii="黑体" w:hAnsi="黑体" w:eastAsia="黑体" w:cs="宋体"/>
          <w:b/>
          <w:bCs/>
          <w:sz w:val="24"/>
        </w:rPr>
      </w:pPr>
      <w:r>
        <w:rPr>
          <w:rFonts w:ascii="黑体" w:hAnsi="黑体" w:eastAsia="黑体" w:cs="宋体"/>
          <w:b/>
          <w:bCs/>
          <w:sz w:val="24"/>
        </w:rPr>
        <w:t>27</w:t>
      </w:r>
      <w:r>
        <w:rPr>
          <w:rFonts w:hint="eastAsia" w:ascii="黑体" w:hAnsi="黑体" w:eastAsia="黑体" w:cs="宋体"/>
          <w:b/>
          <w:bCs/>
          <w:sz w:val="24"/>
        </w:rPr>
        <w:t>.确定成交供应商及结果公告</w:t>
      </w:r>
    </w:p>
    <w:p w14:paraId="6EEF14DF">
      <w:pPr>
        <w:spacing w:line="360" w:lineRule="auto"/>
        <w:ind w:firstLine="420" w:firstLineChars="200"/>
        <w:rPr>
          <w:rFonts w:ascii="宋体" w:hAnsi="宋体" w:cs="宋体"/>
          <w:szCs w:val="21"/>
        </w:rPr>
      </w:pPr>
      <w:r>
        <w:rPr>
          <w:rFonts w:ascii="宋体" w:hAnsi="宋体" w:cs="宋体"/>
          <w:szCs w:val="21"/>
        </w:rPr>
        <w:t>27</w:t>
      </w:r>
      <w:r>
        <w:rPr>
          <w:rFonts w:hint="eastAsia" w:ascii="宋体" w:hAnsi="宋体" w:cs="宋体"/>
          <w:szCs w:val="21"/>
        </w:rPr>
        <w:t>.1 采购代理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485A7B9B">
      <w:pPr>
        <w:pStyle w:val="11"/>
        <w:spacing w:line="360" w:lineRule="auto"/>
        <w:ind w:firstLine="420" w:firstLineChars="200"/>
        <w:jc w:val="both"/>
        <w:rPr>
          <w:rFonts w:ascii="宋体" w:hAnsi="宋体" w:cs="宋体"/>
          <w:kern w:val="0"/>
          <w:szCs w:val="21"/>
        </w:rPr>
      </w:pPr>
      <w:r>
        <w:rPr>
          <w:rFonts w:ascii="宋体" w:hAnsi="宋体" w:cs="宋体"/>
          <w:kern w:val="0"/>
          <w:szCs w:val="21"/>
        </w:rPr>
        <w:t>27</w:t>
      </w:r>
      <w:r>
        <w:rPr>
          <w:rFonts w:hint="eastAsia" w:ascii="宋体" w:hAnsi="宋体" w:cs="宋体"/>
          <w:kern w:val="0"/>
          <w:szCs w:val="21"/>
        </w:rPr>
        <w:t>.2采购代理机构应当在成交供应商确定后2个工作日内，在省级以上财政部门指定的媒体上公告成交结果，同时向成交供应商发出成交通知书。</w:t>
      </w:r>
      <w:r>
        <w:rPr>
          <w:rFonts w:hint="eastAsia" w:ascii="宋体" w:hAnsi="宋体" w:cs="宋体"/>
          <w:b/>
          <w:kern w:val="0"/>
          <w:szCs w:val="21"/>
        </w:rPr>
        <w:t>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w:t>
      </w:r>
      <w:r>
        <w:rPr>
          <w:rFonts w:hint="eastAsia" w:ascii="宋体" w:hAnsi="宋体" w:cs="宋体"/>
          <w:kern w:val="0"/>
          <w:szCs w:val="21"/>
        </w:rPr>
        <w:t>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cs="Courier New"/>
          <w:szCs w:val="21"/>
        </w:rPr>
        <w:t>成交供应商享受《政府采购促进中小企业发展管理办法》（财库〔2020〕46号）规定的中小企业扶持政策的，采购人、采购代理机构应当随成交结果公开成交供应商的《中小企业声明函》。</w:t>
      </w:r>
    </w:p>
    <w:p w14:paraId="17A979D2">
      <w:pPr>
        <w:pStyle w:val="11"/>
        <w:spacing w:line="360" w:lineRule="auto"/>
        <w:ind w:firstLine="420" w:firstLineChars="200"/>
        <w:jc w:val="both"/>
        <w:rPr>
          <w:rFonts w:ascii="宋体" w:hAnsi="宋体" w:cs="Courier New"/>
          <w:szCs w:val="21"/>
        </w:rPr>
      </w:pPr>
      <w:r>
        <w:rPr>
          <w:rFonts w:hint="eastAsia" w:ascii="宋体" w:hAnsi="宋体" w:cs="Courier New"/>
          <w:szCs w:val="21"/>
        </w:rPr>
        <w:t>27.3出现下列情形之一的，采购人或者采购代理机构应当终止竞争性谈判采购活动，发布项目终止公告并说明原因，重新开展采购活动：</w:t>
      </w:r>
      <w:r>
        <w:rPr>
          <w:rFonts w:hint="eastAsia" w:ascii="宋体" w:hAnsi="宋体" w:cs="Courier New"/>
          <w:szCs w:val="21"/>
        </w:rPr>
        <w:br w:type="textWrapping"/>
      </w:r>
      <w:r>
        <w:rPr>
          <w:rFonts w:hint="eastAsia" w:ascii="宋体" w:hAnsi="宋体" w:cs="Courier New"/>
          <w:szCs w:val="21"/>
        </w:rPr>
        <w:t>　　（一）因情况变化，不再符合规定的竞争性谈判采购方式适用情形的；</w:t>
      </w:r>
      <w:r>
        <w:rPr>
          <w:rFonts w:hint="eastAsia" w:ascii="宋体" w:hAnsi="宋体" w:cs="Courier New"/>
          <w:szCs w:val="21"/>
        </w:rPr>
        <w:br w:type="textWrapping"/>
      </w:r>
      <w:r>
        <w:rPr>
          <w:rFonts w:hint="eastAsia" w:ascii="宋体" w:hAnsi="宋体" w:cs="Courier New"/>
          <w:szCs w:val="21"/>
        </w:rPr>
        <w:t>　　（二）出现影响采购公正的违法、违规行为的；</w:t>
      </w:r>
      <w:r>
        <w:rPr>
          <w:rFonts w:hint="eastAsia" w:ascii="宋体" w:hAnsi="宋体" w:cs="Courier New"/>
          <w:szCs w:val="21"/>
        </w:rPr>
        <w:br w:type="textWrapping"/>
      </w:r>
      <w:r>
        <w:rPr>
          <w:rFonts w:hint="eastAsia" w:ascii="宋体" w:hAnsi="宋体" w:cs="Courier New"/>
          <w:szCs w:val="21"/>
        </w:rPr>
        <w:t>　　（三）在采购过程中符合竞争要求的供应商或者报价未超过采购预算的供应商不足3家的，但</w:t>
      </w:r>
      <w:r>
        <w:rPr>
          <w:rFonts w:hint="eastAsia" w:ascii="宋体" w:hAnsi="宋体" w:cs="宋体"/>
          <w:szCs w:val="21"/>
        </w:rPr>
        <w:t>“第四章 评审程序和评定成交的标准”第</w:t>
      </w:r>
      <w:r>
        <w:rPr>
          <w:rFonts w:ascii="宋体" w:hAnsi="宋体" w:cs="宋体"/>
          <w:szCs w:val="21"/>
        </w:rPr>
        <w:t>3</w:t>
      </w:r>
      <w:r>
        <w:rPr>
          <w:rFonts w:hint="eastAsia" w:ascii="宋体" w:hAnsi="宋体" w:cs="宋体"/>
          <w:szCs w:val="21"/>
        </w:rPr>
        <w:t>.7条规定的情形除外</w:t>
      </w:r>
      <w:r>
        <w:rPr>
          <w:rFonts w:hint="eastAsia" w:ascii="宋体" w:hAnsi="宋体" w:cs="Courier New"/>
          <w:szCs w:val="21"/>
        </w:rPr>
        <w:t>。</w:t>
      </w:r>
    </w:p>
    <w:p w14:paraId="72E2A730">
      <w:pPr>
        <w:pStyle w:val="11"/>
        <w:spacing w:line="360" w:lineRule="auto"/>
        <w:ind w:firstLine="420" w:firstLineChars="200"/>
        <w:rPr>
          <w:rFonts w:ascii="宋体" w:hAnsi="宋体" w:cs="Courier New"/>
          <w:szCs w:val="21"/>
        </w:rPr>
      </w:pPr>
      <w:r>
        <w:rPr>
          <w:rFonts w:hint="eastAsia" w:ascii="宋体" w:hAnsi="宋体" w:cs="Courier New"/>
          <w:szCs w:val="21"/>
        </w:rPr>
        <w:t>27.4在采购活动中因重大变故，采购任务取消的，采购人或者采购代理机构应当终止采购活动，通知所有参加采购活动的供应商。</w:t>
      </w:r>
    </w:p>
    <w:p w14:paraId="61597530">
      <w:pPr>
        <w:pStyle w:val="11"/>
        <w:spacing w:line="360" w:lineRule="auto"/>
        <w:ind w:firstLine="420" w:firstLineChars="200"/>
        <w:rPr>
          <w:rFonts w:ascii="宋体" w:hAnsi="宋体" w:cs="Courier New"/>
          <w:szCs w:val="21"/>
        </w:rPr>
      </w:pPr>
      <w:r>
        <w:rPr>
          <w:rFonts w:hint="eastAsia" w:ascii="宋体" w:hAnsi="宋体"/>
          <w:bCs/>
          <w:szCs w:val="21"/>
        </w:rPr>
        <w:t>2</w:t>
      </w:r>
      <w:r>
        <w:rPr>
          <w:rFonts w:ascii="宋体" w:hAnsi="宋体"/>
          <w:bCs/>
          <w:szCs w:val="21"/>
        </w:rPr>
        <w:t>7.</w:t>
      </w:r>
      <w:r>
        <w:rPr>
          <w:rFonts w:hint="eastAsia" w:ascii="宋体" w:hAnsi="宋体"/>
          <w:bCs/>
          <w:szCs w:val="21"/>
        </w:rPr>
        <w:t>5</w:t>
      </w:r>
      <w:r>
        <w:rPr>
          <w:rFonts w:hint="eastAsia" w:ascii="宋体" w:hAnsi="宋体" w:cs="Courier New"/>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w:t>
      </w:r>
      <w:r>
        <w:rPr>
          <w:rFonts w:ascii="宋体" w:hAnsi="宋体" w:cs="Courier New"/>
          <w:szCs w:val="21"/>
        </w:rPr>
        <w:t>拒绝签订政府采购合同的成交供应商不得参加对该项目重新开展的采购活动。</w:t>
      </w:r>
    </w:p>
    <w:p w14:paraId="4737AD7B">
      <w:pPr>
        <w:spacing w:line="360" w:lineRule="auto"/>
        <w:ind w:firstLine="482" w:firstLineChars="200"/>
        <w:rPr>
          <w:rFonts w:ascii="黑体" w:hAnsi="黑体" w:eastAsia="黑体" w:cs="宋体"/>
          <w:b/>
          <w:bCs/>
          <w:sz w:val="24"/>
        </w:rPr>
      </w:pPr>
      <w:r>
        <w:rPr>
          <w:rFonts w:ascii="黑体" w:hAnsi="黑体" w:eastAsia="黑体" w:cs="宋体"/>
          <w:b/>
          <w:bCs/>
          <w:sz w:val="24"/>
        </w:rPr>
        <w:t>28</w:t>
      </w:r>
      <w:r>
        <w:rPr>
          <w:rFonts w:hint="eastAsia" w:ascii="黑体" w:hAnsi="黑体" w:eastAsia="黑体" w:cs="宋体"/>
          <w:b/>
          <w:bCs/>
          <w:sz w:val="24"/>
        </w:rPr>
        <w:t>.履约保证金</w:t>
      </w:r>
    </w:p>
    <w:p w14:paraId="4E96F833">
      <w:pPr>
        <w:pStyle w:val="11"/>
        <w:spacing w:line="360" w:lineRule="auto"/>
        <w:ind w:firstLine="420" w:firstLineChars="200"/>
      </w:pPr>
      <w:r>
        <w:rPr>
          <w:rFonts w:ascii="宋体" w:hAnsi="宋体" w:cs="宋体"/>
          <w:szCs w:val="21"/>
        </w:rPr>
        <w:t>28</w:t>
      </w:r>
      <w:r>
        <w:rPr>
          <w:rFonts w:hint="eastAsia" w:ascii="宋体" w:hAnsi="宋体" w:cs="宋体"/>
          <w:szCs w:val="21"/>
        </w:rPr>
        <w:t>.1履约保证金的金额、提交方式、退付的时间和条件详见 “供应商须知前附表”。成交供应商未按规定提交履约保证金的，视为拒绝</w:t>
      </w:r>
      <w:r>
        <w:t>与采购人</w:t>
      </w:r>
      <w:r>
        <w:rPr>
          <w:rFonts w:hint="eastAsia" w:ascii="宋体" w:hAnsi="宋体" w:cs="宋体"/>
          <w:szCs w:val="21"/>
        </w:rPr>
        <w:t>签订合同。</w:t>
      </w:r>
    </w:p>
    <w:p w14:paraId="673B0168">
      <w:pPr>
        <w:spacing w:line="360" w:lineRule="auto"/>
        <w:ind w:firstLine="424" w:firstLineChars="202"/>
        <w:rPr>
          <w:rFonts w:ascii="宋体" w:hAnsi="宋体" w:cs="宋体"/>
          <w:szCs w:val="21"/>
        </w:rPr>
      </w:pPr>
      <w:r>
        <w:rPr>
          <w:rFonts w:ascii="宋体" w:hAnsi="宋体" w:cs="宋体"/>
          <w:szCs w:val="21"/>
        </w:rPr>
        <w:t>28</w:t>
      </w:r>
      <w:r>
        <w:rPr>
          <w:rFonts w:hint="eastAsia" w:ascii="宋体" w:hAnsi="宋体" w:cs="宋体"/>
          <w:szCs w:val="21"/>
        </w:rPr>
        <w:t>.2在履约保证金退还日期前，若成交供应商的开户名称、开户银行、帐号有变动的，请以书面形式通知履约保证金收取单位，否则由此产生的后果由成交供应商自负。</w:t>
      </w:r>
    </w:p>
    <w:p w14:paraId="727A803D">
      <w:pPr>
        <w:spacing w:line="360" w:lineRule="auto"/>
        <w:ind w:firstLine="482" w:firstLineChars="200"/>
        <w:rPr>
          <w:rFonts w:ascii="黑体" w:hAnsi="黑体" w:eastAsia="黑体" w:cs="宋体"/>
          <w:b/>
          <w:bCs/>
          <w:sz w:val="24"/>
        </w:rPr>
      </w:pPr>
      <w:r>
        <w:rPr>
          <w:rFonts w:ascii="黑体" w:hAnsi="黑体" w:eastAsia="黑体" w:cs="宋体"/>
          <w:b/>
          <w:bCs/>
          <w:sz w:val="24"/>
        </w:rPr>
        <w:t>29</w:t>
      </w:r>
      <w:r>
        <w:rPr>
          <w:rFonts w:hint="eastAsia" w:ascii="黑体" w:hAnsi="黑体" w:eastAsia="黑体" w:cs="宋体"/>
          <w:b/>
          <w:bCs/>
          <w:sz w:val="24"/>
        </w:rPr>
        <w:t>.签订合同</w:t>
      </w:r>
    </w:p>
    <w:p w14:paraId="5C5408BC">
      <w:pPr>
        <w:spacing w:line="360" w:lineRule="auto"/>
        <w:ind w:firstLine="424" w:firstLineChars="202"/>
        <w:rPr>
          <w:rFonts w:ascii="宋体" w:hAnsi="宋体" w:cs="宋体"/>
          <w:szCs w:val="21"/>
        </w:rPr>
      </w:pPr>
      <w:r>
        <w:rPr>
          <w:rFonts w:ascii="宋体" w:hAnsi="宋体" w:cs="宋体"/>
          <w:szCs w:val="21"/>
        </w:rPr>
        <w:t>29</w:t>
      </w:r>
      <w:r>
        <w:rPr>
          <w:rFonts w:hint="eastAsia" w:ascii="宋体" w:hAnsi="宋体" w:cs="宋体"/>
          <w:szCs w:val="21"/>
        </w:rPr>
        <w:t>.1成交供应商在收到成交通知书</w:t>
      </w:r>
      <w:r>
        <w:rPr>
          <w:rFonts w:hint="eastAsia" w:ascii="宋体" w:hAnsi="宋体"/>
          <w:szCs w:val="21"/>
        </w:rPr>
        <w:t>（书面或电子）</w:t>
      </w:r>
      <w:r>
        <w:rPr>
          <w:rFonts w:hint="eastAsia" w:ascii="宋体" w:hAnsi="宋体" w:cs="宋体"/>
          <w:szCs w:val="21"/>
        </w:rPr>
        <w:t>后，按“供应商须知前附表”规定向采购人出示相关证明材料，经采购人核验合格后方可签订合同</w:t>
      </w:r>
      <w:r>
        <w:rPr>
          <w:rFonts w:hint="eastAsia" w:ascii="宋体" w:hAnsi="宋体"/>
          <w:szCs w:val="21"/>
        </w:rPr>
        <w:t>（书面或电子）</w:t>
      </w:r>
      <w:r>
        <w:rPr>
          <w:rFonts w:hint="eastAsia" w:ascii="宋体" w:hAnsi="宋体" w:cs="宋体"/>
          <w:szCs w:val="21"/>
        </w:rPr>
        <w:t>。</w:t>
      </w:r>
      <w:r>
        <w:rPr>
          <w:rFonts w:hint="eastAsia" w:ascii="宋体" w:hAnsi="宋体"/>
          <w:szCs w:val="21"/>
        </w:rPr>
        <w:t>如成交供应商为联合体的，</w:t>
      </w:r>
      <w:r>
        <w:rPr>
          <w:rFonts w:ascii="宋体" w:hAnsi="宋体"/>
          <w:szCs w:val="21"/>
        </w:rPr>
        <w:t>联合体各方应当共同与采购人签订采购合同，就采购合同约定的事项对采购人承担连带责任。</w:t>
      </w:r>
    </w:p>
    <w:p w14:paraId="09734077">
      <w:pPr>
        <w:spacing w:line="360" w:lineRule="auto"/>
        <w:ind w:firstLine="424" w:firstLineChars="202"/>
        <w:rPr>
          <w:rFonts w:ascii="宋体" w:hAnsi="宋体" w:cs="宋体"/>
          <w:szCs w:val="21"/>
        </w:rPr>
      </w:pPr>
      <w:r>
        <w:rPr>
          <w:rFonts w:ascii="宋体" w:hAnsi="宋体" w:cs="宋体"/>
          <w:szCs w:val="21"/>
        </w:rPr>
        <w:t>29</w:t>
      </w:r>
      <w:r>
        <w:rPr>
          <w:rFonts w:hint="eastAsia" w:ascii="宋体" w:hAnsi="宋体" w:cs="宋体"/>
          <w:szCs w:val="21"/>
        </w:rPr>
        <w:t>.2 签订合同时间：按成交通知书的规定与采购人签订政府采购合同</w:t>
      </w:r>
      <w:r>
        <w:rPr>
          <w:rFonts w:hint="eastAsia" w:ascii="宋体" w:hAnsi="宋体"/>
          <w:szCs w:val="21"/>
        </w:rPr>
        <w:t>（最长不能超过25日）</w:t>
      </w:r>
      <w:r>
        <w:rPr>
          <w:rFonts w:hint="eastAsia" w:ascii="宋体" w:hAnsi="宋体" w:cs="宋体"/>
          <w:szCs w:val="21"/>
        </w:rPr>
        <w:t>。</w:t>
      </w:r>
    </w:p>
    <w:p w14:paraId="6106FC86">
      <w:pPr>
        <w:spacing w:line="360" w:lineRule="auto"/>
        <w:ind w:firstLine="424" w:firstLineChars="202"/>
        <w:rPr>
          <w:rFonts w:ascii="宋体" w:hAnsi="宋体" w:cs="宋体"/>
          <w:szCs w:val="21"/>
        </w:rPr>
      </w:pPr>
      <w:r>
        <w:rPr>
          <w:rFonts w:ascii="宋体" w:hAnsi="宋体" w:cs="宋体"/>
          <w:szCs w:val="21"/>
        </w:rPr>
        <w:t>29</w:t>
      </w:r>
      <w:r>
        <w:rPr>
          <w:rFonts w:hint="eastAsia" w:ascii="宋体" w:hAnsi="宋体" w:cs="宋体"/>
          <w:szCs w:val="21"/>
        </w:rPr>
        <w:t>.3</w:t>
      </w:r>
      <w:r>
        <w:rPr>
          <w:rFonts w:hint="eastAsia" w:ascii="宋体" w:hAnsi="宋体"/>
          <w:szCs w:val="21"/>
        </w:rPr>
        <w:t>成交供应商拒绝与采购人签订合同的，按照本须知正文第</w:t>
      </w:r>
      <w:r>
        <w:rPr>
          <w:rFonts w:ascii="宋体" w:hAnsi="宋体"/>
          <w:szCs w:val="21"/>
        </w:rPr>
        <w:t>27.</w:t>
      </w:r>
      <w:r>
        <w:rPr>
          <w:rFonts w:hint="eastAsia" w:ascii="宋体" w:hAnsi="宋体"/>
          <w:szCs w:val="21"/>
        </w:rPr>
        <w:t>5</w:t>
      </w:r>
      <w:r>
        <w:rPr>
          <w:rFonts w:ascii="宋体" w:hAnsi="宋体"/>
          <w:szCs w:val="21"/>
        </w:rPr>
        <w:t>条的规定</w:t>
      </w:r>
      <w:r>
        <w:rPr>
          <w:rFonts w:hint="eastAsia" w:ascii="宋体" w:hAnsi="宋体"/>
          <w:szCs w:val="21"/>
        </w:rPr>
        <w:t>执行</w:t>
      </w:r>
      <w:r>
        <w:rPr>
          <w:rFonts w:hint="eastAsia" w:ascii="宋体" w:hAnsi="宋体" w:cs="宋体"/>
          <w:szCs w:val="21"/>
        </w:rPr>
        <w:t>。</w:t>
      </w:r>
    </w:p>
    <w:p w14:paraId="7E61F19D">
      <w:pPr>
        <w:spacing w:line="360" w:lineRule="auto"/>
        <w:ind w:firstLine="482" w:firstLineChars="200"/>
        <w:rPr>
          <w:rFonts w:ascii="黑体" w:hAnsi="黑体" w:eastAsia="黑体" w:cs="宋体"/>
          <w:b/>
          <w:bCs/>
          <w:sz w:val="24"/>
        </w:rPr>
      </w:pPr>
      <w:r>
        <w:rPr>
          <w:rFonts w:ascii="黑体" w:hAnsi="黑体" w:eastAsia="黑体" w:cs="宋体"/>
          <w:b/>
          <w:bCs/>
          <w:sz w:val="24"/>
        </w:rPr>
        <w:t>30</w:t>
      </w:r>
      <w:r>
        <w:rPr>
          <w:rFonts w:hint="eastAsia" w:ascii="黑体" w:hAnsi="黑体" w:eastAsia="黑体" w:cs="宋体"/>
          <w:b/>
          <w:bCs/>
          <w:sz w:val="24"/>
        </w:rPr>
        <w:t>.政府采购合同公告</w:t>
      </w:r>
    </w:p>
    <w:p w14:paraId="7A315B82">
      <w:pPr>
        <w:spacing w:line="360" w:lineRule="auto"/>
        <w:ind w:firstLine="420" w:firstLineChars="200"/>
        <w:rPr>
          <w:rFonts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2BB10CC">
      <w:pPr>
        <w:spacing w:line="360" w:lineRule="auto"/>
        <w:ind w:firstLine="482" w:firstLineChars="200"/>
        <w:rPr>
          <w:rFonts w:ascii="黑体" w:hAnsi="黑体" w:eastAsia="黑体" w:cs="宋体"/>
          <w:b/>
          <w:bCs/>
          <w:sz w:val="24"/>
        </w:rPr>
      </w:pPr>
      <w:r>
        <w:rPr>
          <w:rFonts w:ascii="黑体" w:hAnsi="黑体" w:eastAsia="黑体" w:cs="宋体"/>
          <w:b/>
          <w:bCs/>
          <w:sz w:val="24"/>
        </w:rPr>
        <w:t>31</w:t>
      </w:r>
      <w:r>
        <w:rPr>
          <w:rFonts w:hint="eastAsia" w:ascii="黑体" w:hAnsi="黑体" w:eastAsia="黑体" w:cs="宋体"/>
          <w:b/>
          <w:bCs/>
          <w:sz w:val="24"/>
        </w:rPr>
        <w:t>. 询问、质疑和投诉</w:t>
      </w:r>
    </w:p>
    <w:p w14:paraId="567A9868">
      <w:pPr>
        <w:pStyle w:val="7"/>
        <w:spacing w:after="120" w:line="360" w:lineRule="auto"/>
        <w:rPr>
          <w:rFonts w:ascii="宋体" w:hAnsi="宋体"/>
          <w:szCs w:val="21"/>
        </w:rPr>
      </w:pPr>
      <w:r>
        <w:rPr>
          <w:rFonts w:ascii="宋体" w:hAnsi="宋体" w:cs="宋体"/>
        </w:rPr>
        <w:t>31</w:t>
      </w:r>
      <w:r>
        <w:rPr>
          <w:rFonts w:hint="eastAsia" w:ascii="宋体" w:hAnsi="宋体" w:cs="宋体"/>
        </w:rPr>
        <w:t>.1供应商对政府采购活动事项有疑问的，可以向采购人、采购代理机构提出询问，采购人或者采购代理机构应当在3个工作日内对供应商依法提出的询问作出答复，</w:t>
      </w:r>
      <w:r>
        <w:rPr>
          <w:rFonts w:hint="eastAsia" w:ascii="宋体" w:hAnsi="宋体"/>
          <w:szCs w:val="21"/>
        </w:rPr>
        <w:t>但答复的内容不得涉及商业秘密。</w:t>
      </w:r>
    </w:p>
    <w:p w14:paraId="75202F7B">
      <w:pPr>
        <w:spacing w:line="360" w:lineRule="auto"/>
        <w:ind w:firstLine="420" w:firstLineChars="200"/>
        <w:rPr>
          <w:rFonts w:ascii="宋体" w:hAnsi="宋体" w:cs="宋体"/>
        </w:rPr>
      </w:pPr>
      <w:r>
        <w:rPr>
          <w:rFonts w:ascii="宋体" w:hAnsi="宋体" w:cs="宋体"/>
        </w:rPr>
        <w:t>31</w:t>
      </w:r>
      <w:r>
        <w:rPr>
          <w:rFonts w:hint="eastAsia" w:ascii="宋体" w:hAnsi="宋体" w:cs="宋体"/>
        </w:rPr>
        <w:t>.2供应商认为谈判文件、采购过程或者成交结果使自己的合法权益受到损害的，应当在知道或者应知其权益受到损害之日起7个工作日内，以纸质书面形式向采购人、采购代理机构提出质疑，</w:t>
      </w:r>
      <w:r>
        <w:rPr>
          <w:rFonts w:ascii="Arial" w:hAnsi="Arial" w:cs="Arial"/>
          <w:shd w:val="clear" w:color="auto" w:fill="FFFFFF"/>
        </w:rPr>
        <w:t>接收质疑函的方式、联系部门、联系电话和通讯地址等信息</w:t>
      </w:r>
      <w:r>
        <w:rPr>
          <w:rFonts w:hint="eastAsia" w:ascii="宋体" w:hAnsi="宋体" w:cs="宋体"/>
          <w:szCs w:val="21"/>
        </w:rPr>
        <w:t>详见“供应商须知前附表”</w:t>
      </w:r>
      <w:r>
        <w:rPr>
          <w:rFonts w:hint="eastAsia" w:ascii="宋体" w:hAnsi="宋体" w:cs="宋体"/>
        </w:rPr>
        <w:t>。具体质疑起算时间如下：</w:t>
      </w:r>
    </w:p>
    <w:p w14:paraId="6C8D6DE2">
      <w:pPr>
        <w:spacing w:line="360" w:lineRule="auto"/>
        <w:ind w:firstLine="420" w:firstLineChars="200"/>
        <w:rPr>
          <w:rFonts w:ascii="宋体" w:hAnsi="宋体" w:cs="宋体"/>
        </w:rPr>
      </w:pPr>
      <w:r>
        <w:rPr>
          <w:rFonts w:hint="eastAsia" w:ascii="宋体" w:hAnsi="宋体" w:cs="宋体"/>
        </w:rPr>
        <w:t>（1）对可以质疑的谈判文件提出质疑的，为获取谈判文件之日；</w:t>
      </w:r>
    </w:p>
    <w:p w14:paraId="56AC0D72">
      <w:pPr>
        <w:spacing w:line="360" w:lineRule="auto"/>
        <w:ind w:firstLine="420" w:firstLineChars="200"/>
        <w:rPr>
          <w:rFonts w:ascii="宋体" w:hAnsi="宋体" w:cs="宋体"/>
        </w:rPr>
      </w:pPr>
      <w:r>
        <w:rPr>
          <w:rFonts w:hint="eastAsia" w:ascii="宋体" w:hAnsi="宋体" w:cs="宋体"/>
        </w:rPr>
        <w:t>（2）对采购过程提出质疑的，为各采购程序环节结束之日；</w:t>
      </w:r>
    </w:p>
    <w:p w14:paraId="7E93C0C0">
      <w:pPr>
        <w:spacing w:line="360" w:lineRule="auto"/>
        <w:ind w:firstLine="420" w:firstLineChars="200"/>
        <w:rPr>
          <w:rFonts w:ascii="宋体" w:hAnsi="宋体" w:cs="宋体"/>
        </w:rPr>
      </w:pPr>
      <w:r>
        <w:rPr>
          <w:rFonts w:hint="eastAsia" w:ascii="宋体" w:hAnsi="宋体" w:cs="宋体"/>
        </w:rPr>
        <w:t>（3）对成交结果提出质疑的，为成交结果公告期限届满之日。</w:t>
      </w:r>
    </w:p>
    <w:p w14:paraId="768545D4">
      <w:pPr>
        <w:spacing w:line="360" w:lineRule="auto"/>
        <w:ind w:firstLine="420" w:firstLineChars="200"/>
        <w:rPr>
          <w:rFonts w:ascii="宋体" w:hAnsi="宋体" w:cs="宋体"/>
        </w:rPr>
      </w:pPr>
      <w:r>
        <w:rPr>
          <w:rFonts w:ascii="宋体" w:hAnsi="宋体" w:cs="宋体"/>
        </w:rPr>
        <w:t>31</w:t>
      </w:r>
      <w:r>
        <w:rPr>
          <w:rFonts w:hint="eastAsia" w:ascii="宋体" w:hAnsi="宋体" w:cs="宋体"/>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60132349">
      <w:pPr>
        <w:spacing w:line="360" w:lineRule="auto"/>
        <w:ind w:firstLine="420" w:firstLineChars="200"/>
        <w:rPr>
          <w:rFonts w:ascii="宋体" w:hAnsi="宋体" w:cs="宋体"/>
        </w:rPr>
      </w:pPr>
      <w:r>
        <w:rPr>
          <w:rFonts w:ascii="宋体" w:hAnsi="宋体" w:cs="宋体"/>
        </w:rPr>
        <w:t>31</w:t>
      </w:r>
      <w:r>
        <w:rPr>
          <w:rFonts w:hint="eastAsia" w:ascii="宋体" w:hAnsi="宋体" w:cs="宋体"/>
        </w:rPr>
        <w:t>.4供应商提出质疑应当提交质疑函和必要的证明材料，针对同一采购程序环节的质疑必须在法定质疑期内一次性提出。质疑函应当包括下列内容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14:paraId="0249C4D9">
      <w:pPr>
        <w:spacing w:line="360" w:lineRule="auto"/>
        <w:ind w:firstLine="420" w:firstLineChars="200"/>
        <w:rPr>
          <w:rFonts w:ascii="宋体" w:hAnsi="宋体" w:cs="宋体"/>
        </w:rPr>
      </w:pPr>
      <w:r>
        <w:rPr>
          <w:rFonts w:hint="eastAsia" w:ascii="宋体" w:hAnsi="宋体" w:cs="宋体"/>
        </w:rPr>
        <w:t>（1）供应商的姓名或者名称、地址、邮编、联系人及联系电话；</w:t>
      </w:r>
    </w:p>
    <w:p w14:paraId="0F85A2F9">
      <w:pPr>
        <w:spacing w:line="360" w:lineRule="auto"/>
        <w:ind w:firstLine="420" w:firstLineChars="200"/>
        <w:rPr>
          <w:rFonts w:ascii="宋体" w:hAnsi="宋体" w:cs="宋体"/>
        </w:rPr>
      </w:pPr>
      <w:r>
        <w:rPr>
          <w:rFonts w:hint="eastAsia" w:ascii="宋体" w:hAnsi="宋体" w:cs="宋体"/>
        </w:rPr>
        <w:t>（2）质疑项目的名称、编号；</w:t>
      </w:r>
    </w:p>
    <w:p w14:paraId="118CF959">
      <w:pPr>
        <w:spacing w:line="360" w:lineRule="auto"/>
        <w:ind w:firstLine="420" w:firstLineChars="200"/>
        <w:rPr>
          <w:rFonts w:ascii="宋体" w:hAnsi="宋体" w:cs="宋体"/>
        </w:rPr>
      </w:pPr>
      <w:r>
        <w:rPr>
          <w:rFonts w:hint="eastAsia" w:ascii="宋体" w:hAnsi="宋体" w:cs="宋体"/>
        </w:rPr>
        <w:t>（3）具体、明确的质疑事项和与质疑事项相关的请求；</w:t>
      </w:r>
    </w:p>
    <w:p w14:paraId="76996D60">
      <w:pPr>
        <w:spacing w:line="360" w:lineRule="auto"/>
        <w:ind w:firstLine="420" w:firstLineChars="200"/>
        <w:rPr>
          <w:rFonts w:ascii="宋体" w:hAnsi="宋体" w:cs="宋体"/>
        </w:rPr>
      </w:pPr>
      <w:r>
        <w:rPr>
          <w:rFonts w:hint="eastAsia" w:ascii="宋体" w:hAnsi="宋体" w:cs="宋体"/>
        </w:rPr>
        <w:t>（4）事实依据；</w:t>
      </w:r>
    </w:p>
    <w:p w14:paraId="341E7F29">
      <w:pPr>
        <w:spacing w:line="360" w:lineRule="auto"/>
        <w:ind w:firstLine="420" w:firstLineChars="200"/>
        <w:rPr>
          <w:rFonts w:ascii="宋体" w:hAnsi="宋体" w:cs="宋体"/>
        </w:rPr>
      </w:pPr>
      <w:r>
        <w:rPr>
          <w:rFonts w:hint="eastAsia" w:ascii="宋体" w:hAnsi="宋体" w:cs="宋体"/>
        </w:rPr>
        <w:t>（5）必要的法律依据；</w:t>
      </w:r>
    </w:p>
    <w:p w14:paraId="2C0379DF">
      <w:pPr>
        <w:spacing w:line="360" w:lineRule="auto"/>
        <w:ind w:firstLine="420" w:firstLineChars="200"/>
        <w:rPr>
          <w:rFonts w:ascii="宋体" w:hAnsi="宋体" w:cs="宋体"/>
        </w:rPr>
      </w:pPr>
      <w:r>
        <w:rPr>
          <w:rFonts w:hint="eastAsia" w:ascii="宋体" w:hAnsi="宋体" w:cs="宋体"/>
        </w:rPr>
        <w:t>（6）提出质疑的日期。</w:t>
      </w:r>
    </w:p>
    <w:p w14:paraId="36F80AFA">
      <w:pPr>
        <w:spacing w:line="360" w:lineRule="auto"/>
        <w:ind w:firstLine="420" w:firstLineChars="200"/>
        <w:rPr>
          <w:rFonts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1582FD98">
      <w:pPr>
        <w:spacing w:line="360" w:lineRule="auto"/>
        <w:ind w:firstLine="420" w:firstLineChars="200"/>
        <w:rPr>
          <w:rFonts w:ascii="宋体" w:hAnsi="宋体" w:cs="宋体"/>
        </w:rPr>
      </w:pPr>
      <w:r>
        <w:rPr>
          <w:rFonts w:hint="eastAsia" w:ascii="宋体" w:hAnsi="宋体" w:cs="宋体"/>
        </w:rPr>
        <w:t>3</w:t>
      </w:r>
      <w:r>
        <w:rPr>
          <w:rFonts w:ascii="宋体" w:hAnsi="宋体" w:cs="宋体"/>
        </w:rPr>
        <w:t>1.5</w:t>
      </w:r>
      <w:r>
        <w:rPr>
          <w:rFonts w:hint="eastAsia" w:ascii="宋体" w:hAnsi="宋体" w:cs="宋体"/>
        </w:rPr>
        <w:t>采购人、采购代理机构认为供应商质疑不成立，或者成立但未对成交结果构成影响的，继续开展采购活动；认为供应商质疑成立且影响或者可能影响成交结果的，按照下列情况处理：</w:t>
      </w:r>
    </w:p>
    <w:p w14:paraId="7CF07DEE">
      <w:pPr>
        <w:spacing w:line="360" w:lineRule="auto"/>
        <w:ind w:firstLine="420" w:firstLineChars="200"/>
        <w:rPr>
          <w:rFonts w:ascii="宋体" w:hAnsi="宋体" w:cs="宋体"/>
        </w:rPr>
      </w:pPr>
      <w:r>
        <w:rPr>
          <w:rFonts w:hint="eastAsia" w:ascii="宋体" w:hAnsi="宋体" w:cs="宋体"/>
        </w:rPr>
        <w:t>（1）对采购文件提出的质疑，依法通过澄清或者修改可以继续开展采购活动的，澄清或者修改采购文件后继续开展采购活动；否则应当修改采购文件后重新开展采购活动。</w:t>
      </w:r>
    </w:p>
    <w:p w14:paraId="62022AB3">
      <w:pPr>
        <w:spacing w:line="360" w:lineRule="auto"/>
        <w:ind w:firstLine="420" w:firstLineChars="200"/>
        <w:rPr>
          <w:rFonts w:ascii="宋体" w:hAnsi="宋体" w:cs="宋体"/>
        </w:rPr>
      </w:pPr>
      <w:r>
        <w:rPr>
          <w:rFonts w:hint="eastAsia" w:ascii="宋体" w:hAnsi="宋体" w:cs="宋体"/>
        </w:rPr>
        <w:t>（2）对采购过程或者成交结果提出的质疑，合格供应商符合法定数量时，可以从合格的成交候选人中另行确定成交供应商的，应当依法另行确定成交供应商；否则应当重新开展采购活动。</w:t>
      </w:r>
    </w:p>
    <w:p w14:paraId="5FEC4D77">
      <w:pPr>
        <w:spacing w:line="360" w:lineRule="auto"/>
        <w:ind w:firstLine="420" w:firstLineChars="200"/>
        <w:rPr>
          <w:rFonts w:ascii="宋体" w:hAnsi="宋体" w:cs="宋体"/>
        </w:rPr>
      </w:pPr>
      <w:r>
        <w:rPr>
          <w:rFonts w:hint="eastAsia" w:ascii="宋体" w:hAnsi="宋体" w:cs="宋体"/>
        </w:rPr>
        <w:t>质疑答复导致成交结果改变的，采购人或者采购代理机构应当将有关情况书面报告本级财政部门。</w:t>
      </w:r>
    </w:p>
    <w:p w14:paraId="0FD9A251">
      <w:pPr>
        <w:spacing w:line="360" w:lineRule="auto"/>
        <w:ind w:firstLine="420" w:firstLineChars="200"/>
        <w:rPr>
          <w:rFonts w:ascii="宋体" w:hAnsi="宋体" w:cs="宋体"/>
          <w:b/>
          <w:bCs/>
          <w:szCs w:val="21"/>
        </w:rPr>
      </w:pPr>
      <w:r>
        <w:rPr>
          <w:rFonts w:ascii="宋体" w:hAnsi="宋体" w:cs="宋体"/>
        </w:rPr>
        <w:t>31</w:t>
      </w:r>
      <w:r>
        <w:rPr>
          <w:rFonts w:hint="eastAsia" w:ascii="宋体" w:hAnsi="宋体" w:cs="宋体"/>
        </w:rPr>
        <w:t>.</w:t>
      </w:r>
      <w:r>
        <w:rPr>
          <w:rFonts w:ascii="宋体" w:hAnsi="宋体" w:cs="宋体"/>
        </w:rPr>
        <w:t>6</w:t>
      </w:r>
      <w:r>
        <w:rPr>
          <w:rFonts w:hint="eastAsia" w:ascii="宋体" w:hAnsi="宋体" w:cs="宋体"/>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46A1E50C">
      <w:pPr>
        <w:spacing w:line="360" w:lineRule="auto"/>
        <w:ind w:firstLine="482" w:firstLineChars="200"/>
        <w:rPr>
          <w:rFonts w:ascii="黑体" w:hAnsi="黑体" w:eastAsia="黑体" w:cs="宋体"/>
          <w:b/>
          <w:bCs/>
          <w:sz w:val="24"/>
        </w:rPr>
      </w:pPr>
      <w:r>
        <w:rPr>
          <w:rFonts w:hint="eastAsia" w:ascii="黑体" w:hAnsi="黑体" w:eastAsia="黑体" w:cs="宋体"/>
          <w:b/>
          <w:bCs/>
          <w:sz w:val="24"/>
        </w:rPr>
        <w:t>3</w:t>
      </w:r>
      <w:r>
        <w:rPr>
          <w:rFonts w:ascii="黑体" w:hAnsi="黑体" w:eastAsia="黑体" w:cs="宋体"/>
          <w:b/>
          <w:bCs/>
          <w:sz w:val="24"/>
        </w:rPr>
        <w:t>2.</w:t>
      </w:r>
      <w:r>
        <w:rPr>
          <w:rFonts w:hint="eastAsia" w:ascii="黑体" w:hAnsi="黑体" w:eastAsia="黑体" w:cs="宋体"/>
          <w:b/>
          <w:bCs/>
          <w:sz w:val="24"/>
        </w:rPr>
        <w:t>其他内容</w:t>
      </w:r>
    </w:p>
    <w:p w14:paraId="051EAE43">
      <w:pPr>
        <w:tabs>
          <w:tab w:val="left" w:pos="2835"/>
        </w:tabs>
        <w:spacing w:line="360" w:lineRule="auto"/>
        <w:ind w:firstLine="420" w:firstLineChars="200"/>
        <w:rPr>
          <w:rFonts w:ascii="宋体" w:hAnsi="宋体" w:cs="宋体"/>
          <w:szCs w:val="21"/>
        </w:rPr>
      </w:pPr>
      <w:r>
        <w:rPr>
          <w:rFonts w:ascii="宋体" w:hAnsi="宋体" w:cs="宋体"/>
          <w:szCs w:val="21"/>
        </w:rPr>
        <w:t>32</w:t>
      </w:r>
      <w:r>
        <w:rPr>
          <w:rFonts w:hint="eastAsia" w:ascii="宋体" w:hAnsi="宋体" w:cs="宋体"/>
          <w:szCs w:val="21"/>
        </w:rPr>
        <w:t>.1代理服务费：代理服务收取标准及缴费账户详见“供应商须知前附表”，供应商为联合体的，可以由联合体中的一方或者多方共同交纳代理服务费。</w:t>
      </w:r>
    </w:p>
    <w:p w14:paraId="454448A5">
      <w:pPr>
        <w:spacing w:line="360" w:lineRule="auto"/>
        <w:ind w:firstLine="420" w:firstLineChars="200"/>
        <w:rPr>
          <w:rFonts w:ascii="宋体" w:hAnsi="宋体" w:cs="宋体"/>
        </w:rPr>
      </w:pPr>
      <w:r>
        <w:rPr>
          <w:rFonts w:ascii="宋体" w:hAnsi="宋体" w:cs="宋体"/>
          <w:szCs w:val="21"/>
        </w:rPr>
        <w:t>32.2</w:t>
      </w:r>
      <w:r>
        <w:rPr>
          <w:rFonts w:hint="eastAsia" w:ascii="宋体" w:hAnsi="宋体" w:cs="宋体"/>
          <w:kern w:val="0"/>
          <w:szCs w:val="21"/>
        </w:rPr>
        <w:t>代理服务费交纳</w:t>
      </w:r>
      <w:r>
        <w:rPr>
          <w:rFonts w:ascii="宋体" w:hAnsi="宋体" w:cs="宋体"/>
          <w:kern w:val="0"/>
          <w:szCs w:val="21"/>
        </w:rPr>
        <w:t>银行帐号信息</w:t>
      </w:r>
    </w:p>
    <w:p w14:paraId="24926DC8">
      <w:pPr>
        <w:pStyle w:val="16"/>
        <w:spacing w:line="360" w:lineRule="auto"/>
        <w:ind w:firstLine="420" w:firstLineChars="200"/>
        <w:contextualSpacing/>
        <w:rPr>
          <w:rFonts w:hAnsi="宋体" w:cs="宋体"/>
          <w:sz w:val="21"/>
        </w:rPr>
      </w:pPr>
      <w:r>
        <w:rPr>
          <w:rFonts w:hint="eastAsia" w:hAnsi="宋体" w:cs="宋体"/>
          <w:sz w:val="21"/>
        </w:rPr>
        <w:t>账户名称：广西科文招标有限公司玉林第二分公司</w:t>
      </w:r>
    </w:p>
    <w:p w14:paraId="29BD78F4">
      <w:pPr>
        <w:pStyle w:val="16"/>
        <w:spacing w:line="360" w:lineRule="auto"/>
        <w:ind w:firstLine="420" w:firstLineChars="200"/>
        <w:contextualSpacing/>
        <w:rPr>
          <w:rFonts w:hAnsi="宋体" w:cs="宋体"/>
          <w:sz w:val="21"/>
        </w:rPr>
      </w:pPr>
      <w:r>
        <w:rPr>
          <w:rFonts w:hint="eastAsia" w:hAnsi="宋体" w:cs="宋体"/>
          <w:sz w:val="21"/>
        </w:rPr>
        <w:t>开户银行：广西北部湾银行股份有限公司玉林市玉东支行</w:t>
      </w:r>
    </w:p>
    <w:p w14:paraId="7A94B531">
      <w:pPr>
        <w:pStyle w:val="16"/>
        <w:spacing w:line="360" w:lineRule="auto"/>
        <w:ind w:firstLine="420" w:firstLineChars="200"/>
        <w:contextualSpacing/>
        <w:rPr>
          <w:rFonts w:hAnsi="宋体" w:cs="宋体"/>
          <w:sz w:val="21"/>
        </w:rPr>
      </w:pPr>
      <w:r>
        <w:rPr>
          <w:rFonts w:hint="eastAsia" w:hAnsi="宋体" w:cs="宋体"/>
          <w:sz w:val="21"/>
        </w:rPr>
        <w:t>银行账号：805461433000002</w:t>
      </w:r>
    </w:p>
    <w:p w14:paraId="0402BECD">
      <w:pPr>
        <w:spacing w:line="360" w:lineRule="auto"/>
        <w:ind w:firstLine="482" w:firstLineChars="200"/>
        <w:contextualSpacing/>
        <w:rPr>
          <w:rFonts w:ascii="黑体" w:hAnsi="黑体" w:eastAsia="黑体" w:cs="宋体"/>
          <w:b/>
          <w:bCs/>
          <w:sz w:val="24"/>
        </w:rPr>
      </w:pPr>
      <w:r>
        <w:rPr>
          <w:rFonts w:ascii="黑体" w:hAnsi="黑体" w:eastAsia="黑体" w:cs="宋体"/>
          <w:b/>
          <w:bCs/>
          <w:sz w:val="24"/>
        </w:rPr>
        <w:t>33. 需要补充的其他内容</w:t>
      </w:r>
    </w:p>
    <w:p w14:paraId="71FD0E33">
      <w:pPr>
        <w:pStyle w:val="16"/>
        <w:spacing w:line="360" w:lineRule="auto"/>
        <w:ind w:firstLine="420" w:firstLineChars="200"/>
        <w:contextualSpacing/>
        <w:rPr>
          <w:rFonts w:hAnsi="宋体"/>
          <w:sz w:val="21"/>
        </w:rPr>
      </w:pPr>
      <w:r>
        <w:rPr>
          <w:rFonts w:hAnsi="宋体"/>
          <w:sz w:val="21"/>
        </w:rPr>
        <w:t>33.1</w:t>
      </w:r>
      <w:r>
        <w:rPr>
          <w:rFonts w:hint="eastAsia" w:hAnsi="宋体" w:cs="宋体"/>
          <w:sz w:val="21"/>
        </w:rPr>
        <w:t>本谈判文件解释规则详见</w:t>
      </w:r>
      <w:r>
        <w:rPr>
          <w:rFonts w:hint="eastAsia" w:hAnsi="宋体"/>
          <w:sz w:val="21"/>
        </w:rPr>
        <w:t>“供应商须知前附表”。</w:t>
      </w:r>
    </w:p>
    <w:p w14:paraId="1E17C8AA">
      <w:pPr>
        <w:spacing w:line="360" w:lineRule="auto"/>
        <w:ind w:firstLine="420" w:firstLineChars="200"/>
        <w:contextualSpacing/>
        <w:rPr>
          <w:rFonts w:ascii="宋体" w:hAnsi="宋体" w:cs="宋体"/>
          <w:kern w:val="0"/>
          <w:szCs w:val="21"/>
        </w:rPr>
      </w:pPr>
      <w:r>
        <w:rPr>
          <w:rFonts w:ascii="宋体" w:hAnsi="宋体" w:cs="宋体"/>
          <w:kern w:val="0"/>
          <w:szCs w:val="21"/>
        </w:rPr>
        <w:t>33.2</w:t>
      </w:r>
      <w:r>
        <w:rPr>
          <w:rFonts w:hint="eastAsia" w:ascii="宋体" w:hAnsi="宋体" w:cs="宋体"/>
          <w:kern w:val="0"/>
          <w:szCs w:val="21"/>
        </w:rPr>
        <w:t xml:space="preserve"> 其他事项详见“供应商须知前附表”。</w:t>
      </w:r>
    </w:p>
    <w:p w14:paraId="0A1D48CC">
      <w:pPr>
        <w:tabs>
          <w:tab w:val="left" w:pos="2835"/>
        </w:tabs>
        <w:spacing w:line="360" w:lineRule="auto"/>
        <w:ind w:firstLine="420" w:firstLineChars="200"/>
        <w:rPr>
          <w:rFonts w:ascii="宋体" w:hAnsi="宋体" w:cs="宋体"/>
          <w:szCs w:val="21"/>
        </w:rPr>
      </w:pPr>
      <w:r>
        <w:rPr>
          <w:rFonts w:hint="eastAsia" w:ascii="宋体" w:hAnsi="宋体" w:cs="宋体"/>
          <w:szCs w:val="21"/>
        </w:rPr>
        <w:t xml:space="preserve">33.3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 </w:t>
      </w:r>
    </w:p>
    <w:p w14:paraId="54777F1E">
      <w:pPr>
        <w:tabs>
          <w:tab w:val="left" w:pos="2835"/>
        </w:tabs>
        <w:spacing w:line="360" w:lineRule="auto"/>
        <w:ind w:firstLine="420" w:firstLineChars="200"/>
        <w:rPr>
          <w:rFonts w:ascii="宋体" w:hAnsi="宋体" w:cs="宋体"/>
          <w:szCs w:val="21"/>
        </w:rPr>
      </w:pPr>
      <w:r>
        <w:rPr>
          <w:rFonts w:hint="eastAsia" w:ascii="宋体" w:hAnsi="宋体" w:cs="宋体"/>
          <w:szCs w:val="21"/>
        </w:rPr>
        <w:t xml:space="preserve">（1）在货物采购项目中，货物由中小企业制造，即货物由中小企业生产且使用该中小企业商号或者注册商标，不对其中涉及的工程承建商和服务的承接商作出要求； </w:t>
      </w:r>
    </w:p>
    <w:p w14:paraId="1F9127C5">
      <w:pPr>
        <w:tabs>
          <w:tab w:val="left" w:pos="2835"/>
        </w:tabs>
        <w:spacing w:line="360" w:lineRule="auto"/>
        <w:ind w:firstLine="420" w:firstLineChars="200"/>
        <w:rPr>
          <w:rFonts w:ascii="宋体" w:hAnsi="宋体" w:cs="宋体"/>
          <w:szCs w:val="21"/>
        </w:rPr>
      </w:pPr>
      <w:r>
        <w:rPr>
          <w:rFonts w:hint="eastAsia" w:ascii="宋体" w:hAnsi="宋体" w:cs="宋体"/>
          <w:szCs w:val="21"/>
        </w:rPr>
        <w:t xml:space="preserve">（2）在工程采购项目中，工程由中小企业承建，即工程施工单位为中小企业，不对其中涉及的货物的制造商和服务的承接商作出要求； </w:t>
      </w:r>
    </w:p>
    <w:p w14:paraId="330E82D0">
      <w:pPr>
        <w:tabs>
          <w:tab w:val="left" w:pos="2835"/>
        </w:tabs>
        <w:spacing w:line="360" w:lineRule="auto"/>
        <w:ind w:firstLine="420" w:firstLineChars="200"/>
        <w:rPr>
          <w:rFonts w:ascii="宋体" w:hAnsi="宋体" w:cs="宋体"/>
          <w:szCs w:val="21"/>
        </w:rPr>
      </w:pPr>
      <w:r>
        <w:rPr>
          <w:rFonts w:hint="eastAsia" w:ascii="宋体" w:hAnsi="宋体" w:cs="宋体"/>
          <w:szCs w:val="21"/>
        </w:rPr>
        <w:t xml:space="preserve">（3）在服务采购项目中，服务由中小企业承接，即提供服务的人员为中小企业依照《中华人民共和国劳动合同法》订立劳动合同的从业人员，不对其中涉及的货物的制造商和工程承建商作出要求。 </w:t>
      </w:r>
    </w:p>
    <w:p w14:paraId="3CFA0A0E">
      <w:pPr>
        <w:tabs>
          <w:tab w:val="left" w:pos="2835"/>
        </w:tabs>
        <w:spacing w:line="360" w:lineRule="auto"/>
        <w:ind w:firstLine="420" w:firstLineChars="200"/>
        <w:rPr>
          <w:rFonts w:ascii="宋体" w:hAnsi="宋体" w:cs="宋体"/>
          <w:szCs w:val="21"/>
        </w:rPr>
      </w:pPr>
      <w:r>
        <w:rPr>
          <w:rFonts w:hint="eastAsia" w:ascii="宋体" w:hAnsi="宋体" w:cs="宋体"/>
          <w:szCs w:val="21"/>
        </w:rPr>
        <w:t xml:space="preserve">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 </w:t>
      </w:r>
    </w:p>
    <w:p w14:paraId="25431BA2">
      <w:pPr>
        <w:tabs>
          <w:tab w:val="left" w:pos="2835"/>
        </w:tabs>
        <w:spacing w:line="360" w:lineRule="auto"/>
        <w:ind w:firstLine="420" w:firstLineChars="200"/>
        <w:rPr>
          <w:rFonts w:ascii="宋体" w:hAnsi="宋体" w:cs="宋体"/>
          <w:szCs w:val="21"/>
        </w:rPr>
      </w:pPr>
      <w:r>
        <w:rPr>
          <w:rFonts w:hint="eastAsia" w:ascii="宋体" w:hAnsi="宋体" w:cs="宋体"/>
          <w:szCs w:val="21"/>
        </w:rPr>
        <w:t xml:space="preserve">依据本谈判文件规定享受扶持政策获得政府采购合同的，小微企业不得将合同分包给大中型企业，中型企业不得将合同分包给大型企业。 </w:t>
      </w:r>
    </w:p>
    <w:p w14:paraId="479BE83B">
      <w:pPr>
        <w:pStyle w:val="16"/>
        <w:snapToGrid w:val="0"/>
        <w:spacing w:line="380" w:lineRule="exact"/>
        <w:ind w:firstLine="420" w:firstLineChars="200"/>
        <w:rPr>
          <w:rFonts w:hAnsi="宋体" w:cs="宋体"/>
          <w:sz w:val="21"/>
        </w:rPr>
      </w:pPr>
    </w:p>
    <w:p w14:paraId="27D29215">
      <w:pPr>
        <w:pStyle w:val="16"/>
        <w:snapToGrid w:val="0"/>
        <w:spacing w:line="380" w:lineRule="exact"/>
        <w:ind w:firstLine="420" w:firstLineChars="200"/>
        <w:rPr>
          <w:rFonts w:hAnsi="宋体" w:cs="宋体"/>
          <w:sz w:val="21"/>
        </w:rPr>
      </w:pPr>
    </w:p>
    <w:p w14:paraId="01379C65">
      <w:pPr>
        <w:pStyle w:val="16"/>
        <w:snapToGrid w:val="0"/>
        <w:spacing w:line="380" w:lineRule="exact"/>
        <w:ind w:firstLine="420" w:firstLineChars="200"/>
        <w:rPr>
          <w:rFonts w:hAnsi="宋体" w:cs="宋体"/>
          <w:sz w:val="21"/>
        </w:rPr>
      </w:pPr>
    </w:p>
    <w:p w14:paraId="44851533">
      <w:pPr>
        <w:pStyle w:val="16"/>
        <w:snapToGrid w:val="0"/>
        <w:spacing w:line="380" w:lineRule="exact"/>
        <w:ind w:firstLine="420" w:firstLineChars="200"/>
        <w:rPr>
          <w:rFonts w:hAnsi="宋体" w:cs="宋体"/>
          <w:sz w:val="21"/>
        </w:rPr>
      </w:pPr>
    </w:p>
    <w:p w14:paraId="3389E775">
      <w:pPr>
        <w:pStyle w:val="16"/>
        <w:snapToGrid w:val="0"/>
        <w:spacing w:line="380" w:lineRule="exact"/>
        <w:ind w:firstLine="420" w:firstLineChars="200"/>
        <w:rPr>
          <w:rFonts w:hAnsi="宋体" w:cs="宋体"/>
          <w:sz w:val="21"/>
        </w:rPr>
      </w:pPr>
    </w:p>
    <w:p w14:paraId="15B26192">
      <w:pPr>
        <w:pStyle w:val="16"/>
        <w:snapToGrid w:val="0"/>
        <w:spacing w:line="380" w:lineRule="exact"/>
        <w:ind w:firstLine="420" w:firstLineChars="200"/>
        <w:rPr>
          <w:rFonts w:hAnsi="宋体" w:cs="宋体"/>
          <w:sz w:val="21"/>
        </w:rPr>
      </w:pPr>
    </w:p>
    <w:p w14:paraId="368E04F0">
      <w:pPr>
        <w:pStyle w:val="16"/>
        <w:snapToGrid w:val="0"/>
        <w:spacing w:line="380" w:lineRule="exact"/>
        <w:ind w:firstLine="420" w:firstLineChars="200"/>
        <w:rPr>
          <w:rFonts w:hAnsi="宋体" w:cs="宋体"/>
          <w:sz w:val="21"/>
        </w:rPr>
      </w:pPr>
    </w:p>
    <w:p w14:paraId="08B8BAB0">
      <w:pPr>
        <w:pStyle w:val="16"/>
        <w:snapToGrid w:val="0"/>
        <w:spacing w:line="380" w:lineRule="exact"/>
        <w:ind w:firstLine="420" w:firstLineChars="200"/>
        <w:rPr>
          <w:rFonts w:hAnsi="宋体" w:cs="宋体"/>
          <w:sz w:val="21"/>
        </w:rPr>
      </w:pPr>
    </w:p>
    <w:p w14:paraId="262FFB8F">
      <w:pPr>
        <w:pStyle w:val="16"/>
        <w:snapToGrid w:val="0"/>
        <w:spacing w:line="380" w:lineRule="exact"/>
        <w:ind w:firstLine="420" w:firstLineChars="200"/>
        <w:rPr>
          <w:rFonts w:hAnsi="宋体" w:cs="宋体"/>
          <w:sz w:val="21"/>
        </w:rPr>
      </w:pPr>
    </w:p>
    <w:p w14:paraId="63D222B0">
      <w:pPr>
        <w:pStyle w:val="16"/>
        <w:snapToGrid w:val="0"/>
        <w:spacing w:line="380" w:lineRule="exact"/>
        <w:ind w:firstLine="420" w:firstLineChars="200"/>
        <w:rPr>
          <w:rFonts w:hAnsi="宋体" w:cs="宋体"/>
          <w:sz w:val="21"/>
        </w:rPr>
      </w:pPr>
    </w:p>
    <w:p w14:paraId="78188548">
      <w:pPr>
        <w:pStyle w:val="16"/>
        <w:snapToGrid w:val="0"/>
        <w:spacing w:line="380" w:lineRule="exact"/>
        <w:ind w:firstLine="420" w:firstLineChars="200"/>
        <w:rPr>
          <w:rFonts w:hAnsi="宋体" w:cs="宋体"/>
          <w:sz w:val="21"/>
        </w:rPr>
      </w:pPr>
    </w:p>
    <w:p w14:paraId="076113A0">
      <w:pPr>
        <w:pStyle w:val="16"/>
        <w:snapToGrid w:val="0"/>
        <w:spacing w:line="380" w:lineRule="exact"/>
        <w:ind w:firstLine="420" w:firstLineChars="200"/>
        <w:rPr>
          <w:rFonts w:hAnsi="宋体" w:cs="宋体"/>
          <w:sz w:val="21"/>
        </w:rPr>
      </w:pPr>
    </w:p>
    <w:p w14:paraId="0CA589B1">
      <w:pPr>
        <w:pStyle w:val="16"/>
        <w:snapToGrid w:val="0"/>
        <w:spacing w:line="380" w:lineRule="exact"/>
        <w:ind w:firstLine="420" w:firstLineChars="200"/>
        <w:rPr>
          <w:rFonts w:hAnsi="宋体" w:cs="宋体"/>
          <w:sz w:val="21"/>
        </w:rPr>
      </w:pPr>
    </w:p>
    <w:p w14:paraId="47CCE2B2">
      <w:pPr>
        <w:pStyle w:val="16"/>
        <w:snapToGrid w:val="0"/>
        <w:spacing w:line="380" w:lineRule="exact"/>
        <w:ind w:firstLine="420" w:firstLineChars="200"/>
        <w:rPr>
          <w:rFonts w:hAnsi="宋体" w:cs="宋体"/>
          <w:sz w:val="21"/>
        </w:rPr>
      </w:pPr>
    </w:p>
    <w:p w14:paraId="51FAFBED">
      <w:pPr>
        <w:pStyle w:val="16"/>
        <w:snapToGrid w:val="0"/>
        <w:spacing w:line="380" w:lineRule="exact"/>
        <w:ind w:firstLine="420" w:firstLineChars="200"/>
        <w:rPr>
          <w:rFonts w:hAnsi="宋体" w:cs="宋体"/>
          <w:sz w:val="21"/>
        </w:rPr>
      </w:pPr>
    </w:p>
    <w:p w14:paraId="13E4D4AC">
      <w:pPr>
        <w:pStyle w:val="16"/>
        <w:snapToGrid w:val="0"/>
        <w:spacing w:line="380" w:lineRule="exact"/>
        <w:ind w:firstLine="420" w:firstLineChars="200"/>
        <w:rPr>
          <w:rFonts w:hAnsi="宋体" w:cs="宋体"/>
          <w:sz w:val="21"/>
        </w:rPr>
      </w:pPr>
    </w:p>
    <w:p w14:paraId="0B29D2C0">
      <w:pPr>
        <w:pStyle w:val="16"/>
        <w:snapToGrid w:val="0"/>
        <w:spacing w:line="380" w:lineRule="exact"/>
        <w:ind w:firstLine="420" w:firstLineChars="200"/>
        <w:rPr>
          <w:rFonts w:hAnsi="宋体" w:cs="宋体"/>
          <w:sz w:val="21"/>
        </w:rPr>
      </w:pPr>
    </w:p>
    <w:p w14:paraId="03F8A9D0">
      <w:pPr>
        <w:pStyle w:val="16"/>
        <w:snapToGrid w:val="0"/>
        <w:spacing w:line="380" w:lineRule="exact"/>
        <w:ind w:firstLine="420" w:firstLineChars="200"/>
        <w:rPr>
          <w:rFonts w:hAnsi="宋体" w:cs="宋体"/>
          <w:sz w:val="21"/>
        </w:rPr>
      </w:pPr>
    </w:p>
    <w:p w14:paraId="042E2010">
      <w:pPr>
        <w:pStyle w:val="16"/>
        <w:snapToGrid w:val="0"/>
        <w:spacing w:line="380" w:lineRule="exact"/>
        <w:ind w:firstLine="420" w:firstLineChars="200"/>
        <w:rPr>
          <w:rFonts w:hAnsi="宋体" w:cs="宋体"/>
          <w:sz w:val="21"/>
        </w:rPr>
      </w:pPr>
    </w:p>
    <w:p w14:paraId="7DB57017">
      <w:pPr>
        <w:pStyle w:val="16"/>
        <w:snapToGrid w:val="0"/>
        <w:spacing w:line="380" w:lineRule="exact"/>
        <w:ind w:firstLine="420" w:firstLineChars="200"/>
        <w:rPr>
          <w:rFonts w:hAnsi="宋体" w:cs="宋体"/>
          <w:sz w:val="21"/>
        </w:rPr>
      </w:pPr>
    </w:p>
    <w:p w14:paraId="036546EA">
      <w:pPr>
        <w:pStyle w:val="16"/>
        <w:snapToGrid w:val="0"/>
        <w:spacing w:line="380" w:lineRule="exact"/>
        <w:ind w:firstLine="420" w:firstLineChars="200"/>
        <w:rPr>
          <w:rFonts w:hAnsi="宋体" w:cs="宋体"/>
          <w:sz w:val="21"/>
        </w:rPr>
      </w:pPr>
    </w:p>
    <w:p w14:paraId="5855021D">
      <w:pPr>
        <w:pStyle w:val="16"/>
        <w:snapToGrid w:val="0"/>
        <w:spacing w:line="380" w:lineRule="exact"/>
        <w:ind w:firstLine="420" w:firstLineChars="200"/>
        <w:rPr>
          <w:rFonts w:hAnsi="宋体" w:cs="宋体"/>
          <w:sz w:val="21"/>
        </w:rPr>
      </w:pPr>
    </w:p>
    <w:p w14:paraId="2C917CBD">
      <w:pPr>
        <w:pStyle w:val="16"/>
        <w:snapToGrid w:val="0"/>
        <w:spacing w:line="380" w:lineRule="exact"/>
        <w:ind w:firstLine="420" w:firstLineChars="200"/>
        <w:rPr>
          <w:rFonts w:hAnsi="宋体" w:cs="宋体"/>
          <w:sz w:val="21"/>
        </w:rPr>
      </w:pPr>
    </w:p>
    <w:p w14:paraId="1722EBD9">
      <w:pPr>
        <w:pStyle w:val="16"/>
        <w:snapToGrid w:val="0"/>
        <w:spacing w:line="380" w:lineRule="exact"/>
        <w:ind w:firstLine="420" w:firstLineChars="200"/>
        <w:rPr>
          <w:rFonts w:hAnsi="宋体" w:cs="宋体"/>
          <w:sz w:val="21"/>
        </w:rPr>
      </w:pPr>
    </w:p>
    <w:p w14:paraId="33217A76">
      <w:pPr>
        <w:spacing w:line="400" w:lineRule="exact"/>
        <w:ind w:firstLine="420" w:firstLineChars="200"/>
        <w:rPr>
          <w:rFonts w:ascii="仿宋_GB2312" w:hAnsi="仿宋_GB2312" w:cs="仿宋_GB2312"/>
          <w:szCs w:val="32"/>
        </w:rPr>
      </w:pPr>
      <w:bookmarkStart w:id="27" w:name="_Toc74322010"/>
    </w:p>
    <w:p w14:paraId="044CA928">
      <w:pPr>
        <w:spacing w:line="400" w:lineRule="exact"/>
        <w:ind w:firstLine="420" w:firstLineChars="200"/>
        <w:rPr>
          <w:rFonts w:ascii="仿宋_GB2312" w:hAnsi="仿宋_GB2312" w:cs="仿宋_GB2312"/>
          <w:szCs w:val="32"/>
        </w:rPr>
      </w:pPr>
    </w:p>
    <w:p w14:paraId="58C27851">
      <w:pPr>
        <w:spacing w:line="400" w:lineRule="exact"/>
        <w:ind w:firstLine="420" w:firstLineChars="200"/>
        <w:rPr>
          <w:rFonts w:ascii="仿宋_GB2312" w:hAnsi="仿宋_GB2312" w:cs="仿宋_GB2312"/>
          <w:szCs w:val="32"/>
        </w:rPr>
      </w:pPr>
    </w:p>
    <w:p w14:paraId="153379F2">
      <w:pPr>
        <w:spacing w:line="400" w:lineRule="exact"/>
        <w:ind w:firstLine="420" w:firstLineChars="200"/>
        <w:rPr>
          <w:rFonts w:ascii="仿宋_GB2312" w:hAnsi="仿宋_GB2312" w:cs="仿宋_GB2312"/>
          <w:szCs w:val="32"/>
        </w:rPr>
      </w:pPr>
    </w:p>
    <w:p w14:paraId="3B1CA77F">
      <w:pPr>
        <w:spacing w:line="400" w:lineRule="exact"/>
        <w:ind w:firstLine="420" w:firstLineChars="200"/>
        <w:rPr>
          <w:rFonts w:ascii="仿宋_GB2312" w:hAnsi="仿宋_GB2312" w:cs="仿宋_GB2312"/>
          <w:szCs w:val="32"/>
        </w:rPr>
      </w:pPr>
    </w:p>
    <w:p w14:paraId="6E71187E">
      <w:pPr>
        <w:spacing w:line="400" w:lineRule="exact"/>
        <w:ind w:firstLine="420" w:firstLineChars="200"/>
        <w:rPr>
          <w:rFonts w:ascii="仿宋_GB2312" w:hAnsi="仿宋_GB2312" w:cs="仿宋_GB2312"/>
          <w:szCs w:val="32"/>
        </w:rPr>
      </w:pPr>
    </w:p>
    <w:p w14:paraId="7A8FF02E">
      <w:pPr>
        <w:spacing w:line="400" w:lineRule="exact"/>
        <w:ind w:firstLine="420" w:firstLineChars="200"/>
        <w:rPr>
          <w:rFonts w:ascii="仿宋_GB2312" w:hAnsi="仿宋_GB2312" w:cs="仿宋_GB2312"/>
          <w:szCs w:val="32"/>
        </w:rPr>
      </w:pPr>
    </w:p>
    <w:p w14:paraId="6362F74B">
      <w:pPr>
        <w:spacing w:line="400" w:lineRule="exact"/>
        <w:rPr>
          <w:rFonts w:ascii="仿宋_GB2312" w:hAnsi="仿宋_GB2312" w:cs="仿宋_GB2312"/>
          <w:szCs w:val="32"/>
        </w:rPr>
      </w:pPr>
    </w:p>
    <w:p w14:paraId="152D2A2C">
      <w:pPr>
        <w:pStyle w:val="16"/>
        <w:spacing w:line="360" w:lineRule="auto"/>
        <w:ind w:firstLine="883" w:firstLineChars="200"/>
        <w:contextualSpacing/>
        <w:jc w:val="center"/>
        <w:rPr>
          <w:rFonts w:hAnsi="宋体"/>
          <w:sz w:val="32"/>
          <w:szCs w:val="32"/>
        </w:rPr>
      </w:pPr>
      <w:r>
        <w:rPr>
          <w:rFonts w:hint="eastAsia"/>
          <w:b/>
          <w:bCs/>
          <w:sz w:val="44"/>
          <w:szCs w:val="44"/>
        </w:rPr>
        <w:t>第三章 采购需求</w:t>
      </w:r>
      <w:bookmarkEnd w:id="27"/>
    </w:p>
    <w:p w14:paraId="59B84178">
      <w:pPr>
        <w:spacing w:line="360" w:lineRule="auto"/>
        <w:jc w:val="left"/>
        <w:rPr>
          <w:rFonts w:ascii="宋体" w:hAnsi="宋体" w:cs="宋体"/>
          <w:b/>
          <w:szCs w:val="21"/>
        </w:rPr>
      </w:pPr>
      <w:bookmarkStart w:id="28" w:name="_Hlk48036094"/>
      <w:r>
        <w:rPr>
          <w:rFonts w:hint="eastAsia" w:ascii="宋体" w:hAnsi="宋体" w:cs="宋体"/>
          <w:b/>
          <w:szCs w:val="21"/>
        </w:rPr>
        <w:t>说明：</w:t>
      </w:r>
    </w:p>
    <w:p w14:paraId="071F268D">
      <w:pPr>
        <w:spacing w:line="360" w:lineRule="exact"/>
        <w:ind w:left="-10" w:leftChars="-5" w:right="2" w:rightChars="1" w:firstLine="422" w:firstLineChars="200"/>
        <w:rPr>
          <w:rFonts w:hAnsi="宋体"/>
          <w:b/>
          <w:bCs/>
        </w:rPr>
      </w:pPr>
      <w:r>
        <w:rPr>
          <w:rFonts w:hint="eastAsia" w:hAnsi="宋体"/>
          <w:b/>
          <w:bCs/>
        </w:rPr>
        <w:t>1、采购需求中如出现品牌、型号或者生产厂家等均仅起参考作用，不属于指定品牌、型号或者生产厂家的情形，供应商可参照或者选用其他相当的品牌、型号或者生产供应商替代。但供应商的产品实质上应相当于或优于本需求</w:t>
      </w:r>
      <w:r>
        <w:rPr>
          <w:rFonts w:hAnsi="宋体"/>
          <w:b/>
          <w:bCs/>
        </w:rPr>
        <w:t>中</w:t>
      </w:r>
      <w:r>
        <w:rPr>
          <w:rFonts w:hint="eastAsia" w:hAnsi="宋体"/>
          <w:b/>
          <w:bCs/>
        </w:rPr>
        <w:t>的技术要求。</w:t>
      </w:r>
    </w:p>
    <w:p w14:paraId="34508DEE">
      <w:pPr>
        <w:spacing w:line="360" w:lineRule="exact"/>
        <w:ind w:left="-10" w:leftChars="-5" w:right="2" w:rightChars="1" w:firstLine="422" w:firstLineChars="200"/>
        <w:rPr>
          <w:rFonts w:hAnsi="宋体"/>
          <w:b/>
          <w:bCs/>
        </w:rPr>
      </w:pPr>
      <w:r>
        <w:rPr>
          <w:rFonts w:hint="eastAsia" w:hAnsi="宋体"/>
          <w:b/>
          <w:bCs/>
        </w:rPr>
        <w:t>2、</w:t>
      </w:r>
      <w:r>
        <w:rPr>
          <w:rFonts w:hAnsi="宋体"/>
          <w:b/>
          <w:bCs/>
        </w:rPr>
        <w:t>凡在“</w:t>
      </w:r>
      <w:r>
        <w:rPr>
          <w:rFonts w:hint="eastAsia" w:hAnsi="宋体"/>
          <w:b/>
          <w:bCs/>
        </w:rPr>
        <w:t>技术要求</w:t>
      </w:r>
      <w:r>
        <w:rPr>
          <w:rFonts w:hAnsi="宋体"/>
          <w:b/>
          <w:bCs/>
        </w:rPr>
        <w:t>”中表述为“标配”或“标准配置”的设备，供应商应在</w:t>
      </w:r>
      <w:r>
        <w:rPr>
          <w:rFonts w:hint="eastAsia" w:hAnsi="宋体"/>
          <w:b/>
          <w:bCs/>
        </w:rPr>
        <w:t>货物配置清单</w:t>
      </w:r>
      <w:r>
        <w:rPr>
          <w:rFonts w:hAnsi="宋体"/>
          <w:b/>
          <w:bCs/>
        </w:rPr>
        <w:t>中将其标配参数详细列明。</w:t>
      </w:r>
    </w:p>
    <w:p w14:paraId="572DF179">
      <w:pPr>
        <w:spacing w:line="360" w:lineRule="exact"/>
        <w:ind w:left="-10" w:leftChars="-5" w:right="2" w:rightChars="1" w:firstLine="422" w:firstLineChars="200"/>
        <w:rPr>
          <w:rFonts w:hAnsi="宋体"/>
          <w:b/>
          <w:bCs/>
        </w:rPr>
      </w:pPr>
      <w:r>
        <w:rPr>
          <w:rFonts w:hint="eastAsia" w:hAnsi="宋体"/>
          <w:b/>
          <w:bCs/>
        </w:rPr>
        <w:t>3、</w:t>
      </w:r>
      <w:r>
        <w:rPr>
          <w:rFonts w:hAnsi="宋体"/>
          <w:b/>
          <w:bCs/>
        </w:rPr>
        <w:t>根据《财政部 发展改革委 生态环境部 市场监管总局关于调整优化节能产品、环境标志产品政府采购执行机制的通知》（财库〔2019〕9 号）和《关于印发节能产品政府采购品目清单的通知》（财库〔2019〕19 号）的规定，采购需求中的产品属于节能产品政府采购品目清单内标注“★”的（详见本章后附的节能产品政府采购品目清单），供应商的竞标货物必须使用政府强制采购的节能产品，否则响应文件作无效响应处理。</w:t>
      </w:r>
    </w:p>
    <w:p w14:paraId="0EDA563B">
      <w:pPr>
        <w:spacing w:line="360" w:lineRule="exact"/>
        <w:ind w:left="-10" w:leftChars="-5" w:right="2" w:rightChars="1" w:firstLine="422" w:firstLineChars="200"/>
        <w:rPr>
          <w:rFonts w:hAnsi="宋体"/>
          <w:b/>
          <w:bCs/>
        </w:rPr>
      </w:pPr>
      <w:r>
        <w:rPr>
          <w:rFonts w:hint="eastAsia" w:hAnsi="宋体"/>
          <w:b/>
          <w:bCs/>
        </w:rPr>
        <w:t>4、如供应商竞标产品存在侵犯他人的知识产权或者专利成果行为的，由供应商自行承担相应法律责任。</w:t>
      </w:r>
    </w:p>
    <w:p w14:paraId="0D55DAF8">
      <w:pPr>
        <w:spacing w:line="360" w:lineRule="exact"/>
        <w:ind w:left="-10" w:leftChars="-5" w:right="2" w:rightChars="1" w:firstLine="422" w:firstLineChars="200"/>
        <w:rPr>
          <w:rFonts w:hAnsi="宋体"/>
          <w:b/>
          <w:bCs/>
        </w:rPr>
      </w:pPr>
      <w:r>
        <w:rPr>
          <w:rFonts w:hint="eastAsia" w:hAnsi="宋体"/>
          <w:b/>
          <w:bCs/>
        </w:rPr>
        <w:t>5、“实质性要求”是指竞争性谈判文件中已经指明不满足则响应无效的条款，或者不能负偏离的条款，或者采购需求中带“▲”的条款。</w:t>
      </w:r>
    </w:p>
    <w:p w14:paraId="71A4EEC6">
      <w:pPr>
        <w:spacing w:line="360" w:lineRule="exact"/>
        <w:ind w:left="-10" w:leftChars="-5" w:right="2" w:rightChars="1" w:firstLine="422" w:firstLineChars="200"/>
        <w:rPr>
          <w:rFonts w:hAnsi="宋体"/>
          <w:b/>
        </w:rPr>
      </w:pPr>
      <w:r>
        <w:rPr>
          <w:rFonts w:hint="eastAsia" w:hAnsi="宋体"/>
          <w:b/>
          <w:bCs/>
        </w:rPr>
        <w:t>6、供应商应根据自身实际情况如实响应竞争性谈判文件，不得仅将竞争性谈判文件内容简单复制粘贴作为竞标响应，否则将作无效响应处理（定制采购不适用本条款）。</w:t>
      </w:r>
      <w:bookmarkEnd w:id="28"/>
    </w:p>
    <w:p w14:paraId="6A938232">
      <w:pPr>
        <w:spacing w:line="360" w:lineRule="exact"/>
        <w:ind w:left="-10" w:leftChars="-5" w:right="2" w:rightChars="1" w:firstLine="422" w:firstLineChars="200"/>
      </w:pPr>
      <w:r>
        <w:rPr>
          <w:rFonts w:hint="eastAsia" w:hAnsi="宋体"/>
          <w:b/>
          <w:bCs/>
        </w:rPr>
        <w:t>采购预算金额：1000000.00元。</w:t>
      </w:r>
      <w:bookmarkStart w:id="29" w:name="_Toc74322011"/>
    </w:p>
    <w:tbl>
      <w:tblPr>
        <w:tblStyle w:val="27"/>
        <w:tblW w:w="96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5"/>
        <w:gridCol w:w="873"/>
        <w:gridCol w:w="892"/>
        <w:gridCol w:w="967"/>
        <w:gridCol w:w="6464"/>
      </w:tblGrid>
      <w:tr w14:paraId="654F1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jc w:val="center"/>
        </w:trPr>
        <w:tc>
          <w:tcPr>
            <w:tcW w:w="485" w:type="dxa"/>
            <w:vAlign w:val="center"/>
          </w:tcPr>
          <w:p w14:paraId="666E845B">
            <w:pPr>
              <w:spacing w:line="400" w:lineRule="atLeast"/>
              <w:jc w:val="center"/>
              <w:rPr>
                <w:rFonts w:ascii="宋体" w:hAnsi="宋体" w:cs="宋体"/>
                <w:szCs w:val="21"/>
              </w:rPr>
            </w:pPr>
            <w:r>
              <w:rPr>
                <w:rFonts w:hint="eastAsia" w:ascii="宋体" w:hAnsi="宋体" w:cs="宋体"/>
                <w:szCs w:val="21"/>
              </w:rPr>
              <w:t>序号</w:t>
            </w:r>
          </w:p>
        </w:tc>
        <w:tc>
          <w:tcPr>
            <w:tcW w:w="873" w:type="dxa"/>
            <w:vAlign w:val="center"/>
          </w:tcPr>
          <w:p w14:paraId="3486333C">
            <w:pPr>
              <w:spacing w:line="400" w:lineRule="atLeast"/>
              <w:jc w:val="center"/>
              <w:rPr>
                <w:rFonts w:ascii="宋体" w:hAnsi="宋体" w:cs="宋体"/>
                <w:szCs w:val="21"/>
              </w:rPr>
            </w:pPr>
            <w:r>
              <w:rPr>
                <w:rFonts w:hint="eastAsia" w:ascii="宋体" w:hAnsi="宋体" w:cs="宋体"/>
                <w:szCs w:val="21"/>
              </w:rPr>
              <w:t>标的的</w:t>
            </w:r>
          </w:p>
          <w:p w14:paraId="635E7D78">
            <w:pPr>
              <w:spacing w:line="400" w:lineRule="atLeast"/>
              <w:jc w:val="center"/>
              <w:rPr>
                <w:rFonts w:ascii="宋体" w:hAnsi="宋体" w:cs="宋体"/>
                <w:szCs w:val="21"/>
              </w:rPr>
            </w:pPr>
            <w:r>
              <w:rPr>
                <w:rFonts w:hint="eastAsia" w:ascii="宋体" w:hAnsi="宋体" w:cs="宋体"/>
                <w:szCs w:val="21"/>
              </w:rPr>
              <w:t>名称</w:t>
            </w:r>
          </w:p>
        </w:tc>
        <w:tc>
          <w:tcPr>
            <w:tcW w:w="892" w:type="dxa"/>
            <w:vAlign w:val="center"/>
          </w:tcPr>
          <w:p w14:paraId="021CA454">
            <w:pPr>
              <w:spacing w:line="400" w:lineRule="atLeast"/>
              <w:jc w:val="center"/>
              <w:rPr>
                <w:rFonts w:ascii="宋体" w:hAnsi="宋体" w:cs="宋体"/>
                <w:szCs w:val="21"/>
              </w:rPr>
            </w:pPr>
            <w:r>
              <w:rPr>
                <w:rFonts w:hint="eastAsia" w:ascii="宋体" w:hAnsi="宋体" w:cs="宋体"/>
                <w:szCs w:val="21"/>
              </w:rPr>
              <w:t>数量及单位</w:t>
            </w:r>
          </w:p>
        </w:tc>
        <w:tc>
          <w:tcPr>
            <w:tcW w:w="967" w:type="dxa"/>
            <w:tcBorders>
              <w:right w:val="single" w:color="auto" w:sz="4" w:space="0"/>
            </w:tcBorders>
            <w:vAlign w:val="center"/>
          </w:tcPr>
          <w:p w14:paraId="5D716B64">
            <w:pPr>
              <w:spacing w:line="400" w:lineRule="atLeast"/>
              <w:jc w:val="center"/>
              <w:rPr>
                <w:rFonts w:ascii="宋体" w:hAnsi="宋体" w:cs="宋体"/>
                <w:szCs w:val="21"/>
              </w:rPr>
            </w:pPr>
            <w:r>
              <w:rPr>
                <w:rFonts w:hint="eastAsia" w:ascii="宋体" w:hAnsi="宋体" w:cs="宋体"/>
                <w:szCs w:val="21"/>
              </w:rPr>
              <w:t>所属</w:t>
            </w:r>
          </w:p>
          <w:p w14:paraId="5E340138">
            <w:pPr>
              <w:spacing w:line="400" w:lineRule="atLeast"/>
              <w:jc w:val="center"/>
              <w:rPr>
                <w:rFonts w:ascii="宋体" w:hAnsi="宋体" w:cs="宋体"/>
                <w:szCs w:val="21"/>
              </w:rPr>
            </w:pPr>
            <w:r>
              <w:rPr>
                <w:rFonts w:hint="eastAsia" w:ascii="宋体" w:hAnsi="宋体" w:cs="宋体"/>
                <w:szCs w:val="21"/>
              </w:rPr>
              <w:t>行业</w:t>
            </w:r>
          </w:p>
        </w:tc>
        <w:tc>
          <w:tcPr>
            <w:tcW w:w="6464" w:type="dxa"/>
            <w:tcBorders>
              <w:left w:val="single" w:color="auto" w:sz="4" w:space="0"/>
            </w:tcBorders>
            <w:vAlign w:val="center"/>
          </w:tcPr>
          <w:p w14:paraId="70046339">
            <w:pPr>
              <w:spacing w:line="400" w:lineRule="atLeast"/>
              <w:jc w:val="center"/>
              <w:rPr>
                <w:rFonts w:ascii="宋体" w:hAnsi="宋体" w:cs="宋体"/>
                <w:szCs w:val="21"/>
              </w:rPr>
            </w:pPr>
            <w:r>
              <w:rPr>
                <w:rFonts w:hint="eastAsia" w:ascii="宋体" w:hAnsi="宋体" w:cs="宋体"/>
                <w:szCs w:val="21"/>
              </w:rPr>
              <w:t>技术规格及有关要求</w:t>
            </w:r>
          </w:p>
        </w:tc>
      </w:tr>
      <w:tr w14:paraId="43618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3" w:hRule="atLeast"/>
          <w:jc w:val="center"/>
        </w:trPr>
        <w:tc>
          <w:tcPr>
            <w:tcW w:w="485" w:type="dxa"/>
            <w:vAlign w:val="center"/>
          </w:tcPr>
          <w:p w14:paraId="42CD72F5">
            <w:pPr>
              <w:spacing w:line="380" w:lineRule="atLeast"/>
              <w:jc w:val="center"/>
              <w:rPr>
                <w:rFonts w:ascii="宋体" w:hAnsi="宋体" w:cs="宋体"/>
                <w:szCs w:val="21"/>
              </w:rPr>
            </w:pPr>
            <w:r>
              <w:rPr>
                <w:rFonts w:hint="eastAsia" w:ascii="宋体" w:hAnsi="宋体" w:cs="宋体"/>
                <w:szCs w:val="21"/>
              </w:rPr>
              <w:t>1</w:t>
            </w:r>
          </w:p>
        </w:tc>
        <w:tc>
          <w:tcPr>
            <w:tcW w:w="873" w:type="dxa"/>
            <w:vAlign w:val="center"/>
          </w:tcPr>
          <w:p w14:paraId="28F5342A">
            <w:pPr>
              <w:spacing w:line="400" w:lineRule="atLeast"/>
              <w:jc w:val="center"/>
              <w:rPr>
                <w:rFonts w:ascii="宋体" w:hAnsi="宋体" w:cs="宋体"/>
                <w:szCs w:val="21"/>
              </w:rPr>
            </w:pPr>
            <w:r>
              <w:rPr>
                <w:rFonts w:hint="eastAsia" w:ascii="宋体" w:hAnsi="宋体" w:cs="宋体"/>
                <w:szCs w:val="21"/>
                <w:lang w:val="zh-CN"/>
              </w:rPr>
              <w:t>柴油</w:t>
            </w:r>
          </w:p>
        </w:tc>
        <w:tc>
          <w:tcPr>
            <w:tcW w:w="892" w:type="dxa"/>
            <w:vAlign w:val="center"/>
          </w:tcPr>
          <w:p w14:paraId="4AF7A5A9">
            <w:pPr>
              <w:spacing w:line="400" w:lineRule="atLeast"/>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eastAsia="zh-CN"/>
              </w:rPr>
              <w:t>宗</w:t>
            </w:r>
          </w:p>
        </w:tc>
        <w:tc>
          <w:tcPr>
            <w:tcW w:w="967" w:type="dxa"/>
            <w:tcBorders>
              <w:right w:val="single" w:color="auto" w:sz="4" w:space="0"/>
            </w:tcBorders>
            <w:vAlign w:val="center"/>
          </w:tcPr>
          <w:p w14:paraId="403C7D8E">
            <w:pPr>
              <w:spacing w:line="400" w:lineRule="atLeast"/>
              <w:jc w:val="center"/>
              <w:rPr>
                <w:rFonts w:ascii="宋体" w:hAnsi="宋体" w:cs="宋体"/>
                <w:szCs w:val="21"/>
              </w:rPr>
            </w:pPr>
            <w:r>
              <w:rPr>
                <w:rFonts w:hint="eastAsia" w:ascii="宋体" w:hAnsi="宋体" w:cs="宋体"/>
                <w:szCs w:val="21"/>
              </w:rPr>
              <w:t>工业</w:t>
            </w:r>
          </w:p>
        </w:tc>
        <w:tc>
          <w:tcPr>
            <w:tcW w:w="6464" w:type="dxa"/>
            <w:tcBorders>
              <w:left w:val="single" w:color="auto" w:sz="4" w:space="0"/>
            </w:tcBorders>
            <w:vAlign w:val="center"/>
          </w:tcPr>
          <w:p w14:paraId="6D12F0BB">
            <w:pPr>
              <w:spacing w:line="400" w:lineRule="atLeast"/>
              <w:jc w:val="left"/>
              <w:rPr>
                <w:rFonts w:ascii="宋体" w:hAnsi="宋体" w:cs="宋体"/>
                <w:szCs w:val="21"/>
              </w:rPr>
            </w:pPr>
            <w:r>
              <w:rPr>
                <w:rFonts w:hint="eastAsia" w:ascii="宋体" w:hAnsi="宋体" w:cs="宋体"/>
                <w:szCs w:val="21"/>
              </w:rPr>
              <w:t>1、十六烷值不小于（发热量）45，符合GB/T386；</w:t>
            </w:r>
          </w:p>
          <w:p w14:paraId="53DAA4A6">
            <w:pPr>
              <w:spacing w:line="400" w:lineRule="atLeast"/>
              <w:jc w:val="left"/>
              <w:rPr>
                <w:rFonts w:ascii="宋体" w:hAnsi="宋体" w:cs="宋体"/>
                <w:szCs w:val="21"/>
              </w:rPr>
            </w:pPr>
            <w:r>
              <w:rPr>
                <w:rFonts w:hint="eastAsia" w:ascii="宋体" w:hAnsi="宋体" w:cs="宋体"/>
                <w:szCs w:val="21"/>
              </w:rPr>
              <w:t>2、馏程符合GB/T6536，50%馏出温度：不高于300℃，90%馏出温度：不高于355℃，95%馏出温度：不高于 365℃；</w:t>
            </w:r>
          </w:p>
          <w:p w14:paraId="32496C85">
            <w:pPr>
              <w:spacing w:line="400" w:lineRule="atLeast"/>
              <w:jc w:val="left"/>
              <w:rPr>
                <w:rFonts w:ascii="宋体" w:hAnsi="宋体" w:cs="宋体"/>
                <w:szCs w:val="21"/>
              </w:rPr>
            </w:pPr>
            <w:r>
              <w:rPr>
                <w:rFonts w:hint="eastAsia" w:ascii="宋体" w:hAnsi="宋体" w:cs="宋体"/>
                <w:szCs w:val="21"/>
              </w:rPr>
              <w:t>3、运动粘度（20 oC）mm2/S，在3.0—8.0之间，符合GB/T265；</w:t>
            </w:r>
          </w:p>
          <w:p w14:paraId="54167508">
            <w:pPr>
              <w:spacing w:line="400" w:lineRule="atLeast"/>
              <w:jc w:val="left"/>
              <w:rPr>
                <w:rFonts w:ascii="宋体" w:hAnsi="宋体" w:cs="宋体"/>
                <w:szCs w:val="21"/>
              </w:rPr>
            </w:pPr>
            <w:r>
              <w:rPr>
                <w:rFonts w:hint="eastAsia" w:ascii="宋体" w:hAnsi="宋体" w:cs="宋体"/>
                <w:szCs w:val="21"/>
              </w:rPr>
              <w:t>4、10%蒸余物残炭，%不大于0.3，符合 GB/T268；</w:t>
            </w:r>
          </w:p>
          <w:p w14:paraId="5B1AFD27">
            <w:pPr>
              <w:spacing w:line="400" w:lineRule="atLeast"/>
              <w:jc w:val="left"/>
              <w:rPr>
                <w:rFonts w:ascii="宋体" w:hAnsi="宋体" w:cs="宋体"/>
                <w:szCs w:val="21"/>
              </w:rPr>
            </w:pPr>
            <w:r>
              <w:rPr>
                <w:rFonts w:hint="eastAsia" w:ascii="宋体" w:hAnsi="宋体" w:cs="宋体"/>
                <w:szCs w:val="21"/>
              </w:rPr>
              <w:t xml:space="preserve">5、灰分，%不大于0.01，符合GB/T508； </w:t>
            </w:r>
          </w:p>
          <w:p w14:paraId="66C6692B">
            <w:pPr>
              <w:spacing w:line="400" w:lineRule="atLeast"/>
              <w:jc w:val="left"/>
              <w:rPr>
                <w:rFonts w:ascii="宋体" w:hAnsi="宋体" w:cs="宋体"/>
                <w:szCs w:val="21"/>
              </w:rPr>
            </w:pPr>
            <w:r>
              <w:rPr>
                <w:rFonts w:hint="eastAsia" w:ascii="宋体" w:hAnsi="宋体" w:cs="宋体"/>
                <w:szCs w:val="21"/>
              </w:rPr>
              <w:t>6、硫含量，%不大于0.2，符合 GB/T380；</w:t>
            </w:r>
          </w:p>
          <w:p w14:paraId="4469FB06">
            <w:pPr>
              <w:spacing w:line="400" w:lineRule="atLeast"/>
              <w:jc w:val="left"/>
              <w:rPr>
                <w:rFonts w:ascii="宋体" w:hAnsi="宋体" w:cs="宋体"/>
                <w:szCs w:val="21"/>
              </w:rPr>
            </w:pPr>
            <w:r>
              <w:rPr>
                <w:rFonts w:hint="eastAsia" w:ascii="宋体" w:hAnsi="宋体" w:cs="宋体"/>
                <w:szCs w:val="21"/>
              </w:rPr>
              <w:t>7、机械杂质，无，符合GB/T511；</w:t>
            </w:r>
          </w:p>
          <w:p w14:paraId="4B358649">
            <w:pPr>
              <w:spacing w:line="400" w:lineRule="atLeast"/>
              <w:jc w:val="left"/>
              <w:rPr>
                <w:rFonts w:ascii="宋体" w:hAnsi="宋体" w:cs="宋体"/>
                <w:szCs w:val="21"/>
              </w:rPr>
            </w:pPr>
            <w:r>
              <w:rPr>
                <w:rFonts w:hint="eastAsia" w:ascii="宋体" w:hAnsi="宋体" w:cs="宋体"/>
                <w:szCs w:val="21"/>
              </w:rPr>
              <w:t>8、水含量，%不大于痕迹，符合GB/T260；</w:t>
            </w:r>
          </w:p>
          <w:p w14:paraId="51BD4750">
            <w:pPr>
              <w:spacing w:line="400" w:lineRule="atLeast"/>
              <w:jc w:val="left"/>
              <w:rPr>
                <w:rFonts w:ascii="宋体" w:hAnsi="宋体" w:cs="宋体"/>
                <w:szCs w:val="21"/>
              </w:rPr>
            </w:pPr>
            <w:r>
              <w:rPr>
                <w:rFonts w:hint="eastAsia" w:ascii="宋体" w:hAnsi="宋体" w:cs="宋体"/>
                <w:szCs w:val="21"/>
              </w:rPr>
              <w:t>9、闪点（闭口）不低于65℃，符合GB/T261；</w:t>
            </w:r>
          </w:p>
          <w:p w14:paraId="74165201">
            <w:pPr>
              <w:spacing w:line="400" w:lineRule="atLeast"/>
              <w:jc w:val="left"/>
              <w:rPr>
                <w:rFonts w:ascii="宋体" w:hAnsi="宋体" w:cs="宋体"/>
                <w:szCs w:val="21"/>
              </w:rPr>
            </w:pPr>
            <w:r>
              <w:rPr>
                <w:rFonts w:hint="eastAsia" w:ascii="宋体" w:hAnsi="宋体" w:cs="宋体"/>
                <w:szCs w:val="21"/>
              </w:rPr>
              <w:t xml:space="preserve">10、出具产品质量检验报告单。 </w:t>
            </w:r>
          </w:p>
        </w:tc>
      </w:tr>
      <w:tr w14:paraId="548FD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1358" w:type="dxa"/>
            <w:gridSpan w:val="2"/>
            <w:vAlign w:val="center"/>
          </w:tcPr>
          <w:p w14:paraId="7BCBB8E1">
            <w:pPr>
              <w:spacing w:line="400" w:lineRule="atLeast"/>
              <w:ind w:left="210"/>
              <w:rPr>
                <w:rFonts w:ascii="宋体" w:hAnsi="宋体" w:cs="宋体"/>
                <w:color w:val="auto"/>
                <w:kern w:val="0"/>
                <w:szCs w:val="21"/>
              </w:rPr>
            </w:pPr>
            <w:r>
              <w:rPr>
                <w:rFonts w:hint="eastAsia" w:ascii="宋体" w:hAnsi="宋体" w:cs="宋体"/>
                <w:color w:val="auto"/>
                <w:szCs w:val="21"/>
              </w:rPr>
              <w:t>▲一、</w:t>
            </w:r>
            <w:r>
              <w:rPr>
                <w:rFonts w:hint="eastAsia" w:ascii="宋体" w:hAnsi="宋体" w:cs="宋体"/>
                <w:b/>
                <w:color w:val="auto"/>
                <w:szCs w:val="21"/>
              </w:rPr>
              <w:t>商务条款</w:t>
            </w:r>
          </w:p>
        </w:tc>
        <w:tc>
          <w:tcPr>
            <w:tcW w:w="8323" w:type="dxa"/>
            <w:gridSpan w:val="3"/>
            <w:vAlign w:val="center"/>
          </w:tcPr>
          <w:p w14:paraId="2CFA9FA7">
            <w:pPr>
              <w:spacing w:line="400" w:lineRule="atLeast"/>
              <w:jc w:val="left"/>
              <w:rPr>
                <w:rFonts w:ascii="宋体" w:hAnsi="宋体" w:cs="宋体"/>
                <w:color w:val="auto"/>
                <w:szCs w:val="21"/>
              </w:rPr>
            </w:pPr>
            <w:r>
              <w:rPr>
                <w:rFonts w:hint="eastAsia" w:ascii="宋体" w:hAnsi="宋体" w:cs="宋体"/>
                <w:color w:val="auto"/>
                <w:szCs w:val="21"/>
              </w:rPr>
              <w:t>1、合同签订期：自成交通知书发出之日起</w:t>
            </w:r>
            <w:r>
              <w:rPr>
                <w:rFonts w:hint="eastAsia" w:ascii="宋体" w:hAnsi="宋体" w:cs="宋体"/>
                <w:color w:val="auto"/>
                <w:szCs w:val="21"/>
                <w:u w:val="single"/>
              </w:rPr>
              <w:t>25</w:t>
            </w:r>
            <w:r>
              <w:rPr>
                <w:rFonts w:hint="eastAsia" w:ascii="宋体" w:hAnsi="宋体" w:cs="宋体"/>
                <w:color w:val="auto"/>
                <w:szCs w:val="21"/>
              </w:rPr>
              <w:t>日内。</w:t>
            </w:r>
          </w:p>
          <w:p w14:paraId="5079EFA7">
            <w:pPr>
              <w:spacing w:line="400" w:lineRule="atLeast"/>
              <w:jc w:val="left"/>
              <w:rPr>
                <w:rFonts w:ascii="宋体" w:hAnsi="宋体" w:cs="宋体"/>
                <w:color w:val="auto"/>
                <w:szCs w:val="21"/>
              </w:rPr>
            </w:pPr>
            <w:r>
              <w:rPr>
                <w:rFonts w:hint="eastAsia" w:ascii="宋体" w:hAnsi="宋体" w:cs="宋体"/>
                <w:color w:val="auto"/>
                <w:szCs w:val="21"/>
              </w:rPr>
              <w:t>2、合同履约期限：</w:t>
            </w:r>
            <w:r>
              <w:rPr>
                <w:rFonts w:hint="eastAsia" w:ascii="宋体" w:hAnsi="宋体"/>
                <w:color w:val="auto"/>
                <w:szCs w:val="21"/>
              </w:rPr>
              <w:t>合同期限为壹年（自签订之日起计算）；如在该期限内未使用完本次采购总金额的，甲方有权通知乙方或双方协商延长合同期限。</w:t>
            </w:r>
          </w:p>
          <w:p w14:paraId="7A486351">
            <w:pPr>
              <w:spacing w:line="400" w:lineRule="atLeast"/>
              <w:jc w:val="left"/>
              <w:rPr>
                <w:rFonts w:ascii="宋体" w:hAnsi="宋体" w:cs="宋体"/>
                <w:color w:val="auto"/>
                <w:szCs w:val="21"/>
              </w:rPr>
            </w:pPr>
            <w:r>
              <w:rPr>
                <w:rFonts w:hint="eastAsia" w:ascii="宋体" w:hAnsi="宋体" w:cs="宋体"/>
                <w:color w:val="auto"/>
                <w:szCs w:val="21"/>
              </w:rPr>
              <w:t>3、交付地点：按照采购人指定地点。</w:t>
            </w:r>
          </w:p>
          <w:p w14:paraId="210322A8">
            <w:pPr>
              <w:spacing w:line="400" w:lineRule="atLeast"/>
              <w:jc w:val="left"/>
              <w:rPr>
                <w:rFonts w:ascii="宋体" w:hAnsi="宋体" w:cs="宋体"/>
                <w:color w:val="auto"/>
                <w:szCs w:val="21"/>
              </w:rPr>
            </w:pPr>
            <w:r>
              <w:rPr>
                <w:rFonts w:hint="eastAsia" w:ascii="宋体" w:hAnsi="宋体" w:cs="宋体"/>
                <w:color w:val="auto"/>
                <w:szCs w:val="21"/>
              </w:rPr>
              <w:t>4、合同价款以实际订单数量乘以成交单价进行结算，实际价格结算按进货当天玉林中石化或中石油的挂牌销售价乘以下浮系数</w:t>
            </w:r>
            <w:r>
              <w:rPr>
                <w:rFonts w:hint="eastAsia" w:ascii="宋体" w:hAnsi="宋体" w:cs="宋体"/>
                <w:color w:val="auto"/>
                <w:szCs w:val="21"/>
                <w:lang w:eastAsia="zh-CN"/>
              </w:rPr>
              <w:t>，</w:t>
            </w:r>
            <w:r>
              <w:rPr>
                <w:rFonts w:hint="eastAsia" w:ascii="宋体" w:hAnsi="宋体" w:cs="宋体"/>
                <w:color w:val="auto"/>
                <w:szCs w:val="21"/>
                <w:lang w:val="en-US" w:eastAsia="zh-CN"/>
              </w:rPr>
              <w:t>下浮系数≤0.95。</w:t>
            </w:r>
          </w:p>
          <w:p w14:paraId="44C2983E">
            <w:pPr>
              <w:spacing w:line="400" w:lineRule="atLeast"/>
              <w:jc w:val="left"/>
              <w:rPr>
                <w:rFonts w:ascii="宋体" w:hAnsi="宋体" w:cs="宋体"/>
                <w:color w:val="auto"/>
                <w:szCs w:val="21"/>
              </w:rPr>
            </w:pPr>
            <w:r>
              <w:rPr>
                <w:rFonts w:hint="eastAsia" w:ascii="宋体" w:hAnsi="宋体" w:cs="宋体"/>
                <w:color w:val="auto"/>
                <w:szCs w:val="21"/>
              </w:rPr>
              <w:t>5、供应商送货到指定地点，经双方人员使用高精度密度计进行测量，以测量密度结果转换升为准。</w:t>
            </w:r>
          </w:p>
          <w:p w14:paraId="5B0E260E">
            <w:pPr>
              <w:spacing w:line="400" w:lineRule="atLeast"/>
              <w:jc w:val="left"/>
              <w:rPr>
                <w:rFonts w:ascii="宋体" w:hAnsi="宋体" w:cs="宋体"/>
                <w:color w:val="auto"/>
                <w:szCs w:val="21"/>
              </w:rPr>
            </w:pPr>
            <w:r>
              <w:rPr>
                <w:rFonts w:hint="eastAsia" w:ascii="宋体" w:hAnsi="宋体" w:cs="宋体"/>
                <w:color w:val="auto"/>
                <w:szCs w:val="21"/>
              </w:rPr>
              <w:t>6、供应商成交期内应免费提供一次柴油罐清理服务。</w:t>
            </w:r>
          </w:p>
          <w:p w14:paraId="685BD296">
            <w:pPr>
              <w:spacing w:line="400" w:lineRule="atLeast"/>
              <w:jc w:val="left"/>
              <w:rPr>
                <w:rFonts w:hint="eastAsia" w:ascii="宋体" w:hAnsi="宋体" w:cs="宋体"/>
                <w:color w:val="auto"/>
                <w:szCs w:val="21"/>
              </w:rPr>
            </w:pPr>
            <w:r>
              <w:rPr>
                <w:rFonts w:hint="eastAsia" w:ascii="宋体" w:hAnsi="宋体" w:cs="宋体"/>
                <w:color w:val="auto"/>
                <w:szCs w:val="21"/>
              </w:rPr>
              <w:t>7、对不符合质量要求的产品，采购人有权退货，并由成交人承担因退货而产生的一切费用；若成交人未能按时供货或因货物的质量问题影响采购人正常生产的，采购人有权暂停结算货款，并要求成交人赔偿相关的损失。</w:t>
            </w:r>
          </w:p>
          <w:p w14:paraId="254AF6AF">
            <w:pPr>
              <w:spacing w:line="400" w:lineRule="atLeast"/>
              <w:jc w:val="left"/>
              <w:rPr>
                <w:rFonts w:ascii="宋体" w:hAnsi="宋体" w:cs="宋体"/>
                <w:bCs/>
                <w:color w:val="auto"/>
                <w:kern w:val="0"/>
                <w:szCs w:val="21"/>
              </w:rPr>
            </w:pPr>
            <w:r>
              <w:rPr>
                <w:rFonts w:hint="eastAsia" w:ascii="宋体" w:hAnsi="宋体" w:cs="宋体"/>
                <w:bCs/>
                <w:color w:val="auto"/>
                <w:kern w:val="0"/>
                <w:szCs w:val="21"/>
              </w:rPr>
              <w:t>8、在使用过程中采购人会不定期对油品进行抽查，如抽查不合格造成的损失由成交人承担损失，并进行相应的处罚。</w:t>
            </w:r>
          </w:p>
          <w:p w14:paraId="4674201D">
            <w:pPr>
              <w:spacing w:line="400" w:lineRule="atLeast"/>
              <w:jc w:val="left"/>
              <w:rPr>
                <w:rFonts w:ascii="宋体" w:hAnsi="宋体" w:cs="宋体"/>
                <w:color w:val="auto"/>
                <w:szCs w:val="21"/>
              </w:rPr>
            </w:pPr>
            <w:r>
              <w:rPr>
                <w:rFonts w:hint="eastAsia" w:ascii="宋体" w:hAnsi="宋体" w:cs="宋体"/>
                <w:color w:val="auto"/>
                <w:szCs w:val="21"/>
              </w:rPr>
              <w:t>9、</w:t>
            </w:r>
            <w:r>
              <w:rPr>
                <w:rFonts w:hint="eastAsia" w:ascii="宋体" w:hAnsi="宋体" w:cs="宋体"/>
                <w:bCs/>
                <w:color w:val="auto"/>
                <w:kern w:val="0"/>
                <w:szCs w:val="21"/>
              </w:rPr>
              <w:t>危险化学品经营许可证的有效期大于供应商供货的服务期，服务期限为自签订合同之日起一年。</w:t>
            </w:r>
          </w:p>
          <w:p w14:paraId="24E8092C">
            <w:pPr>
              <w:spacing w:line="400" w:lineRule="atLeast"/>
              <w:jc w:val="left"/>
              <w:rPr>
                <w:rFonts w:hint="eastAsia" w:ascii="宋体" w:hAnsi="宋体" w:cs="宋体"/>
                <w:color w:val="auto"/>
                <w:szCs w:val="21"/>
              </w:rPr>
            </w:pPr>
            <w:r>
              <w:rPr>
                <w:rFonts w:hint="eastAsia" w:ascii="宋体" w:hAnsi="宋体" w:cs="宋体"/>
                <w:color w:val="auto"/>
                <w:szCs w:val="21"/>
              </w:rPr>
              <w:t>10、付款方式：每批次货到采购人指定地点，并经采购人检验合格后，成交人出具产品质量检验报告单并提交符合采购人财务要求的增值税专用发票。采购人收到成交人的税务发票后15日内以转帐方式支付。</w:t>
            </w:r>
          </w:p>
          <w:p w14:paraId="7AA0E3B5">
            <w:pPr>
              <w:spacing w:line="400" w:lineRule="atLeast"/>
              <w:jc w:val="left"/>
              <w:rPr>
                <w:rFonts w:hint="default" w:eastAsia="宋体"/>
                <w:color w:val="auto"/>
                <w:lang w:val="en-US" w:eastAsia="zh-CN"/>
              </w:rPr>
            </w:pPr>
            <w:r>
              <w:rPr>
                <w:rFonts w:hint="eastAsia" w:ascii="宋体" w:hAnsi="宋体" w:cs="宋体"/>
                <w:color w:val="auto"/>
                <w:szCs w:val="21"/>
                <w:lang w:val="en-US" w:eastAsia="zh-CN"/>
              </w:rPr>
              <w:t>11、本项目报价为下浮系数报价，下浮系数≤0.95，实际成交单价以进货当天按玉林中石化或中石油的挂牌销售价格下浮系数确定，但最终结算总价不超出本项目采购预算价。</w:t>
            </w:r>
          </w:p>
        </w:tc>
      </w:tr>
      <w:tr w14:paraId="0141D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1358" w:type="dxa"/>
            <w:gridSpan w:val="2"/>
            <w:vAlign w:val="center"/>
          </w:tcPr>
          <w:p w14:paraId="0C1D9839">
            <w:pPr>
              <w:spacing w:line="400" w:lineRule="atLeast"/>
              <w:jc w:val="center"/>
              <w:rPr>
                <w:rFonts w:ascii="宋体" w:hAnsi="宋体" w:cs="宋体"/>
                <w:kern w:val="0"/>
                <w:szCs w:val="21"/>
              </w:rPr>
            </w:pPr>
            <w:r>
              <w:rPr>
                <w:rFonts w:hint="eastAsia" w:ascii="宋体" w:hAnsi="宋体" w:cs="宋体"/>
                <w:szCs w:val="21"/>
              </w:rPr>
              <w:t>▲</w:t>
            </w:r>
            <w:r>
              <w:rPr>
                <w:rFonts w:hint="eastAsia" w:ascii="宋体" w:hAnsi="宋体" w:cs="宋体"/>
                <w:b/>
                <w:szCs w:val="21"/>
              </w:rPr>
              <w:t>二、进口产品说明</w:t>
            </w:r>
          </w:p>
        </w:tc>
        <w:tc>
          <w:tcPr>
            <w:tcW w:w="8323" w:type="dxa"/>
            <w:gridSpan w:val="3"/>
            <w:vAlign w:val="center"/>
          </w:tcPr>
          <w:p w14:paraId="49EA2008">
            <w:pPr>
              <w:spacing w:line="400" w:lineRule="atLeast"/>
              <w:jc w:val="left"/>
              <w:rPr>
                <w:rFonts w:ascii="宋体" w:hAnsi="宋体" w:cs="宋体"/>
                <w:szCs w:val="21"/>
              </w:rPr>
            </w:pPr>
            <w:r>
              <w:rPr>
                <w:rFonts w:hint="eastAsia" w:ascii="宋体" w:hAnsi="宋体" w:cs="宋体"/>
                <w:b/>
                <w:szCs w:val="21"/>
              </w:rPr>
              <w:t>本项目货物不接受进口产品竞标（即通过中国海关报关验放进入中国境内且产自关境外的产品）</w:t>
            </w:r>
            <w:r>
              <w:rPr>
                <w:rFonts w:hint="eastAsia" w:ascii="宋体" w:hAnsi="宋体" w:cs="宋体"/>
                <w:szCs w:val="21"/>
              </w:rPr>
              <w:t>，</w:t>
            </w:r>
            <w:r>
              <w:rPr>
                <w:rFonts w:hint="eastAsia" w:ascii="宋体" w:hAnsi="宋体" w:cs="宋体"/>
                <w:b/>
                <w:szCs w:val="21"/>
              </w:rPr>
              <w:t>如有此类产品参与竞标的，响应文件按无效响应处理。</w:t>
            </w:r>
          </w:p>
        </w:tc>
      </w:tr>
    </w:tbl>
    <w:p w14:paraId="3D2054A5">
      <w:pPr>
        <w:spacing w:line="528" w:lineRule="exact"/>
        <w:rPr>
          <w:rFonts w:ascii="Arial Unicode MS" w:hAnsi="Arial Unicode MS" w:eastAsia="Arial Unicode MS" w:cs="Arial Unicode MS"/>
          <w:sz w:val="40"/>
          <w:szCs w:val="40"/>
        </w:rPr>
      </w:pPr>
    </w:p>
    <w:p w14:paraId="29F22C56">
      <w:pPr>
        <w:spacing w:line="528" w:lineRule="exact"/>
        <w:rPr>
          <w:rFonts w:ascii="Arial Unicode MS" w:hAnsi="Arial Unicode MS" w:eastAsia="Arial Unicode MS" w:cs="Arial Unicode MS"/>
          <w:sz w:val="40"/>
          <w:szCs w:val="40"/>
        </w:rPr>
      </w:pPr>
    </w:p>
    <w:p w14:paraId="7357D1B2">
      <w:pPr>
        <w:spacing w:line="528" w:lineRule="exact"/>
        <w:rPr>
          <w:rFonts w:ascii="Arial Unicode MS" w:hAnsi="Arial Unicode MS" w:eastAsia="Arial Unicode MS" w:cs="Arial Unicode MS"/>
          <w:sz w:val="40"/>
          <w:szCs w:val="40"/>
        </w:rPr>
      </w:pPr>
    </w:p>
    <w:p w14:paraId="38D7821A">
      <w:pPr>
        <w:spacing w:line="528" w:lineRule="exact"/>
        <w:rPr>
          <w:rFonts w:ascii="Arial Unicode MS" w:hAnsi="Arial Unicode MS" w:eastAsia="Arial Unicode MS" w:cs="Arial Unicode MS"/>
          <w:sz w:val="40"/>
          <w:szCs w:val="40"/>
        </w:rPr>
      </w:pPr>
    </w:p>
    <w:p w14:paraId="7642E81F">
      <w:pPr>
        <w:spacing w:line="528" w:lineRule="exact"/>
        <w:rPr>
          <w:rFonts w:ascii="Arial Unicode MS" w:hAnsi="Arial Unicode MS" w:eastAsia="Arial Unicode MS" w:cs="Arial Unicode MS"/>
          <w:sz w:val="40"/>
          <w:szCs w:val="40"/>
        </w:rPr>
      </w:pPr>
    </w:p>
    <w:p w14:paraId="67355C86">
      <w:pPr>
        <w:spacing w:line="528" w:lineRule="exact"/>
        <w:rPr>
          <w:rFonts w:ascii="Arial Unicode MS" w:hAnsi="Arial Unicode MS" w:eastAsia="Arial Unicode MS" w:cs="Arial Unicode MS"/>
          <w:sz w:val="40"/>
          <w:szCs w:val="40"/>
        </w:rPr>
      </w:pPr>
    </w:p>
    <w:p w14:paraId="48B1CC6D">
      <w:pPr>
        <w:spacing w:line="528" w:lineRule="exact"/>
        <w:rPr>
          <w:rFonts w:ascii="Arial Unicode MS" w:hAnsi="Arial Unicode MS" w:eastAsia="Arial Unicode MS" w:cs="Arial Unicode MS"/>
          <w:sz w:val="40"/>
          <w:szCs w:val="40"/>
        </w:rPr>
      </w:pPr>
    </w:p>
    <w:p w14:paraId="674E55F9">
      <w:pPr>
        <w:spacing w:line="528" w:lineRule="exact"/>
        <w:rPr>
          <w:rFonts w:ascii="Arial Unicode MS" w:hAnsi="Arial Unicode MS" w:eastAsia="Arial Unicode MS" w:cs="Arial Unicode MS"/>
          <w:sz w:val="40"/>
          <w:szCs w:val="40"/>
        </w:rPr>
      </w:pPr>
    </w:p>
    <w:p w14:paraId="7D17F9DE">
      <w:pPr>
        <w:spacing w:line="528" w:lineRule="exact"/>
        <w:rPr>
          <w:rFonts w:ascii="Arial Unicode MS" w:hAnsi="Arial Unicode MS" w:eastAsia="Arial Unicode MS" w:cs="Arial Unicode MS"/>
          <w:sz w:val="40"/>
          <w:szCs w:val="40"/>
        </w:rPr>
      </w:pPr>
    </w:p>
    <w:p w14:paraId="1B327597">
      <w:pPr>
        <w:spacing w:line="528" w:lineRule="exact"/>
        <w:rPr>
          <w:rFonts w:ascii="Arial Unicode MS" w:hAnsi="Arial Unicode MS" w:eastAsia="Arial Unicode MS" w:cs="Arial Unicode MS"/>
          <w:sz w:val="40"/>
          <w:szCs w:val="40"/>
        </w:rPr>
      </w:pPr>
    </w:p>
    <w:p w14:paraId="4CD7AA86">
      <w:pPr>
        <w:spacing w:line="528" w:lineRule="exact"/>
        <w:rPr>
          <w:rFonts w:ascii="Arial Unicode MS" w:hAnsi="Arial Unicode MS" w:eastAsia="Arial Unicode MS" w:cs="Arial Unicode MS"/>
          <w:sz w:val="40"/>
          <w:szCs w:val="40"/>
        </w:rPr>
      </w:pPr>
    </w:p>
    <w:p w14:paraId="42C8C6A7">
      <w:pPr>
        <w:spacing w:line="528" w:lineRule="exact"/>
        <w:rPr>
          <w:rFonts w:ascii="Arial Unicode MS" w:hAnsi="Arial Unicode MS" w:eastAsia="Arial Unicode MS" w:cs="Arial Unicode MS"/>
          <w:sz w:val="40"/>
          <w:szCs w:val="40"/>
        </w:rPr>
      </w:pPr>
    </w:p>
    <w:p w14:paraId="261F09F2"/>
    <w:p w14:paraId="7A6D5877">
      <w:pPr>
        <w:spacing w:line="528" w:lineRule="exact"/>
        <w:jc w:val="center"/>
      </w:pPr>
      <w:r>
        <w:rPr>
          <w:rFonts w:hint="eastAsia" w:ascii="Arial Unicode MS" w:hAnsi="Arial Unicode MS" w:eastAsia="Arial Unicode MS" w:cs="Arial Unicode MS"/>
          <w:sz w:val="40"/>
          <w:szCs w:val="40"/>
        </w:rPr>
        <w:t>节能产品政府采购品目清单</w:t>
      </w:r>
    </w:p>
    <w:p w14:paraId="20BC1F86">
      <w:pPr>
        <w:pStyle w:val="2"/>
      </w:pPr>
    </w:p>
    <w:tbl>
      <w:tblPr>
        <w:tblStyle w:val="27"/>
        <w:tblW w:w="9220" w:type="dxa"/>
        <w:tblInd w:w="93" w:type="dxa"/>
        <w:tblLayout w:type="fixed"/>
        <w:tblCellMar>
          <w:top w:w="0" w:type="dxa"/>
          <w:left w:w="108" w:type="dxa"/>
          <w:bottom w:w="0" w:type="dxa"/>
          <w:right w:w="108" w:type="dxa"/>
        </w:tblCellMar>
      </w:tblPr>
      <w:tblGrid>
        <w:gridCol w:w="716"/>
        <w:gridCol w:w="1041"/>
        <w:gridCol w:w="1516"/>
        <w:gridCol w:w="1612"/>
        <w:gridCol w:w="4335"/>
      </w:tblGrid>
      <w:tr w14:paraId="1944C3F9">
        <w:tblPrEx>
          <w:tblCellMar>
            <w:top w:w="0" w:type="dxa"/>
            <w:left w:w="108" w:type="dxa"/>
            <w:bottom w:w="0" w:type="dxa"/>
            <w:right w:w="108" w:type="dxa"/>
          </w:tblCellMar>
        </w:tblPrEx>
        <w:trPr>
          <w:trHeight w:val="555" w:hRule="atLeast"/>
        </w:trPr>
        <w:tc>
          <w:tcPr>
            <w:tcW w:w="716" w:type="dxa"/>
            <w:tcBorders>
              <w:top w:val="single" w:color="000000" w:sz="8" w:space="0"/>
              <w:left w:val="single" w:color="000000" w:sz="8" w:space="0"/>
              <w:bottom w:val="single" w:color="000000" w:sz="8" w:space="0"/>
              <w:right w:val="single" w:color="000000" w:sz="8" w:space="0"/>
            </w:tcBorders>
          </w:tcPr>
          <w:p w14:paraId="03815EB2">
            <w:pPr>
              <w:widowControl/>
              <w:jc w:val="center"/>
              <w:rPr>
                <w:rFonts w:ascii="宋体" w:hAnsi="宋体" w:cs="宋体"/>
                <w:b/>
                <w:bCs/>
                <w:kern w:val="0"/>
                <w:sz w:val="22"/>
                <w:szCs w:val="22"/>
              </w:rPr>
            </w:pPr>
            <w:r>
              <w:rPr>
                <w:rFonts w:hint="eastAsia" w:ascii="宋体" w:hAnsi="宋体" w:cs="宋体"/>
                <w:b/>
                <w:bCs/>
                <w:kern w:val="0"/>
                <w:sz w:val="22"/>
                <w:szCs w:val="22"/>
              </w:rPr>
              <w:t>品目序号</w:t>
            </w:r>
          </w:p>
        </w:tc>
        <w:tc>
          <w:tcPr>
            <w:tcW w:w="4169" w:type="dxa"/>
            <w:gridSpan w:val="3"/>
            <w:tcBorders>
              <w:top w:val="single" w:color="000000" w:sz="8" w:space="0"/>
              <w:left w:val="nil"/>
              <w:bottom w:val="single" w:color="000000" w:sz="8" w:space="0"/>
              <w:right w:val="single" w:color="000000" w:sz="8" w:space="0"/>
            </w:tcBorders>
            <w:vAlign w:val="center"/>
          </w:tcPr>
          <w:p w14:paraId="220D7564">
            <w:pPr>
              <w:widowControl/>
              <w:jc w:val="center"/>
              <w:rPr>
                <w:rFonts w:ascii="宋体" w:hAnsi="宋体" w:cs="宋体"/>
                <w:b/>
                <w:bCs/>
                <w:kern w:val="0"/>
                <w:sz w:val="22"/>
                <w:szCs w:val="22"/>
              </w:rPr>
            </w:pPr>
            <w:r>
              <w:rPr>
                <w:rFonts w:hint="eastAsia" w:ascii="宋体" w:hAnsi="宋体" w:cs="宋体"/>
                <w:b/>
                <w:bCs/>
                <w:kern w:val="0"/>
                <w:sz w:val="22"/>
                <w:szCs w:val="22"/>
              </w:rPr>
              <w:t>名称</w:t>
            </w:r>
          </w:p>
        </w:tc>
        <w:tc>
          <w:tcPr>
            <w:tcW w:w="4335" w:type="dxa"/>
            <w:tcBorders>
              <w:top w:val="single" w:color="000000" w:sz="8" w:space="0"/>
              <w:left w:val="nil"/>
              <w:bottom w:val="single" w:color="000000" w:sz="8" w:space="0"/>
              <w:right w:val="single" w:color="000000" w:sz="8" w:space="0"/>
            </w:tcBorders>
            <w:vAlign w:val="center"/>
          </w:tcPr>
          <w:p w14:paraId="4E935A1C">
            <w:pPr>
              <w:widowControl/>
              <w:jc w:val="center"/>
              <w:rPr>
                <w:rFonts w:ascii="宋体" w:hAnsi="宋体" w:cs="宋体"/>
                <w:b/>
                <w:bCs/>
                <w:kern w:val="0"/>
                <w:sz w:val="22"/>
                <w:szCs w:val="22"/>
              </w:rPr>
            </w:pPr>
            <w:r>
              <w:rPr>
                <w:rFonts w:hint="eastAsia" w:ascii="宋体" w:hAnsi="宋体" w:cs="宋体"/>
                <w:b/>
                <w:bCs/>
                <w:kern w:val="0"/>
                <w:sz w:val="22"/>
                <w:szCs w:val="22"/>
              </w:rPr>
              <w:t>依据的标准</w:t>
            </w:r>
          </w:p>
        </w:tc>
      </w:tr>
      <w:tr w14:paraId="2231BB03">
        <w:tblPrEx>
          <w:tblCellMar>
            <w:top w:w="0" w:type="dxa"/>
            <w:left w:w="108" w:type="dxa"/>
            <w:bottom w:w="0" w:type="dxa"/>
            <w:right w:w="108" w:type="dxa"/>
          </w:tblCellMar>
        </w:tblPrEx>
        <w:trPr>
          <w:trHeight w:val="495" w:hRule="atLeast"/>
        </w:trPr>
        <w:tc>
          <w:tcPr>
            <w:tcW w:w="716" w:type="dxa"/>
            <w:vMerge w:val="restart"/>
            <w:tcBorders>
              <w:top w:val="nil"/>
              <w:left w:val="single" w:color="000000" w:sz="8" w:space="0"/>
              <w:bottom w:val="single" w:color="000000" w:sz="8" w:space="0"/>
              <w:right w:val="single" w:color="000000" w:sz="8" w:space="0"/>
            </w:tcBorders>
            <w:vAlign w:val="center"/>
          </w:tcPr>
          <w:p w14:paraId="2D61F382">
            <w:pPr>
              <w:widowControl/>
              <w:jc w:val="center"/>
              <w:rPr>
                <w:rFonts w:ascii="宋体" w:hAnsi="宋体" w:cs="宋体"/>
                <w:kern w:val="0"/>
                <w:sz w:val="20"/>
                <w:szCs w:val="20"/>
              </w:rPr>
            </w:pPr>
            <w:r>
              <w:rPr>
                <w:rFonts w:hint="eastAsia" w:ascii="宋体" w:hAnsi="宋体" w:cs="宋体"/>
                <w:kern w:val="0"/>
                <w:sz w:val="20"/>
                <w:szCs w:val="20"/>
              </w:rPr>
              <w:t>1</w:t>
            </w:r>
          </w:p>
        </w:tc>
        <w:tc>
          <w:tcPr>
            <w:tcW w:w="1041" w:type="dxa"/>
            <w:vMerge w:val="restart"/>
            <w:tcBorders>
              <w:top w:val="nil"/>
              <w:left w:val="single" w:color="000000" w:sz="8" w:space="0"/>
              <w:bottom w:val="single" w:color="000000" w:sz="8" w:space="0"/>
              <w:right w:val="single" w:color="000000" w:sz="8" w:space="0"/>
            </w:tcBorders>
            <w:vAlign w:val="center"/>
          </w:tcPr>
          <w:p w14:paraId="765B5A1B">
            <w:pPr>
              <w:widowControl/>
              <w:jc w:val="center"/>
              <w:rPr>
                <w:rFonts w:ascii="宋体" w:hAnsi="宋体" w:cs="宋体"/>
                <w:kern w:val="0"/>
                <w:sz w:val="20"/>
                <w:szCs w:val="20"/>
              </w:rPr>
            </w:pPr>
            <w:r>
              <w:rPr>
                <w:rFonts w:hint="eastAsia" w:ascii="宋体" w:hAnsi="宋体" w:cs="宋体"/>
                <w:kern w:val="0"/>
                <w:sz w:val="20"/>
                <w:szCs w:val="20"/>
              </w:rPr>
              <w:t>A020101计算机设备</w:t>
            </w:r>
          </w:p>
        </w:tc>
        <w:tc>
          <w:tcPr>
            <w:tcW w:w="1516" w:type="dxa"/>
            <w:tcBorders>
              <w:top w:val="nil"/>
              <w:left w:val="nil"/>
              <w:bottom w:val="single" w:color="000000" w:sz="8" w:space="0"/>
              <w:right w:val="single" w:color="000000" w:sz="8" w:space="0"/>
            </w:tcBorders>
            <w:vAlign w:val="center"/>
          </w:tcPr>
          <w:p w14:paraId="0663A05A">
            <w:pPr>
              <w:widowControl/>
              <w:jc w:val="center"/>
              <w:rPr>
                <w:rFonts w:ascii="宋体" w:hAnsi="宋体" w:cs="宋体"/>
                <w:kern w:val="0"/>
                <w:sz w:val="20"/>
                <w:szCs w:val="20"/>
              </w:rPr>
            </w:pPr>
            <w:r>
              <w:rPr>
                <w:rFonts w:hint="eastAsia" w:ascii="宋体" w:hAnsi="宋体" w:cs="宋体"/>
                <w:kern w:val="0"/>
                <w:sz w:val="20"/>
                <w:szCs w:val="20"/>
              </w:rPr>
              <w:t>★A02010104台式计算机</w:t>
            </w:r>
          </w:p>
        </w:tc>
        <w:tc>
          <w:tcPr>
            <w:tcW w:w="1612" w:type="dxa"/>
            <w:tcBorders>
              <w:top w:val="nil"/>
              <w:left w:val="nil"/>
              <w:bottom w:val="single" w:color="000000" w:sz="8" w:space="0"/>
              <w:right w:val="single" w:color="000000" w:sz="8" w:space="0"/>
            </w:tcBorders>
            <w:vAlign w:val="center"/>
          </w:tcPr>
          <w:p w14:paraId="3BD25B7B">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0B8D6B8B">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1C57A53E">
        <w:tblPrEx>
          <w:tblCellMar>
            <w:top w:w="0" w:type="dxa"/>
            <w:left w:w="108" w:type="dxa"/>
            <w:bottom w:w="0" w:type="dxa"/>
            <w:right w:w="108" w:type="dxa"/>
          </w:tblCellMar>
        </w:tblPrEx>
        <w:trPr>
          <w:trHeight w:val="495" w:hRule="atLeast"/>
        </w:trPr>
        <w:tc>
          <w:tcPr>
            <w:tcW w:w="716" w:type="dxa"/>
            <w:vMerge w:val="continue"/>
            <w:tcBorders>
              <w:top w:val="nil"/>
              <w:left w:val="single" w:color="000000" w:sz="8" w:space="0"/>
              <w:bottom w:val="single" w:color="000000" w:sz="8" w:space="0"/>
              <w:right w:val="single" w:color="000000" w:sz="8" w:space="0"/>
            </w:tcBorders>
            <w:vAlign w:val="center"/>
          </w:tcPr>
          <w:p w14:paraId="38F64F9A">
            <w:pPr>
              <w:widowControl/>
              <w:jc w:val="left"/>
              <w:rPr>
                <w:rFonts w:ascii="宋体" w:hAnsi="宋体" w:cs="宋体"/>
                <w:kern w:val="0"/>
                <w:sz w:val="20"/>
                <w:szCs w:val="20"/>
              </w:rPr>
            </w:pPr>
          </w:p>
        </w:tc>
        <w:tc>
          <w:tcPr>
            <w:tcW w:w="1041" w:type="dxa"/>
            <w:vMerge w:val="continue"/>
            <w:tcBorders>
              <w:top w:val="nil"/>
              <w:left w:val="single" w:color="000000" w:sz="8" w:space="0"/>
              <w:bottom w:val="single" w:color="000000" w:sz="8" w:space="0"/>
              <w:right w:val="single" w:color="000000" w:sz="8" w:space="0"/>
            </w:tcBorders>
            <w:vAlign w:val="center"/>
          </w:tcPr>
          <w:p w14:paraId="0A34198F">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441A6D02">
            <w:pPr>
              <w:widowControl/>
              <w:jc w:val="center"/>
              <w:rPr>
                <w:rFonts w:ascii="宋体" w:hAnsi="宋体" w:cs="宋体"/>
                <w:kern w:val="0"/>
                <w:sz w:val="20"/>
                <w:szCs w:val="20"/>
              </w:rPr>
            </w:pPr>
            <w:r>
              <w:rPr>
                <w:rFonts w:hint="eastAsia" w:ascii="宋体" w:hAnsi="宋体" w:cs="宋体"/>
                <w:kern w:val="0"/>
                <w:sz w:val="20"/>
                <w:szCs w:val="20"/>
              </w:rPr>
              <w:t>★A02010105便携式计算机</w:t>
            </w:r>
          </w:p>
        </w:tc>
        <w:tc>
          <w:tcPr>
            <w:tcW w:w="1612" w:type="dxa"/>
            <w:tcBorders>
              <w:top w:val="nil"/>
              <w:left w:val="nil"/>
              <w:bottom w:val="single" w:color="000000" w:sz="8" w:space="0"/>
              <w:right w:val="single" w:color="000000" w:sz="8" w:space="0"/>
            </w:tcBorders>
            <w:vAlign w:val="center"/>
          </w:tcPr>
          <w:p w14:paraId="2B767EB1">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50ECCC8C">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28E52A62">
        <w:tblPrEx>
          <w:tblCellMar>
            <w:top w:w="0" w:type="dxa"/>
            <w:left w:w="108" w:type="dxa"/>
            <w:bottom w:w="0" w:type="dxa"/>
            <w:right w:w="108" w:type="dxa"/>
          </w:tblCellMar>
        </w:tblPrEx>
        <w:trPr>
          <w:trHeight w:val="735" w:hRule="atLeast"/>
        </w:trPr>
        <w:tc>
          <w:tcPr>
            <w:tcW w:w="716" w:type="dxa"/>
            <w:vMerge w:val="continue"/>
            <w:tcBorders>
              <w:top w:val="nil"/>
              <w:left w:val="single" w:color="000000" w:sz="8" w:space="0"/>
              <w:bottom w:val="single" w:color="000000" w:sz="8" w:space="0"/>
              <w:right w:val="single" w:color="000000" w:sz="8" w:space="0"/>
            </w:tcBorders>
            <w:vAlign w:val="center"/>
          </w:tcPr>
          <w:p w14:paraId="1D21A7D7">
            <w:pPr>
              <w:widowControl/>
              <w:jc w:val="left"/>
              <w:rPr>
                <w:rFonts w:ascii="宋体" w:hAnsi="宋体" w:cs="宋体"/>
                <w:kern w:val="0"/>
                <w:sz w:val="20"/>
                <w:szCs w:val="20"/>
              </w:rPr>
            </w:pPr>
          </w:p>
        </w:tc>
        <w:tc>
          <w:tcPr>
            <w:tcW w:w="1041" w:type="dxa"/>
            <w:vMerge w:val="continue"/>
            <w:tcBorders>
              <w:top w:val="nil"/>
              <w:left w:val="single" w:color="000000" w:sz="8" w:space="0"/>
              <w:bottom w:val="single" w:color="000000" w:sz="8" w:space="0"/>
              <w:right w:val="single" w:color="000000" w:sz="8" w:space="0"/>
            </w:tcBorders>
            <w:vAlign w:val="center"/>
          </w:tcPr>
          <w:p w14:paraId="53CCF78F">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77CB6E67">
            <w:pPr>
              <w:widowControl/>
              <w:jc w:val="center"/>
              <w:rPr>
                <w:rFonts w:ascii="宋体" w:hAnsi="宋体" w:cs="宋体"/>
                <w:kern w:val="0"/>
                <w:sz w:val="20"/>
                <w:szCs w:val="20"/>
              </w:rPr>
            </w:pPr>
            <w:r>
              <w:rPr>
                <w:rFonts w:hint="eastAsia" w:ascii="宋体" w:hAnsi="宋体" w:cs="宋体"/>
                <w:kern w:val="0"/>
                <w:sz w:val="20"/>
                <w:szCs w:val="20"/>
              </w:rPr>
              <w:t>★A02010107平板式微型计算机</w:t>
            </w:r>
          </w:p>
        </w:tc>
        <w:tc>
          <w:tcPr>
            <w:tcW w:w="1612" w:type="dxa"/>
            <w:tcBorders>
              <w:top w:val="nil"/>
              <w:left w:val="nil"/>
              <w:bottom w:val="single" w:color="000000" w:sz="8" w:space="0"/>
              <w:right w:val="single" w:color="000000" w:sz="8" w:space="0"/>
            </w:tcBorders>
            <w:vAlign w:val="center"/>
          </w:tcPr>
          <w:p w14:paraId="52B57893">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1B07D298">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7ACF946D">
        <w:tblPrEx>
          <w:tblCellMar>
            <w:top w:w="0" w:type="dxa"/>
            <w:left w:w="108" w:type="dxa"/>
            <w:bottom w:w="0" w:type="dxa"/>
            <w:right w:w="108" w:type="dxa"/>
          </w:tblCellMar>
        </w:tblPrEx>
        <w:trPr>
          <w:trHeight w:val="495" w:hRule="atLeast"/>
        </w:trPr>
        <w:tc>
          <w:tcPr>
            <w:tcW w:w="716" w:type="dxa"/>
            <w:vMerge w:val="restart"/>
            <w:tcBorders>
              <w:top w:val="nil"/>
              <w:left w:val="single" w:color="000000" w:sz="8" w:space="0"/>
              <w:bottom w:val="single" w:color="000000" w:sz="8" w:space="0"/>
              <w:right w:val="single" w:color="000000" w:sz="8" w:space="0"/>
            </w:tcBorders>
            <w:vAlign w:val="center"/>
          </w:tcPr>
          <w:p w14:paraId="5CE4CF6F">
            <w:pPr>
              <w:widowControl/>
              <w:jc w:val="center"/>
              <w:rPr>
                <w:rFonts w:ascii="宋体" w:hAnsi="宋体" w:cs="宋体"/>
                <w:kern w:val="0"/>
                <w:sz w:val="20"/>
                <w:szCs w:val="20"/>
              </w:rPr>
            </w:pPr>
            <w:r>
              <w:rPr>
                <w:rFonts w:hint="eastAsia" w:ascii="宋体" w:hAnsi="宋体" w:cs="宋体"/>
                <w:kern w:val="0"/>
                <w:sz w:val="20"/>
                <w:szCs w:val="20"/>
              </w:rPr>
              <w:t>2</w:t>
            </w:r>
          </w:p>
        </w:tc>
        <w:tc>
          <w:tcPr>
            <w:tcW w:w="1041" w:type="dxa"/>
            <w:vMerge w:val="restart"/>
            <w:tcBorders>
              <w:top w:val="nil"/>
              <w:left w:val="single" w:color="000000" w:sz="8" w:space="0"/>
              <w:bottom w:val="single" w:color="000000" w:sz="8" w:space="0"/>
              <w:right w:val="single" w:color="000000" w:sz="8" w:space="0"/>
            </w:tcBorders>
            <w:vAlign w:val="center"/>
          </w:tcPr>
          <w:p w14:paraId="0F032BAF">
            <w:pPr>
              <w:widowControl/>
              <w:jc w:val="center"/>
              <w:rPr>
                <w:rFonts w:ascii="宋体" w:hAnsi="宋体" w:cs="宋体"/>
                <w:kern w:val="0"/>
                <w:sz w:val="20"/>
                <w:szCs w:val="20"/>
              </w:rPr>
            </w:pPr>
            <w:r>
              <w:rPr>
                <w:rFonts w:hint="eastAsia" w:ascii="宋体" w:hAnsi="宋体" w:cs="宋体"/>
                <w:kern w:val="0"/>
                <w:sz w:val="20"/>
                <w:szCs w:val="20"/>
              </w:rPr>
              <w:t>A020106输入输出设备</w:t>
            </w:r>
          </w:p>
        </w:tc>
        <w:tc>
          <w:tcPr>
            <w:tcW w:w="1516" w:type="dxa"/>
            <w:vMerge w:val="restart"/>
            <w:tcBorders>
              <w:top w:val="nil"/>
              <w:left w:val="single" w:color="000000" w:sz="8" w:space="0"/>
              <w:bottom w:val="single" w:color="000000" w:sz="8" w:space="0"/>
              <w:right w:val="single" w:color="000000" w:sz="8" w:space="0"/>
            </w:tcBorders>
            <w:vAlign w:val="center"/>
          </w:tcPr>
          <w:p w14:paraId="308461E2">
            <w:pPr>
              <w:widowControl/>
              <w:jc w:val="center"/>
              <w:rPr>
                <w:rFonts w:ascii="宋体" w:hAnsi="宋体" w:cs="宋体"/>
                <w:kern w:val="0"/>
                <w:sz w:val="20"/>
                <w:szCs w:val="20"/>
              </w:rPr>
            </w:pPr>
            <w:r>
              <w:rPr>
                <w:rFonts w:hint="eastAsia" w:ascii="宋体" w:hAnsi="宋体" w:cs="宋体"/>
                <w:kern w:val="0"/>
                <w:sz w:val="20"/>
                <w:szCs w:val="20"/>
              </w:rPr>
              <w:t>A02010601打印设备</w:t>
            </w:r>
          </w:p>
        </w:tc>
        <w:tc>
          <w:tcPr>
            <w:tcW w:w="1612" w:type="dxa"/>
            <w:tcBorders>
              <w:top w:val="nil"/>
              <w:left w:val="nil"/>
              <w:bottom w:val="single" w:color="000000" w:sz="8" w:space="0"/>
              <w:right w:val="single" w:color="000000" w:sz="8" w:space="0"/>
            </w:tcBorders>
            <w:vAlign w:val="center"/>
          </w:tcPr>
          <w:p w14:paraId="3F937705">
            <w:pPr>
              <w:widowControl/>
              <w:jc w:val="center"/>
              <w:rPr>
                <w:rFonts w:ascii="宋体" w:hAnsi="宋体" w:cs="宋体"/>
                <w:kern w:val="0"/>
                <w:sz w:val="20"/>
                <w:szCs w:val="20"/>
              </w:rPr>
            </w:pPr>
            <w:r>
              <w:rPr>
                <w:rFonts w:hint="eastAsia" w:ascii="宋体" w:hAnsi="宋体" w:cs="宋体"/>
                <w:kern w:val="0"/>
                <w:sz w:val="20"/>
                <w:szCs w:val="20"/>
              </w:rPr>
              <w:t>A0201060101喷墨打印机</w:t>
            </w:r>
          </w:p>
        </w:tc>
        <w:tc>
          <w:tcPr>
            <w:tcW w:w="4335" w:type="dxa"/>
            <w:tcBorders>
              <w:top w:val="nil"/>
              <w:left w:val="nil"/>
              <w:bottom w:val="single" w:color="000000" w:sz="8" w:space="0"/>
              <w:right w:val="single" w:color="000000" w:sz="8" w:space="0"/>
            </w:tcBorders>
            <w:vAlign w:val="center"/>
          </w:tcPr>
          <w:p w14:paraId="76554207">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2315B768">
        <w:tblPrEx>
          <w:tblCellMar>
            <w:top w:w="0" w:type="dxa"/>
            <w:left w:w="108" w:type="dxa"/>
            <w:bottom w:w="0" w:type="dxa"/>
            <w:right w:w="108" w:type="dxa"/>
          </w:tblCellMar>
        </w:tblPrEx>
        <w:trPr>
          <w:trHeight w:val="495" w:hRule="atLeast"/>
        </w:trPr>
        <w:tc>
          <w:tcPr>
            <w:tcW w:w="716" w:type="dxa"/>
            <w:vMerge w:val="continue"/>
            <w:tcBorders>
              <w:top w:val="nil"/>
              <w:left w:val="single" w:color="000000" w:sz="8" w:space="0"/>
              <w:bottom w:val="single" w:color="000000" w:sz="8" w:space="0"/>
              <w:right w:val="single" w:color="000000" w:sz="8" w:space="0"/>
            </w:tcBorders>
            <w:vAlign w:val="center"/>
          </w:tcPr>
          <w:p w14:paraId="241E22AE">
            <w:pPr>
              <w:widowControl/>
              <w:jc w:val="left"/>
              <w:rPr>
                <w:rFonts w:ascii="宋体" w:hAnsi="宋体" w:cs="宋体"/>
                <w:kern w:val="0"/>
                <w:sz w:val="20"/>
                <w:szCs w:val="20"/>
              </w:rPr>
            </w:pPr>
          </w:p>
        </w:tc>
        <w:tc>
          <w:tcPr>
            <w:tcW w:w="1041" w:type="dxa"/>
            <w:vMerge w:val="continue"/>
            <w:tcBorders>
              <w:top w:val="nil"/>
              <w:left w:val="single" w:color="000000" w:sz="8" w:space="0"/>
              <w:bottom w:val="single" w:color="000000" w:sz="8" w:space="0"/>
              <w:right w:val="single" w:color="000000" w:sz="8" w:space="0"/>
            </w:tcBorders>
            <w:vAlign w:val="center"/>
          </w:tcPr>
          <w:p w14:paraId="39938A21">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6ADB301E">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2F48D03D">
            <w:pPr>
              <w:widowControl/>
              <w:jc w:val="center"/>
              <w:rPr>
                <w:rFonts w:ascii="宋体" w:hAnsi="宋体" w:cs="宋体"/>
                <w:kern w:val="0"/>
                <w:sz w:val="20"/>
                <w:szCs w:val="20"/>
              </w:rPr>
            </w:pPr>
            <w:r>
              <w:rPr>
                <w:rFonts w:hint="eastAsia" w:ascii="宋体" w:hAnsi="宋体" w:cs="宋体"/>
                <w:kern w:val="0"/>
                <w:sz w:val="20"/>
                <w:szCs w:val="20"/>
              </w:rPr>
              <w:t>★A0201060102激光打印机</w:t>
            </w:r>
          </w:p>
        </w:tc>
        <w:tc>
          <w:tcPr>
            <w:tcW w:w="4335" w:type="dxa"/>
            <w:tcBorders>
              <w:top w:val="nil"/>
              <w:left w:val="nil"/>
              <w:bottom w:val="single" w:color="000000" w:sz="8" w:space="0"/>
              <w:right w:val="single" w:color="000000" w:sz="8" w:space="0"/>
            </w:tcBorders>
            <w:vAlign w:val="center"/>
          </w:tcPr>
          <w:p w14:paraId="5C87E3D3">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33EB7B7A">
        <w:tblPrEx>
          <w:tblCellMar>
            <w:top w:w="0" w:type="dxa"/>
            <w:left w:w="108" w:type="dxa"/>
            <w:bottom w:w="0" w:type="dxa"/>
            <w:right w:w="108" w:type="dxa"/>
          </w:tblCellMar>
        </w:tblPrEx>
        <w:trPr>
          <w:trHeight w:val="495" w:hRule="atLeast"/>
        </w:trPr>
        <w:tc>
          <w:tcPr>
            <w:tcW w:w="716" w:type="dxa"/>
            <w:vMerge w:val="continue"/>
            <w:tcBorders>
              <w:top w:val="nil"/>
              <w:left w:val="single" w:color="000000" w:sz="8" w:space="0"/>
              <w:bottom w:val="single" w:color="000000" w:sz="8" w:space="0"/>
              <w:right w:val="single" w:color="000000" w:sz="8" w:space="0"/>
            </w:tcBorders>
            <w:vAlign w:val="center"/>
          </w:tcPr>
          <w:p w14:paraId="4041F5D1">
            <w:pPr>
              <w:widowControl/>
              <w:jc w:val="left"/>
              <w:rPr>
                <w:rFonts w:ascii="宋体" w:hAnsi="宋体" w:cs="宋体"/>
                <w:kern w:val="0"/>
                <w:sz w:val="20"/>
                <w:szCs w:val="20"/>
              </w:rPr>
            </w:pPr>
          </w:p>
        </w:tc>
        <w:tc>
          <w:tcPr>
            <w:tcW w:w="1041" w:type="dxa"/>
            <w:vMerge w:val="continue"/>
            <w:tcBorders>
              <w:top w:val="nil"/>
              <w:left w:val="single" w:color="000000" w:sz="8" w:space="0"/>
              <w:bottom w:val="single" w:color="000000" w:sz="8" w:space="0"/>
              <w:right w:val="single" w:color="000000" w:sz="8" w:space="0"/>
            </w:tcBorders>
            <w:vAlign w:val="center"/>
          </w:tcPr>
          <w:p w14:paraId="5DDA1386">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4C98AAA8">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32A550B7">
            <w:pPr>
              <w:widowControl/>
              <w:jc w:val="center"/>
              <w:rPr>
                <w:rFonts w:ascii="宋体" w:hAnsi="宋体" w:cs="宋体"/>
                <w:kern w:val="0"/>
                <w:sz w:val="20"/>
                <w:szCs w:val="20"/>
              </w:rPr>
            </w:pPr>
            <w:r>
              <w:rPr>
                <w:rFonts w:hint="eastAsia" w:ascii="宋体" w:hAnsi="宋体" w:cs="宋体"/>
                <w:kern w:val="0"/>
                <w:sz w:val="20"/>
                <w:szCs w:val="20"/>
              </w:rPr>
              <w:t>★A0201060104针式打印机</w:t>
            </w:r>
          </w:p>
        </w:tc>
        <w:tc>
          <w:tcPr>
            <w:tcW w:w="4335" w:type="dxa"/>
            <w:tcBorders>
              <w:top w:val="nil"/>
              <w:left w:val="nil"/>
              <w:bottom w:val="single" w:color="000000" w:sz="8" w:space="0"/>
              <w:right w:val="single" w:color="000000" w:sz="8" w:space="0"/>
            </w:tcBorders>
            <w:vAlign w:val="center"/>
          </w:tcPr>
          <w:p w14:paraId="30D3B05D">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4FE243BD">
        <w:tblPrEx>
          <w:tblCellMar>
            <w:top w:w="0" w:type="dxa"/>
            <w:left w:w="108" w:type="dxa"/>
            <w:bottom w:w="0" w:type="dxa"/>
            <w:right w:w="108" w:type="dxa"/>
          </w:tblCellMar>
        </w:tblPrEx>
        <w:trPr>
          <w:trHeight w:val="495" w:hRule="atLeast"/>
        </w:trPr>
        <w:tc>
          <w:tcPr>
            <w:tcW w:w="716" w:type="dxa"/>
            <w:vMerge w:val="continue"/>
            <w:tcBorders>
              <w:top w:val="nil"/>
              <w:left w:val="single" w:color="000000" w:sz="8" w:space="0"/>
              <w:bottom w:val="single" w:color="000000" w:sz="8" w:space="0"/>
              <w:right w:val="single" w:color="000000" w:sz="8" w:space="0"/>
            </w:tcBorders>
            <w:vAlign w:val="center"/>
          </w:tcPr>
          <w:p w14:paraId="5F785195">
            <w:pPr>
              <w:widowControl/>
              <w:jc w:val="left"/>
              <w:rPr>
                <w:rFonts w:ascii="宋体" w:hAnsi="宋体" w:cs="宋体"/>
                <w:kern w:val="0"/>
                <w:sz w:val="20"/>
                <w:szCs w:val="20"/>
              </w:rPr>
            </w:pPr>
          </w:p>
        </w:tc>
        <w:tc>
          <w:tcPr>
            <w:tcW w:w="1041" w:type="dxa"/>
            <w:vMerge w:val="continue"/>
            <w:tcBorders>
              <w:top w:val="nil"/>
              <w:left w:val="single" w:color="000000" w:sz="8" w:space="0"/>
              <w:bottom w:val="single" w:color="000000" w:sz="8" w:space="0"/>
              <w:right w:val="single" w:color="000000" w:sz="8" w:space="0"/>
            </w:tcBorders>
            <w:vAlign w:val="center"/>
          </w:tcPr>
          <w:p w14:paraId="711B884D">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7DDA84A6">
            <w:pPr>
              <w:widowControl/>
              <w:jc w:val="center"/>
              <w:rPr>
                <w:rFonts w:ascii="宋体" w:hAnsi="宋体" w:cs="宋体"/>
                <w:kern w:val="0"/>
                <w:sz w:val="20"/>
                <w:szCs w:val="20"/>
              </w:rPr>
            </w:pPr>
            <w:r>
              <w:rPr>
                <w:rFonts w:hint="eastAsia" w:ascii="宋体" w:hAnsi="宋体" w:cs="宋体"/>
                <w:kern w:val="0"/>
                <w:sz w:val="20"/>
                <w:szCs w:val="20"/>
              </w:rPr>
              <w:t>A02010604显示设备</w:t>
            </w:r>
          </w:p>
        </w:tc>
        <w:tc>
          <w:tcPr>
            <w:tcW w:w="1612" w:type="dxa"/>
            <w:tcBorders>
              <w:top w:val="nil"/>
              <w:left w:val="nil"/>
              <w:bottom w:val="single" w:color="000000" w:sz="8" w:space="0"/>
              <w:right w:val="single" w:color="000000" w:sz="8" w:space="0"/>
            </w:tcBorders>
            <w:vAlign w:val="center"/>
          </w:tcPr>
          <w:p w14:paraId="55AED409">
            <w:pPr>
              <w:widowControl/>
              <w:jc w:val="center"/>
              <w:rPr>
                <w:rFonts w:ascii="宋体" w:hAnsi="宋体" w:cs="宋体"/>
                <w:kern w:val="0"/>
                <w:sz w:val="20"/>
                <w:szCs w:val="20"/>
              </w:rPr>
            </w:pPr>
            <w:r>
              <w:rPr>
                <w:rFonts w:hint="eastAsia" w:ascii="宋体" w:hAnsi="宋体" w:cs="宋体"/>
                <w:kern w:val="0"/>
                <w:sz w:val="20"/>
                <w:szCs w:val="20"/>
              </w:rPr>
              <w:t>★A0201060401液晶显示器</w:t>
            </w:r>
          </w:p>
        </w:tc>
        <w:tc>
          <w:tcPr>
            <w:tcW w:w="4335" w:type="dxa"/>
            <w:tcBorders>
              <w:top w:val="nil"/>
              <w:left w:val="nil"/>
              <w:bottom w:val="single" w:color="000000" w:sz="8" w:space="0"/>
              <w:right w:val="single" w:color="000000" w:sz="8" w:space="0"/>
            </w:tcBorders>
            <w:vAlign w:val="center"/>
          </w:tcPr>
          <w:p w14:paraId="46C42BB2">
            <w:pPr>
              <w:widowControl/>
              <w:jc w:val="left"/>
              <w:rPr>
                <w:rFonts w:ascii="宋体" w:hAnsi="宋体" w:cs="宋体"/>
                <w:kern w:val="0"/>
                <w:sz w:val="20"/>
                <w:szCs w:val="20"/>
              </w:rPr>
            </w:pPr>
            <w:r>
              <w:rPr>
                <w:rFonts w:hint="eastAsia" w:ascii="宋体" w:hAnsi="宋体" w:cs="宋体"/>
                <w:kern w:val="0"/>
                <w:sz w:val="20"/>
                <w:szCs w:val="20"/>
              </w:rPr>
              <w:t>《计算机显示器能效限定值及能效等级》（GB21520）</w:t>
            </w:r>
          </w:p>
        </w:tc>
      </w:tr>
      <w:tr w14:paraId="21E9BBF2">
        <w:tblPrEx>
          <w:tblCellMar>
            <w:top w:w="0" w:type="dxa"/>
            <w:left w:w="108" w:type="dxa"/>
            <w:bottom w:w="0" w:type="dxa"/>
            <w:right w:w="108" w:type="dxa"/>
          </w:tblCellMar>
        </w:tblPrEx>
        <w:trPr>
          <w:trHeight w:val="975" w:hRule="atLeast"/>
        </w:trPr>
        <w:tc>
          <w:tcPr>
            <w:tcW w:w="716" w:type="dxa"/>
            <w:vMerge w:val="continue"/>
            <w:tcBorders>
              <w:top w:val="nil"/>
              <w:left w:val="single" w:color="000000" w:sz="8" w:space="0"/>
              <w:bottom w:val="single" w:color="000000" w:sz="8" w:space="0"/>
              <w:right w:val="single" w:color="000000" w:sz="8" w:space="0"/>
            </w:tcBorders>
            <w:vAlign w:val="center"/>
          </w:tcPr>
          <w:p w14:paraId="202BDAC4">
            <w:pPr>
              <w:widowControl/>
              <w:jc w:val="left"/>
              <w:rPr>
                <w:rFonts w:ascii="宋体" w:hAnsi="宋体" w:cs="宋体"/>
                <w:kern w:val="0"/>
                <w:sz w:val="20"/>
                <w:szCs w:val="20"/>
              </w:rPr>
            </w:pPr>
          </w:p>
        </w:tc>
        <w:tc>
          <w:tcPr>
            <w:tcW w:w="1041" w:type="dxa"/>
            <w:vMerge w:val="continue"/>
            <w:tcBorders>
              <w:top w:val="nil"/>
              <w:left w:val="single" w:color="000000" w:sz="8" w:space="0"/>
              <w:bottom w:val="single" w:color="000000" w:sz="8" w:space="0"/>
              <w:right w:val="single" w:color="000000" w:sz="8" w:space="0"/>
            </w:tcBorders>
            <w:vAlign w:val="center"/>
          </w:tcPr>
          <w:p w14:paraId="4862EEB0">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0E3E8A18">
            <w:pPr>
              <w:widowControl/>
              <w:jc w:val="center"/>
              <w:rPr>
                <w:rFonts w:ascii="宋体" w:hAnsi="宋体" w:cs="宋体"/>
                <w:kern w:val="0"/>
                <w:sz w:val="20"/>
                <w:szCs w:val="20"/>
              </w:rPr>
            </w:pPr>
            <w:r>
              <w:rPr>
                <w:rFonts w:hint="eastAsia" w:ascii="宋体" w:hAnsi="宋体" w:cs="宋体"/>
                <w:kern w:val="0"/>
                <w:sz w:val="20"/>
                <w:szCs w:val="20"/>
              </w:rPr>
              <w:t>A02010609图形图像输入设备</w:t>
            </w:r>
          </w:p>
        </w:tc>
        <w:tc>
          <w:tcPr>
            <w:tcW w:w="1612" w:type="dxa"/>
            <w:tcBorders>
              <w:top w:val="nil"/>
              <w:left w:val="nil"/>
              <w:bottom w:val="single" w:color="000000" w:sz="8" w:space="0"/>
              <w:right w:val="single" w:color="000000" w:sz="8" w:space="0"/>
            </w:tcBorders>
            <w:vAlign w:val="center"/>
          </w:tcPr>
          <w:p w14:paraId="6804AF5B">
            <w:pPr>
              <w:widowControl/>
              <w:jc w:val="center"/>
              <w:rPr>
                <w:rFonts w:ascii="宋体" w:hAnsi="宋体" w:cs="宋体"/>
                <w:kern w:val="0"/>
                <w:sz w:val="20"/>
                <w:szCs w:val="20"/>
              </w:rPr>
            </w:pPr>
            <w:r>
              <w:rPr>
                <w:rFonts w:hint="eastAsia" w:ascii="宋体" w:hAnsi="宋体" w:cs="宋体"/>
                <w:kern w:val="0"/>
                <w:sz w:val="20"/>
                <w:szCs w:val="20"/>
              </w:rPr>
              <w:t>A0201060901扫描仪</w:t>
            </w:r>
          </w:p>
        </w:tc>
        <w:tc>
          <w:tcPr>
            <w:tcW w:w="4335" w:type="dxa"/>
            <w:tcBorders>
              <w:top w:val="nil"/>
              <w:left w:val="nil"/>
              <w:bottom w:val="single" w:color="000000" w:sz="8" w:space="0"/>
              <w:right w:val="single" w:color="000000" w:sz="8" w:space="0"/>
            </w:tcBorders>
            <w:vAlign w:val="center"/>
          </w:tcPr>
          <w:p w14:paraId="09AD5DA8">
            <w:pPr>
              <w:widowControl/>
              <w:jc w:val="left"/>
              <w:rPr>
                <w:rFonts w:ascii="宋体" w:hAnsi="宋体" w:cs="宋体"/>
                <w:kern w:val="0"/>
                <w:sz w:val="20"/>
                <w:szCs w:val="20"/>
              </w:rPr>
            </w:pPr>
            <w:r>
              <w:rPr>
                <w:rFonts w:hint="eastAsia" w:ascii="宋体" w:hAnsi="宋体" w:cs="宋体"/>
                <w:kern w:val="0"/>
                <w:sz w:val="20"/>
                <w:szCs w:val="20"/>
              </w:rPr>
              <w:t>参照《复印机、打印机和传真机能效限定值及能效等级》（GB21521中打印速度为15页/分的针式打印机相关要求中打印速度为15页/分的针式打印机相关要求</w:t>
            </w:r>
          </w:p>
        </w:tc>
      </w:tr>
      <w:tr w14:paraId="3D6AE2B9">
        <w:tblPrEx>
          <w:tblCellMar>
            <w:top w:w="0" w:type="dxa"/>
            <w:left w:w="108" w:type="dxa"/>
            <w:bottom w:w="0" w:type="dxa"/>
            <w:right w:w="108" w:type="dxa"/>
          </w:tblCellMar>
        </w:tblPrEx>
        <w:trPr>
          <w:trHeight w:val="495" w:hRule="atLeast"/>
        </w:trPr>
        <w:tc>
          <w:tcPr>
            <w:tcW w:w="716" w:type="dxa"/>
            <w:tcBorders>
              <w:top w:val="nil"/>
              <w:left w:val="single" w:color="000000" w:sz="8" w:space="0"/>
              <w:bottom w:val="single" w:color="000000" w:sz="8" w:space="0"/>
              <w:right w:val="single" w:color="000000" w:sz="8" w:space="0"/>
            </w:tcBorders>
            <w:vAlign w:val="center"/>
          </w:tcPr>
          <w:p w14:paraId="53A36B48">
            <w:pPr>
              <w:widowControl/>
              <w:jc w:val="center"/>
              <w:rPr>
                <w:rFonts w:ascii="宋体" w:hAnsi="宋体" w:cs="宋体"/>
                <w:kern w:val="0"/>
                <w:sz w:val="20"/>
                <w:szCs w:val="20"/>
              </w:rPr>
            </w:pPr>
            <w:r>
              <w:rPr>
                <w:rFonts w:hint="eastAsia" w:ascii="宋体" w:hAnsi="宋体" w:cs="宋体"/>
                <w:kern w:val="0"/>
                <w:sz w:val="20"/>
                <w:szCs w:val="20"/>
              </w:rPr>
              <w:t>3</w:t>
            </w:r>
          </w:p>
        </w:tc>
        <w:tc>
          <w:tcPr>
            <w:tcW w:w="1041" w:type="dxa"/>
            <w:tcBorders>
              <w:top w:val="nil"/>
              <w:left w:val="nil"/>
              <w:bottom w:val="single" w:color="000000" w:sz="8" w:space="0"/>
              <w:right w:val="single" w:color="000000" w:sz="8" w:space="0"/>
            </w:tcBorders>
            <w:vAlign w:val="center"/>
          </w:tcPr>
          <w:p w14:paraId="44203345">
            <w:pPr>
              <w:widowControl/>
              <w:jc w:val="center"/>
              <w:rPr>
                <w:rFonts w:ascii="宋体" w:hAnsi="宋体" w:cs="宋体"/>
                <w:kern w:val="0"/>
                <w:sz w:val="20"/>
                <w:szCs w:val="20"/>
              </w:rPr>
            </w:pPr>
            <w:r>
              <w:rPr>
                <w:rFonts w:hint="eastAsia" w:ascii="宋体" w:hAnsi="宋体" w:cs="宋体"/>
                <w:kern w:val="0"/>
                <w:sz w:val="20"/>
                <w:szCs w:val="20"/>
              </w:rPr>
              <w:t>A020202投影仪</w:t>
            </w:r>
          </w:p>
        </w:tc>
        <w:tc>
          <w:tcPr>
            <w:tcW w:w="1516" w:type="dxa"/>
            <w:tcBorders>
              <w:top w:val="nil"/>
              <w:left w:val="nil"/>
              <w:bottom w:val="single" w:color="000000" w:sz="8" w:space="0"/>
              <w:right w:val="single" w:color="000000" w:sz="8" w:space="0"/>
            </w:tcBorders>
            <w:vAlign w:val="center"/>
          </w:tcPr>
          <w:p w14:paraId="2BE9F30A">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0397BD40">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0C0C68F4">
            <w:pPr>
              <w:widowControl/>
              <w:jc w:val="left"/>
              <w:rPr>
                <w:rFonts w:ascii="宋体" w:hAnsi="宋体" w:cs="宋体"/>
                <w:kern w:val="0"/>
                <w:sz w:val="20"/>
                <w:szCs w:val="20"/>
              </w:rPr>
            </w:pPr>
            <w:r>
              <w:rPr>
                <w:rFonts w:hint="eastAsia" w:ascii="宋体" w:hAnsi="宋体" w:cs="宋体"/>
                <w:kern w:val="0"/>
                <w:sz w:val="20"/>
                <w:szCs w:val="20"/>
              </w:rPr>
              <w:t>《投影机能效限定值及能效等级》（GB32028）</w:t>
            </w:r>
          </w:p>
        </w:tc>
      </w:tr>
      <w:tr w14:paraId="33F5D2CC">
        <w:tblPrEx>
          <w:tblCellMar>
            <w:top w:w="0" w:type="dxa"/>
            <w:left w:w="108" w:type="dxa"/>
            <w:bottom w:w="0" w:type="dxa"/>
            <w:right w:w="108" w:type="dxa"/>
          </w:tblCellMar>
        </w:tblPrEx>
        <w:trPr>
          <w:trHeight w:val="495" w:hRule="atLeast"/>
        </w:trPr>
        <w:tc>
          <w:tcPr>
            <w:tcW w:w="716" w:type="dxa"/>
            <w:tcBorders>
              <w:top w:val="nil"/>
              <w:left w:val="single" w:color="000000" w:sz="8" w:space="0"/>
              <w:bottom w:val="single" w:color="000000" w:sz="8" w:space="0"/>
              <w:right w:val="single" w:color="000000" w:sz="8" w:space="0"/>
            </w:tcBorders>
            <w:vAlign w:val="center"/>
          </w:tcPr>
          <w:p w14:paraId="12FDFFAD">
            <w:pPr>
              <w:widowControl/>
              <w:jc w:val="center"/>
              <w:rPr>
                <w:rFonts w:ascii="宋体" w:hAnsi="宋体" w:cs="宋体"/>
                <w:kern w:val="0"/>
                <w:sz w:val="20"/>
                <w:szCs w:val="20"/>
              </w:rPr>
            </w:pPr>
            <w:r>
              <w:rPr>
                <w:rFonts w:hint="eastAsia" w:ascii="宋体" w:hAnsi="宋体" w:cs="宋体"/>
                <w:kern w:val="0"/>
                <w:sz w:val="20"/>
                <w:szCs w:val="20"/>
              </w:rPr>
              <w:t>4</w:t>
            </w:r>
          </w:p>
        </w:tc>
        <w:tc>
          <w:tcPr>
            <w:tcW w:w="1041" w:type="dxa"/>
            <w:tcBorders>
              <w:top w:val="nil"/>
              <w:left w:val="nil"/>
              <w:bottom w:val="single" w:color="000000" w:sz="8" w:space="0"/>
              <w:right w:val="single" w:color="000000" w:sz="8" w:space="0"/>
            </w:tcBorders>
            <w:vAlign w:val="center"/>
          </w:tcPr>
          <w:p w14:paraId="22C8E600">
            <w:pPr>
              <w:widowControl/>
              <w:jc w:val="center"/>
              <w:rPr>
                <w:rFonts w:ascii="宋体" w:hAnsi="宋体" w:cs="宋体"/>
                <w:kern w:val="0"/>
                <w:sz w:val="20"/>
                <w:szCs w:val="20"/>
              </w:rPr>
            </w:pPr>
            <w:r>
              <w:rPr>
                <w:rFonts w:hint="eastAsia" w:ascii="宋体" w:hAnsi="宋体" w:cs="宋体"/>
                <w:kern w:val="0"/>
                <w:sz w:val="20"/>
                <w:szCs w:val="20"/>
              </w:rPr>
              <w:t>A020204多功能一体机</w:t>
            </w:r>
          </w:p>
        </w:tc>
        <w:tc>
          <w:tcPr>
            <w:tcW w:w="1516" w:type="dxa"/>
            <w:tcBorders>
              <w:top w:val="nil"/>
              <w:left w:val="nil"/>
              <w:bottom w:val="single" w:color="000000" w:sz="8" w:space="0"/>
              <w:right w:val="single" w:color="000000" w:sz="8" w:space="0"/>
            </w:tcBorders>
            <w:vAlign w:val="center"/>
          </w:tcPr>
          <w:p w14:paraId="47769D0C">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75C2DBEE">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B6F7192">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0D32CEE7">
        <w:tblPrEx>
          <w:tblCellMar>
            <w:top w:w="0" w:type="dxa"/>
            <w:left w:w="108" w:type="dxa"/>
            <w:bottom w:w="0" w:type="dxa"/>
            <w:right w:w="108" w:type="dxa"/>
          </w:tblCellMar>
        </w:tblPrEx>
        <w:trPr>
          <w:trHeight w:val="495" w:hRule="atLeast"/>
        </w:trPr>
        <w:tc>
          <w:tcPr>
            <w:tcW w:w="716" w:type="dxa"/>
            <w:tcBorders>
              <w:top w:val="nil"/>
              <w:left w:val="single" w:color="000000" w:sz="8" w:space="0"/>
              <w:bottom w:val="single" w:color="000000" w:sz="8" w:space="0"/>
              <w:right w:val="single" w:color="000000" w:sz="8" w:space="0"/>
            </w:tcBorders>
            <w:vAlign w:val="center"/>
          </w:tcPr>
          <w:p w14:paraId="0EF6D62D">
            <w:pPr>
              <w:widowControl/>
              <w:jc w:val="center"/>
              <w:rPr>
                <w:rFonts w:ascii="宋体" w:hAnsi="宋体" w:cs="宋体"/>
                <w:kern w:val="0"/>
                <w:sz w:val="20"/>
                <w:szCs w:val="20"/>
              </w:rPr>
            </w:pPr>
            <w:r>
              <w:rPr>
                <w:rFonts w:hint="eastAsia" w:ascii="宋体" w:hAnsi="宋体" w:cs="宋体"/>
                <w:kern w:val="0"/>
                <w:sz w:val="20"/>
                <w:szCs w:val="20"/>
              </w:rPr>
              <w:t>5</w:t>
            </w:r>
          </w:p>
        </w:tc>
        <w:tc>
          <w:tcPr>
            <w:tcW w:w="1041" w:type="dxa"/>
            <w:tcBorders>
              <w:top w:val="nil"/>
              <w:left w:val="nil"/>
              <w:bottom w:val="single" w:color="000000" w:sz="8" w:space="0"/>
              <w:right w:val="single" w:color="000000" w:sz="8" w:space="0"/>
            </w:tcBorders>
            <w:vAlign w:val="center"/>
          </w:tcPr>
          <w:p w14:paraId="68942A0F">
            <w:pPr>
              <w:widowControl/>
              <w:jc w:val="center"/>
              <w:rPr>
                <w:rFonts w:ascii="宋体" w:hAnsi="宋体" w:cs="宋体"/>
                <w:kern w:val="0"/>
                <w:sz w:val="20"/>
                <w:szCs w:val="20"/>
              </w:rPr>
            </w:pPr>
            <w:r>
              <w:rPr>
                <w:rFonts w:hint="eastAsia" w:ascii="宋体" w:hAnsi="宋体" w:cs="宋体"/>
                <w:kern w:val="0"/>
                <w:sz w:val="20"/>
                <w:szCs w:val="20"/>
              </w:rPr>
              <w:t>A020519泵</w:t>
            </w:r>
          </w:p>
        </w:tc>
        <w:tc>
          <w:tcPr>
            <w:tcW w:w="1516" w:type="dxa"/>
            <w:tcBorders>
              <w:top w:val="nil"/>
              <w:left w:val="nil"/>
              <w:bottom w:val="single" w:color="000000" w:sz="8" w:space="0"/>
              <w:right w:val="single" w:color="000000" w:sz="8" w:space="0"/>
            </w:tcBorders>
            <w:vAlign w:val="center"/>
          </w:tcPr>
          <w:p w14:paraId="28747FB5">
            <w:pPr>
              <w:widowControl/>
              <w:jc w:val="center"/>
              <w:rPr>
                <w:rFonts w:ascii="宋体" w:hAnsi="宋体" w:cs="宋体"/>
                <w:kern w:val="0"/>
                <w:sz w:val="20"/>
                <w:szCs w:val="20"/>
              </w:rPr>
            </w:pPr>
            <w:r>
              <w:rPr>
                <w:rFonts w:hint="eastAsia" w:ascii="宋体" w:hAnsi="宋体" w:cs="宋体"/>
                <w:kern w:val="0"/>
                <w:sz w:val="20"/>
                <w:szCs w:val="20"/>
              </w:rPr>
              <w:t>A02051901离心泵</w:t>
            </w:r>
          </w:p>
        </w:tc>
        <w:tc>
          <w:tcPr>
            <w:tcW w:w="1612" w:type="dxa"/>
            <w:tcBorders>
              <w:top w:val="nil"/>
              <w:left w:val="nil"/>
              <w:bottom w:val="single" w:color="000000" w:sz="8" w:space="0"/>
              <w:right w:val="single" w:color="000000" w:sz="8" w:space="0"/>
            </w:tcBorders>
            <w:vAlign w:val="center"/>
          </w:tcPr>
          <w:p w14:paraId="76ED42FC">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07F7AA5D">
            <w:pPr>
              <w:widowControl/>
              <w:jc w:val="left"/>
              <w:rPr>
                <w:rFonts w:ascii="宋体" w:hAnsi="宋体" w:cs="宋体"/>
                <w:kern w:val="0"/>
                <w:sz w:val="20"/>
                <w:szCs w:val="20"/>
              </w:rPr>
            </w:pPr>
            <w:r>
              <w:rPr>
                <w:rFonts w:hint="eastAsia" w:ascii="宋体" w:hAnsi="宋体" w:cs="宋体"/>
                <w:kern w:val="0"/>
                <w:sz w:val="20"/>
                <w:szCs w:val="20"/>
              </w:rPr>
              <w:t>《清水离心泵能效限定值及节能评价值》（GB19762）</w:t>
            </w:r>
          </w:p>
        </w:tc>
      </w:tr>
      <w:tr w14:paraId="3C16744C">
        <w:tblPrEx>
          <w:tblCellMar>
            <w:top w:w="0" w:type="dxa"/>
            <w:left w:w="108" w:type="dxa"/>
            <w:bottom w:w="0" w:type="dxa"/>
            <w:right w:w="108" w:type="dxa"/>
          </w:tblCellMar>
        </w:tblPrEx>
        <w:trPr>
          <w:trHeight w:val="735" w:hRule="atLeast"/>
        </w:trPr>
        <w:tc>
          <w:tcPr>
            <w:tcW w:w="716" w:type="dxa"/>
            <w:vMerge w:val="restart"/>
            <w:tcBorders>
              <w:top w:val="nil"/>
              <w:left w:val="single" w:color="000000" w:sz="8" w:space="0"/>
              <w:bottom w:val="single" w:color="000000" w:sz="8" w:space="0"/>
              <w:right w:val="single" w:color="000000" w:sz="8" w:space="0"/>
            </w:tcBorders>
            <w:vAlign w:val="center"/>
          </w:tcPr>
          <w:p w14:paraId="626E93EF">
            <w:pPr>
              <w:widowControl/>
              <w:jc w:val="center"/>
              <w:rPr>
                <w:rFonts w:ascii="宋体" w:hAnsi="宋体" w:cs="宋体"/>
                <w:kern w:val="0"/>
                <w:sz w:val="20"/>
                <w:szCs w:val="20"/>
              </w:rPr>
            </w:pPr>
            <w:r>
              <w:rPr>
                <w:rFonts w:hint="eastAsia" w:ascii="宋体" w:hAnsi="宋体" w:cs="宋体"/>
                <w:kern w:val="0"/>
                <w:sz w:val="20"/>
                <w:szCs w:val="20"/>
              </w:rPr>
              <w:t>6</w:t>
            </w:r>
          </w:p>
        </w:tc>
        <w:tc>
          <w:tcPr>
            <w:tcW w:w="1041" w:type="dxa"/>
            <w:vMerge w:val="restart"/>
            <w:tcBorders>
              <w:top w:val="nil"/>
              <w:left w:val="single" w:color="000000" w:sz="8" w:space="0"/>
              <w:bottom w:val="single" w:color="000000" w:sz="8" w:space="0"/>
              <w:right w:val="single" w:color="000000" w:sz="8" w:space="0"/>
            </w:tcBorders>
            <w:vAlign w:val="center"/>
          </w:tcPr>
          <w:p w14:paraId="22D4C4BB">
            <w:pPr>
              <w:widowControl/>
              <w:jc w:val="center"/>
              <w:rPr>
                <w:rFonts w:ascii="宋体" w:hAnsi="宋体" w:cs="宋体"/>
                <w:kern w:val="0"/>
                <w:sz w:val="20"/>
                <w:szCs w:val="20"/>
              </w:rPr>
            </w:pPr>
            <w:r>
              <w:rPr>
                <w:rFonts w:hint="eastAsia" w:ascii="宋体" w:hAnsi="宋体" w:cs="宋体"/>
                <w:kern w:val="0"/>
                <w:sz w:val="20"/>
                <w:szCs w:val="20"/>
              </w:rPr>
              <w:t>A020523制冷空调设备</w:t>
            </w:r>
          </w:p>
        </w:tc>
        <w:tc>
          <w:tcPr>
            <w:tcW w:w="1516" w:type="dxa"/>
            <w:vMerge w:val="restart"/>
            <w:tcBorders>
              <w:top w:val="nil"/>
              <w:left w:val="single" w:color="000000" w:sz="8" w:space="0"/>
              <w:bottom w:val="single" w:color="000000" w:sz="8" w:space="0"/>
              <w:right w:val="single" w:color="000000" w:sz="8" w:space="0"/>
            </w:tcBorders>
            <w:vAlign w:val="center"/>
          </w:tcPr>
          <w:p w14:paraId="7A354E6C">
            <w:pPr>
              <w:widowControl/>
              <w:jc w:val="center"/>
              <w:rPr>
                <w:rFonts w:ascii="宋体" w:hAnsi="宋体" w:cs="宋体"/>
                <w:kern w:val="0"/>
                <w:sz w:val="20"/>
                <w:szCs w:val="20"/>
              </w:rPr>
            </w:pPr>
            <w:r>
              <w:rPr>
                <w:rFonts w:hint="eastAsia" w:ascii="宋体" w:hAnsi="宋体" w:cs="宋体"/>
                <w:kern w:val="0"/>
                <w:sz w:val="20"/>
                <w:szCs w:val="20"/>
              </w:rPr>
              <w:t>★A02052301制冷压缩机</w:t>
            </w:r>
          </w:p>
        </w:tc>
        <w:tc>
          <w:tcPr>
            <w:tcW w:w="1612" w:type="dxa"/>
            <w:tcBorders>
              <w:top w:val="nil"/>
              <w:left w:val="nil"/>
              <w:bottom w:val="single" w:color="000000" w:sz="8" w:space="0"/>
              <w:right w:val="single" w:color="000000" w:sz="8" w:space="0"/>
            </w:tcBorders>
            <w:vAlign w:val="center"/>
          </w:tcPr>
          <w:p w14:paraId="1C9F5DDB">
            <w:pPr>
              <w:widowControl/>
              <w:jc w:val="center"/>
              <w:rPr>
                <w:rFonts w:ascii="宋体" w:hAnsi="宋体" w:cs="宋体"/>
                <w:kern w:val="0"/>
                <w:sz w:val="20"/>
                <w:szCs w:val="20"/>
              </w:rPr>
            </w:pPr>
            <w:r>
              <w:rPr>
                <w:rFonts w:hint="eastAsia" w:ascii="宋体" w:hAnsi="宋体" w:cs="宋体"/>
                <w:kern w:val="0"/>
                <w:sz w:val="20"/>
                <w:szCs w:val="20"/>
              </w:rPr>
              <w:t>冷水机组</w:t>
            </w:r>
          </w:p>
        </w:tc>
        <w:tc>
          <w:tcPr>
            <w:tcW w:w="4335" w:type="dxa"/>
            <w:tcBorders>
              <w:top w:val="nil"/>
              <w:left w:val="nil"/>
              <w:bottom w:val="single" w:color="000000" w:sz="8" w:space="0"/>
              <w:right w:val="single" w:color="000000" w:sz="8" w:space="0"/>
            </w:tcBorders>
            <w:vAlign w:val="center"/>
          </w:tcPr>
          <w:p w14:paraId="47F44B9B">
            <w:pPr>
              <w:widowControl/>
              <w:jc w:val="left"/>
              <w:rPr>
                <w:rFonts w:ascii="宋体" w:hAnsi="宋体" w:cs="宋体"/>
                <w:kern w:val="0"/>
                <w:sz w:val="20"/>
                <w:szCs w:val="20"/>
              </w:rPr>
            </w:pPr>
            <w:r>
              <w:rPr>
                <w:rFonts w:hint="eastAsia" w:ascii="宋体" w:hAnsi="宋体" w:cs="宋体"/>
                <w:kern w:val="0"/>
                <w:sz w:val="20"/>
                <w:szCs w:val="20"/>
              </w:rPr>
              <w:t>《冷水机组能效限定值及能效等级》（GB19577），《低环境温度空气源热泵（冷水）机组能效限定值及能效等级》（GB37480）</w:t>
            </w:r>
          </w:p>
        </w:tc>
      </w:tr>
      <w:tr w14:paraId="274C7222">
        <w:tblPrEx>
          <w:tblCellMar>
            <w:top w:w="0" w:type="dxa"/>
            <w:left w:w="108" w:type="dxa"/>
            <w:bottom w:w="0" w:type="dxa"/>
            <w:right w:w="108" w:type="dxa"/>
          </w:tblCellMar>
        </w:tblPrEx>
        <w:trPr>
          <w:trHeight w:val="495" w:hRule="atLeast"/>
        </w:trPr>
        <w:tc>
          <w:tcPr>
            <w:tcW w:w="716" w:type="dxa"/>
            <w:vMerge w:val="continue"/>
            <w:tcBorders>
              <w:top w:val="nil"/>
              <w:left w:val="single" w:color="000000" w:sz="8" w:space="0"/>
              <w:bottom w:val="single" w:color="000000" w:sz="8" w:space="0"/>
              <w:right w:val="single" w:color="000000" w:sz="8" w:space="0"/>
            </w:tcBorders>
            <w:vAlign w:val="center"/>
          </w:tcPr>
          <w:p w14:paraId="51391751">
            <w:pPr>
              <w:widowControl/>
              <w:jc w:val="left"/>
              <w:rPr>
                <w:rFonts w:ascii="宋体" w:hAnsi="宋体" w:cs="宋体"/>
                <w:kern w:val="0"/>
                <w:sz w:val="20"/>
                <w:szCs w:val="20"/>
              </w:rPr>
            </w:pPr>
          </w:p>
        </w:tc>
        <w:tc>
          <w:tcPr>
            <w:tcW w:w="1041" w:type="dxa"/>
            <w:vMerge w:val="continue"/>
            <w:tcBorders>
              <w:top w:val="nil"/>
              <w:left w:val="single" w:color="000000" w:sz="8" w:space="0"/>
              <w:bottom w:val="single" w:color="000000" w:sz="8" w:space="0"/>
              <w:right w:val="single" w:color="000000" w:sz="8" w:space="0"/>
            </w:tcBorders>
            <w:vAlign w:val="center"/>
          </w:tcPr>
          <w:p w14:paraId="35382DAB">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52E6CA61">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1D445717">
            <w:pPr>
              <w:widowControl/>
              <w:jc w:val="center"/>
              <w:rPr>
                <w:rFonts w:ascii="宋体" w:hAnsi="宋体" w:cs="宋体"/>
                <w:kern w:val="0"/>
                <w:sz w:val="20"/>
                <w:szCs w:val="20"/>
              </w:rPr>
            </w:pPr>
            <w:r>
              <w:rPr>
                <w:rFonts w:hint="eastAsia" w:ascii="宋体" w:hAnsi="宋体" w:cs="宋体"/>
                <w:kern w:val="0"/>
                <w:sz w:val="20"/>
                <w:szCs w:val="20"/>
              </w:rPr>
              <w:t>水源热泵机组</w:t>
            </w:r>
          </w:p>
        </w:tc>
        <w:tc>
          <w:tcPr>
            <w:tcW w:w="4335" w:type="dxa"/>
            <w:tcBorders>
              <w:top w:val="nil"/>
              <w:left w:val="nil"/>
              <w:bottom w:val="single" w:color="000000" w:sz="8" w:space="0"/>
              <w:right w:val="single" w:color="000000" w:sz="8" w:space="0"/>
            </w:tcBorders>
            <w:vAlign w:val="center"/>
          </w:tcPr>
          <w:p w14:paraId="2913E9B8">
            <w:pPr>
              <w:widowControl/>
              <w:jc w:val="left"/>
              <w:rPr>
                <w:rFonts w:ascii="宋体" w:hAnsi="宋体" w:cs="宋体"/>
                <w:kern w:val="0"/>
                <w:sz w:val="20"/>
                <w:szCs w:val="20"/>
              </w:rPr>
            </w:pPr>
            <w:r>
              <w:rPr>
                <w:rFonts w:hint="eastAsia" w:ascii="宋体" w:hAnsi="宋体" w:cs="宋体"/>
                <w:kern w:val="0"/>
                <w:sz w:val="20"/>
                <w:szCs w:val="20"/>
              </w:rPr>
              <w:t>《水（地）源热泵机组能效限定值及能效等级》（GB30721）</w:t>
            </w:r>
          </w:p>
        </w:tc>
      </w:tr>
      <w:tr w14:paraId="2B968EFD">
        <w:tblPrEx>
          <w:tblCellMar>
            <w:top w:w="0" w:type="dxa"/>
            <w:left w:w="108" w:type="dxa"/>
            <w:bottom w:w="0" w:type="dxa"/>
            <w:right w:w="108" w:type="dxa"/>
          </w:tblCellMar>
        </w:tblPrEx>
        <w:trPr>
          <w:trHeight w:val="495" w:hRule="atLeast"/>
        </w:trPr>
        <w:tc>
          <w:tcPr>
            <w:tcW w:w="716" w:type="dxa"/>
            <w:vMerge w:val="continue"/>
            <w:tcBorders>
              <w:top w:val="nil"/>
              <w:left w:val="single" w:color="000000" w:sz="8" w:space="0"/>
              <w:bottom w:val="single" w:color="000000" w:sz="8" w:space="0"/>
              <w:right w:val="single" w:color="000000" w:sz="8" w:space="0"/>
            </w:tcBorders>
            <w:vAlign w:val="center"/>
          </w:tcPr>
          <w:p w14:paraId="0363CB2B">
            <w:pPr>
              <w:widowControl/>
              <w:jc w:val="left"/>
              <w:rPr>
                <w:rFonts w:ascii="宋体" w:hAnsi="宋体" w:cs="宋体"/>
                <w:kern w:val="0"/>
                <w:sz w:val="20"/>
                <w:szCs w:val="20"/>
              </w:rPr>
            </w:pPr>
          </w:p>
        </w:tc>
        <w:tc>
          <w:tcPr>
            <w:tcW w:w="1041" w:type="dxa"/>
            <w:vMerge w:val="continue"/>
            <w:tcBorders>
              <w:top w:val="nil"/>
              <w:left w:val="single" w:color="000000" w:sz="8" w:space="0"/>
              <w:bottom w:val="single" w:color="000000" w:sz="8" w:space="0"/>
              <w:right w:val="single" w:color="000000" w:sz="8" w:space="0"/>
            </w:tcBorders>
            <w:vAlign w:val="center"/>
          </w:tcPr>
          <w:p w14:paraId="6D41F6F5">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05A2E915">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111A1758">
            <w:pPr>
              <w:widowControl/>
              <w:jc w:val="center"/>
              <w:rPr>
                <w:rFonts w:ascii="宋体" w:hAnsi="宋体" w:cs="宋体"/>
                <w:kern w:val="0"/>
                <w:sz w:val="20"/>
                <w:szCs w:val="20"/>
              </w:rPr>
            </w:pPr>
            <w:r>
              <w:rPr>
                <w:rFonts w:hint="eastAsia" w:ascii="宋体" w:hAnsi="宋体" w:cs="宋体"/>
                <w:kern w:val="0"/>
                <w:sz w:val="20"/>
                <w:szCs w:val="20"/>
              </w:rPr>
              <w:t>溴化锂吸收式冷水机组</w:t>
            </w:r>
          </w:p>
        </w:tc>
        <w:tc>
          <w:tcPr>
            <w:tcW w:w="4335" w:type="dxa"/>
            <w:tcBorders>
              <w:top w:val="nil"/>
              <w:left w:val="nil"/>
              <w:bottom w:val="single" w:color="000000" w:sz="8" w:space="0"/>
              <w:right w:val="single" w:color="000000" w:sz="8" w:space="0"/>
            </w:tcBorders>
            <w:vAlign w:val="center"/>
          </w:tcPr>
          <w:p w14:paraId="1A730638">
            <w:pPr>
              <w:widowControl/>
              <w:jc w:val="left"/>
              <w:rPr>
                <w:rFonts w:ascii="宋体" w:hAnsi="宋体" w:cs="宋体"/>
                <w:kern w:val="0"/>
                <w:sz w:val="20"/>
                <w:szCs w:val="20"/>
              </w:rPr>
            </w:pPr>
            <w:r>
              <w:rPr>
                <w:rFonts w:hint="eastAsia" w:ascii="宋体" w:hAnsi="宋体" w:cs="宋体"/>
                <w:kern w:val="0"/>
                <w:sz w:val="20"/>
                <w:szCs w:val="20"/>
              </w:rPr>
              <w:t>《溴化锂吸收式冷水机组能效限定值及能效等级》（GB29540）</w:t>
            </w:r>
          </w:p>
        </w:tc>
      </w:tr>
      <w:tr w14:paraId="747456D6">
        <w:tblPrEx>
          <w:tblCellMar>
            <w:top w:w="0" w:type="dxa"/>
            <w:left w:w="108" w:type="dxa"/>
            <w:bottom w:w="0" w:type="dxa"/>
            <w:right w:w="108" w:type="dxa"/>
          </w:tblCellMar>
        </w:tblPrEx>
        <w:trPr>
          <w:trHeight w:val="735" w:hRule="atLeast"/>
        </w:trPr>
        <w:tc>
          <w:tcPr>
            <w:tcW w:w="716" w:type="dxa"/>
            <w:vMerge w:val="continue"/>
            <w:tcBorders>
              <w:top w:val="nil"/>
              <w:left w:val="single" w:color="000000" w:sz="8" w:space="0"/>
              <w:bottom w:val="single" w:color="000000" w:sz="8" w:space="0"/>
              <w:right w:val="single" w:color="000000" w:sz="8" w:space="0"/>
            </w:tcBorders>
            <w:vAlign w:val="center"/>
          </w:tcPr>
          <w:p w14:paraId="48DDB8C5">
            <w:pPr>
              <w:widowControl/>
              <w:jc w:val="left"/>
              <w:rPr>
                <w:rFonts w:ascii="宋体" w:hAnsi="宋体" w:cs="宋体"/>
                <w:kern w:val="0"/>
                <w:sz w:val="20"/>
                <w:szCs w:val="20"/>
              </w:rPr>
            </w:pPr>
          </w:p>
        </w:tc>
        <w:tc>
          <w:tcPr>
            <w:tcW w:w="1041" w:type="dxa"/>
            <w:vMerge w:val="continue"/>
            <w:tcBorders>
              <w:top w:val="nil"/>
              <w:left w:val="single" w:color="000000" w:sz="8" w:space="0"/>
              <w:bottom w:val="single" w:color="000000" w:sz="8" w:space="0"/>
              <w:right w:val="single" w:color="000000" w:sz="8" w:space="0"/>
            </w:tcBorders>
            <w:vAlign w:val="center"/>
          </w:tcPr>
          <w:p w14:paraId="2E585A6C">
            <w:pPr>
              <w:widowControl/>
              <w:jc w:val="left"/>
              <w:rPr>
                <w:rFonts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6EFE54A9">
            <w:pPr>
              <w:widowControl/>
              <w:jc w:val="center"/>
              <w:rPr>
                <w:rFonts w:ascii="宋体" w:hAnsi="宋体" w:cs="宋体"/>
                <w:kern w:val="0"/>
                <w:sz w:val="20"/>
                <w:szCs w:val="20"/>
              </w:rPr>
            </w:pPr>
            <w:r>
              <w:rPr>
                <w:rFonts w:hint="eastAsia" w:ascii="宋体" w:hAnsi="宋体" w:cs="宋体"/>
                <w:kern w:val="0"/>
                <w:sz w:val="20"/>
                <w:szCs w:val="20"/>
              </w:rPr>
              <w:t>★A02052305空调机组</w:t>
            </w:r>
          </w:p>
        </w:tc>
        <w:tc>
          <w:tcPr>
            <w:tcW w:w="1612" w:type="dxa"/>
            <w:tcBorders>
              <w:top w:val="nil"/>
              <w:left w:val="nil"/>
              <w:bottom w:val="single" w:color="000000" w:sz="8" w:space="0"/>
              <w:right w:val="single" w:color="000000" w:sz="8" w:space="0"/>
            </w:tcBorders>
            <w:vAlign w:val="center"/>
          </w:tcPr>
          <w:p w14:paraId="6DE16506">
            <w:pPr>
              <w:widowControl/>
              <w:jc w:val="center"/>
              <w:rPr>
                <w:rFonts w:ascii="宋体" w:hAnsi="宋体" w:cs="宋体"/>
                <w:kern w:val="0"/>
                <w:sz w:val="20"/>
                <w:szCs w:val="20"/>
              </w:rPr>
            </w:pPr>
            <w:r>
              <w:rPr>
                <w:rFonts w:hint="eastAsia" w:ascii="宋体" w:hAnsi="宋体" w:cs="宋体"/>
                <w:kern w:val="0"/>
                <w:sz w:val="20"/>
                <w:szCs w:val="20"/>
              </w:rPr>
              <w:t>多联式空调（热泵）机组(制冷量&gt;14000W)</w:t>
            </w:r>
          </w:p>
        </w:tc>
        <w:tc>
          <w:tcPr>
            <w:tcW w:w="4335" w:type="dxa"/>
            <w:tcBorders>
              <w:top w:val="nil"/>
              <w:left w:val="nil"/>
              <w:bottom w:val="single" w:color="000000" w:sz="8" w:space="0"/>
              <w:right w:val="single" w:color="000000" w:sz="8" w:space="0"/>
            </w:tcBorders>
            <w:vAlign w:val="center"/>
          </w:tcPr>
          <w:p w14:paraId="7CD3EB08">
            <w:pPr>
              <w:widowControl/>
              <w:jc w:val="left"/>
              <w:rPr>
                <w:rFonts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52753F3E">
        <w:tblPrEx>
          <w:tblCellMar>
            <w:top w:w="0" w:type="dxa"/>
            <w:left w:w="108" w:type="dxa"/>
            <w:bottom w:w="0" w:type="dxa"/>
            <w:right w:w="108" w:type="dxa"/>
          </w:tblCellMar>
        </w:tblPrEx>
        <w:trPr>
          <w:trHeight w:val="735" w:hRule="atLeast"/>
        </w:trPr>
        <w:tc>
          <w:tcPr>
            <w:tcW w:w="716" w:type="dxa"/>
            <w:vMerge w:val="continue"/>
            <w:tcBorders>
              <w:top w:val="nil"/>
              <w:left w:val="single" w:color="000000" w:sz="8" w:space="0"/>
              <w:bottom w:val="single" w:color="000000" w:sz="8" w:space="0"/>
              <w:right w:val="single" w:color="000000" w:sz="8" w:space="0"/>
            </w:tcBorders>
            <w:vAlign w:val="center"/>
          </w:tcPr>
          <w:p w14:paraId="63AF61AC">
            <w:pPr>
              <w:widowControl/>
              <w:jc w:val="left"/>
              <w:rPr>
                <w:rFonts w:ascii="宋体" w:hAnsi="宋体" w:cs="宋体"/>
                <w:kern w:val="0"/>
                <w:sz w:val="20"/>
                <w:szCs w:val="20"/>
              </w:rPr>
            </w:pPr>
          </w:p>
        </w:tc>
        <w:tc>
          <w:tcPr>
            <w:tcW w:w="1041" w:type="dxa"/>
            <w:vMerge w:val="continue"/>
            <w:tcBorders>
              <w:top w:val="nil"/>
              <w:left w:val="single" w:color="000000" w:sz="8" w:space="0"/>
              <w:bottom w:val="single" w:color="000000" w:sz="8" w:space="0"/>
              <w:right w:val="single" w:color="000000" w:sz="8" w:space="0"/>
            </w:tcBorders>
            <w:vAlign w:val="center"/>
          </w:tcPr>
          <w:p w14:paraId="3ECE28D1">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2944A129">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688A43A6">
            <w:pPr>
              <w:widowControl/>
              <w:jc w:val="center"/>
              <w:rPr>
                <w:rFonts w:ascii="宋体" w:hAnsi="宋体" w:cs="宋体"/>
                <w:kern w:val="0"/>
                <w:sz w:val="20"/>
                <w:szCs w:val="20"/>
              </w:rPr>
            </w:pPr>
            <w:r>
              <w:rPr>
                <w:rFonts w:hint="eastAsia" w:ascii="宋体" w:hAnsi="宋体" w:cs="宋体"/>
                <w:kern w:val="0"/>
                <w:sz w:val="20"/>
                <w:szCs w:val="20"/>
              </w:rPr>
              <w:t>单元式空气调节机(制冷量&gt;14000W</w:t>
            </w:r>
          </w:p>
        </w:tc>
        <w:tc>
          <w:tcPr>
            <w:tcW w:w="4335" w:type="dxa"/>
            <w:tcBorders>
              <w:top w:val="nil"/>
              <w:left w:val="nil"/>
              <w:bottom w:val="single" w:color="000000" w:sz="8" w:space="0"/>
              <w:right w:val="single" w:color="000000" w:sz="8" w:space="0"/>
            </w:tcBorders>
            <w:vAlign w:val="center"/>
          </w:tcPr>
          <w:p w14:paraId="4C88398C">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《单元式空气调节机能效限定值及能效等级》（GB19576）《风管送风式空调机组能效限定值及能效等级》（GB37479）</w:t>
            </w:r>
          </w:p>
        </w:tc>
      </w:tr>
      <w:tr w14:paraId="03D9AD32">
        <w:tblPrEx>
          <w:tblCellMar>
            <w:top w:w="0" w:type="dxa"/>
            <w:left w:w="108" w:type="dxa"/>
            <w:bottom w:w="0" w:type="dxa"/>
            <w:right w:w="108" w:type="dxa"/>
          </w:tblCellMar>
        </w:tblPrEx>
        <w:trPr>
          <w:trHeight w:val="735" w:hRule="atLeast"/>
        </w:trPr>
        <w:tc>
          <w:tcPr>
            <w:tcW w:w="716" w:type="dxa"/>
            <w:vMerge w:val="continue"/>
            <w:tcBorders>
              <w:top w:val="nil"/>
              <w:left w:val="single" w:color="000000" w:sz="8" w:space="0"/>
              <w:bottom w:val="single" w:color="000000" w:sz="8" w:space="0"/>
              <w:right w:val="single" w:color="000000" w:sz="8" w:space="0"/>
            </w:tcBorders>
            <w:vAlign w:val="center"/>
          </w:tcPr>
          <w:p w14:paraId="0451E8F2">
            <w:pPr>
              <w:widowControl/>
              <w:jc w:val="left"/>
              <w:rPr>
                <w:rFonts w:ascii="宋体" w:hAnsi="宋体" w:cs="宋体"/>
                <w:kern w:val="0"/>
                <w:sz w:val="20"/>
                <w:szCs w:val="20"/>
              </w:rPr>
            </w:pPr>
          </w:p>
        </w:tc>
        <w:tc>
          <w:tcPr>
            <w:tcW w:w="1041" w:type="dxa"/>
            <w:vMerge w:val="continue"/>
            <w:tcBorders>
              <w:top w:val="nil"/>
              <w:left w:val="single" w:color="000000" w:sz="8" w:space="0"/>
              <w:bottom w:val="single" w:color="000000" w:sz="8" w:space="0"/>
              <w:right w:val="single" w:color="000000" w:sz="8" w:space="0"/>
            </w:tcBorders>
            <w:vAlign w:val="center"/>
          </w:tcPr>
          <w:p w14:paraId="59893BAA">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63E797B7">
            <w:pPr>
              <w:widowControl/>
              <w:jc w:val="center"/>
              <w:rPr>
                <w:rFonts w:ascii="宋体" w:hAnsi="宋体" w:cs="宋体"/>
                <w:kern w:val="0"/>
                <w:sz w:val="20"/>
                <w:szCs w:val="20"/>
              </w:rPr>
            </w:pPr>
            <w:r>
              <w:rPr>
                <w:rFonts w:hint="eastAsia" w:ascii="宋体" w:hAnsi="宋体" w:cs="宋体"/>
                <w:kern w:val="0"/>
                <w:sz w:val="20"/>
                <w:szCs w:val="20"/>
              </w:rPr>
              <w:t>★A02052309专用制冷、空调设备</w:t>
            </w:r>
          </w:p>
        </w:tc>
        <w:tc>
          <w:tcPr>
            <w:tcW w:w="1612" w:type="dxa"/>
            <w:tcBorders>
              <w:top w:val="nil"/>
              <w:left w:val="nil"/>
              <w:bottom w:val="single" w:color="000000" w:sz="8" w:space="0"/>
              <w:right w:val="single" w:color="000000" w:sz="8" w:space="0"/>
            </w:tcBorders>
            <w:vAlign w:val="center"/>
          </w:tcPr>
          <w:p w14:paraId="155AAF46">
            <w:pPr>
              <w:widowControl/>
              <w:jc w:val="center"/>
              <w:rPr>
                <w:rFonts w:ascii="宋体" w:hAnsi="宋体" w:cs="宋体"/>
                <w:kern w:val="0"/>
                <w:sz w:val="20"/>
                <w:szCs w:val="20"/>
              </w:rPr>
            </w:pPr>
            <w:r>
              <w:rPr>
                <w:rFonts w:hint="eastAsia" w:ascii="宋体" w:hAnsi="宋体" w:cs="宋体"/>
                <w:kern w:val="0"/>
                <w:sz w:val="20"/>
                <w:szCs w:val="20"/>
              </w:rPr>
              <w:t>机房空调</w:t>
            </w:r>
          </w:p>
        </w:tc>
        <w:tc>
          <w:tcPr>
            <w:tcW w:w="4335" w:type="dxa"/>
            <w:tcBorders>
              <w:top w:val="nil"/>
              <w:left w:val="nil"/>
              <w:bottom w:val="single" w:color="000000" w:sz="8" w:space="0"/>
              <w:right w:val="single" w:color="000000" w:sz="8" w:space="0"/>
            </w:tcBorders>
            <w:vAlign w:val="center"/>
          </w:tcPr>
          <w:p w14:paraId="06E368D4">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《单元式空气调节机能效限定值及能效等级》（GB19576）</w:t>
            </w:r>
          </w:p>
        </w:tc>
      </w:tr>
      <w:tr w14:paraId="6E1371E3">
        <w:tblPrEx>
          <w:tblCellMar>
            <w:top w:w="0" w:type="dxa"/>
            <w:left w:w="108" w:type="dxa"/>
            <w:bottom w:w="0" w:type="dxa"/>
            <w:right w:w="108" w:type="dxa"/>
          </w:tblCellMar>
        </w:tblPrEx>
        <w:trPr>
          <w:trHeight w:val="735" w:hRule="atLeast"/>
        </w:trPr>
        <w:tc>
          <w:tcPr>
            <w:tcW w:w="716" w:type="dxa"/>
            <w:vMerge w:val="continue"/>
            <w:tcBorders>
              <w:top w:val="nil"/>
              <w:left w:val="single" w:color="000000" w:sz="8" w:space="0"/>
              <w:bottom w:val="single" w:color="000000" w:sz="8" w:space="0"/>
              <w:right w:val="single" w:color="000000" w:sz="8" w:space="0"/>
            </w:tcBorders>
            <w:vAlign w:val="center"/>
          </w:tcPr>
          <w:p w14:paraId="2EC53A89">
            <w:pPr>
              <w:widowControl/>
              <w:jc w:val="left"/>
              <w:rPr>
                <w:rFonts w:ascii="宋体" w:hAnsi="宋体" w:cs="宋体"/>
                <w:kern w:val="0"/>
                <w:sz w:val="20"/>
                <w:szCs w:val="20"/>
              </w:rPr>
            </w:pPr>
          </w:p>
        </w:tc>
        <w:tc>
          <w:tcPr>
            <w:tcW w:w="1041" w:type="dxa"/>
            <w:vMerge w:val="continue"/>
            <w:tcBorders>
              <w:top w:val="nil"/>
              <w:left w:val="single" w:color="000000" w:sz="8" w:space="0"/>
              <w:bottom w:val="single" w:color="000000" w:sz="8" w:space="0"/>
              <w:right w:val="single" w:color="000000" w:sz="8" w:space="0"/>
            </w:tcBorders>
            <w:vAlign w:val="center"/>
          </w:tcPr>
          <w:p w14:paraId="07699447">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73F3C4D7">
            <w:pPr>
              <w:widowControl/>
              <w:jc w:val="center"/>
              <w:rPr>
                <w:rFonts w:ascii="宋体" w:hAnsi="宋体" w:cs="宋体"/>
                <w:kern w:val="0"/>
                <w:sz w:val="20"/>
                <w:szCs w:val="20"/>
              </w:rPr>
            </w:pPr>
            <w:r>
              <w:rPr>
                <w:rFonts w:hint="eastAsia" w:ascii="宋体" w:hAnsi="宋体" w:cs="宋体"/>
                <w:kern w:val="0"/>
                <w:sz w:val="20"/>
                <w:szCs w:val="20"/>
              </w:rPr>
              <w:t>A02052399其他制冷空调设备</w:t>
            </w:r>
          </w:p>
        </w:tc>
        <w:tc>
          <w:tcPr>
            <w:tcW w:w="1612" w:type="dxa"/>
            <w:tcBorders>
              <w:top w:val="nil"/>
              <w:left w:val="nil"/>
              <w:bottom w:val="single" w:color="000000" w:sz="8" w:space="0"/>
              <w:right w:val="single" w:color="000000" w:sz="8" w:space="0"/>
            </w:tcBorders>
            <w:vAlign w:val="center"/>
          </w:tcPr>
          <w:p w14:paraId="22C92CB7">
            <w:pPr>
              <w:widowControl/>
              <w:jc w:val="center"/>
              <w:rPr>
                <w:rFonts w:ascii="宋体" w:hAnsi="宋体" w:cs="宋体"/>
                <w:kern w:val="0"/>
                <w:sz w:val="20"/>
                <w:szCs w:val="20"/>
              </w:rPr>
            </w:pPr>
            <w:r>
              <w:rPr>
                <w:rFonts w:hint="eastAsia" w:ascii="宋体" w:hAnsi="宋体" w:cs="宋体"/>
                <w:kern w:val="0"/>
                <w:sz w:val="20"/>
                <w:szCs w:val="20"/>
              </w:rPr>
              <w:t>冷却塔</w:t>
            </w:r>
          </w:p>
        </w:tc>
        <w:tc>
          <w:tcPr>
            <w:tcW w:w="4335" w:type="dxa"/>
            <w:tcBorders>
              <w:top w:val="nil"/>
              <w:left w:val="nil"/>
              <w:bottom w:val="single" w:color="000000" w:sz="8" w:space="0"/>
              <w:right w:val="single" w:color="000000" w:sz="8" w:space="0"/>
            </w:tcBorders>
            <w:vAlign w:val="center"/>
          </w:tcPr>
          <w:p w14:paraId="74BFA5FF">
            <w:pPr>
              <w:widowControl/>
              <w:jc w:val="left"/>
              <w:rPr>
                <w:rFonts w:ascii="宋体" w:hAnsi="宋体" w:cs="宋体"/>
                <w:kern w:val="0"/>
                <w:sz w:val="20"/>
                <w:szCs w:val="20"/>
              </w:rPr>
            </w:pPr>
            <w:r>
              <w:rPr>
                <w:rFonts w:hint="eastAsia" w:ascii="宋体" w:hAnsi="宋体" w:cs="宋体"/>
                <w:kern w:val="0"/>
                <w:sz w:val="20"/>
                <w:szCs w:val="20"/>
              </w:rPr>
              <w:t>《机械通风冷却塔第1部分：中小型开式冷却塔》（GB/T7190.1）；《机械通风冷却塔第2部分：大型开式冷却塔》（GB/T7190.2）</w:t>
            </w:r>
          </w:p>
        </w:tc>
      </w:tr>
      <w:tr w14:paraId="67304EF1">
        <w:tblPrEx>
          <w:tblCellMar>
            <w:top w:w="0" w:type="dxa"/>
            <w:left w:w="108" w:type="dxa"/>
            <w:bottom w:w="0" w:type="dxa"/>
            <w:right w:w="108" w:type="dxa"/>
          </w:tblCellMar>
        </w:tblPrEx>
        <w:trPr>
          <w:trHeight w:val="495" w:hRule="atLeast"/>
        </w:trPr>
        <w:tc>
          <w:tcPr>
            <w:tcW w:w="716" w:type="dxa"/>
            <w:tcBorders>
              <w:top w:val="nil"/>
              <w:left w:val="single" w:color="000000" w:sz="8" w:space="0"/>
              <w:bottom w:val="single" w:color="000000" w:sz="8" w:space="0"/>
              <w:right w:val="single" w:color="000000" w:sz="8" w:space="0"/>
            </w:tcBorders>
            <w:vAlign w:val="center"/>
          </w:tcPr>
          <w:p w14:paraId="2B9F272F">
            <w:pPr>
              <w:widowControl/>
              <w:jc w:val="center"/>
              <w:rPr>
                <w:rFonts w:ascii="宋体" w:hAnsi="宋体" w:cs="宋体"/>
                <w:kern w:val="0"/>
                <w:sz w:val="20"/>
                <w:szCs w:val="20"/>
              </w:rPr>
            </w:pPr>
            <w:r>
              <w:rPr>
                <w:rFonts w:hint="eastAsia" w:ascii="宋体" w:hAnsi="宋体" w:cs="宋体"/>
                <w:kern w:val="0"/>
                <w:sz w:val="20"/>
                <w:szCs w:val="20"/>
              </w:rPr>
              <w:t>7</w:t>
            </w:r>
          </w:p>
        </w:tc>
        <w:tc>
          <w:tcPr>
            <w:tcW w:w="1041" w:type="dxa"/>
            <w:tcBorders>
              <w:top w:val="nil"/>
              <w:left w:val="nil"/>
              <w:bottom w:val="single" w:color="000000" w:sz="8" w:space="0"/>
              <w:right w:val="single" w:color="000000" w:sz="8" w:space="0"/>
            </w:tcBorders>
            <w:vAlign w:val="center"/>
          </w:tcPr>
          <w:p w14:paraId="4B0DBA7A">
            <w:pPr>
              <w:widowControl/>
              <w:jc w:val="center"/>
              <w:rPr>
                <w:rFonts w:ascii="宋体" w:hAnsi="宋体" w:cs="宋体"/>
                <w:kern w:val="0"/>
                <w:sz w:val="20"/>
                <w:szCs w:val="20"/>
              </w:rPr>
            </w:pPr>
            <w:r>
              <w:rPr>
                <w:rFonts w:hint="eastAsia" w:ascii="宋体" w:hAnsi="宋体" w:cs="宋体"/>
                <w:kern w:val="0"/>
                <w:sz w:val="20"/>
                <w:szCs w:val="20"/>
              </w:rPr>
              <w:t>A020601电机</w:t>
            </w:r>
          </w:p>
        </w:tc>
        <w:tc>
          <w:tcPr>
            <w:tcW w:w="1516" w:type="dxa"/>
            <w:tcBorders>
              <w:top w:val="nil"/>
              <w:left w:val="nil"/>
              <w:bottom w:val="single" w:color="000000" w:sz="8" w:space="0"/>
              <w:right w:val="single" w:color="000000" w:sz="8" w:space="0"/>
            </w:tcBorders>
            <w:vAlign w:val="center"/>
          </w:tcPr>
          <w:p w14:paraId="5A951DCC">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06212731">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748D328D">
            <w:pPr>
              <w:widowControl/>
              <w:jc w:val="left"/>
              <w:rPr>
                <w:rFonts w:ascii="宋体" w:hAnsi="宋体" w:cs="宋体"/>
                <w:kern w:val="0"/>
                <w:sz w:val="20"/>
                <w:szCs w:val="20"/>
              </w:rPr>
            </w:pPr>
            <w:r>
              <w:rPr>
                <w:rFonts w:hint="eastAsia" w:ascii="宋体" w:hAnsi="宋体" w:cs="宋体"/>
                <w:kern w:val="0"/>
                <w:sz w:val="20"/>
                <w:szCs w:val="20"/>
              </w:rPr>
              <w:t>《中小型三相异步电动机能效限定值及能效等级》（GB18613）</w:t>
            </w:r>
          </w:p>
        </w:tc>
      </w:tr>
      <w:tr w14:paraId="69357BAA">
        <w:tblPrEx>
          <w:tblCellMar>
            <w:top w:w="0" w:type="dxa"/>
            <w:left w:w="108" w:type="dxa"/>
            <w:bottom w:w="0" w:type="dxa"/>
            <w:right w:w="108" w:type="dxa"/>
          </w:tblCellMar>
        </w:tblPrEx>
        <w:trPr>
          <w:trHeight w:val="495" w:hRule="atLeast"/>
        </w:trPr>
        <w:tc>
          <w:tcPr>
            <w:tcW w:w="716" w:type="dxa"/>
            <w:tcBorders>
              <w:top w:val="nil"/>
              <w:left w:val="single" w:color="000000" w:sz="8" w:space="0"/>
              <w:bottom w:val="single" w:color="000000" w:sz="8" w:space="0"/>
              <w:right w:val="single" w:color="000000" w:sz="8" w:space="0"/>
            </w:tcBorders>
            <w:vAlign w:val="center"/>
          </w:tcPr>
          <w:p w14:paraId="24F1A6E2">
            <w:pPr>
              <w:widowControl/>
              <w:jc w:val="center"/>
              <w:rPr>
                <w:rFonts w:ascii="宋体" w:hAnsi="宋体" w:cs="宋体"/>
                <w:kern w:val="0"/>
                <w:sz w:val="20"/>
                <w:szCs w:val="20"/>
              </w:rPr>
            </w:pPr>
            <w:r>
              <w:rPr>
                <w:rFonts w:hint="eastAsia" w:ascii="宋体" w:hAnsi="宋体" w:cs="宋体"/>
                <w:kern w:val="0"/>
                <w:sz w:val="20"/>
                <w:szCs w:val="20"/>
              </w:rPr>
              <w:t>8</w:t>
            </w:r>
          </w:p>
        </w:tc>
        <w:tc>
          <w:tcPr>
            <w:tcW w:w="1041" w:type="dxa"/>
            <w:tcBorders>
              <w:top w:val="nil"/>
              <w:left w:val="nil"/>
              <w:bottom w:val="single" w:color="000000" w:sz="8" w:space="0"/>
              <w:right w:val="single" w:color="000000" w:sz="8" w:space="0"/>
            </w:tcBorders>
            <w:vAlign w:val="center"/>
          </w:tcPr>
          <w:p w14:paraId="31ED1E1D">
            <w:pPr>
              <w:widowControl/>
              <w:jc w:val="center"/>
              <w:rPr>
                <w:rFonts w:ascii="宋体" w:hAnsi="宋体" w:cs="宋体"/>
                <w:kern w:val="0"/>
                <w:sz w:val="20"/>
                <w:szCs w:val="20"/>
              </w:rPr>
            </w:pPr>
            <w:r>
              <w:rPr>
                <w:rFonts w:hint="eastAsia" w:ascii="宋体" w:hAnsi="宋体" w:cs="宋体"/>
                <w:kern w:val="0"/>
                <w:sz w:val="20"/>
                <w:szCs w:val="20"/>
              </w:rPr>
              <w:t>A020602变压器</w:t>
            </w:r>
          </w:p>
        </w:tc>
        <w:tc>
          <w:tcPr>
            <w:tcW w:w="1516" w:type="dxa"/>
            <w:tcBorders>
              <w:top w:val="nil"/>
              <w:left w:val="nil"/>
              <w:bottom w:val="single" w:color="000000" w:sz="8" w:space="0"/>
              <w:right w:val="single" w:color="000000" w:sz="8" w:space="0"/>
            </w:tcBorders>
            <w:vAlign w:val="center"/>
          </w:tcPr>
          <w:p w14:paraId="3ED6A60B">
            <w:pPr>
              <w:widowControl/>
              <w:jc w:val="center"/>
              <w:rPr>
                <w:rFonts w:ascii="宋体" w:hAnsi="宋体" w:cs="宋体"/>
                <w:kern w:val="0"/>
                <w:sz w:val="20"/>
                <w:szCs w:val="20"/>
              </w:rPr>
            </w:pPr>
            <w:r>
              <w:rPr>
                <w:rFonts w:hint="eastAsia" w:ascii="宋体" w:hAnsi="宋体" w:cs="宋体"/>
                <w:kern w:val="0"/>
                <w:sz w:val="20"/>
                <w:szCs w:val="20"/>
              </w:rPr>
              <w:t>配电变压器</w:t>
            </w:r>
          </w:p>
        </w:tc>
        <w:tc>
          <w:tcPr>
            <w:tcW w:w="1612" w:type="dxa"/>
            <w:tcBorders>
              <w:top w:val="nil"/>
              <w:left w:val="nil"/>
              <w:bottom w:val="single" w:color="000000" w:sz="8" w:space="0"/>
              <w:right w:val="single" w:color="000000" w:sz="8" w:space="0"/>
            </w:tcBorders>
            <w:vAlign w:val="center"/>
          </w:tcPr>
          <w:p w14:paraId="23863B63">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007D4D45">
            <w:pPr>
              <w:widowControl/>
              <w:jc w:val="left"/>
              <w:rPr>
                <w:rFonts w:ascii="宋体" w:hAnsi="宋体" w:cs="宋体"/>
                <w:kern w:val="0"/>
                <w:sz w:val="20"/>
                <w:szCs w:val="20"/>
              </w:rPr>
            </w:pPr>
            <w:r>
              <w:rPr>
                <w:rFonts w:hint="eastAsia" w:ascii="宋体" w:hAnsi="宋体" w:cs="宋体"/>
                <w:kern w:val="0"/>
                <w:sz w:val="20"/>
                <w:szCs w:val="20"/>
              </w:rPr>
              <w:t>《三相配电变压器能效限定值及能效等级》（GB20052）</w:t>
            </w:r>
          </w:p>
        </w:tc>
      </w:tr>
      <w:tr w14:paraId="659F2F56">
        <w:tblPrEx>
          <w:tblCellMar>
            <w:top w:w="0" w:type="dxa"/>
            <w:left w:w="108" w:type="dxa"/>
            <w:bottom w:w="0" w:type="dxa"/>
            <w:right w:w="108" w:type="dxa"/>
          </w:tblCellMar>
        </w:tblPrEx>
        <w:trPr>
          <w:trHeight w:val="495" w:hRule="atLeast"/>
        </w:trPr>
        <w:tc>
          <w:tcPr>
            <w:tcW w:w="716" w:type="dxa"/>
            <w:tcBorders>
              <w:top w:val="nil"/>
              <w:left w:val="single" w:color="000000" w:sz="8" w:space="0"/>
              <w:bottom w:val="single" w:color="000000" w:sz="8" w:space="0"/>
              <w:right w:val="single" w:color="000000" w:sz="8" w:space="0"/>
            </w:tcBorders>
            <w:vAlign w:val="center"/>
          </w:tcPr>
          <w:p w14:paraId="121FC07E">
            <w:pPr>
              <w:widowControl/>
              <w:jc w:val="center"/>
              <w:rPr>
                <w:rFonts w:ascii="宋体" w:hAnsi="宋体" w:cs="宋体"/>
                <w:kern w:val="0"/>
                <w:sz w:val="20"/>
                <w:szCs w:val="20"/>
              </w:rPr>
            </w:pPr>
            <w:r>
              <w:rPr>
                <w:rFonts w:hint="eastAsia" w:ascii="宋体" w:hAnsi="宋体" w:cs="宋体"/>
                <w:kern w:val="0"/>
                <w:sz w:val="20"/>
                <w:szCs w:val="20"/>
              </w:rPr>
              <w:t>9</w:t>
            </w:r>
          </w:p>
        </w:tc>
        <w:tc>
          <w:tcPr>
            <w:tcW w:w="1041" w:type="dxa"/>
            <w:tcBorders>
              <w:top w:val="nil"/>
              <w:left w:val="nil"/>
              <w:bottom w:val="single" w:color="000000" w:sz="8" w:space="0"/>
              <w:right w:val="single" w:color="000000" w:sz="8" w:space="0"/>
            </w:tcBorders>
            <w:vAlign w:val="center"/>
          </w:tcPr>
          <w:p w14:paraId="62B960B3">
            <w:pPr>
              <w:widowControl/>
              <w:jc w:val="center"/>
              <w:rPr>
                <w:rFonts w:ascii="宋体" w:hAnsi="宋体" w:cs="宋体"/>
                <w:kern w:val="0"/>
                <w:sz w:val="20"/>
                <w:szCs w:val="20"/>
              </w:rPr>
            </w:pPr>
            <w:r>
              <w:rPr>
                <w:rFonts w:hint="eastAsia" w:ascii="宋体" w:hAnsi="宋体" w:cs="宋体"/>
                <w:kern w:val="0"/>
                <w:sz w:val="20"/>
                <w:szCs w:val="20"/>
              </w:rPr>
              <w:t>★A020609镇流器</w:t>
            </w:r>
          </w:p>
        </w:tc>
        <w:tc>
          <w:tcPr>
            <w:tcW w:w="1516" w:type="dxa"/>
            <w:tcBorders>
              <w:top w:val="nil"/>
              <w:left w:val="nil"/>
              <w:bottom w:val="single" w:color="000000" w:sz="8" w:space="0"/>
              <w:right w:val="single" w:color="000000" w:sz="8" w:space="0"/>
            </w:tcBorders>
            <w:vAlign w:val="center"/>
          </w:tcPr>
          <w:p w14:paraId="4772B8FA">
            <w:pPr>
              <w:widowControl/>
              <w:jc w:val="center"/>
              <w:rPr>
                <w:rFonts w:ascii="宋体" w:hAnsi="宋体" w:cs="宋体"/>
                <w:kern w:val="0"/>
                <w:sz w:val="20"/>
                <w:szCs w:val="20"/>
              </w:rPr>
            </w:pPr>
            <w:r>
              <w:rPr>
                <w:rFonts w:hint="eastAsia" w:ascii="宋体" w:hAnsi="宋体" w:cs="宋体"/>
                <w:kern w:val="0"/>
                <w:sz w:val="20"/>
                <w:szCs w:val="20"/>
              </w:rPr>
              <w:t>管型荧光灯镇流器</w:t>
            </w:r>
          </w:p>
        </w:tc>
        <w:tc>
          <w:tcPr>
            <w:tcW w:w="1612" w:type="dxa"/>
            <w:tcBorders>
              <w:top w:val="nil"/>
              <w:left w:val="nil"/>
              <w:bottom w:val="single" w:color="000000" w:sz="8" w:space="0"/>
              <w:right w:val="single" w:color="000000" w:sz="8" w:space="0"/>
            </w:tcBorders>
            <w:vAlign w:val="center"/>
          </w:tcPr>
          <w:p w14:paraId="5008F40D">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3B5FE36F">
            <w:pPr>
              <w:widowControl/>
              <w:jc w:val="left"/>
              <w:rPr>
                <w:rFonts w:ascii="宋体" w:hAnsi="宋体" w:cs="宋体"/>
                <w:kern w:val="0"/>
                <w:sz w:val="20"/>
                <w:szCs w:val="20"/>
              </w:rPr>
            </w:pPr>
            <w:r>
              <w:rPr>
                <w:rFonts w:hint="eastAsia" w:ascii="宋体" w:hAnsi="宋体" w:cs="宋体"/>
                <w:kern w:val="0"/>
                <w:sz w:val="20"/>
                <w:szCs w:val="20"/>
              </w:rPr>
              <w:t>《管形荧光灯镇流器能效限定值及能效等级》（GB17896）</w:t>
            </w:r>
          </w:p>
        </w:tc>
      </w:tr>
      <w:tr w14:paraId="4B9A023E">
        <w:tblPrEx>
          <w:tblCellMar>
            <w:top w:w="0" w:type="dxa"/>
            <w:left w:w="108" w:type="dxa"/>
            <w:bottom w:w="0" w:type="dxa"/>
            <w:right w:w="108" w:type="dxa"/>
          </w:tblCellMar>
        </w:tblPrEx>
        <w:trPr>
          <w:trHeight w:val="495" w:hRule="atLeast"/>
        </w:trPr>
        <w:tc>
          <w:tcPr>
            <w:tcW w:w="716" w:type="dxa"/>
            <w:vMerge w:val="restart"/>
            <w:tcBorders>
              <w:top w:val="nil"/>
              <w:left w:val="single" w:color="000000" w:sz="8" w:space="0"/>
              <w:bottom w:val="single" w:color="000000" w:sz="8" w:space="0"/>
              <w:right w:val="single" w:color="000000" w:sz="8" w:space="0"/>
            </w:tcBorders>
            <w:vAlign w:val="center"/>
          </w:tcPr>
          <w:p w14:paraId="3BA75FBF">
            <w:pPr>
              <w:widowControl/>
              <w:jc w:val="center"/>
              <w:rPr>
                <w:rFonts w:ascii="宋体" w:hAnsi="宋体" w:cs="宋体"/>
                <w:kern w:val="0"/>
                <w:sz w:val="20"/>
                <w:szCs w:val="20"/>
              </w:rPr>
            </w:pPr>
            <w:r>
              <w:rPr>
                <w:rFonts w:hint="eastAsia" w:ascii="宋体" w:hAnsi="宋体" w:cs="宋体"/>
                <w:kern w:val="0"/>
                <w:sz w:val="20"/>
                <w:szCs w:val="20"/>
              </w:rPr>
              <w:t>10</w:t>
            </w:r>
          </w:p>
        </w:tc>
        <w:tc>
          <w:tcPr>
            <w:tcW w:w="1041" w:type="dxa"/>
            <w:vMerge w:val="restart"/>
            <w:tcBorders>
              <w:top w:val="nil"/>
              <w:left w:val="single" w:color="000000" w:sz="8" w:space="0"/>
              <w:bottom w:val="single" w:color="000000" w:sz="8" w:space="0"/>
              <w:right w:val="single" w:color="000000" w:sz="8" w:space="0"/>
            </w:tcBorders>
            <w:vAlign w:val="center"/>
          </w:tcPr>
          <w:p w14:paraId="1DD474DF">
            <w:pPr>
              <w:widowControl/>
              <w:jc w:val="center"/>
              <w:rPr>
                <w:rFonts w:ascii="宋体" w:hAnsi="宋体" w:cs="宋体"/>
                <w:kern w:val="0"/>
                <w:sz w:val="20"/>
                <w:szCs w:val="20"/>
              </w:rPr>
            </w:pPr>
            <w:r>
              <w:rPr>
                <w:rFonts w:hint="eastAsia" w:ascii="宋体" w:hAnsi="宋体" w:cs="宋体"/>
                <w:kern w:val="0"/>
                <w:sz w:val="20"/>
                <w:szCs w:val="20"/>
              </w:rPr>
              <w:t>A020618生活用电器</w:t>
            </w:r>
          </w:p>
        </w:tc>
        <w:tc>
          <w:tcPr>
            <w:tcW w:w="1516" w:type="dxa"/>
            <w:tcBorders>
              <w:top w:val="nil"/>
              <w:left w:val="nil"/>
              <w:bottom w:val="single" w:color="000000" w:sz="8" w:space="0"/>
              <w:right w:val="single" w:color="000000" w:sz="8" w:space="0"/>
            </w:tcBorders>
            <w:vAlign w:val="center"/>
          </w:tcPr>
          <w:p w14:paraId="4D6ADD69">
            <w:pPr>
              <w:widowControl/>
              <w:jc w:val="center"/>
              <w:rPr>
                <w:rFonts w:ascii="宋体" w:hAnsi="宋体" w:cs="宋体"/>
                <w:kern w:val="0"/>
                <w:sz w:val="20"/>
                <w:szCs w:val="20"/>
              </w:rPr>
            </w:pPr>
            <w:r>
              <w:rPr>
                <w:rFonts w:hint="eastAsia" w:ascii="宋体" w:hAnsi="宋体" w:cs="宋体"/>
                <w:kern w:val="0"/>
                <w:sz w:val="20"/>
                <w:szCs w:val="20"/>
              </w:rPr>
              <w:t>A0206180101电冰箱</w:t>
            </w:r>
          </w:p>
        </w:tc>
        <w:tc>
          <w:tcPr>
            <w:tcW w:w="1612" w:type="dxa"/>
            <w:tcBorders>
              <w:top w:val="nil"/>
              <w:left w:val="nil"/>
              <w:bottom w:val="single" w:color="000000" w:sz="8" w:space="0"/>
              <w:right w:val="single" w:color="000000" w:sz="8" w:space="0"/>
            </w:tcBorders>
            <w:vAlign w:val="center"/>
          </w:tcPr>
          <w:p w14:paraId="33A67D3B">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015822DA">
            <w:pPr>
              <w:widowControl/>
              <w:jc w:val="left"/>
              <w:rPr>
                <w:rFonts w:ascii="宋体" w:hAnsi="宋体" w:cs="宋体"/>
                <w:kern w:val="0"/>
                <w:sz w:val="20"/>
                <w:szCs w:val="20"/>
              </w:rPr>
            </w:pPr>
            <w:r>
              <w:rPr>
                <w:rFonts w:hint="eastAsia" w:ascii="宋体" w:hAnsi="宋体" w:cs="宋体"/>
                <w:kern w:val="0"/>
                <w:sz w:val="20"/>
                <w:szCs w:val="20"/>
              </w:rPr>
              <w:t>《家用电冰箱耗电量限定值及能效等级》（GB 12021.2）</w:t>
            </w:r>
          </w:p>
        </w:tc>
      </w:tr>
      <w:tr w14:paraId="12F6E023">
        <w:tblPrEx>
          <w:tblCellMar>
            <w:top w:w="0" w:type="dxa"/>
            <w:left w:w="108" w:type="dxa"/>
            <w:bottom w:w="0" w:type="dxa"/>
            <w:right w:w="108" w:type="dxa"/>
          </w:tblCellMar>
        </w:tblPrEx>
        <w:trPr>
          <w:trHeight w:val="975" w:hRule="atLeast"/>
        </w:trPr>
        <w:tc>
          <w:tcPr>
            <w:tcW w:w="716" w:type="dxa"/>
            <w:vMerge w:val="continue"/>
            <w:tcBorders>
              <w:top w:val="nil"/>
              <w:left w:val="single" w:color="000000" w:sz="8" w:space="0"/>
              <w:bottom w:val="single" w:color="000000" w:sz="8" w:space="0"/>
              <w:right w:val="single" w:color="000000" w:sz="8" w:space="0"/>
            </w:tcBorders>
            <w:vAlign w:val="center"/>
          </w:tcPr>
          <w:p w14:paraId="1C58E9A4">
            <w:pPr>
              <w:widowControl/>
              <w:jc w:val="left"/>
              <w:rPr>
                <w:rFonts w:ascii="宋体" w:hAnsi="宋体" w:cs="宋体"/>
                <w:kern w:val="0"/>
                <w:sz w:val="20"/>
                <w:szCs w:val="20"/>
              </w:rPr>
            </w:pPr>
          </w:p>
        </w:tc>
        <w:tc>
          <w:tcPr>
            <w:tcW w:w="1041" w:type="dxa"/>
            <w:vMerge w:val="continue"/>
            <w:tcBorders>
              <w:top w:val="nil"/>
              <w:left w:val="single" w:color="000000" w:sz="8" w:space="0"/>
              <w:bottom w:val="single" w:color="000000" w:sz="8" w:space="0"/>
              <w:right w:val="single" w:color="000000" w:sz="8" w:space="0"/>
            </w:tcBorders>
            <w:vAlign w:val="center"/>
          </w:tcPr>
          <w:p w14:paraId="01E1642F">
            <w:pPr>
              <w:widowControl/>
              <w:jc w:val="left"/>
              <w:rPr>
                <w:rFonts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714E00B9">
            <w:pPr>
              <w:widowControl/>
              <w:jc w:val="center"/>
              <w:rPr>
                <w:rFonts w:ascii="宋体" w:hAnsi="宋体" w:cs="宋体"/>
                <w:kern w:val="0"/>
                <w:sz w:val="20"/>
                <w:szCs w:val="20"/>
              </w:rPr>
            </w:pPr>
            <w:r>
              <w:rPr>
                <w:rFonts w:hint="eastAsia" w:ascii="宋体" w:hAnsi="宋体" w:cs="宋体"/>
                <w:kern w:val="0"/>
                <w:sz w:val="20"/>
                <w:szCs w:val="20"/>
              </w:rPr>
              <w:t>★A0206180203空调机</w:t>
            </w:r>
          </w:p>
        </w:tc>
        <w:tc>
          <w:tcPr>
            <w:tcW w:w="1612" w:type="dxa"/>
            <w:tcBorders>
              <w:top w:val="nil"/>
              <w:left w:val="nil"/>
              <w:bottom w:val="single" w:color="000000" w:sz="8" w:space="0"/>
              <w:right w:val="single" w:color="000000" w:sz="8" w:space="0"/>
            </w:tcBorders>
            <w:vAlign w:val="center"/>
          </w:tcPr>
          <w:p w14:paraId="1C7B628C">
            <w:pPr>
              <w:widowControl/>
              <w:jc w:val="center"/>
              <w:rPr>
                <w:rFonts w:ascii="宋体" w:hAnsi="宋体" w:cs="宋体"/>
                <w:kern w:val="0"/>
                <w:sz w:val="20"/>
                <w:szCs w:val="20"/>
              </w:rPr>
            </w:pPr>
            <w:r>
              <w:rPr>
                <w:rFonts w:hint="eastAsia" w:ascii="宋体" w:hAnsi="宋体" w:cs="宋体"/>
                <w:kern w:val="0"/>
                <w:sz w:val="20"/>
                <w:szCs w:val="20"/>
              </w:rPr>
              <w:t>房间空气调节器</w:t>
            </w:r>
          </w:p>
        </w:tc>
        <w:tc>
          <w:tcPr>
            <w:tcW w:w="4335" w:type="dxa"/>
            <w:tcBorders>
              <w:top w:val="nil"/>
              <w:left w:val="nil"/>
              <w:bottom w:val="single" w:color="000000" w:sz="8" w:space="0"/>
              <w:right w:val="single" w:color="000000" w:sz="8" w:space="0"/>
            </w:tcBorders>
            <w:vAlign w:val="center"/>
          </w:tcPr>
          <w:p w14:paraId="09789A9D">
            <w:pPr>
              <w:widowControl/>
              <w:jc w:val="left"/>
              <w:rPr>
                <w:rFonts w:ascii="宋体" w:hAnsi="宋体" w:cs="宋体"/>
                <w:kern w:val="0"/>
                <w:sz w:val="20"/>
                <w:szCs w:val="20"/>
              </w:rPr>
            </w:pPr>
            <w:r>
              <w:rPr>
                <w:rFonts w:hint="eastAsia" w:ascii="宋体" w:hAnsi="宋体" w:cs="宋体"/>
                <w:kern w:val="0"/>
                <w:sz w:val="20"/>
                <w:szCs w:val="20"/>
              </w:rPr>
              <w:t>《转速可控型房间空气调节器能效限定值及能效等级》（GB21455-2013），待2019年修订发布后，按《房间空气调节器能效限定值及能效等级》（GB21455-2019实施。</w:t>
            </w:r>
          </w:p>
        </w:tc>
      </w:tr>
      <w:tr w14:paraId="50D3F256">
        <w:tblPrEx>
          <w:tblCellMar>
            <w:top w:w="0" w:type="dxa"/>
            <w:left w:w="108" w:type="dxa"/>
            <w:bottom w:w="0" w:type="dxa"/>
            <w:right w:w="108" w:type="dxa"/>
          </w:tblCellMar>
        </w:tblPrEx>
        <w:trPr>
          <w:trHeight w:val="735" w:hRule="atLeast"/>
        </w:trPr>
        <w:tc>
          <w:tcPr>
            <w:tcW w:w="716" w:type="dxa"/>
            <w:vMerge w:val="continue"/>
            <w:tcBorders>
              <w:top w:val="nil"/>
              <w:left w:val="single" w:color="000000" w:sz="8" w:space="0"/>
              <w:bottom w:val="single" w:color="000000" w:sz="8" w:space="0"/>
              <w:right w:val="single" w:color="000000" w:sz="8" w:space="0"/>
            </w:tcBorders>
            <w:vAlign w:val="center"/>
          </w:tcPr>
          <w:p w14:paraId="2BB87DD1">
            <w:pPr>
              <w:widowControl/>
              <w:jc w:val="left"/>
              <w:rPr>
                <w:rFonts w:ascii="宋体" w:hAnsi="宋体" w:cs="宋体"/>
                <w:kern w:val="0"/>
                <w:sz w:val="20"/>
                <w:szCs w:val="20"/>
              </w:rPr>
            </w:pPr>
          </w:p>
        </w:tc>
        <w:tc>
          <w:tcPr>
            <w:tcW w:w="1041" w:type="dxa"/>
            <w:vMerge w:val="continue"/>
            <w:tcBorders>
              <w:top w:val="nil"/>
              <w:left w:val="single" w:color="000000" w:sz="8" w:space="0"/>
              <w:bottom w:val="single" w:color="000000" w:sz="8" w:space="0"/>
              <w:right w:val="single" w:color="000000" w:sz="8" w:space="0"/>
            </w:tcBorders>
            <w:vAlign w:val="center"/>
          </w:tcPr>
          <w:p w14:paraId="1655DE78">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54B478BE">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4A68B71F">
            <w:pPr>
              <w:widowControl/>
              <w:jc w:val="center"/>
              <w:rPr>
                <w:rFonts w:ascii="宋体" w:hAnsi="宋体" w:cs="宋体"/>
                <w:kern w:val="0"/>
                <w:sz w:val="20"/>
                <w:szCs w:val="20"/>
              </w:rPr>
            </w:pPr>
            <w:r>
              <w:rPr>
                <w:rFonts w:hint="eastAsia" w:ascii="宋体" w:hAnsi="宋体" w:cs="宋体"/>
                <w:kern w:val="0"/>
                <w:sz w:val="20"/>
                <w:szCs w:val="20"/>
              </w:rPr>
              <w:t>多联式空调（热泵）机组（制冷量≤ 14000W）</w:t>
            </w:r>
          </w:p>
        </w:tc>
        <w:tc>
          <w:tcPr>
            <w:tcW w:w="4335" w:type="dxa"/>
            <w:tcBorders>
              <w:top w:val="nil"/>
              <w:left w:val="nil"/>
              <w:bottom w:val="single" w:color="000000" w:sz="8" w:space="0"/>
              <w:right w:val="single" w:color="000000" w:sz="8" w:space="0"/>
            </w:tcBorders>
            <w:vAlign w:val="center"/>
          </w:tcPr>
          <w:p w14:paraId="0019CB8B">
            <w:pPr>
              <w:widowControl/>
              <w:jc w:val="left"/>
              <w:rPr>
                <w:rFonts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14AC225F">
        <w:tblPrEx>
          <w:tblCellMar>
            <w:top w:w="0" w:type="dxa"/>
            <w:left w:w="108" w:type="dxa"/>
            <w:bottom w:w="0" w:type="dxa"/>
            <w:right w:w="108" w:type="dxa"/>
          </w:tblCellMar>
        </w:tblPrEx>
        <w:trPr>
          <w:trHeight w:val="735" w:hRule="atLeast"/>
        </w:trPr>
        <w:tc>
          <w:tcPr>
            <w:tcW w:w="716" w:type="dxa"/>
            <w:vMerge w:val="continue"/>
            <w:tcBorders>
              <w:top w:val="nil"/>
              <w:left w:val="single" w:color="000000" w:sz="8" w:space="0"/>
              <w:bottom w:val="single" w:color="000000" w:sz="8" w:space="0"/>
              <w:right w:val="single" w:color="000000" w:sz="8" w:space="0"/>
            </w:tcBorders>
            <w:vAlign w:val="center"/>
          </w:tcPr>
          <w:p w14:paraId="3268A63B">
            <w:pPr>
              <w:widowControl/>
              <w:jc w:val="left"/>
              <w:rPr>
                <w:rFonts w:ascii="宋体" w:hAnsi="宋体" w:cs="宋体"/>
                <w:kern w:val="0"/>
                <w:sz w:val="20"/>
                <w:szCs w:val="20"/>
              </w:rPr>
            </w:pPr>
          </w:p>
        </w:tc>
        <w:tc>
          <w:tcPr>
            <w:tcW w:w="1041" w:type="dxa"/>
            <w:vMerge w:val="continue"/>
            <w:tcBorders>
              <w:top w:val="nil"/>
              <w:left w:val="single" w:color="000000" w:sz="8" w:space="0"/>
              <w:bottom w:val="single" w:color="000000" w:sz="8" w:space="0"/>
              <w:right w:val="single" w:color="000000" w:sz="8" w:space="0"/>
            </w:tcBorders>
            <w:vAlign w:val="center"/>
          </w:tcPr>
          <w:p w14:paraId="02C70BC6">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61B22F47">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63CE891E">
            <w:pPr>
              <w:widowControl/>
              <w:jc w:val="center"/>
              <w:rPr>
                <w:rFonts w:ascii="宋体" w:hAnsi="宋体" w:cs="宋体"/>
                <w:kern w:val="0"/>
                <w:sz w:val="20"/>
                <w:szCs w:val="20"/>
              </w:rPr>
            </w:pPr>
            <w:r>
              <w:rPr>
                <w:rFonts w:hint="eastAsia" w:ascii="宋体" w:hAnsi="宋体" w:cs="宋体"/>
                <w:kern w:val="0"/>
                <w:sz w:val="20"/>
                <w:szCs w:val="20"/>
              </w:rPr>
              <w:t>单元式空气调节机(制冷量≤14000W)</w:t>
            </w:r>
          </w:p>
        </w:tc>
        <w:tc>
          <w:tcPr>
            <w:tcW w:w="4335" w:type="dxa"/>
            <w:tcBorders>
              <w:top w:val="nil"/>
              <w:left w:val="nil"/>
              <w:bottom w:val="single" w:color="000000" w:sz="8" w:space="0"/>
              <w:right w:val="single" w:color="000000" w:sz="8" w:space="0"/>
            </w:tcBorders>
            <w:vAlign w:val="center"/>
          </w:tcPr>
          <w:p w14:paraId="67EAFF80">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《单元式空气调节机能效限定值及能源效率等级》（GB19576）《风管送风式空调机组能效限定值及能效等级》（GB37479）</w:t>
            </w:r>
          </w:p>
        </w:tc>
      </w:tr>
      <w:tr w14:paraId="7FA60C8A">
        <w:tblPrEx>
          <w:tblCellMar>
            <w:top w:w="0" w:type="dxa"/>
            <w:left w:w="108" w:type="dxa"/>
            <w:bottom w:w="0" w:type="dxa"/>
            <w:right w:w="108" w:type="dxa"/>
          </w:tblCellMar>
        </w:tblPrEx>
        <w:trPr>
          <w:trHeight w:val="495" w:hRule="atLeast"/>
        </w:trPr>
        <w:tc>
          <w:tcPr>
            <w:tcW w:w="716" w:type="dxa"/>
            <w:vMerge w:val="continue"/>
            <w:tcBorders>
              <w:top w:val="nil"/>
              <w:left w:val="single" w:color="000000" w:sz="8" w:space="0"/>
              <w:bottom w:val="single" w:color="000000" w:sz="8" w:space="0"/>
              <w:right w:val="single" w:color="000000" w:sz="8" w:space="0"/>
            </w:tcBorders>
            <w:vAlign w:val="center"/>
          </w:tcPr>
          <w:p w14:paraId="556731A4">
            <w:pPr>
              <w:widowControl/>
              <w:jc w:val="left"/>
              <w:rPr>
                <w:rFonts w:ascii="宋体" w:hAnsi="宋体" w:cs="宋体"/>
                <w:kern w:val="0"/>
                <w:sz w:val="20"/>
                <w:szCs w:val="20"/>
              </w:rPr>
            </w:pPr>
          </w:p>
        </w:tc>
        <w:tc>
          <w:tcPr>
            <w:tcW w:w="1041" w:type="dxa"/>
            <w:vMerge w:val="continue"/>
            <w:tcBorders>
              <w:top w:val="nil"/>
              <w:left w:val="single" w:color="000000" w:sz="8" w:space="0"/>
              <w:bottom w:val="single" w:color="000000" w:sz="8" w:space="0"/>
              <w:right w:val="single" w:color="000000" w:sz="8" w:space="0"/>
            </w:tcBorders>
            <w:vAlign w:val="center"/>
          </w:tcPr>
          <w:p w14:paraId="5B3561AE">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7DDB1FA8">
            <w:pPr>
              <w:widowControl/>
              <w:jc w:val="center"/>
              <w:rPr>
                <w:rFonts w:ascii="宋体" w:hAnsi="宋体" w:cs="宋体"/>
                <w:kern w:val="0"/>
                <w:sz w:val="20"/>
                <w:szCs w:val="20"/>
              </w:rPr>
            </w:pPr>
            <w:r>
              <w:rPr>
                <w:rFonts w:hint="eastAsia" w:ascii="宋体" w:hAnsi="宋体" w:cs="宋体"/>
                <w:kern w:val="0"/>
                <w:sz w:val="20"/>
                <w:szCs w:val="20"/>
              </w:rPr>
              <w:t>A0206180301洗衣机</w:t>
            </w:r>
          </w:p>
        </w:tc>
        <w:tc>
          <w:tcPr>
            <w:tcW w:w="1612" w:type="dxa"/>
            <w:tcBorders>
              <w:top w:val="nil"/>
              <w:left w:val="nil"/>
              <w:bottom w:val="single" w:color="000000" w:sz="8" w:space="0"/>
              <w:right w:val="single" w:color="000000" w:sz="8" w:space="0"/>
            </w:tcBorders>
            <w:vAlign w:val="center"/>
          </w:tcPr>
          <w:p w14:paraId="3CD50E89">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114A7B08">
            <w:pPr>
              <w:widowControl/>
              <w:jc w:val="left"/>
              <w:rPr>
                <w:rFonts w:ascii="宋体" w:hAnsi="宋体" w:cs="宋体"/>
                <w:kern w:val="0"/>
                <w:sz w:val="20"/>
                <w:szCs w:val="20"/>
              </w:rPr>
            </w:pPr>
            <w:r>
              <w:rPr>
                <w:rFonts w:hint="eastAsia" w:ascii="宋体" w:hAnsi="宋体" w:cs="宋体"/>
                <w:kern w:val="0"/>
                <w:sz w:val="20"/>
                <w:szCs w:val="20"/>
              </w:rPr>
              <w:t>《电动洗衣机能效水效限定值及等级》（GB12021.4）</w:t>
            </w:r>
          </w:p>
        </w:tc>
      </w:tr>
      <w:tr w14:paraId="39B34B7E">
        <w:tblPrEx>
          <w:tblCellMar>
            <w:top w:w="0" w:type="dxa"/>
            <w:left w:w="108" w:type="dxa"/>
            <w:bottom w:w="0" w:type="dxa"/>
            <w:right w:w="108" w:type="dxa"/>
          </w:tblCellMar>
        </w:tblPrEx>
        <w:trPr>
          <w:trHeight w:val="495" w:hRule="atLeast"/>
        </w:trPr>
        <w:tc>
          <w:tcPr>
            <w:tcW w:w="716" w:type="dxa"/>
            <w:vMerge w:val="continue"/>
            <w:tcBorders>
              <w:top w:val="nil"/>
              <w:left w:val="single" w:color="000000" w:sz="8" w:space="0"/>
              <w:bottom w:val="single" w:color="000000" w:sz="8" w:space="0"/>
              <w:right w:val="single" w:color="000000" w:sz="8" w:space="0"/>
            </w:tcBorders>
            <w:vAlign w:val="center"/>
          </w:tcPr>
          <w:p w14:paraId="2BA88333">
            <w:pPr>
              <w:widowControl/>
              <w:jc w:val="left"/>
              <w:rPr>
                <w:rFonts w:ascii="宋体" w:hAnsi="宋体" w:cs="宋体"/>
                <w:kern w:val="0"/>
                <w:sz w:val="20"/>
                <w:szCs w:val="20"/>
              </w:rPr>
            </w:pPr>
          </w:p>
        </w:tc>
        <w:tc>
          <w:tcPr>
            <w:tcW w:w="1041" w:type="dxa"/>
            <w:vMerge w:val="continue"/>
            <w:tcBorders>
              <w:top w:val="nil"/>
              <w:left w:val="single" w:color="000000" w:sz="8" w:space="0"/>
              <w:bottom w:val="single" w:color="000000" w:sz="8" w:space="0"/>
              <w:right w:val="single" w:color="000000" w:sz="8" w:space="0"/>
            </w:tcBorders>
            <w:vAlign w:val="center"/>
          </w:tcPr>
          <w:p w14:paraId="4006D4E4">
            <w:pPr>
              <w:widowControl/>
              <w:jc w:val="left"/>
              <w:rPr>
                <w:rFonts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3357CE76">
            <w:pPr>
              <w:widowControl/>
              <w:jc w:val="center"/>
              <w:rPr>
                <w:rFonts w:ascii="宋体" w:hAnsi="宋体" w:cs="宋体"/>
                <w:kern w:val="0"/>
                <w:sz w:val="20"/>
                <w:szCs w:val="20"/>
              </w:rPr>
            </w:pPr>
            <w:r>
              <w:rPr>
                <w:rFonts w:hint="eastAsia" w:ascii="宋体" w:hAnsi="宋体" w:cs="宋体"/>
                <w:kern w:val="0"/>
                <w:sz w:val="20"/>
                <w:szCs w:val="20"/>
              </w:rPr>
              <w:t>A02061808热水器</w:t>
            </w:r>
          </w:p>
        </w:tc>
        <w:tc>
          <w:tcPr>
            <w:tcW w:w="1612" w:type="dxa"/>
            <w:tcBorders>
              <w:top w:val="nil"/>
              <w:left w:val="nil"/>
              <w:bottom w:val="single" w:color="000000" w:sz="8" w:space="0"/>
              <w:right w:val="single" w:color="000000" w:sz="8" w:space="0"/>
            </w:tcBorders>
            <w:vAlign w:val="center"/>
          </w:tcPr>
          <w:p w14:paraId="7159E196">
            <w:pPr>
              <w:widowControl/>
              <w:jc w:val="center"/>
              <w:rPr>
                <w:rFonts w:ascii="宋体" w:hAnsi="宋体" w:cs="宋体"/>
                <w:kern w:val="0"/>
                <w:sz w:val="20"/>
                <w:szCs w:val="20"/>
              </w:rPr>
            </w:pPr>
            <w:r>
              <w:rPr>
                <w:rFonts w:hint="eastAsia" w:ascii="宋体" w:hAnsi="宋体" w:cs="宋体"/>
                <w:kern w:val="0"/>
                <w:sz w:val="20"/>
                <w:szCs w:val="20"/>
              </w:rPr>
              <w:t>★电热水器</w:t>
            </w:r>
          </w:p>
        </w:tc>
        <w:tc>
          <w:tcPr>
            <w:tcW w:w="4335" w:type="dxa"/>
            <w:tcBorders>
              <w:top w:val="nil"/>
              <w:left w:val="nil"/>
              <w:bottom w:val="single" w:color="000000" w:sz="8" w:space="0"/>
              <w:right w:val="single" w:color="000000" w:sz="8" w:space="0"/>
            </w:tcBorders>
            <w:vAlign w:val="center"/>
          </w:tcPr>
          <w:p w14:paraId="1519B7C6">
            <w:pPr>
              <w:widowControl/>
              <w:jc w:val="left"/>
              <w:rPr>
                <w:rFonts w:ascii="宋体" w:hAnsi="宋体" w:cs="宋体"/>
                <w:kern w:val="0"/>
                <w:sz w:val="20"/>
                <w:szCs w:val="20"/>
              </w:rPr>
            </w:pPr>
            <w:r>
              <w:rPr>
                <w:rFonts w:hint="eastAsia" w:ascii="宋体" w:hAnsi="宋体" w:cs="宋体"/>
                <w:kern w:val="0"/>
                <w:sz w:val="20"/>
                <w:szCs w:val="20"/>
              </w:rPr>
              <w:t>《储水式电热水器能效限定值及能效等级》（GB21519）</w:t>
            </w:r>
          </w:p>
        </w:tc>
      </w:tr>
      <w:tr w14:paraId="05FA68F9">
        <w:tblPrEx>
          <w:tblCellMar>
            <w:top w:w="0" w:type="dxa"/>
            <w:left w:w="108" w:type="dxa"/>
            <w:bottom w:w="0" w:type="dxa"/>
            <w:right w:w="108" w:type="dxa"/>
          </w:tblCellMar>
        </w:tblPrEx>
        <w:trPr>
          <w:trHeight w:val="495" w:hRule="atLeast"/>
        </w:trPr>
        <w:tc>
          <w:tcPr>
            <w:tcW w:w="716" w:type="dxa"/>
            <w:vMerge w:val="continue"/>
            <w:tcBorders>
              <w:top w:val="nil"/>
              <w:left w:val="single" w:color="000000" w:sz="8" w:space="0"/>
              <w:bottom w:val="single" w:color="000000" w:sz="8" w:space="0"/>
              <w:right w:val="single" w:color="000000" w:sz="8" w:space="0"/>
            </w:tcBorders>
            <w:vAlign w:val="center"/>
          </w:tcPr>
          <w:p w14:paraId="0C76F4C7">
            <w:pPr>
              <w:widowControl/>
              <w:jc w:val="left"/>
              <w:rPr>
                <w:rFonts w:ascii="宋体" w:hAnsi="宋体" w:cs="宋体"/>
                <w:kern w:val="0"/>
                <w:sz w:val="20"/>
                <w:szCs w:val="20"/>
              </w:rPr>
            </w:pPr>
          </w:p>
        </w:tc>
        <w:tc>
          <w:tcPr>
            <w:tcW w:w="1041" w:type="dxa"/>
            <w:vMerge w:val="continue"/>
            <w:tcBorders>
              <w:top w:val="nil"/>
              <w:left w:val="single" w:color="000000" w:sz="8" w:space="0"/>
              <w:bottom w:val="single" w:color="000000" w:sz="8" w:space="0"/>
              <w:right w:val="single" w:color="000000" w:sz="8" w:space="0"/>
            </w:tcBorders>
            <w:vAlign w:val="center"/>
          </w:tcPr>
          <w:p w14:paraId="4E1ACEDE">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7D96D427">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453AFF76">
            <w:pPr>
              <w:widowControl/>
              <w:jc w:val="center"/>
              <w:rPr>
                <w:rFonts w:ascii="宋体" w:hAnsi="宋体" w:cs="宋体"/>
                <w:kern w:val="0"/>
                <w:sz w:val="20"/>
                <w:szCs w:val="20"/>
              </w:rPr>
            </w:pPr>
            <w:r>
              <w:rPr>
                <w:rFonts w:hint="eastAsia" w:ascii="宋体" w:hAnsi="宋体" w:cs="宋体"/>
                <w:kern w:val="0"/>
                <w:sz w:val="20"/>
                <w:szCs w:val="20"/>
              </w:rPr>
              <w:t>燃气热水器</w:t>
            </w:r>
          </w:p>
        </w:tc>
        <w:tc>
          <w:tcPr>
            <w:tcW w:w="4335" w:type="dxa"/>
            <w:tcBorders>
              <w:top w:val="nil"/>
              <w:left w:val="nil"/>
              <w:bottom w:val="single" w:color="000000" w:sz="8" w:space="0"/>
              <w:right w:val="single" w:color="000000" w:sz="8" w:space="0"/>
            </w:tcBorders>
            <w:vAlign w:val="center"/>
          </w:tcPr>
          <w:p w14:paraId="6FB0A601">
            <w:pPr>
              <w:widowControl/>
              <w:jc w:val="left"/>
              <w:rPr>
                <w:rFonts w:ascii="宋体" w:hAnsi="宋体" w:cs="宋体"/>
                <w:kern w:val="0"/>
                <w:sz w:val="20"/>
                <w:szCs w:val="20"/>
              </w:rPr>
            </w:pPr>
            <w:r>
              <w:rPr>
                <w:rFonts w:hint="eastAsia" w:ascii="宋体" w:hAnsi="宋体" w:cs="宋体"/>
                <w:kern w:val="0"/>
                <w:sz w:val="20"/>
                <w:szCs w:val="20"/>
              </w:rPr>
              <w:t>《家用燃气快速热水器和燃气采暖热水炉能效限定值及能效等级》（GB20665）</w:t>
            </w:r>
          </w:p>
        </w:tc>
      </w:tr>
      <w:tr w14:paraId="253199FE">
        <w:tblPrEx>
          <w:tblCellMar>
            <w:top w:w="0" w:type="dxa"/>
            <w:left w:w="108" w:type="dxa"/>
            <w:bottom w:w="0" w:type="dxa"/>
            <w:right w:w="108" w:type="dxa"/>
          </w:tblCellMar>
        </w:tblPrEx>
        <w:trPr>
          <w:trHeight w:val="495" w:hRule="atLeast"/>
        </w:trPr>
        <w:tc>
          <w:tcPr>
            <w:tcW w:w="716" w:type="dxa"/>
            <w:vMerge w:val="continue"/>
            <w:tcBorders>
              <w:top w:val="nil"/>
              <w:left w:val="single" w:color="000000" w:sz="8" w:space="0"/>
              <w:bottom w:val="single" w:color="000000" w:sz="8" w:space="0"/>
              <w:right w:val="single" w:color="000000" w:sz="8" w:space="0"/>
            </w:tcBorders>
            <w:vAlign w:val="center"/>
          </w:tcPr>
          <w:p w14:paraId="3AD040FD">
            <w:pPr>
              <w:widowControl/>
              <w:jc w:val="left"/>
              <w:rPr>
                <w:rFonts w:ascii="宋体" w:hAnsi="宋体" w:cs="宋体"/>
                <w:kern w:val="0"/>
                <w:sz w:val="20"/>
                <w:szCs w:val="20"/>
              </w:rPr>
            </w:pPr>
          </w:p>
        </w:tc>
        <w:tc>
          <w:tcPr>
            <w:tcW w:w="1041" w:type="dxa"/>
            <w:vMerge w:val="continue"/>
            <w:tcBorders>
              <w:top w:val="nil"/>
              <w:left w:val="single" w:color="000000" w:sz="8" w:space="0"/>
              <w:bottom w:val="single" w:color="000000" w:sz="8" w:space="0"/>
              <w:right w:val="single" w:color="000000" w:sz="8" w:space="0"/>
            </w:tcBorders>
            <w:vAlign w:val="center"/>
          </w:tcPr>
          <w:p w14:paraId="46E73C9B">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367D0160">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04CECACE">
            <w:pPr>
              <w:widowControl/>
              <w:jc w:val="center"/>
              <w:rPr>
                <w:rFonts w:ascii="宋体" w:hAnsi="宋体" w:cs="宋体"/>
                <w:kern w:val="0"/>
                <w:sz w:val="20"/>
                <w:szCs w:val="20"/>
              </w:rPr>
            </w:pPr>
            <w:r>
              <w:rPr>
                <w:rFonts w:hint="eastAsia" w:ascii="宋体" w:hAnsi="宋体" w:cs="宋体"/>
                <w:kern w:val="0"/>
                <w:sz w:val="20"/>
                <w:szCs w:val="20"/>
              </w:rPr>
              <w:t>热泵热水器</w:t>
            </w:r>
          </w:p>
        </w:tc>
        <w:tc>
          <w:tcPr>
            <w:tcW w:w="4335" w:type="dxa"/>
            <w:tcBorders>
              <w:top w:val="nil"/>
              <w:left w:val="nil"/>
              <w:bottom w:val="single" w:color="000000" w:sz="8" w:space="0"/>
              <w:right w:val="single" w:color="000000" w:sz="8" w:space="0"/>
            </w:tcBorders>
            <w:vAlign w:val="center"/>
          </w:tcPr>
          <w:p w14:paraId="33A2F0E4">
            <w:pPr>
              <w:widowControl/>
              <w:jc w:val="left"/>
              <w:rPr>
                <w:rFonts w:ascii="宋体" w:hAnsi="宋体" w:cs="宋体"/>
                <w:kern w:val="0"/>
                <w:sz w:val="20"/>
                <w:szCs w:val="20"/>
              </w:rPr>
            </w:pPr>
            <w:r>
              <w:rPr>
                <w:rFonts w:hint="eastAsia" w:ascii="宋体" w:hAnsi="宋体" w:cs="宋体"/>
                <w:kern w:val="0"/>
                <w:sz w:val="20"/>
                <w:szCs w:val="20"/>
              </w:rPr>
              <w:t>《热泵热水机（器）能效限定值及能效等级》（GB29541）</w:t>
            </w:r>
          </w:p>
        </w:tc>
      </w:tr>
      <w:tr w14:paraId="5A3C42DD">
        <w:tblPrEx>
          <w:tblCellMar>
            <w:top w:w="0" w:type="dxa"/>
            <w:left w:w="108" w:type="dxa"/>
            <w:bottom w:w="0" w:type="dxa"/>
            <w:right w:w="108" w:type="dxa"/>
          </w:tblCellMar>
        </w:tblPrEx>
        <w:trPr>
          <w:trHeight w:val="495" w:hRule="atLeast"/>
        </w:trPr>
        <w:tc>
          <w:tcPr>
            <w:tcW w:w="716" w:type="dxa"/>
            <w:vMerge w:val="continue"/>
            <w:tcBorders>
              <w:top w:val="nil"/>
              <w:left w:val="single" w:color="000000" w:sz="8" w:space="0"/>
              <w:bottom w:val="single" w:color="000000" w:sz="8" w:space="0"/>
              <w:right w:val="single" w:color="000000" w:sz="8" w:space="0"/>
            </w:tcBorders>
            <w:vAlign w:val="center"/>
          </w:tcPr>
          <w:p w14:paraId="43308C3B">
            <w:pPr>
              <w:widowControl/>
              <w:jc w:val="left"/>
              <w:rPr>
                <w:rFonts w:ascii="宋体" w:hAnsi="宋体" w:cs="宋体"/>
                <w:kern w:val="0"/>
                <w:sz w:val="20"/>
                <w:szCs w:val="20"/>
              </w:rPr>
            </w:pPr>
          </w:p>
        </w:tc>
        <w:tc>
          <w:tcPr>
            <w:tcW w:w="1041" w:type="dxa"/>
            <w:vMerge w:val="continue"/>
            <w:tcBorders>
              <w:top w:val="nil"/>
              <w:left w:val="single" w:color="000000" w:sz="8" w:space="0"/>
              <w:bottom w:val="single" w:color="000000" w:sz="8" w:space="0"/>
              <w:right w:val="single" w:color="000000" w:sz="8" w:space="0"/>
            </w:tcBorders>
            <w:vAlign w:val="center"/>
          </w:tcPr>
          <w:p w14:paraId="11743435">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4851D80D">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4DD15EF7">
            <w:pPr>
              <w:widowControl/>
              <w:jc w:val="center"/>
              <w:rPr>
                <w:rFonts w:ascii="宋体" w:hAnsi="宋体" w:cs="宋体"/>
                <w:kern w:val="0"/>
                <w:sz w:val="20"/>
                <w:szCs w:val="20"/>
              </w:rPr>
            </w:pPr>
            <w:r>
              <w:rPr>
                <w:rFonts w:hint="eastAsia" w:ascii="宋体" w:hAnsi="宋体" w:cs="宋体"/>
                <w:kern w:val="0"/>
                <w:sz w:val="20"/>
                <w:szCs w:val="20"/>
              </w:rPr>
              <w:t>太阳能热水系统</w:t>
            </w:r>
          </w:p>
        </w:tc>
        <w:tc>
          <w:tcPr>
            <w:tcW w:w="4335" w:type="dxa"/>
            <w:tcBorders>
              <w:top w:val="nil"/>
              <w:left w:val="nil"/>
              <w:bottom w:val="single" w:color="000000" w:sz="8" w:space="0"/>
              <w:right w:val="single" w:color="000000" w:sz="8" w:space="0"/>
            </w:tcBorders>
            <w:vAlign w:val="center"/>
          </w:tcPr>
          <w:p w14:paraId="4DE68AC6">
            <w:pPr>
              <w:widowControl/>
              <w:jc w:val="left"/>
              <w:rPr>
                <w:rFonts w:ascii="宋体" w:hAnsi="宋体" w:cs="宋体"/>
                <w:kern w:val="0"/>
                <w:sz w:val="20"/>
                <w:szCs w:val="20"/>
              </w:rPr>
            </w:pPr>
            <w:r>
              <w:rPr>
                <w:rFonts w:hint="eastAsia" w:ascii="宋体" w:hAnsi="宋体" w:cs="宋体"/>
                <w:kern w:val="0"/>
                <w:sz w:val="20"/>
                <w:szCs w:val="20"/>
              </w:rPr>
              <w:t>《家用太阳能热水系统能效限定值及能效等级》（GB26969）</w:t>
            </w:r>
          </w:p>
        </w:tc>
      </w:tr>
      <w:tr w14:paraId="2BF8518E">
        <w:tblPrEx>
          <w:tblCellMar>
            <w:top w:w="0" w:type="dxa"/>
            <w:left w:w="108" w:type="dxa"/>
            <w:bottom w:w="0" w:type="dxa"/>
            <w:right w:w="108" w:type="dxa"/>
          </w:tblCellMar>
        </w:tblPrEx>
        <w:trPr>
          <w:trHeight w:val="495" w:hRule="atLeast"/>
        </w:trPr>
        <w:tc>
          <w:tcPr>
            <w:tcW w:w="716" w:type="dxa"/>
            <w:vMerge w:val="restart"/>
            <w:tcBorders>
              <w:top w:val="nil"/>
              <w:left w:val="single" w:color="000000" w:sz="8" w:space="0"/>
              <w:bottom w:val="single" w:color="000000" w:sz="8" w:space="0"/>
              <w:right w:val="single" w:color="000000" w:sz="8" w:space="0"/>
            </w:tcBorders>
            <w:vAlign w:val="center"/>
          </w:tcPr>
          <w:p w14:paraId="09910A54">
            <w:pPr>
              <w:widowControl/>
              <w:jc w:val="center"/>
              <w:rPr>
                <w:rFonts w:ascii="宋体" w:hAnsi="宋体" w:cs="宋体"/>
                <w:kern w:val="0"/>
                <w:sz w:val="20"/>
                <w:szCs w:val="20"/>
              </w:rPr>
            </w:pPr>
            <w:r>
              <w:rPr>
                <w:rFonts w:hint="eastAsia" w:ascii="宋体" w:hAnsi="宋体" w:cs="宋体"/>
                <w:kern w:val="0"/>
                <w:sz w:val="20"/>
                <w:szCs w:val="20"/>
              </w:rPr>
              <w:t>11</w:t>
            </w:r>
          </w:p>
        </w:tc>
        <w:tc>
          <w:tcPr>
            <w:tcW w:w="1041" w:type="dxa"/>
            <w:vMerge w:val="restart"/>
            <w:tcBorders>
              <w:top w:val="nil"/>
              <w:left w:val="single" w:color="000000" w:sz="8" w:space="0"/>
              <w:bottom w:val="single" w:color="000000" w:sz="8" w:space="0"/>
              <w:right w:val="single" w:color="000000" w:sz="8" w:space="0"/>
            </w:tcBorders>
            <w:vAlign w:val="center"/>
          </w:tcPr>
          <w:p w14:paraId="222BF362">
            <w:pPr>
              <w:widowControl/>
              <w:jc w:val="center"/>
              <w:rPr>
                <w:rFonts w:ascii="宋体" w:hAnsi="宋体" w:cs="宋体"/>
                <w:kern w:val="0"/>
                <w:sz w:val="20"/>
                <w:szCs w:val="20"/>
              </w:rPr>
            </w:pPr>
            <w:r>
              <w:rPr>
                <w:rFonts w:hint="eastAsia" w:ascii="宋体" w:hAnsi="宋体" w:cs="宋体"/>
                <w:kern w:val="0"/>
                <w:sz w:val="20"/>
                <w:szCs w:val="20"/>
              </w:rPr>
              <w:t>A020619照明设备</w:t>
            </w:r>
          </w:p>
        </w:tc>
        <w:tc>
          <w:tcPr>
            <w:tcW w:w="1516" w:type="dxa"/>
            <w:tcBorders>
              <w:top w:val="nil"/>
              <w:left w:val="nil"/>
              <w:bottom w:val="single" w:color="000000" w:sz="8" w:space="0"/>
              <w:right w:val="single" w:color="000000" w:sz="8" w:space="0"/>
            </w:tcBorders>
            <w:vAlign w:val="center"/>
          </w:tcPr>
          <w:p w14:paraId="20471CF3">
            <w:pPr>
              <w:widowControl/>
              <w:jc w:val="center"/>
              <w:rPr>
                <w:rFonts w:ascii="宋体" w:hAnsi="宋体" w:cs="宋体"/>
                <w:kern w:val="0"/>
                <w:sz w:val="20"/>
                <w:szCs w:val="20"/>
              </w:rPr>
            </w:pPr>
            <w:r>
              <w:rPr>
                <w:rFonts w:hint="eastAsia" w:ascii="宋体" w:hAnsi="宋体" w:cs="宋体"/>
                <w:kern w:val="0"/>
                <w:sz w:val="20"/>
                <w:szCs w:val="20"/>
              </w:rPr>
              <w:t>★普通照明用双端荧光灯</w:t>
            </w:r>
          </w:p>
        </w:tc>
        <w:tc>
          <w:tcPr>
            <w:tcW w:w="1612" w:type="dxa"/>
            <w:tcBorders>
              <w:top w:val="nil"/>
              <w:left w:val="nil"/>
              <w:bottom w:val="single" w:color="000000" w:sz="8" w:space="0"/>
              <w:right w:val="single" w:color="000000" w:sz="8" w:space="0"/>
            </w:tcBorders>
            <w:vAlign w:val="center"/>
          </w:tcPr>
          <w:p w14:paraId="1B460493">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5953FDB9">
            <w:pPr>
              <w:widowControl/>
              <w:jc w:val="left"/>
              <w:rPr>
                <w:rFonts w:ascii="宋体" w:hAnsi="宋体" w:cs="宋体"/>
                <w:kern w:val="0"/>
                <w:sz w:val="20"/>
                <w:szCs w:val="20"/>
              </w:rPr>
            </w:pPr>
            <w:r>
              <w:rPr>
                <w:rFonts w:hint="eastAsia" w:ascii="宋体" w:hAnsi="宋体" w:cs="宋体"/>
                <w:kern w:val="0"/>
                <w:sz w:val="20"/>
                <w:szCs w:val="20"/>
              </w:rPr>
              <w:t>《普通照明用双端荧光灯能效限定值及能效等级》（GB19043）</w:t>
            </w:r>
          </w:p>
        </w:tc>
      </w:tr>
      <w:tr w14:paraId="65396908">
        <w:tblPrEx>
          <w:tblCellMar>
            <w:top w:w="0" w:type="dxa"/>
            <w:left w:w="108" w:type="dxa"/>
            <w:bottom w:w="0" w:type="dxa"/>
            <w:right w:w="108" w:type="dxa"/>
          </w:tblCellMar>
        </w:tblPrEx>
        <w:trPr>
          <w:trHeight w:val="495" w:hRule="atLeast"/>
        </w:trPr>
        <w:tc>
          <w:tcPr>
            <w:tcW w:w="716" w:type="dxa"/>
            <w:vMerge w:val="continue"/>
            <w:tcBorders>
              <w:top w:val="nil"/>
              <w:left w:val="single" w:color="000000" w:sz="8" w:space="0"/>
              <w:bottom w:val="single" w:color="000000" w:sz="8" w:space="0"/>
              <w:right w:val="single" w:color="000000" w:sz="8" w:space="0"/>
            </w:tcBorders>
            <w:vAlign w:val="center"/>
          </w:tcPr>
          <w:p w14:paraId="220B416D">
            <w:pPr>
              <w:widowControl/>
              <w:jc w:val="left"/>
              <w:rPr>
                <w:rFonts w:ascii="宋体" w:hAnsi="宋体" w:cs="宋体"/>
                <w:kern w:val="0"/>
                <w:sz w:val="20"/>
                <w:szCs w:val="20"/>
              </w:rPr>
            </w:pPr>
          </w:p>
        </w:tc>
        <w:tc>
          <w:tcPr>
            <w:tcW w:w="1041" w:type="dxa"/>
            <w:vMerge w:val="continue"/>
            <w:tcBorders>
              <w:top w:val="nil"/>
              <w:left w:val="single" w:color="000000" w:sz="8" w:space="0"/>
              <w:bottom w:val="single" w:color="000000" w:sz="8" w:space="0"/>
              <w:right w:val="single" w:color="000000" w:sz="8" w:space="0"/>
            </w:tcBorders>
            <w:vAlign w:val="center"/>
          </w:tcPr>
          <w:p w14:paraId="42D800A4">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7139AEC8">
            <w:pPr>
              <w:widowControl/>
              <w:jc w:val="center"/>
              <w:rPr>
                <w:rFonts w:ascii="宋体" w:hAnsi="宋体" w:cs="宋体"/>
                <w:kern w:val="0"/>
                <w:sz w:val="20"/>
                <w:szCs w:val="20"/>
              </w:rPr>
            </w:pPr>
            <w:r>
              <w:rPr>
                <w:rFonts w:hint="eastAsia" w:ascii="宋体" w:hAnsi="宋体" w:cs="宋体"/>
                <w:kern w:val="0"/>
                <w:sz w:val="20"/>
                <w:szCs w:val="20"/>
              </w:rPr>
              <w:t>LED道路/隧道照明产品</w:t>
            </w:r>
          </w:p>
        </w:tc>
        <w:tc>
          <w:tcPr>
            <w:tcW w:w="1612" w:type="dxa"/>
            <w:tcBorders>
              <w:top w:val="nil"/>
              <w:left w:val="nil"/>
              <w:bottom w:val="single" w:color="000000" w:sz="8" w:space="0"/>
              <w:right w:val="single" w:color="000000" w:sz="8" w:space="0"/>
            </w:tcBorders>
            <w:vAlign w:val="center"/>
          </w:tcPr>
          <w:p w14:paraId="6244D282">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AAAE720">
            <w:pPr>
              <w:widowControl/>
              <w:jc w:val="left"/>
              <w:rPr>
                <w:rFonts w:ascii="宋体" w:hAnsi="宋体" w:cs="宋体"/>
                <w:kern w:val="0"/>
                <w:sz w:val="20"/>
                <w:szCs w:val="20"/>
              </w:rPr>
            </w:pPr>
            <w:r>
              <w:rPr>
                <w:rFonts w:hint="eastAsia" w:ascii="宋体" w:hAnsi="宋体" w:cs="宋体"/>
                <w:kern w:val="0"/>
                <w:sz w:val="20"/>
                <w:szCs w:val="20"/>
              </w:rPr>
              <w:t>《道路和隧道照明用LED灯具能效限定值及能效等级》（GB37478）</w:t>
            </w:r>
          </w:p>
        </w:tc>
      </w:tr>
      <w:tr w14:paraId="1C745A8A">
        <w:tblPrEx>
          <w:tblCellMar>
            <w:top w:w="0" w:type="dxa"/>
            <w:left w:w="108" w:type="dxa"/>
            <w:bottom w:w="0" w:type="dxa"/>
            <w:right w:w="108" w:type="dxa"/>
          </w:tblCellMar>
        </w:tblPrEx>
        <w:trPr>
          <w:trHeight w:val="495" w:hRule="atLeast"/>
        </w:trPr>
        <w:tc>
          <w:tcPr>
            <w:tcW w:w="716" w:type="dxa"/>
            <w:vMerge w:val="continue"/>
            <w:tcBorders>
              <w:top w:val="nil"/>
              <w:left w:val="single" w:color="000000" w:sz="8" w:space="0"/>
              <w:bottom w:val="single" w:color="000000" w:sz="8" w:space="0"/>
              <w:right w:val="single" w:color="000000" w:sz="8" w:space="0"/>
            </w:tcBorders>
            <w:vAlign w:val="center"/>
          </w:tcPr>
          <w:p w14:paraId="0EE39851">
            <w:pPr>
              <w:widowControl/>
              <w:jc w:val="left"/>
              <w:rPr>
                <w:rFonts w:ascii="宋体" w:hAnsi="宋体" w:cs="宋体"/>
                <w:kern w:val="0"/>
                <w:sz w:val="20"/>
                <w:szCs w:val="20"/>
              </w:rPr>
            </w:pPr>
          </w:p>
        </w:tc>
        <w:tc>
          <w:tcPr>
            <w:tcW w:w="1041" w:type="dxa"/>
            <w:vMerge w:val="continue"/>
            <w:tcBorders>
              <w:top w:val="nil"/>
              <w:left w:val="single" w:color="000000" w:sz="8" w:space="0"/>
              <w:bottom w:val="single" w:color="000000" w:sz="8" w:space="0"/>
              <w:right w:val="single" w:color="000000" w:sz="8" w:space="0"/>
            </w:tcBorders>
            <w:vAlign w:val="center"/>
          </w:tcPr>
          <w:p w14:paraId="32D8C5D9">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09580A97">
            <w:pPr>
              <w:widowControl/>
              <w:jc w:val="center"/>
              <w:rPr>
                <w:rFonts w:ascii="宋体" w:hAnsi="宋体" w:cs="宋体"/>
                <w:kern w:val="0"/>
                <w:sz w:val="20"/>
                <w:szCs w:val="20"/>
              </w:rPr>
            </w:pPr>
            <w:r>
              <w:rPr>
                <w:rFonts w:hint="eastAsia" w:ascii="宋体" w:hAnsi="宋体" w:cs="宋体"/>
                <w:kern w:val="0"/>
                <w:sz w:val="20"/>
                <w:szCs w:val="20"/>
              </w:rPr>
              <w:t>LED筒灯</w:t>
            </w:r>
          </w:p>
        </w:tc>
        <w:tc>
          <w:tcPr>
            <w:tcW w:w="1612" w:type="dxa"/>
            <w:tcBorders>
              <w:top w:val="nil"/>
              <w:left w:val="nil"/>
              <w:bottom w:val="single" w:color="000000" w:sz="8" w:space="0"/>
              <w:right w:val="single" w:color="000000" w:sz="8" w:space="0"/>
            </w:tcBorders>
            <w:vAlign w:val="center"/>
          </w:tcPr>
          <w:p w14:paraId="21A9115A">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1D1059BD">
            <w:pPr>
              <w:widowControl/>
              <w:jc w:val="left"/>
              <w:rPr>
                <w:rFonts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65DAD977">
        <w:tblPrEx>
          <w:tblCellMar>
            <w:top w:w="0" w:type="dxa"/>
            <w:left w:w="108" w:type="dxa"/>
            <w:bottom w:w="0" w:type="dxa"/>
            <w:right w:w="108" w:type="dxa"/>
          </w:tblCellMar>
        </w:tblPrEx>
        <w:trPr>
          <w:trHeight w:val="735" w:hRule="atLeast"/>
        </w:trPr>
        <w:tc>
          <w:tcPr>
            <w:tcW w:w="716" w:type="dxa"/>
            <w:vMerge w:val="continue"/>
            <w:tcBorders>
              <w:top w:val="nil"/>
              <w:left w:val="single" w:color="000000" w:sz="8" w:space="0"/>
              <w:bottom w:val="single" w:color="000000" w:sz="8" w:space="0"/>
              <w:right w:val="single" w:color="000000" w:sz="8" w:space="0"/>
            </w:tcBorders>
            <w:vAlign w:val="center"/>
          </w:tcPr>
          <w:p w14:paraId="65A5211A">
            <w:pPr>
              <w:widowControl/>
              <w:jc w:val="left"/>
              <w:rPr>
                <w:rFonts w:ascii="宋体" w:hAnsi="宋体" w:cs="宋体"/>
                <w:kern w:val="0"/>
                <w:sz w:val="20"/>
                <w:szCs w:val="20"/>
              </w:rPr>
            </w:pPr>
          </w:p>
        </w:tc>
        <w:tc>
          <w:tcPr>
            <w:tcW w:w="1041" w:type="dxa"/>
            <w:vMerge w:val="continue"/>
            <w:tcBorders>
              <w:top w:val="nil"/>
              <w:left w:val="single" w:color="000000" w:sz="8" w:space="0"/>
              <w:bottom w:val="single" w:color="000000" w:sz="8" w:space="0"/>
              <w:right w:val="single" w:color="000000" w:sz="8" w:space="0"/>
            </w:tcBorders>
            <w:vAlign w:val="center"/>
          </w:tcPr>
          <w:p w14:paraId="309A7006">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262C49B0">
            <w:pPr>
              <w:widowControl/>
              <w:jc w:val="center"/>
              <w:rPr>
                <w:rFonts w:ascii="宋体" w:hAnsi="宋体" w:cs="宋体"/>
                <w:kern w:val="0"/>
                <w:sz w:val="20"/>
                <w:szCs w:val="20"/>
              </w:rPr>
            </w:pPr>
            <w:r>
              <w:rPr>
                <w:rFonts w:hint="eastAsia" w:ascii="宋体" w:hAnsi="宋体" w:cs="宋体"/>
                <w:kern w:val="0"/>
                <w:sz w:val="20"/>
                <w:szCs w:val="20"/>
              </w:rPr>
              <w:t>普通照明用非定向自镇流LED灯</w:t>
            </w:r>
          </w:p>
        </w:tc>
        <w:tc>
          <w:tcPr>
            <w:tcW w:w="1612" w:type="dxa"/>
            <w:tcBorders>
              <w:top w:val="nil"/>
              <w:left w:val="nil"/>
              <w:bottom w:val="single" w:color="000000" w:sz="8" w:space="0"/>
              <w:right w:val="single" w:color="000000" w:sz="8" w:space="0"/>
            </w:tcBorders>
            <w:vAlign w:val="center"/>
          </w:tcPr>
          <w:p w14:paraId="38ACD2E9">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5B4D2B70">
            <w:pPr>
              <w:widowControl/>
              <w:jc w:val="left"/>
              <w:rPr>
                <w:rFonts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14F29E2A">
        <w:tblPrEx>
          <w:tblCellMar>
            <w:top w:w="0" w:type="dxa"/>
            <w:left w:w="108" w:type="dxa"/>
            <w:bottom w:w="0" w:type="dxa"/>
            <w:right w:w="108" w:type="dxa"/>
          </w:tblCellMar>
        </w:tblPrEx>
        <w:trPr>
          <w:trHeight w:val="735" w:hRule="atLeast"/>
        </w:trPr>
        <w:tc>
          <w:tcPr>
            <w:tcW w:w="716" w:type="dxa"/>
            <w:tcBorders>
              <w:top w:val="nil"/>
              <w:left w:val="single" w:color="000000" w:sz="8" w:space="0"/>
              <w:bottom w:val="single" w:color="000000" w:sz="8" w:space="0"/>
              <w:right w:val="single" w:color="000000" w:sz="8" w:space="0"/>
            </w:tcBorders>
            <w:vAlign w:val="center"/>
          </w:tcPr>
          <w:p w14:paraId="0EE5465E">
            <w:pPr>
              <w:widowControl/>
              <w:jc w:val="center"/>
              <w:rPr>
                <w:rFonts w:ascii="宋体" w:hAnsi="宋体" w:cs="宋体"/>
                <w:kern w:val="0"/>
                <w:sz w:val="20"/>
                <w:szCs w:val="20"/>
              </w:rPr>
            </w:pPr>
            <w:r>
              <w:rPr>
                <w:rFonts w:hint="eastAsia" w:ascii="宋体" w:hAnsi="宋体" w:cs="宋体"/>
                <w:kern w:val="0"/>
                <w:sz w:val="20"/>
                <w:szCs w:val="20"/>
              </w:rPr>
              <w:t>12</w:t>
            </w:r>
          </w:p>
        </w:tc>
        <w:tc>
          <w:tcPr>
            <w:tcW w:w="1041" w:type="dxa"/>
            <w:tcBorders>
              <w:top w:val="nil"/>
              <w:left w:val="nil"/>
              <w:bottom w:val="single" w:color="000000" w:sz="8" w:space="0"/>
              <w:right w:val="single" w:color="000000" w:sz="8" w:space="0"/>
            </w:tcBorders>
            <w:vAlign w:val="center"/>
          </w:tcPr>
          <w:p w14:paraId="3A4AD3B3">
            <w:pPr>
              <w:widowControl/>
              <w:jc w:val="center"/>
              <w:rPr>
                <w:rFonts w:ascii="宋体" w:hAnsi="宋体" w:cs="宋体"/>
                <w:kern w:val="0"/>
                <w:sz w:val="20"/>
                <w:szCs w:val="20"/>
              </w:rPr>
            </w:pPr>
            <w:r>
              <w:rPr>
                <w:rFonts w:hint="eastAsia" w:ascii="宋体" w:hAnsi="宋体" w:cs="宋体"/>
                <w:kern w:val="0"/>
                <w:sz w:val="20"/>
                <w:szCs w:val="20"/>
              </w:rPr>
              <w:t>★A020910电视设备</w:t>
            </w:r>
          </w:p>
        </w:tc>
        <w:tc>
          <w:tcPr>
            <w:tcW w:w="1516" w:type="dxa"/>
            <w:tcBorders>
              <w:top w:val="nil"/>
              <w:left w:val="nil"/>
              <w:bottom w:val="single" w:color="000000" w:sz="8" w:space="0"/>
              <w:right w:val="single" w:color="000000" w:sz="8" w:space="0"/>
            </w:tcBorders>
            <w:vAlign w:val="center"/>
          </w:tcPr>
          <w:p w14:paraId="103FE1EC">
            <w:pPr>
              <w:widowControl/>
              <w:jc w:val="center"/>
              <w:rPr>
                <w:rFonts w:ascii="宋体" w:hAnsi="宋体" w:cs="宋体"/>
                <w:kern w:val="0"/>
                <w:sz w:val="20"/>
                <w:szCs w:val="20"/>
              </w:rPr>
            </w:pPr>
            <w:r>
              <w:rPr>
                <w:rFonts w:hint="eastAsia" w:ascii="宋体" w:hAnsi="宋体" w:cs="宋体"/>
                <w:kern w:val="0"/>
                <w:sz w:val="20"/>
                <w:szCs w:val="20"/>
              </w:rPr>
              <w:t>A02091001普通电视设备（电视机）</w:t>
            </w:r>
          </w:p>
        </w:tc>
        <w:tc>
          <w:tcPr>
            <w:tcW w:w="1612" w:type="dxa"/>
            <w:tcBorders>
              <w:top w:val="nil"/>
              <w:left w:val="nil"/>
              <w:bottom w:val="single" w:color="000000" w:sz="8" w:space="0"/>
              <w:right w:val="single" w:color="000000" w:sz="8" w:space="0"/>
            </w:tcBorders>
            <w:vAlign w:val="center"/>
          </w:tcPr>
          <w:p w14:paraId="3EF0EB37">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36CA4E3C">
            <w:pPr>
              <w:widowControl/>
              <w:jc w:val="left"/>
              <w:rPr>
                <w:rFonts w:ascii="宋体" w:hAnsi="宋体" w:cs="宋体"/>
                <w:kern w:val="0"/>
                <w:sz w:val="20"/>
                <w:szCs w:val="20"/>
              </w:rPr>
            </w:pPr>
            <w:r>
              <w:rPr>
                <w:rFonts w:hint="eastAsia" w:ascii="宋体" w:hAnsi="宋体" w:cs="宋体"/>
                <w:kern w:val="0"/>
                <w:sz w:val="20"/>
                <w:szCs w:val="20"/>
              </w:rPr>
              <w:t>《平板电视能效限定值及能效等级》（GB24850）</w:t>
            </w:r>
          </w:p>
        </w:tc>
      </w:tr>
      <w:tr w14:paraId="34AF0045">
        <w:tblPrEx>
          <w:tblCellMar>
            <w:top w:w="0" w:type="dxa"/>
            <w:left w:w="108" w:type="dxa"/>
            <w:bottom w:w="0" w:type="dxa"/>
            <w:right w:w="108" w:type="dxa"/>
          </w:tblCellMar>
        </w:tblPrEx>
        <w:trPr>
          <w:trHeight w:val="975" w:hRule="atLeast"/>
        </w:trPr>
        <w:tc>
          <w:tcPr>
            <w:tcW w:w="716" w:type="dxa"/>
            <w:tcBorders>
              <w:top w:val="nil"/>
              <w:left w:val="single" w:color="000000" w:sz="8" w:space="0"/>
              <w:bottom w:val="single" w:color="000000" w:sz="8" w:space="0"/>
              <w:right w:val="single" w:color="000000" w:sz="8" w:space="0"/>
            </w:tcBorders>
            <w:vAlign w:val="center"/>
          </w:tcPr>
          <w:p w14:paraId="03926362">
            <w:pPr>
              <w:widowControl/>
              <w:jc w:val="center"/>
              <w:rPr>
                <w:rFonts w:ascii="宋体" w:hAnsi="宋体" w:cs="宋体"/>
                <w:kern w:val="0"/>
                <w:sz w:val="20"/>
                <w:szCs w:val="20"/>
              </w:rPr>
            </w:pPr>
            <w:r>
              <w:rPr>
                <w:rFonts w:hint="eastAsia" w:ascii="宋体" w:hAnsi="宋体" w:cs="宋体"/>
                <w:kern w:val="0"/>
                <w:sz w:val="20"/>
                <w:szCs w:val="20"/>
              </w:rPr>
              <w:t>13</w:t>
            </w:r>
          </w:p>
        </w:tc>
        <w:tc>
          <w:tcPr>
            <w:tcW w:w="1041" w:type="dxa"/>
            <w:tcBorders>
              <w:top w:val="nil"/>
              <w:left w:val="nil"/>
              <w:bottom w:val="single" w:color="000000" w:sz="8" w:space="0"/>
              <w:right w:val="single" w:color="000000" w:sz="8" w:space="0"/>
            </w:tcBorders>
            <w:vAlign w:val="center"/>
          </w:tcPr>
          <w:p w14:paraId="42842A7D">
            <w:pPr>
              <w:widowControl/>
              <w:jc w:val="center"/>
              <w:rPr>
                <w:rFonts w:ascii="宋体" w:hAnsi="宋体" w:cs="宋体"/>
                <w:kern w:val="0"/>
                <w:sz w:val="20"/>
                <w:szCs w:val="20"/>
              </w:rPr>
            </w:pPr>
            <w:r>
              <w:rPr>
                <w:rFonts w:hint="eastAsia" w:ascii="宋体" w:hAnsi="宋体" w:cs="宋体"/>
                <w:kern w:val="0"/>
                <w:sz w:val="20"/>
                <w:szCs w:val="20"/>
              </w:rPr>
              <w:t>★A020911视频设备</w:t>
            </w:r>
          </w:p>
        </w:tc>
        <w:tc>
          <w:tcPr>
            <w:tcW w:w="1516" w:type="dxa"/>
            <w:tcBorders>
              <w:top w:val="nil"/>
              <w:left w:val="nil"/>
              <w:bottom w:val="single" w:color="000000" w:sz="8" w:space="0"/>
              <w:right w:val="single" w:color="000000" w:sz="8" w:space="0"/>
            </w:tcBorders>
            <w:vAlign w:val="center"/>
          </w:tcPr>
          <w:p w14:paraId="61DB5D8A">
            <w:pPr>
              <w:widowControl/>
              <w:jc w:val="center"/>
              <w:rPr>
                <w:rFonts w:ascii="宋体" w:hAnsi="宋体" w:cs="宋体"/>
                <w:kern w:val="0"/>
                <w:sz w:val="20"/>
                <w:szCs w:val="20"/>
              </w:rPr>
            </w:pPr>
            <w:r>
              <w:rPr>
                <w:rFonts w:hint="eastAsia" w:ascii="宋体" w:hAnsi="宋体" w:cs="宋体"/>
                <w:kern w:val="0"/>
                <w:sz w:val="20"/>
                <w:szCs w:val="20"/>
              </w:rPr>
              <w:t>A02091107视频监控设备</w:t>
            </w:r>
          </w:p>
        </w:tc>
        <w:tc>
          <w:tcPr>
            <w:tcW w:w="1612" w:type="dxa"/>
            <w:tcBorders>
              <w:top w:val="nil"/>
              <w:left w:val="nil"/>
              <w:bottom w:val="single" w:color="000000" w:sz="8" w:space="0"/>
              <w:right w:val="single" w:color="000000" w:sz="8" w:space="0"/>
            </w:tcBorders>
            <w:vAlign w:val="center"/>
          </w:tcPr>
          <w:p w14:paraId="1140044A">
            <w:pPr>
              <w:widowControl/>
              <w:jc w:val="center"/>
              <w:rPr>
                <w:rFonts w:ascii="宋体" w:hAnsi="宋体" w:cs="宋体"/>
                <w:kern w:val="0"/>
                <w:sz w:val="20"/>
                <w:szCs w:val="20"/>
              </w:rPr>
            </w:pPr>
            <w:r>
              <w:rPr>
                <w:rFonts w:hint="eastAsia" w:ascii="宋体" w:hAnsi="宋体" w:cs="宋体"/>
                <w:kern w:val="0"/>
                <w:sz w:val="20"/>
                <w:szCs w:val="20"/>
              </w:rPr>
              <w:t>监视器</w:t>
            </w:r>
          </w:p>
        </w:tc>
        <w:tc>
          <w:tcPr>
            <w:tcW w:w="4335" w:type="dxa"/>
            <w:tcBorders>
              <w:top w:val="nil"/>
              <w:left w:val="nil"/>
              <w:bottom w:val="single" w:color="000000" w:sz="8" w:space="0"/>
              <w:right w:val="single" w:color="000000" w:sz="8" w:space="0"/>
            </w:tcBorders>
            <w:vAlign w:val="center"/>
          </w:tcPr>
          <w:p w14:paraId="3A3EE0F1">
            <w:pPr>
              <w:widowControl/>
              <w:jc w:val="left"/>
              <w:rPr>
                <w:rFonts w:ascii="宋体" w:hAnsi="宋体" w:cs="宋体"/>
                <w:kern w:val="0"/>
                <w:sz w:val="20"/>
                <w:szCs w:val="20"/>
              </w:rPr>
            </w:pPr>
            <w:r>
              <w:rPr>
                <w:rFonts w:hint="eastAsia" w:ascii="宋体" w:hAnsi="宋体" w:cs="宋体"/>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17F2485F">
        <w:tblPrEx>
          <w:tblCellMar>
            <w:top w:w="0" w:type="dxa"/>
            <w:left w:w="108" w:type="dxa"/>
            <w:bottom w:w="0" w:type="dxa"/>
            <w:right w:w="108" w:type="dxa"/>
          </w:tblCellMar>
        </w:tblPrEx>
        <w:trPr>
          <w:trHeight w:val="495" w:hRule="atLeast"/>
        </w:trPr>
        <w:tc>
          <w:tcPr>
            <w:tcW w:w="716" w:type="dxa"/>
            <w:tcBorders>
              <w:top w:val="nil"/>
              <w:left w:val="single" w:color="000000" w:sz="8" w:space="0"/>
              <w:bottom w:val="single" w:color="000000" w:sz="8" w:space="0"/>
              <w:right w:val="single" w:color="000000" w:sz="8" w:space="0"/>
            </w:tcBorders>
            <w:vAlign w:val="center"/>
          </w:tcPr>
          <w:p w14:paraId="5FFAA5E9">
            <w:pPr>
              <w:widowControl/>
              <w:jc w:val="center"/>
              <w:rPr>
                <w:rFonts w:ascii="宋体" w:hAnsi="宋体" w:cs="宋体"/>
                <w:kern w:val="0"/>
                <w:sz w:val="20"/>
                <w:szCs w:val="20"/>
              </w:rPr>
            </w:pPr>
            <w:r>
              <w:rPr>
                <w:rFonts w:hint="eastAsia" w:ascii="宋体" w:hAnsi="宋体" w:cs="宋体"/>
                <w:kern w:val="0"/>
                <w:sz w:val="20"/>
                <w:szCs w:val="20"/>
              </w:rPr>
              <w:t>14</w:t>
            </w:r>
          </w:p>
        </w:tc>
        <w:tc>
          <w:tcPr>
            <w:tcW w:w="1041" w:type="dxa"/>
            <w:tcBorders>
              <w:top w:val="nil"/>
              <w:left w:val="nil"/>
              <w:bottom w:val="single" w:color="000000" w:sz="8" w:space="0"/>
              <w:right w:val="single" w:color="000000" w:sz="8" w:space="0"/>
            </w:tcBorders>
            <w:vAlign w:val="center"/>
          </w:tcPr>
          <w:p w14:paraId="1B4BB5BE">
            <w:pPr>
              <w:widowControl/>
              <w:jc w:val="center"/>
              <w:rPr>
                <w:rFonts w:ascii="宋体" w:hAnsi="宋体" w:cs="宋体"/>
                <w:kern w:val="0"/>
                <w:sz w:val="20"/>
                <w:szCs w:val="20"/>
              </w:rPr>
            </w:pPr>
            <w:r>
              <w:rPr>
                <w:rFonts w:hint="eastAsia" w:ascii="宋体" w:hAnsi="宋体" w:cs="宋体"/>
                <w:kern w:val="0"/>
                <w:sz w:val="20"/>
                <w:szCs w:val="20"/>
              </w:rPr>
              <w:t>A031210饮食炊事机械</w:t>
            </w:r>
          </w:p>
        </w:tc>
        <w:tc>
          <w:tcPr>
            <w:tcW w:w="1516" w:type="dxa"/>
            <w:tcBorders>
              <w:top w:val="nil"/>
              <w:left w:val="nil"/>
              <w:bottom w:val="single" w:color="000000" w:sz="8" w:space="0"/>
              <w:right w:val="single" w:color="000000" w:sz="8" w:space="0"/>
            </w:tcBorders>
            <w:vAlign w:val="center"/>
          </w:tcPr>
          <w:p w14:paraId="437D8980">
            <w:pPr>
              <w:widowControl/>
              <w:jc w:val="center"/>
              <w:rPr>
                <w:rFonts w:ascii="宋体" w:hAnsi="宋体" w:cs="宋体"/>
                <w:kern w:val="0"/>
                <w:sz w:val="20"/>
                <w:szCs w:val="20"/>
              </w:rPr>
            </w:pPr>
            <w:r>
              <w:rPr>
                <w:rFonts w:hint="eastAsia" w:ascii="宋体" w:hAnsi="宋体" w:cs="宋体"/>
                <w:kern w:val="0"/>
                <w:sz w:val="20"/>
                <w:szCs w:val="20"/>
              </w:rPr>
              <w:t>商用燃气灶具</w:t>
            </w:r>
          </w:p>
        </w:tc>
        <w:tc>
          <w:tcPr>
            <w:tcW w:w="1612" w:type="dxa"/>
            <w:tcBorders>
              <w:top w:val="nil"/>
              <w:left w:val="nil"/>
              <w:bottom w:val="single" w:color="000000" w:sz="8" w:space="0"/>
              <w:right w:val="single" w:color="000000" w:sz="8" w:space="0"/>
            </w:tcBorders>
            <w:vAlign w:val="center"/>
          </w:tcPr>
          <w:p w14:paraId="016BA7E7">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5ADDAC43">
            <w:pPr>
              <w:widowControl/>
              <w:jc w:val="left"/>
              <w:rPr>
                <w:rFonts w:ascii="宋体" w:hAnsi="宋体" w:cs="宋体"/>
                <w:kern w:val="0"/>
                <w:sz w:val="20"/>
                <w:szCs w:val="20"/>
              </w:rPr>
            </w:pPr>
            <w:r>
              <w:rPr>
                <w:rFonts w:hint="eastAsia" w:ascii="宋体" w:hAnsi="宋体" w:cs="宋体"/>
                <w:kern w:val="0"/>
                <w:sz w:val="20"/>
                <w:szCs w:val="20"/>
              </w:rPr>
              <w:t>《商用燃气灶具能效限定值及能效等级》（GB30531）</w:t>
            </w:r>
          </w:p>
        </w:tc>
      </w:tr>
      <w:tr w14:paraId="50D28818">
        <w:tblPrEx>
          <w:tblCellMar>
            <w:top w:w="0" w:type="dxa"/>
            <w:left w:w="108" w:type="dxa"/>
            <w:bottom w:w="0" w:type="dxa"/>
            <w:right w:w="108" w:type="dxa"/>
          </w:tblCellMar>
        </w:tblPrEx>
        <w:trPr>
          <w:trHeight w:val="285" w:hRule="atLeast"/>
        </w:trPr>
        <w:tc>
          <w:tcPr>
            <w:tcW w:w="716" w:type="dxa"/>
            <w:vMerge w:val="restart"/>
            <w:tcBorders>
              <w:top w:val="nil"/>
              <w:left w:val="single" w:color="000000" w:sz="8" w:space="0"/>
              <w:bottom w:val="single" w:color="000000" w:sz="8" w:space="0"/>
              <w:right w:val="single" w:color="000000" w:sz="8" w:space="0"/>
            </w:tcBorders>
            <w:vAlign w:val="center"/>
          </w:tcPr>
          <w:p w14:paraId="700B206F">
            <w:pPr>
              <w:widowControl/>
              <w:jc w:val="center"/>
              <w:rPr>
                <w:rFonts w:ascii="宋体" w:hAnsi="宋体" w:cs="宋体"/>
                <w:kern w:val="0"/>
                <w:sz w:val="20"/>
                <w:szCs w:val="20"/>
              </w:rPr>
            </w:pPr>
            <w:r>
              <w:rPr>
                <w:rFonts w:hint="eastAsia" w:ascii="宋体" w:hAnsi="宋体" w:cs="宋体"/>
                <w:kern w:val="0"/>
                <w:sz w:val="20"/>
                <w:szCs w:val="20"/>
              </w:rPr>
              <w:t>15</w:t>
            </w:r>
          </w:p>
        </w:tc>
        <w:tc>
          <w:tcPr>
            <w:tcW w:w="1041" w:type="dxa"/>
            <w:vMerge w:val="restart"/>
            <w:tcBorders>
              <w:top w:val="nil"/>
              <w:left w:val="single" w:color="000000" w:sz="8" w:space="0"/>
              <w:bottom w:val="single" w:color="000000" w:sz="8" w:space="0"/>
              <w:right w:val="single" w:color="000000" w:sz="8" w:space="0"/>
            </w:tcBorders>
            <w:vAlign w:val="center"/>
          </w:tcPr>
          <w:p w14:paraId="6167FF74">
            <w:pPr>
              <w:widowControl/>
              <w:jc w:val="center"/>
              <w:rPr>
                <w:rFonts w:ascii="宋体" w:hAnsi="宋体" w:cs="宋体"/>
                <w:kern w:val="0"/>
                <w:sz w:val="20"/>
                <w:szCs w:val="20"/>
              </w:rPr>
            </w:pPr>
            <w:r>
              <w:rPr>
                <w:rFonts w:hint="eastAsia" w:ascii="宋体" w:hAnsi="宋体" w:cs="宋体"/>
                <w:kern w:val="0"/>
                <w:sz w:val="20"/>
                <w:szCs w:val="20"/>
              </w:rPr>
              <w:t>★A060805便器</w:t>
            </w:r>
          </w:p>
        </w:tc>
        <w:tc>
          <w:tcPr>
            <w:tcW w:w="1516" w:type="dxa"/>
            <w:tcBorders>
              <w:top w:val="nil"/>
              <w:left w:val="nil"/>
              <w:bottom w:val="single" w:color="000000" w:sz="8" w:space="0"/>
              <w:right w:val="single" w:color="000000" w:sz="8" w:space="0"/>
            </w:tcBorders>
            <w:vAlign w:val="center"/>
          </w:tcPr>
          <w:p w14:paraId="38509AD9">
            <w:pPr>
              <w:widowControl/>
              <w:jc w:val="center"/>
              <w:rPr>
                <w:rFonts w:ascii="宋体" w:hAnsi="宋体" w:cs="宋体"/>
                <w:kern w:val="0"/>
                <w:sz w:val="20"/>
                <w:szCs w:val="20"/>
              </w:rPr>
            </w:pPr>
            <w:r>
              <w:rPr>
                <w:rFonts w:hint="eastAsia" w:ascii="宋体" w:hAnsi="宋体" w:cs="宋体"/>
                <w:kern w:val="0"/>
                <w:sz w:val="20"/>
                <w:szCs w:val="20"/>
              </w:rPr>
              <w:t>坐便器</w:t>
            </w:r>
          </w:p>
        </w:tc>
        <w:tc>
          <w:tcPr>
            <w:tcW w:w="1612" w:type="dxa"/>
            <w:tcBorders>
              <w:top w:val="nil"/>
              <w:left w:val="nil"/>
              <w:bottom w:val="single" w:color="000000" w:sz="8" w:space="0"/>
              <w:right w:val="single" w:color="000000" w:sz="8" w:space="0"/>
            </w:tcBorders>
            <w:vAlign w:val="center"/>
          </w:tcPr>
          <w:p w14:paraId="225CDC9F">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8ACDC69">
            <w:pPr>
              <w:widowControl/>
              <w:jc w:val="left"/>
              <w:rPr>
                <w:rFonts w:ascii="宋体" w:hAnsi="宋体" w:cs="宋体"/>
                <w:kern w:val="0"/>
                <w:sz w:val="20"/>
                <w:szCs w:val="20"/>
              </w:rPr>
            </w:pPr>
            <w:r>
              <w:rPr>
                <w:rFonts w:hint="eastAsia" w:ascii="宋体" w:hAnsi="宋体" w:cs="宋体"/>
                <w:kern w:val="0"/>
                <w:sz w:val="20"/>
                <w:szCs w:val="20"/>
              </w:rPr>
              <w:t>《坐便器水效限定值及水效等级》（GB25502）</w:t>
            </w:r>
          </w:p>
        </w:tc>
      </w:tr>
      <w:tr w14:paraId="5383966C">
        <w:tblPrEx>
          <w:tblCellMar>
            <w:top w:w="0" w:type="dxa"/>
            <w:left w:w="108" w:type="dxa"/>
            <w:bottom w:w="0" w:type="dxa"/>
            <w:right w:w="108" w:type="dxa"/>
          </w:tblCellMar>
        </w:tblPrEx>
        <w:trPr>
          <w:trHeight w:val="495" w:hRule="atLeast"/>
        </w:trPr>
        <w:tc>
          <w:tcPr>
            <w:tcW w:w="716" w:type="dxa"/>
            <w:vMerge w:val="continue"/>
            <w:tcBorders>
              <w:top w:val="nil"/>
              <w:left w:val="single" w:color="000000" w:sz="8" w:space="0"/>
              <w:bottom w:val="single" w:color="000000" w:sz="8" w:space="0"/>
              <w:right w:val="single" w:color="000000" w:sz="8" w:space="0"/>
            </w:tcBorders>
            <w:vAlign w:val="center"/>
          </w:tcPr>
          <w:p w14:paraId="1FC9E6BE">
            <w:pPr>
              <w:widowControl/>
              <w:jc w:val="left"/>
              <w:rPr>
                <w:rFonts w:ascii="宋体" w:hAnsi="宋体" w:cs="宋体"/>
                <w:kern w:val="0"/>
                <w:sz w:val="20"/>
                <w:szCs w:val="20"/>
              </w:rPr>
            </w:pPr>
          </w:p>
        </w:tc>
        <w:tc>
          <w:tcPr>
            <w:tcW w:w="1041" w:type="dxa"/>
            <w:vMerge w:val="continue"/>
            <w:tcBorders>
              <w:top w:val="nil"/>
              <w:left w:val="single" w:color="000000" w:sz="8" w:space="0"/>
              <w:bottom w:val="single" w:color="000000" w:sz="8" w:space="0"/>
              <w:right w:val="single" w:color="000000" w:sz="8" w:space="0"/>
            </w:tcBorders>
            <w:vAlign w:val="center"/>
          </w:tcPr>
          <w:p w14:paraId="3A40C5C9">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731A2DBC">
            <w:pPr>
              <w:widowControl/>
              <w:jc w:val="center"/>
              <w:rPr>
                <w:rFonts w:ascii="宋体" w:hAnsi="宋体" w:cs="宋体"/>
                <w:kern w:val="0"/>
                <w:sz w:val="20"/>
                <w:szCs w:val="20"/>
              </w:rPr>
            </w:pPr>
            <w:r>
              <w:rPr>
                <w:rFonts w:hint="eastAsia" w:ascii="宋体" w:hAnsi="宋体" w:cs="宋体"/>
                <w:kern w:val="0"/>
                <w:sz w:val="20"/>
                <w:szCs w:val="20"/>
              </w:rPr>
              <w:t>蹲便器</w:t>
            </w:r>
          </w:p>
        </w:tc>
        <w:tc>
          <w:tcPr>
            <w:tcW w:w="1612" w:type="dxa"/>
            <w:tcBorders>
              <w:top w:val="nil"/>
              <w:left w:val="nil"/>
              <w:bottom w:val="single" w:color="000000" w:sz="8" w:space="0"/>
              <w:right w:val="single" w:color="000000" w:sz="8" w:space="0"/>
            </w:tcBorders>
            <w:vAlign w:val="center"/>
          </w:tcPr>
          <w:p w14:paraId="694CF779">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5F8361CC">
            <w:pPr>
              <w:widowControl/>
              <w:jc w:val="left"/>
              <w:rPr>
                <w:rFonts w:ascii="宋体" w:hAnsi="宋体" w:cs="宋体"/>
                <w:kern w:val="0"/>
                <w:sz w:val="20"/>
                <w:szCs w:val="20"/>
              </w:rPr>
            </w:pPr>
            <w:r>
              <w:rPr>
                <w:rFonts w:hint="eastAsia" w:ascii="宋体" w:hAnsi="宋体" w:cs="宋体"/>
                <w:kern w:val="0"/>
                <w:sz w:val="20"/>
                <w:szCs w:val="20"/>
              </w:rPr>
              <w:t>《蹲便器用水效率限定值及用水效率等级》（GB30717）</w:t>
            </w:r>
          </w:p>
        </w:tc>
      </w:tr>
      <w:tr w14:paraId="2B5005D2">
        <w:tblPrEx>
          <w:tblCellMar>
            <w:top w:w="0" w:type="dxa"/>
            <w:left w:w="108" w:type="dxa"/>
            <w:bottom w:w="0" w:type="dxa"/>
            <w:right w:w="108" w:type="dxa"/>
          </w:tblCellMar>
        </w:tblPrEx>
        <w:trPr>
          <w:trHeight w:val="468" w:hRule="atLeast"/>
        </w:trPr>
        <w:tc>
          <w:tcPr>
            <w:tcW w:w="716" w:type="dxa"/>
            <w:vMerge w:val="continue"/>
            <w:tcBorders>
              <w:top w:val="nil"/>
              <w:left w:val="single" w:color="000000" w:sz="8" w:space="0"/>
              <w:bottom w:val="single" w:color="000000" w:sz="8" w:space="0"/>
              <w:right w:val="single" w:color="000000" w:sz="8" w:space="0"/>
            </w:tcBorders>
            <w:vAlign w:val="center"/>
          </w:tcPr>
          <w:p w14:paraId="6E42E45B">
            <w:pPr>
              <w:widowControl/>
              <w:jc w:val="left"/>
              <w:rPr>
                <w:rFonts w:ascii="宋体" w:hAnsi="宋体" w:cs="宋体"/>
                <w:kern w:val="0"/>
                <w:sz w:val="20"/>
                <w:szCs w:val="20"/>
              </w:rPr>
            </w:pPr>
          </w:p>
        </w:tc>
        <w:tc>
          <w:tcPr>
            <w:tcW w:w="1041" w:type="dxa"/>
            <w:vMerge w:val="continue"/>
            <w:tcBorders>
              <w:top w:val="nil"/>
              <w:left w:val="single" w:color="000000" w:sz="8" w:space="0"/>
              <w:bottom w:val="single" w:color="000000" w:sz="8" w:space="0"/>
              <w:right w:val="single" w:color="000000" w:sz="8" w:space="0"/>
            </w:tcBorders>
            <w:vAlign w:val="center"/>
          </w:tcPr>
          <w:p w14:paraId="09798DCF">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1574CB7A">
            <w:pPr>
              <w:widowControl/>
              <w:jc w:val="center"/>
              <w:rPr>
                <w:rFonts w:ascii="宋体" w:hAnsi="宋体" w:cs="宋体"/>
                <w:kern w:val="0"/>
                <w:sz w:val="20"/>
                <w:szCs w:val="20"/>
              </w:rPr>
            </w:pPr>
            <w:r>
              <w:rPr>
                <w:rFonts w:hint="eastAsia" w:ascii="宋体" w:hAnsi="宋体" w:cs="宋体"/>
                <w:kern w:val="0"/>
                <w:sz w:val="20"/>
                <w:szCs w:val="20"/>
              </w:rPr>
              <w:t>小便器</w:t>
            </w:r>
          </w:p>
        </w:tc>
        <w:tc>
          <w:tcPr>
            <w:tcW w:w="1612" w:type="dxa"/>
            <w:tcBorders>
              <w:top w:val="nil"/>
              <w:left w:val="nil"/>
              <w:bottom w:val="single" w:color="000000" w:sz="8" w:space="0"/>
              <w:right w:val="single" w:color="000000" w:sz="8" w:space="0"/>
            </w:tcBorders>
            <w:vAlign w:val="center"/>
          </w:tcPr>
          <w:p w14:paraId="65780122">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08DAAAB8">
            <w:pPr>
              <w:widowControl/>
              <w:jc w:val="left"/>
              <w:rPr>
                <w:rFonts w:ascii="宋体" w:hAnsi="宋体" w:cs="宋体"/>
                <w:kern w:val="0"/>
                <w:sz w:val="20"/>
                <w:szCs w:val="20"/>
              </w:rPr>
            </w:pPr>
            <w:r>
              <w:rPr>
                <w:rFonts w:hint="eastAsia" w:ascii="宋体" w:hAnsi="宋体" w:cs="宋体"/>
                <w:kern w:val="0"/>
                <w:sz w:val="20"/>
                <w:szCs w:val="20"/>
              </w:rPr>
              <w:t>《小便器用水效率限定值及用水效率等级》（GB28377）</w:t>
            </w:r>
          </w:p>
        </w:tc>
      </w:tr>
      <w:tr w14:paraId="4E927606">
        <w:tblPrEx>
          <w:tblCellMar>
            <w:top w:w="0" w:type="dxa"/>
            <w:left w:w="108" w:type="dxa"/>
            <w:bottom w:w="0" w:type="dxa"/>
            <w:right w:w="108" w:type="dxa"/>
          </w:tblCellMar>
        </w:tblPrEx>
        <w:trPr>
          <w:trHeight w:val="708" w:hRule="atLeast"/>
        </w:trPr>
        <w:tc>
          <w:tcPr>
            <w:tcW w:w="716" w:type="dxa"/>
            <w:tcBorders>
              <w:top w:val="nil"/>
              <w:left w:val="single" w:color="000000" w:sz="8" w:space="0"/>
              <w:bottom w:val="single" w:color="000000" w:sz="8" w:space="0"/>
              <w:right w:val="single" w:color="000000" w:sz="8" w:space="0"/>
            </w:tcBorders>
            <w:vAlign w:val="center"/>
          </w:tcPr>
          <w:p w14:paraId="45CBEE62">
            <w:pPr>
              <w:widowControl/>
              <w:jc w:val="center"/>
              <w:rPr>
                <w:rFonts w:ascii="宋体" w:hAnsi="宋体" w:cs="宋体"/>
                <w:kern w:val="0"/>
                <w:sz w:val="20"/>
                <w:szCs w:val="20"/>
              </w:rPr>
            </w:pPr>
            <w:r>
              <w:rPr>
                <w:rFonts w:hint="eastAsia" w:ascii="宋体" w:hAnsi="宋体" w:cs="宋体"/>
                <w:kern w:val="0"/>
                <w:sz w:val="20"/>
                <w:szCs w:val="20"/>
              </w:rPr>
              <w:t>16</w:t>
            </w:r>
          </w:p>
        </w:tc>
        <w:tc>
          <w:tcPr>
            <w:tcW w:w="1041" w:type="dxa"/>
            <w:tcBorders>
              <w:top w:val="nil"/>
              <w:left w:val="nil"/>
              <w:bottom w:val="single" w:color="000000" w:sz="8" w:space="0"/>
              <w:right w:val="single" w:color="000000" w:sz="8" w:space="0"/>
            </w:tcBorders>
            <w:vAlign w:val="center"/>
          </w:tcPr>
          <w:p w14:paraId="7AEF3BC8">
            <w:pPr>
              <w:widowControl/>
              <w:jc w:val="center"/>
              <w:rPr>
                <w:rFonts w:ascii="宋体" w:hAnsi="宋体" w:cs="宋体"/>
                <w:kern w:val="0"/>
                <w:sz w:val="20"/>
                <w:szCs w:val="20"/>
              </w:rPr>
            </w:pPr>
            <w:r>
              <w:rPr>
                <w:rFonts w:hint="eastAsia" w:ascii="宋体" w:hAnsi="宋体" w:cs="宋体"/>
                <w:kern w:val="0"/>
                <w:sz w:val="20"/>
                <w:szCs w:val="20"/>
              </w:rPr>
              <w:t>★A060806水嘴</w:t>
            </w:r>
          </w:p>
        </w:tc>
        <w:tc>
          <w:tcPr>
            <w:tcW w:w="1516" w:type="dxa"/>
            <w:tcBorders>
              <w:top w:val="nil"/>
              <w:left w:val="nil"/>
              <w:bottom w:val="single" w:color="000000" w:sz="8" w:space="0"/>
              <w:right w:val="single" w:color="000000" w:sz="8" w:space="0"/>
            </w:tcBorders>
            <w:vAlign w:val="center"/>
          </w:tcPr>
          <w:p w14:paraId="410230A1">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21519AFD">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0CEDAC1F">
            <w:pPr>
              <w:widowControl/>
              <w:jc w:val="left"/>
              <w:rPr>
                <w:rFonts w:ascii="宋体" w:hAnsi="宋体" w:cs="宋体"/>
                <w:kern w:val="0"/>
                <w:sz w:val="20"/>
                <w:szCs w:val="20"/>
              </w:rPr>
            </w:pPr>
            <w:r>
              <w:rPr>
                <w:rFonts w:hint="eastAsia" w:ascii="宋体" w:hAnsi="宋体" w:cs="宋体"/>
                <w:kern w:val="0"/>
                <w:sz w:val="20"/>
                <w:szCs w:val="20"/>
              </w:rPr>
              <w:t>《水嘴用水效率限定值及用水效率等级》（GB 25501）</w:t>
            </w:r>
          </w:p>
        </w:tc>
      </w:tr>
      <w:tr w14:paraId="15476B8A">
        <w:tblPrEx>
          <w:tblCellMar>
            <w:top w:w="0" w:type="dxa"/>
            <w:left w:w="108" w:type="dxa"/>
            <w:bottom w:w="0" w:type="dxa"/>
            <w:right w:w="108" w:type="dxa"/>
          </w:tblCellMar>
        </w:tblPrEx>
        <w:trPr>
          <w:trHeight w:val="578" w:hRule="atLeast"/>
        </w:trPr>
        <w:tc>
          <w:tcPr>
            <w:tcW w:w="716" w:type="dxa"/>
            <w:tcBorders>
              <w:top w:val="nil"/>
              <w:left w:val="single" w:color="000000" w:sz="8" w:space="0"/>
              <w:bottom w:val="single" w:color="000000" w:sz="8" w:space="0"/>
              <w:right w:val="single" w:color="000000" w:sz="8" w:space="0"/>
            </w:tcBorders>
            <w:vAlign w:val="center"/>
          </w:tcPr>
          <w:p w14:paraId="776E4A2D">
            <w:pPr>
              <w:widowControl/>
              <w:jc w:val="center"/>
              <w:rPr>
                <w:rFonts w:ascii="宋体" w:hAnsi="宋体" w:cs="宋体"/>
                <w:kern w:val="0"/>
                <w:sz w:val="20"/>
                <w:szCs w:val="20"/>
              </w:rPr>
            </w:pPr>
            <w:r>
              <w:rPr>
                <w:rFonts w:hint="eastAsia" w:ascii="宋体" w:hAnsi="宋体" w:cs="宋体"/>
                <w:kern w:val="0"/>
                <w:sz w:val="20"/>
                <w:szCs w:val="20"/>
              </w:rPr>
              <w:t>17</w:t>
            </w:r>
          </w:p>
        </w:tc>
        <w:tc>
          <w:tcPr>
            <w:tcW w:w="1041" w:type="dxa"/>
            <w:tcBorders>
              <w:top w:val="nil"/>
              <w:left w:val="nil"/>
              <w:bottom w:val="single" w:color="000000" w:sz="8" w:space="0"/>
              <w:right w:val="single" w:color="000000" w:sz="8" w:space="0"/>
            </w:tcBorders>
            <w:vAlign w:val="center"/>
          </w:tcPr>
          <w:p w14:paraId="0EFED1E1">
            <w:pPr>
              <w:widowControl/>
              <w:jc w:val="center"/>
              <w:rPr>
                <w:rFonts w:ascii="宋体" w:hAnsi="宋体" w:cs="宋体"/>
                <w:kern w:val="0"/>
                <w:sz w:val="20"/>
                <w:szCs w:val="20"/>
              </w:rPr>
            </w:pPr>
            <w:r>
              <w:rPr>
                <w:rFonts w:hint="eastAsia" w:ascii="宋体" w:hAnsi="宋体" w:cs="宋体"/>
                <w:kern w:val="0"/>
                <w:sz w:val="20"/>
                <w:szCs w:val="20"/>
              </w:rPr>
              <w:t>A060807便器冲洗阀</w:t>
            </w:r>
          </w:p>
        </w:tc>
        <w:tc>
          <w:tcPr>
            <w:tcW w:w="1516" w:type="dxa"/>
            <w:tcBorders>
              <w:top w:val="nil"/>
              <w:left w:val="nil"/>
              <w:bottom w:val="single" w:color="000000" w:sz="8" w:space="0"/>
              <w:right w:val="single" w:color="000000" w:sz="8" w:space="0"/>
            </w:tcBorders>
            <w:vAlign w:val="center"/>
          </w:tcPr>
          <w:p w14:paraId="108ED39D">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51DF8481">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797C1902">
            <w:pPr>
              <w:widowControl/>
              <w:jc w:val="left"/>
              <w:rPr>
                <w:rFonts w:ascii="宋体" w:hAnsi="宋体" w:cs="宋体"/>
                <w:kern w:val="0"/>
                <w:sz w:val="20"/>
                <w:szCs w:val="20"/>
              </w:rPr>
            </w:pPr>
            <w:r>
              <w:rPr>
                <w:rFonts w:hint="eastAsia" w:ascii="宋体" w:hAnsi="宋体" w:cs="宋体"/>
                <w:kern w:val="0"/>
                <w:sz w:val="20"/>
                <w:szCs w:val="20"/>
              </w:rPr>
              <w:t>《便器冲洗阀用水效率限定值及用水效率等级》（GB28379）</w:t>
            </w:r>
          </w:p>
        </w:tc>
      </w:tr>
      <w:tr w14:paraId="119F6C84">
        <w:tblPrEx>
          <w:tblCellMar>
            <w:top w:w="0" w:type="dxa"/>
            <w:left w:w="108" w:type="dxa"/>
            <w:bottom w:w="0" w:type="dxa"/>
            <w:right w:w="108" w:type="dxa"/>
          </w:tblCellMar>
        </w:tblPrEx>
        <w:trPr>
          <w:trHeight w:val="495" w:hRule="atLeast"/>
        </w:trPr>
        <w:tc>
          <w:tcPr>
            <w:tcW w:w="716" w:type="dxa"/>
            <w:tcBorders>
              <w:top w:val="nil"/>
              <w:left w:val="single" w:color="000000" w:sz="8" w:space="0"/>
              <w:bottom w:val="single" w:color="000000" w:sz="8" w:space="0"/>
              <w:right w:val="single" w:color="000000" w:sz="8" w:space="0"/>
            </w:tcBorders>
            <w:vAlign w:val="center"/>
          </w:tcPr>
          <w:p w14:paraId="264FCDE9">
            <w:pPr>
              <w:widowControl/>
              <w:jc w:val="center"/>
              <w:rPr>
                <w:rFonts w:ascii="宋体" w:hAnsi="宋体" w:cs="宋体"/>
                <w:kern w:val="0"/>
                <w:sz w:val="20"/>
                <w:szCs w:val="20"/>
              </w:rPr>
            </w:pPr>
            <w:r>
              <w:rPr>
                <w:rFonts w:hint="eastAsia" w:ascii="宋体" w:hAnsi="宋体" w:cs="宋体"/>
                <w:kern w:val="0"/>
                <w:sz w:val="20"/>
                <w:szCs w:val="20"/>
              </w:rPr>
              <w:t>18</w:t>
            </w:r>
          </w:p>
        </w:tc>
        <w:tc>
          <w:tcPr>
            <w:tcW w:w="1041" w:type="dxa"/>
            <w:tcBorders>
              <w:top w:val="nil"/>
              <w:left w:val="nil"/>
              <w:bottom w:val="single" w:color="000000" w:sz="8" w:space="0"/>
              <w:right w:val="single" w:color="000000" w:sz="8" w:space="0"/>
            </w:tcBorders>
            <w:vAlign w:val="center"/>
          </w:tcPr>
          <w:p w14:paraId="6A1D1581">
            <w:pPr>
              <w:widowControl/>
              <w:jc w:val="center"/>
              <w:rPr>
                <w:rFonts w:ascii="宋体" w:hAnsi="宋体" w:cs="宋体"/>
                <w:kern w:val="0"/>
                <w:sz w:val="20"/>
                <w:szCs w:val="20"/>
              </w:rPr>
            </w:pPr>
            <w:r>
              <w:rPr>
                <w:rFonts w:hint="eastAsia" w:ascii="宋体" w:hAnsi="宋体" w:cs="宋体"/>
                <w:kern w:val="0"/>
                <w:sz w:val="20"/>
                <w:szCs w:val="20"/>
              </w:rPr>
              <w:t>A060810淋浴器</w:t>
            </w:r>
          </w:p>
        </w:tc>
        <w:tc>
          <w:tcPr>
            <w:tcW w:w="1516" w:type="dxa"/>
            <w:tcBorders>
              <w:top w:val="nil"/>
              <w:left w:val="nil"/>
              <w:bottom w:val="single" w:color="000000" w:sz="8" w:space="0"/>
              <w:right w:val="single" w:color="000000" w:sz="8" w:space="0"/>
            </w:tcBorders>
            <w:vAlign w:val="center"/>
          </w:tcPr>
          <w:p w14:paraId="3678DA1A">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6B248945">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04AA81D0">
            <w:pPr>
              <w:widowControl/>
              <w:jc w:val="left"/>
              <w:rPr>
                <w:rFonts w:ascii="宋体" w:hAnsi="宋体" w:cs="宋体"/>
                <w:kern w:val="0"/>
                <w:sz w:val="20"/>
                <w:szCs w:val="20"/>
              </w:rPr>
            </w:pPr>
            <w:r>
              <w:rPr>
                <w:rFonts w:hint="eastAsia" w:ascii="宋体" w:hAnsi="宋体" w:cs="宋体"/>
                <w:kern w:val="0"/>
                <w:sz w:val="20"/>
                <w:szCs w:val="20"/>
              </w:rPr>
              <w:t>《淋浴器用水效率限定值及用水效率等级》（GB28378）</w:t>
            </w:r>
          </w:p>
        </w:tc>
      </w:tr>
    </w:tbl>
    <w:p w14:paraId="660483F8">
      <w:pPr>
        <w:pStyle w:val="3"/>
        <w:spacing w:line="300" w:lineRule="atLeast"/>
        <w:rPr>
          <w:sz w:val="21"/>
          <w:szCs w:val="21"/>
        </w:rPr>
      </w:pPr>
      <w:r>
        <w:rPr>
          <w:rFonts w:hint="eastAsia"/>
          <w:sz w:val="21"/>
          <w:szCs w:val="21"/>
        </w:rPr>
        <w:t>注：1.节能产品认证应依据相关国家标准的最新版本，依据国家标准中二级能效（水效）指标。</w:t>
      </w:r>
    </w:p>
    <w:p w14:paraId="43BD214D">
      <w:pPr>
        <w:pStyle w:val="3"/>
        <w:numPr>
          <w:ilvl w:val="0"/>
          <w:numId w:val="3"/>
        </w:numPr>
        <w:spacing w:line="300" w:lineRule="atLeast"/>
        <w:rPr>
          <w:sz w:val="21"/>
          <w:szCs w:val="21"/>
        </w:rPr>
      </w:pPr>
      <w:r>
        <w:rPr>
          <w:rFonts w:hint="eastAsia"/>
          <w:sz w:val="21"/>
          <w:szCs w:val="21"/>
        </w:rPr>
        <w:t>以“★”标注的为政府强制采购产品。</w:t>
      </w:r>
    </w:p>
    <w:p w14:paraId="4E072953"/>
    <w:p w14:paraId="07018D7A">
      <w:pPr>
        <w:pStyle w:val="2"/>
      </w:pPr>
    </w:p>
    <w:p w14:paraId="76C1C880">
      <w:pPr>
        <w:pStyle w:val="2"/>
      </w:pPr>
    </w:p>
    <w:p w14:paraId="40304249">
      <w:pPr>
        <w:pStyle w:val="2"/>
      </w:pPr>
    </w:p>
    <w:p w14:paraId="0A927F54">
      <w:pPr>
        <w:pStyle w:val="2"/>
      </w:pPr>
    </w:p>
    <w:p w14:paraId="1693C243">
      <w:pPr>
        <w:pStyle w:val="2"/>
      </w:pPr>
    </w:p>
    <w:p w14:paraId="3AFB39CC">
      <w:pPr>
        <w:pStyle w:val="2"/>
      </w:pPr>
    </w:p>
    <w:p w14:paraId="70A507B1">
      <w:pPr>
        <w:pStyle w:val="2"/>
      </w:pPr>
    </w:p>
    <w:p w14:paraId="1BBA5118">
      <w:pPr>
        <w:pStyle w:val="2"/>
      </w:pPr>
    </w:p>
    <w:p w14:paraId="02A7DAC1">
      <w:pPr>
        <w:pStyle w:val="2"/>
      </w:pPr>
    </w:p>
    <w:p w14:paraId="4826F95F">
      <w:pPr>
        <w:pStyle w:val="2"/>
      </w:pPr>
    </w:p>
    <w:p w14:paraId="001173C7">
      <w:pPr>
        <w:pStyle w:val="2"/>
      </w:pPr>
    </w:p>
    <w:p w14:paraId="3EF9C266">
      <w:pPr>
        <w:pStyle w:val="2"/>
      </w:pPr>
    </w:p>
    <w:p w14:paraId="32CF9FB6">
      <w:pPr>
        <w:pStyle w:val="2"/>
      </w:pPr>
    </w:p>
    <w:p w14:paraId="3A426136">
      <w:pPr>
        <w:pStyle w:val="2"/>
      </w:pPr>
    </w:p>
    <w:p w14:paraId="16FE113A">
      <w:pPr>
        <w:pStyle w:val="2"/>
      </w:pPr>
    </w:p>
    <w:p w14:paraId="61D80BB8">
      <w:pPr>
        <w:pStyle w:val="2"/>
      </w:pPr>
    </w:p>
    <w:p w14:paraId="61D6FF86">
      <w:pPr>
        <w:pStyle w:val="2"/>
      </w:pPr>
    </w:p>
    <w:p w14:paraId="2EF5E101">
      <w:pPr>
        <w:pStyle w:val="2"/>
      </w:pPr>
    </w:p>
    <w:p w14:paraId="65F59871">
      <w:pPr>
        <w:pStyle w:val="2"/>
      </w:pPr>
    </w:p>
    <w:p w14:paraId="0F4DA966">
      <w:pPr>
        <w:pStyle w:val="2"/>
      </w:pPr>
    </w:p>
    <w:p w14:paraId="3D456882">
      <w:pPr>
        <w:pStyle w:val="2"/>
      </w:pPr>
    </w:p>
    <w:p w14:paraId="0BD672EB">
      <w:pPr>
        <w:pStyle w:val="2"/>
      </w:pPr>
    </w:p>
    <w:p w14:paraId="5C18F85A">
      <w:pPr>
        <w:pStyle w:val="2"/>
      </w:pPr>
    </w:p>
    <w:p w14:paraId="65CD76B2">
      <w:pPr>
        <w:pStyle w:val="3"/>
        <w:spacing w:line="300" w:lineRule="atLeast"/>
        <w:jc w:val="center"/>
      </w:pPr>
    </w:p>
    <w:p w14:paraId="341D239A">
      <w:pPr>
        <w:pStyle w:val="3"/>
        <w:spacing w:line="300" w:lineRule="atLeast"/>
        <w:jc w:val="center"/>
      </w:pPr>
    </w:p>
    <w:p w14:paraId="0A3778F9">
      <w:pPr>
        <w:pStyle w:val="3"/>
        <w:spacing w:line="300" w:lineRule="atLeast"/>
      </w:pPr>
    </w:p>
    <w:p w14:paraId="40325799">
      <w:pPr>
        <w:pStyle w:val="3"/>
        <w:spacing w:line="300" w:lineRule="atLeast"/>
      </w:pPr>
    </w:p>
    <w:p w14:paraId="1E64DF91"/>
    <w:p w14:paraId="3B0A146B"/>
    <w:p w14:paraId="33161B34"/>
    <w:p w14:paraId="435CF36B"/>
    <w:p w14:paraId="23C7586B"/>
    <w:p w14:paraId="52C35DE4"/>
    <w:p w14:paraId="30021F52"/>
    <w:p w14:paraId="2751EF15"/>
    <w:p w14:paraId="635062A5">
      <w:pPr>
        <w:pStyle w:val="3"/>
        <w:spacing w:line="300" w:lineRule="atLeast"/>
        <w:jc w:val="center"/>
      </w:pPr>
      <w:r>
        <w:rPr>
          <w:rFonts w:hint="eastAsia"/>
        </w:rPr>
        <w:t xml:space="preserve">第四章  </w:t>
      </w:r>
      <w:bookmarkStart w:id="30" w:name="_Hlk68601507"/>
      <w:r>
        <w:rPr>
          <w:rFonts w:hint="eastAsia"/>
        </w:rPr>
        <w:t>评审程序和评定成交的标准</w:t>
      </w:r>
      <w:bookmarkEnd w:id="29"/>
      <w:bookmarkEnd w:id="30"/>
    </w:p>
    <w:p w14:paraId="44E77196">
      <w:pPr>
        <w:spacing w:line="300" w:lineRule="atLeast"/>
        <w:jc w:val="center"/>
        <w:rPr>
          <w:rFonts w:ascii="宋体" w:hAnsi="宋体"/>
          <w:b/>
          <w:sz w:val="32"/>
          <w:szCs w:val="32"/>
        </w:rPr>
      </w:pPr>
      <w:r>
        <w:rPr>
          <w:rFonts w:hint="eastAsia" w:ascii="宋体" w:hAnsi="宋体"/>
          <w:b/>
          <w:sz w:val="32"/>
          <w:szCs w:val="32"/>
        </w:rPr>
        <w:t>一、评审程序</w:t>
      </w:r>
    </w:p>
    <w:p w14:paraId="70F1F8E6">
      <w:pPr>
        <w:pStyle w:val="2"/>
      </w:pPr>
    </w:p>
    <w:p w14:paraId="66857B0D">
      <w:pPr>
        <w:spacing w:line="360" w:lineRule="auto"/>
        <w:ind w:firstLine="482" w:firstLineChars="200"/>
        <w:rPr>
          <w:rFonts w:ascii="黑体" w:hAnsi="黑体" w:eastAsia="黑体" w:cs="宋体"/>
          <w:b/>
          <w:bCs/>
          <w:sz w:val="24"/>
        </w:rPr>
      </w:pPr>
      <w:r>
        <w:rPr>
          <w:rFonts w:ascii="黑体" w:hAnsi="黑体" w:eastAsia="黑体" w:cs="宋体"/>
          <w:b/>
          <w:bCs/>
          <w:sz w:val="24"/>
        </w:rPr>
        <w:t>1</w:t>
      </w:r>
      <w:r>
        <w:rPr>
          <w:rFonts w:hint="eastAsia" w:ascii="黑体" w:hAnsi="黑体" w:eastAsia="黑体" w:cs="宋体"/>
          <w:b/>
          <w:bCs/>
          <w:sz w:val="24"/>
        </w:rPr>
        <w:t>.确认谈判文件</w:t>
      </w:r>
    </w:p>
    <w:p w14:paraId="2DA67DE1">
      <w:pPr>
        <w:spacing w:line="360" w:lineRule="auto"/>
        <w:ind w:firstLine="420" w:firstLineChars="200"/>
        <w:rPr>
          <w:rFonts w:ascii="宋体" w:hAnsi="宋体" w:cs="宋体"/>
          <w:szCs w:val="21"/>
        </w:rPr>
      </w:pPr>
      <w:r>
        <w:rPr>
          <w:rFonts w:hint="eastAsia" w:ascii="宋体" w:hAnsi="宋体" w:cs="宋体"/>
          <w:szCs w:val="21"/>
        </w:rPr>
        <w:t>由谈判小组确认谈判文件。</w:t>
      </w:r>
    </w:p>
    <w:p w14:paraId="3471E476">
      <w:pPr>
        <w:spacing w:line="360" w:lineRule="auto"/>
        <w:ind w:firstLine="482" w:firstLineChars="200"/>
        <w:rPr>
          <w:rFonts w:ascii="黑体" w:hAnsi="黑体" w:eastAsia="黑体" w:cs="宋体"/>
          <w:b/>
          <w:bCs/>
          <w:sz w:val="24"/>
        </w:rPr>
      </w:pPr>
      <w:r>
        <w:rPr>
          <w:rFonts w:ascii="黑体" w:hAnsi="黑体" w:eastAsia="黑体" w:cs="宋体"/>
          <w:b/>
          <w:bCs/>
          <w:sz w:val="24"/>
        </w:rPr>
        <w:t>2</w:t>
      </w:r>
      <w:r>
        <w:rPr>
          <w:rFonts w:hint="eastAsia" w:ascii="黑体" w:hAnsi="黑体" w:eastAsia="黑体" w:cs="宋体"/>
          <w:b/>
          <w:bCs/>
          <w:sz w:val="24"/>
        </w:rPr>
        <w:t>.资格审查</w:t>
      </w:r>
    </w:p>
    <w:p w14:paraId="3937E1DD">
      <w:pPr>
        <w:snapToGrid w:val="0"/>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.1响应文件开启后，谈判小组依法对供应商的资格证明文件进行审查。</w:t>
      </w:r>
    </w:p>
    <w:p w14:paraId="05441BFB">
      <w:pPr>
        <w:snapToGrid w:val="0"/>
        <w:spacing w:line="360" w:lineRule="auto"/>
        <w:ind w:firstLine="420" w:firstLineChars="200"/>
        <w:rPr>
          <w:rFonts w:ascii="宋体" w:hAnsi="宋体" w:cs="宋体"/>
          <w:szCs w:val="21"/>
        </w:rPr>
      </w:pPr>
      <w:r>
        <w:rPr>
          <w:rFonts w:hint="eastAsia" w:ascii="宋体" w:hAnsi="宋体" w:cs="宋体"/>
          <w:szCs w:val="21"/>
        </w:rPr>
        <w:t>（1）查询渠道：</w:t>
      </w:r>
      <w:r>
        <w:fldChar w:fldCharType="begin"/>
      </w:r>
      <w:r>
        <w:instrText xml:space="preserve"> HYPERLINK </w:instrText>
      </w:r>
      <w:r>
        <w:fldChar w:fldCharType="separate"/>
      </w:r>
      <w:r>
        <w:fldChar w:fldCharType="end"/>
      </w:r>
      <w:r>
        <w:rPr>
          <w:rFonts w:hint="eastAsia" w:ascii="宋体" w:hAnsi="宋体" w:cs="宋体"/>
          <w:szCs w:val="21"/>
        </w:rPr>
        <w:t>广西政府采购云平台</w:t>
      </w:r>
      <w:r>
        <w:rPr>
          <w:rFonts w:ascii="宋体" w:hAnsi="宋体" w:cs="宋体"/>
          <w:szCs w:val="21"/>
        </w:rPr>
        <w:t>“信用中国”网站（www.creditchina.gov.cn）、中国政府采购网（</w:t>
      </w:r>
      <w:r>
        <w:fldChar w:fldCharType="begin"/>
      </w:r>
      <w:r>
        <w:instrText xml:space="preserve"> HYPERLINK "http://www.ccgp.gov.cn" </w:instrText>
      </w:r>
      <w:r>
        <w:fldChar w:fldCharType="separate"/>
      </w:r>
      <w:r>
        <w:rPr>
          <w:rFonts w:cs="宋体"/>
        </w:rPr>
        <w:t>www.ccgp.gov.cn</w:t>
      </w:r>
      <w:r>
        <w:rPr>
          <w:rFonts w:cs="宋体"/>
        </w:rPr>
        <w:fldChar w:fldCharType="end"/>
      </w:r>
      <w:r>
        <w:rPr>
          <w:rFonts w:ascii="宋体" w:hAnsi="宋体" w:cs="宋体"/>
          <w:szCs w:val="21"/>
        </w:rPr>
        <w:t>）</w:t>
      </w:r>
      <w:r>
        <w:rPr>
          <w:rFonts w:hint="eastAsia" w:ascii="宋体" w:hAnsi="宋体" w:cs="宋体"/>
          <w:szCs w:val="21"/>
        </w:rPr>
        <w:t xml:space="preserve">。 </w:t>
      </w:r>
    </w:p>
    <w:p w14:paraId="5BBA4C8D">
      <w:pPr>
        <w:snapToGrid w:val="0"/>
        <w:spacing w:line="360" w:lineRule="auto"/>
        <w:ind w:firstLine="420" w:firstLineChars="200"/>
        <w:rPr>
          <w:rFonts w:ascii="宋体" w:hAnsi="宋体" w:cs="宋体"/>
          <w:szCs w:val="21"/>
        </w:rPr>
      </w:pPr>
      <w:r>
        <w:rPr>
          <w:rFonts w:hint="eastAsia" w:ascii="宋体" w:hAnsi="宋体" w:cs="宋体"/>
          <w:szCs w:val="21"/>
        </w:rPr>
        <w:t>（2）信用查询截止时点：</w:t>
      </w:r>
      <w:r>
        <w:rPr>
          <w:rFonts w:ascii="宋体" w:hAnsi="宋体" w:cs="宋体"/>
          <w:szCs w:val="21"/>
        </w:rPr>
        <w:t>资格审查结束前</w:t>
      </w:r>
      <w:r>
        <w:rPr>
          <w:rFonts w:hint="eastAsia" w:ascii="宋体" w:hAnsi="宋体" w:cs="宋体"/>
          <w:szCs w:val="21"/>
        </w:rPr>
        <w:t>。</w:t>
      </w:r>
    </w:p>
    <w:p w14:paraId="3E5D0B68">
      <w:pPr>
        <w:snapToGrid w:val="0"/>
        <w:spacing w:line="360" w:lineRule="auto"/>
        <w:ind w:firstLine="420" w:firstLineChars="200"/>
        <w:jc w:val="left"/>
        <w:rPr>
          <w:rFonts w:ascii="宋体" w:hAnsi="宋体" w:cs="宋体"/>
          <w:szCs w:val="21"/>
        </w:rPr>
      </w:pPr>
      <w:r>
        <w:rPr>
          <w:rFonts w:hint="eastAsia" w:ascii="宋体" w:hAnsi="宋体" w:cs="宋体"/>
          <w:szCs w:val="21"/>
        </w:rPr>
        <w:t>（3）查询记录和证据留存方式：将查询网站中的查询记录截图并作为评审资料保存。</w:t>
      </w:r>
    </w:p>
    <w:p w14:paraId="48FD0E41">
      <w:pPr>
        <w:snapToGrid w:val="0"/>
        <w:spacing w:line="360" w:lineRule="auto"/>
        <w:ind w:firstLine="420" w:firstLineChars="200"/>
        <w:jc w:val="left"/>
        <w:rPr>
          <w:rFonts w:ascii="宋体" w:hAnsi="宋体" w:cs="宋体"/>
          <w:szCs w:val="21"/>
        </w:rPr>
      </w:pPr>
      <w:r>
        <w:rPr>
          <w:rFonts w:hint="eastAsia" w:ascii="宋体" w:hAnsi="宋体" w:cs="宋体"/>
          <w:szCs w:val="21"/>
        </w:rPr>
        <w:t>（4）信用信息使用规则：信用信息使用规则：根据财政部《关于在政府采购活动中查询及使用信用记录有关问题的通知》（财库〔2016〕125号）的规定，对在“信用中国”网站(www.creditchina.gov.cn)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013707D">
      <w:pPr>
        <w:snapToGrid w:val="0"/>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.2资格审查标准为本谈判文件中载明对供应商资格要求的条件。本项目资格审查采用合格制，凡符合谈判文件规定的供应商资格要求的供应商均通过资格审查。</w:t>
      </w:r>
    </w:p>
    <w:p w14:paraId="0204C50B">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.3 供应商有下列情形之一的，资格审查不通过，其响应文件按无效响应处理：</w:t>
      </w:r>
    </w:p>
    <w:p w14:paraId="17456437">
      <w:pPr>
        <w:snapToGrid w:val="0"/>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）不具备谈判文件中规定的资格要求的；</w:t>
      </w:r>
    </w:p>
    <w:p w14:paraId="5E10B720">
      <w:pPr>
        <w:spacing w:line="360" w:lineRule="auto"/>
        <w:ind w:firstLine="420" w:firstLineChars="200"/>
        <w:contextualSpacing/>
        <w:rPr>
          <w:rFonts w:ascii="宋体" w:hAnsi="宋体" w:cs="宋体"/>
          <w:szCs w:val="21"/>
        </w:rPr>
      </w:pPr>
      <w:r>
        <w:rPr>
          <w:rFonts w:hint="eastAsia" w:ascii="宋体" w:hAnsi="宋体" w:cs="宋体"/>
          <w:szCs w:val="21"/>
        </w:rPr>
        <w:t>（2）响应文件中的资格证明文件缺少任一项“供应商须知前附表”资格证明文件规定的“必须提供”的文件资料的；</w:t>
      </w:r>
    </w:p>
    <w:p w14:paraId="45EC2659">
      <w:pPr>
        <w:spacing w:line="360" w:lineRule="auto"/>
        <w:ind w:firstLine="420" w:firstLineChars="200"/>
        <w:contextualSpacing/>
        <w:rPr>
          <w:rFonts w:ascii="宋体" w:hAnsi="宋体" w:cs="宋体"/>
          <w:szCs w:val="21"/>
        </w:rPr>
      </w:pPr>
      <w:r>
        <w:rPr>
          <w:rFonts w:hint="eastAsia" w:ascii="宋体" w:hAnsi="宋体" w:cs="宋体"/>
          <w:szCs w:val="21"/>
        </w:rPr>
        <w:t>（3）响应文件中的资格证明文件出现任一项不符合“供应商须知前附表”资格证明文件规定的“必须提供”的文件资料要求或者无效的；</w:t>
      </w:r>
    </w:p>
    <w:p w14:paraId="346226E0">
      <w:pPr>
        <w:spacing w:line="360" w:lineRule="auto"/>
        <w:ind w:firstLine="420" w:firstLineChars="200"/>
        <w:rPr>
          <w:rFonts w:ascii="宋体" w:hAnsi="宋体" w:cs="宋体"/>
          <w:szCs w:val="21"/>
        </w:rPr>
      </w:pPr>
      <w:r>
        <w:rPr>
          <w:rFonts w:hint="eastAsia" w:ascii="宋体" w:hAnsi="宋体" w:cs="宋体"/>
          <w:szCs w:val="21"/>
        </w:rPr>
        <w:t>（4）同一合同项下的不同供应商，单位负责人为同一人或者存在直接控股、管理关系的；为本项目提供过整体设计、规范编制或者项目管理、监理、检测等服务的供应商，再参加该采购项目的其他采购活动的。</w:t>
      </w:r>
    </w:p>
    <w:p w14:paraId="10313C0A">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.4通过资格审查的合格供应商不足3家（本章</w:t>
      </w:r>
      <w:r>
        <w:rPr>
          <w:rFonts w:ascii="宋体" w:hAnsi="宋体" w:cs="宋体"/>
          <w:szCs w:val="21"/>
        </w:rPr>
        <w:t>3</w:t>
      </w:r>
      <w:r>
        <w:rPr>
          <w:rFonts w:hint="eastAsia" w:ascii="宋体" w:hAnsi="宋体" w:cs="宋体"/>
          <w:szCs w:val="21"/>
        </w:rPr>
        <w:t>.7条规定除外）的，不得进入符合性审查环节，应当重新开展采购活动。</w:t>
      </w:r>
    </w:p>
    <w:p w14:paraId="16C33AE9">
      <w:pPr>
        <w:spacing w:line="360" w:lineRule="auto"/>
        <w:ind w:firstLine="482" w:firstLineChars="200"/>
        <w:rPr>
          <w:rFonts w:ascii="黑体" w:hAnsi="黑体" w:eastAsia="黑体" w:cs="宋体"/>
          <w:b/>
          <w:bCs/>
          <w:sz w:val="24"/>
        </w:rPr>
      </w:pPr>
      <w:r>
        <w:rPr>
          <w:rFonts w:ascii="黑体" w:hAnsi="黑体" w:eastAsia="黑体" w:cs="宋体"/>
          <w:b/>
          <w:bCs/>
          <w:sz w:val="24"/>
        </w:rPr>
        <w:t>3</w:t>
      </w:r>
      <w:r>
        <w:rPr>
          <w:rFonts w:hint="eastAsia" w:ascii="黑体" w:hAnsi="黑体" w:eastAsia="黑体" w:cs="宋体"/>
          <w:b/>
          <w:bCs/>
          <w:sz w:val="24"/>
        </w:rPr>
        <w:t>.符合性审查</w:t>
      </w:r>
    </w:p>
    <w:p w14:paraId="1A45CFAD">
      <w:pPr>
        <w:spacing w:line="360" w:lineRule="auto"/>
        <w:ind w:firstLine="420" w:firstLineChars="200"/>
        <w:rPr>
          <w:rFonts w:ascii="宋体" w:hAnsi="宋体" w:cs="宋体"/>
          <w:szCs w:val="21"/>
        </w:rPr>
      </w:pPr>
      <w:r>
        <w:rPr>
          <w:rFonts w:hint="eastAsia" w:ascii="宋体" w:hAnsi="宋体" w:cs="宋体"/>
          <w:szCs w:val="21"/>
        </w:rPr>
        <w:t>3</w:t>
      </w:r>
      <w:r>
        <w:rPr>
          <w:rFonts w:ascii="宋体" w:hAnsi="宋体" w:cs="宋体"/>
          <w:szCs w:val="21"/>
        </w:rPr>
        <w:t>.1</w:t>
      </w:r>
      <w:r>
        <w:rPr>
          <w:rFonts w:hint="eastAsia" w:ascii="宋体" w:hAnsi="宋体" w:cs="宋体"/>
          <w:szCs w:val="21"/>
        </w:rPr>
        <w:t>由谈判小组对</w:t>
      </w:r>
      <w:r>
        <w:rPr>
          <w:rFonts w:hint="eastAsia" w:ascii="宋体" w:hAnsi="宋体"/>
          <w:szCs w:val="21"/>
        </w:rPr>
        <w:t>资格审查的合格</w:t>
      </w:r>
      <w:r>
        <w:rPr>
          <w:rFonts w:hint="eastAsia" w:ascii="宋体" w:hAnsi="宋体" w:cs="宋体"/>
          <w:szCs w:val="21"/>
        </w:rPr>
        <w:t>的供应商的响应文件进行竞标报价、商务、技术等实质性要求符合性审查，以确定其是否满足谈判文件的实质性要求。</w:t>
      </w:r>
    </w:p>
    <w:p w14:paraId="0F13A2F5">
      <w:pPr>
        <w:spacing w:line="360" w:lineRule="auto"/>
        <w:ind w:firstLine="420" w:firstLineChars="200"/>
        <w:rPr>
          <w:rFonts w:ascii="宋体" w:hAnsi="宋体" w:cs="宋体"/>
          <w:szCs w:val="21"/>
        </w:rPr>
      </w:pPr>
      <w:r>
        <w:rPr>
          <w:rFonts w:hint="eastAsia" w:ascii="宋体" w:hAnsi="宋体" w:cs="宋体"/>
          <w:szCs w:val="21"/>
        </w:rPr>
        <w:t>3</w:t>
      </w:r>
      <w:r>
        <w:rPr>
          <w:rFonts w:ascii="宋体" w:hAnsi="宋体" w:cs="宋体"/>
          <w:szCs w:val="21"/>
        </w:rPr>
        <w:t>.2</w:t>
      </w:r>
      <w:r>
        <w:rPr>
          <w:rFonts w:hint="eastAsia" w:ascii="宋体" w:hAnsi="宋体" w:cs="宋体"/>
          <w:szCs w:val="21"/>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B77E184">
      <w:pPr>
        <w:spacing w:line="360" w:lineRule="auto"/>
        <w:ind w:firstLine="420" w:firstLineChars="200"/>
        <w:rPr>
          <w:rFonts w:ascii="宋体" w:hAnsi="宋体" w:cs="宋体"/>
          <w:spacing w:val="-6"/>
          <w:szCs w:val="21"/>
        </w:rPr>
      </w:pPr>
      <w:r>
        <w:rPr>
          <w:rFonts w:ascii="宋体" w:hAnsi="宋体" w:cs="宋体"/>
          <w:szCs w:val="21"/>
        </w:rPr>
        <w:t>3</w:t>
      </w:r>
      <w:r>
        <w:rPr>
          <w:rFonts w:hint="eastAsia" w:ascii="宋体" w:hAnsi="宋体" w:cs="宋体"/>
          <w:szCs w:val="21"/>
        </w:rPr>
        <w:t>.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w:t>
      </w:r>
      <w:r>
        <w:rPr>
          <w:rFonts w:hint="eastAsia" w:ascii="宋体" w:hAnsi="宋体" w:cs="宋体"/>
        </w:rPr>
        <w:t>有利于采购人</w:t>
      </w:r>
      <w:r>
        <w:rPr>
          <w:rFonts w:hint="eastAsia" w:ascii="宋体" w:hAnsi="宋体" w:cs="宋体"/>
          <w:szCs w:val="21"/>
        </w:rPr>
        <w:t>的原则由谈判小组进行判定。供应商的澄清、说明或者更正必须由法定代表人或者其委托代理人签字或者加盖供应商公章。</w:t>
      </w:r>
    </w:p>
    <w:p w14:paraId="2080FAC1">
      <w:pPr>
        <w:spacing w:line="360" w:lineRule="auto"/>
        <w:ind w:firstLine="396" w:firstLineChars="200"/>
        <w:rPr>
          <w:rFonts w:ascii="宋体" w:hAnsi="宋体" w:cs="宋体"/>
          <w:szCs w:val="21"/>
        </w:rPr>
      </w:pPr>
      <w:r>
        <w:rPr>
          <w:rFonts w:ascii="宋体" w:hAnsi="宋体" w:cs="宋体"/>
          <w:spacing w:val="-6"/>
          <w:szCs w:val="21"/>
        </w:rPr>
        <w:t>3.4</w:t>
      </w:r>
      <w:r>
        <w:rPr>
          <w:rFonts w:hint="eastAsia" w:ascii="宋体" w:hAnsi="宋体" w:cs="宋体"/>
          <w:szCs w:val="21"/>
        </w:rPr>
        <w:t xml:space="preserve">首次响应文件报价出现前后不一致的，按照下列规定修正： </w:t>
      </w:r>
    </w:p>
    <w:p w14:paraId="4688A347">
      <w:pPr>
        <w:spacing w:line="360" w:lineRule="auto"/>
        <w:ind w:firstLine="420" w:firstLineChars="200"/>
        <w:rPr>
          <w:rFonts w:ascii="宋体" w:hAnsi="宋体" w:cs="宋体"/>
          <w:szCs w:val="21"/>
        </w:rPr>
      </w:pPr>
      <w:r>
        <w:rPr>
          <w:rFonts w:hint="eastAsia" w:ascii="宋体" w:hAnsi="宋体" w:cs="宋体"/>
          <w:szCs w:val="21"/>
        </w:rPr>
        <w:t>（1）响应文件中报价表内容与响应文件中相应内容不一致的，以报价表为准；</w:t>
      </w:r>
    </w:p>
    <w:p w14:paraId="75278D80">
      <w:pPr>
        <w:spacing w:line="360" w:lineRule="auto"/>
        <w:ind w:firstLine="420" w:firstLineChars="200"/>
        <w:rPr>
          <w:rFonts w:ascii="宋体" w:hAnsi="宋体" w:cs="宋体"/>
          <w:szCs w:val="21"/>
        </w:rPr>
      </w:pPr>
      <w:r>
        <w:rPr>
          <w:rFonts w:hint="eastAsia" w:ascii="宋体" w:hAnsi="宋体" w:cs="宋体"/>
          <w:szCs w:val="21"/>
        </w:rPr>
        <w:t>（2）大写金额和小写金额不一致的，以大写金额为准；</w:t>
      </w:r>
    </w:p>
    <w:p w14:paraId="271E2CB5">
      <w:pPr>
        <w:spacing w:line="360" w:lineRule="auto"/>
        <w:ind w:firstLine="420" w:firstLineChars="200"/>
        <w:rPr>
          <w:rFonts w:ascii="宋体" w:hAnsi="宋体" w:cs="宋体"/>
          <w:szCs w:val="21"/>
        </w:rPr>
      </w:pPr>
      <w:r>
        <w:rPr>
          <w:rFonts w:hint="eastAsia" w:ascii="宋体" w:hAnsi="宋体" w:cs="宋体"/>
          <w:szCs w:val="21"/>
        </w:rPr>
        <w:t>（3）单价金额小数点或者百分比有明显错位的，以报价表的总价为准，并修改单价；</w:t>
      </w:r>
    </w:p>
    <w:p w14:paraId="306C044E">
      <w:pPr>
        <w:spacing w:line="360" w:lineRule="auto"/>
        <w:ind w:firstLine="420" w:firstLineChars="200"/>
        <w:rPr>
          <w:rFonts w:ascii="宋体" w:hAnsi="宋体" w:cs="宋体"/>
          <w:szCs w:val="21"/>
        </w:rPr>
      </w:pPr>
      <w:r>
        <w:rPr>
          <w:rFonts w:hint="eastAsia" w:ascii="宋体" w:hAnsi="宋体" w:cs="宋体"/>
          <w:szCs w:val="21"/>
        </w:rPr>
        <w:t>（4）总价金额与按单价汇总金额不一致的，以单价金额计算结果为准。</w:t>
      </w:r>
    </w:p>
    <w:p w14:paraId="2B7CF4A9">
      <w:pPr>
        <w:spacing w:line="360" w:lineRule="auto"/>
        <w:ind w:firstLine="420" w:firstLineChars="200"/>
        <w:rPr>
          <w:rFonts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14:paraId="2A378141">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w:t>
      </w:r>
      <w:r>
        <w:rPr>
          <w:rFonts w:ascii="宋体" w:hAnsi="宋体" w:cs="宋体"/>
          <w:szCs w:val="21"/>
        </w:rPr>
        <w:t>5</w:t>
      </w:r>
      <w:r>
        <w:rPr>
          <w:rFonts w:hint="eastAsia" w:ascii="宋体" w:hAnsi="宋体" w:cs="宋体"/>
          <w:szCs w:val="21"/>
        </w:rPr>
        <w:t>商务技术报价评审</w:t>
      </w:r>
    </w:p>
    <w:p w14:paraId="5002CFD3">
      <w:pPr>
        <w:spacing w:line="360" w:lineRule="auto"/>
        <w:ind w:firstLine="420" w:firstLineChars="200"/>
        <w:rPr>
          <w:rFonts w:ascii="宋体" w:hAnsi="宋体" w:cs="宋体"/>
          <w:szCs w:val="21"/>
        </w:rPr>
      </w:pPr>
      <w:r>
        <w:rPr>
          <w:rFonts w:hint="eastAsia" w:ascii="宋体" w:hAnsi="宋体" w:cs="宋体"/>
          <w:szCs w:val="21"/>
        </w:rPr>
        <w:t>在评审时，如发现下列情形之一的，将被视为响应文件无效响应处理：</w:t>
      </w:r>
    </w:p>
    <w:p w14:paraId="64388584">
      <w:pPr>
        <w:spacing w:line="360" w:lineRule="auto"/>
        <w:ind w:firstLine="420" w:firstLineChars="200"/>
        <w:rPr>
          <w:rFonts w:ascii="宋体" w:hAnsi="宋体" w:cs="宋体"/>
          <w:szCs w:val="21"/>
        </w:rPr>
      </w:pPr>
      <w:r>
        <w:rPr>
          <w:rFonts w:hint="eastAsia" w:ascii="宋体" w:hAnsi="宋体" w:cs="宋体"/>
          <w:szCs w:val="21"/>
        </w:rPr>
        <w:t>（1）商务技术评审</w:t>
      </w:r>
    </w:p>
    <w:p w14:paraId="38832010">
      <w:pPr>
        <w:spacing w:line="360" w:lineRule="auto"/>
        <w:ind w:firstLine="420" w:firstLineChars="200"/>
        <w:rPr>
          <w:rFonts w:ascii="宋体" w:hAnsi="宋体" w:cs="宋体"/>
          <w:szCs w:val="21"/>
        </w:rPr>
      </w:pPr>
      <w:r>
        <w:rPr>
          <w:rFonts w:hint="eastAsia" w:ascii="宋体" w:hAnsi="宋体" w:cs="宋体"/>
          <w:szCs w:val="21"/>
        </w:rPr>
        <w:t>1）响应文件未按谈判文件要求签署、盖章的；</w:t>
      </w:r>
    </w:p>
    <w:p w14:paraId="0893D225">
      <w:pPr>
        <w:spacing w:line="360" w:lineRule="auto"/>
        <w:ind w:firstLine="420" w:firstLineChars="200"/>
        <w:rPr>
          <w:rFonts w:ascii="宋体" w:hAnsi="宋体" w:cs="宋体"/>
          <w:szCs w:val="21"/>
        </w:rPr>
      </w:pPr>
      <w:r>
        <w:rPr>
          <w:rFonts w:hint="eastAsia" w:ascii="宋体" w:hAnsi="宋体" w:cs="宋体"/>
          <w:szCs w:val="21"/>
        </w:rPr>
        <w:t xml:space="preserve">2）委托代理人未能出具有效身份证或者出具的身份证与授权委托书中的信息不符的； </w:t>
      </w:r>
    </w:p>
    <w:p w14:paraId="1CB12B24">
      <w:pPr>
        <w:spacing w:line="360" w:lineRule="auto"/>
        <w:ind w:firstLine="420" w:firstLineChars="200"/>
        <w:rPr>
          <w:rFonts w:ascii="宋体" w:hAnsi="宋体" w:cs="宋体"/>
          <w:szCs w:val="21"/>
        </w:rPr>
      </w:pPr>
      <w:r>
        <w:rPr>
          <w:rFonts w:hint="eastAsia" w:ascii="宋体" w:hAnsi="宋体" w:cs="宋体"/>
          <w:szCs w:val="21"/>
        </w:rPr>
        <w:t>3）提交的竞标保证金无效的或者未按照谈判文件的规定提交竞标保证金；</w:t>
      </w:r>
    </w:p>
    <w:p w14:paraId="573D7D8F">
      <w:pPr>
        <w:spacing w:line="360" w:lineRule="auto"/>
        <w:ind w:firstLine="420" w:firstLineChars="200"/>
        <w:rPr>
          <w:rFonts w:ascii="宋体" w:hAnsi="宋体" w:cs="宋体"/>
          <w:szCs w:val="21"/>
        </w:rPr>
      </w:pPr>
      <w:r>
        <w:rPr>
          <w:rFonts w:hint="eastAsia" w:ascii="宋体" w:hAnsi="宋体" w:cs="宋体"/>
          <w:szCs w:val="21"/>
        </w:rPr>
        <w:t>4）响应文件中的报价商务技术文件出现任一项不符合“供应商须知前附表”中“必须提供”或者“委托时必须提供”文件资料要求的规定或者提供的报价商务技术文件无效。</w:t>
      </w:r>
    </w:p>
    <w:p w14:paraId="36CB0520">
      <w:pPr>
        <w:spacing w:line="360" w:lineRule="auto"/>
        <w:ind w:firstLine="420" w:firstLineChars="200"/>
        <w:rPr>
          <w:rFonts w:ascii="宋体" w:hAnsi="宋体" w:cs="宋体"/>
          <w:szCs w:val="21"/>
        </w:rPr>
      </w:pPr>
      <w:r>
        <w:rPr>
          <w:rFonts w:hint="eastAsia" w:ascii="宋体" w:hAnsi="宋体" w:cs="宋体"/>
          <w:szCs w:val="21"/>
        </w:rPr>
        <w:t>5）商务条款成交“▲”的条款发生负偏离或者允许负偏离的条款数超过“供应商须知前附表”规定项数的；</w:t>
      </w:r>
    </w:p>
    <w:p w14:paraId="4182B850">
      <w:pPr>
        <w:spacing w:line="360" w:lineRule="auto"/>
        <w:ind w:firstLine="420" w:firstLineChars="200"/>
        <w:rPr>
          <w:rFonts w:ascii="宋体" w:hAnsi="宋体" w:cs="宋体"/>
          <w:szCs w:val="21"/>
        </w:rPr>
      </w:pPr>
      <w:r>
        <w:rPr>
          <w:rFonts w:hint="eastAsia" w:ascii="宋体" w:hAnsi="宋体" w:cs="宋体"/>
          <w:szCs w:val="21"/>
        </w:rPr>
        <w:t>6）未对竞标有效期作出响应或者响应文件承诺的竞标有效期不满足谈判文件要求；</w:t>
      </w:r>
    </w:p>
    <w:p w14:paraId="46BA17A8">
      <w:pPr>
        <w:spacing w:line="360" w:lineRule="auto"/>
        <w:ind w:firstLine="420" w:firstLineChars="200"/>
        <w:rPr>
          <w:rFonts w:ascii="宋体" w:hAnsi="宋体" w:cs="宋体"/>
          <w:szCs w:val="21"/>
        </w:rPr>
      </w:pPr>
      <w:r>
        <w:rPr>
          <w:rFonts w:hint="eastAsia" w:ascii="宋体" w:hAnsi="宋体" w:cs="宋体"/>
          <w:szCs w:val="21"/>
        </w:rPr>
        <w:t>7）响应文件的实质性内容未使用中文表述、使用计量单位不符合谈判文件要求的；</w:t>
      </w:r>
    </w:p>
    <w:p w14:paraId="31C3314E">
      <w:pPr>
        <w:spacing w:line="360" w:lineRule="auto"/>
        <w:ind w:firstLine="420" w:firstLineChars="200"/>
        <w:rPr>
          <w:rFonts w:ascii="宋体" w:hAnsi="宋体" w:cs="宋体"/>
          <w:szCs w:val="21"/>
        </w:rPr>
      </w:pPr>
      <w:r>
        <w:rPr>
          <w:rFonts w:hint="eastAsia" w:ascii="宋体" w:hAnsi="宋体" w:cs="宋体"/>
          <w:szCs w:val="21"/>
        </w:rPr>
        <w:t>8）响应文件中的文件资料因填写不齐全或者内容虚假或者出现其他情形而导致被谈判小组认定无效的；</w:t>
      </w:r>
    </w:p>
    <w:p w14:paraId="0981A5FD">
      <w:pPr>
        <w:spacing w:line="360" w:lineRule="auto"/>
        <w:ind w:firstLine="420" w:firstLineChars="200"/>
        <w:rPr>
          <w:rFonts w:ascii="宋体" w:hAnsi="宋体" w:cs="宋体"/>
          <w:szCs w:val="21"/>
        </w:rPr>
      </w:pPr>
      <w:r>
        <w:rPr>
          <w:rFonts w:hint="eastAsia" w:ascii="宋体" w:hAnsi="宋体" w:cs="宋体"/>
          <w:szCs w:val="21"/>
        </w:rPr>
        <w:t>9）响应文件含有采购人不能接受的附加条件的；</w:t>
      </w:r>
    </w:p>
    <w:p w14:paraId="6FC69C31">
      <w:pPr>
        <w:spacing w:line="360" w:lineRule="auto"/>
        <w:ind w:firstLine="420" w:firstLineChars="200"/>
        <w:rPr>
          <w:rFonts w:ascii="宋体" w:hAnsi="宋体" w:cs="宋体"/>
          <w:szCs w:val="21"/>
        </w:rPr>
      </w:pPr>
      <w:r>
        <w:rPr>
          <w:rFonts w:hint="eastAsia" w:ascii="宋体" w:hAnsi="宋体" w:cs="宋体"/>
          <w:szCs w:val="21"/>
        </w:rPr>
        <w:t>10）属于“供应商须知正文”第7.</w:t>
      </w:r>
      <w:r>
        <w:rPr>
          <w:rFonts w:ascii="宋体" w:hAnsi="宋体" w:cs="宋体"/>
          <w:szCs w:val="21"/>
        </w:rPr>
        <w:t>5</w:t>
      </w:r>
      <w:r>
        <w:rPr>
          <w:rFonts w:hint="eastAsia" w:ascii="宋体" w:hAnsi="宋体" w:cs="宋体"/>
          <w:szCs w:val="21"/>
        </w:rPr>
        <w:t>条的情形的；</w:t>
      </w:r>
    </w:p>
    <w:p w14:paraId="768F513D">
      <w:pPr>
        <w:spacing w:line="360" w:lineRule="auto"/>
        <w:ind w:firstLine="420" w:firstLineChars="200"/>
        <w:rPr>
          <w:rFonts w:ascii="宋体" w:hAnsi="宋体" w:cs="宋体"/>
          <w:szCs w:val="21"/>
        </w:rPr>
      </w:pPr>
      <w:r>
        <w:rPr>
          <w:rFonts w:hint="eastAsia" w:ascii="宋体" w:hAnsi="宋体" w:cs="宋体"/>
          <w:szCs w:val="21"/>
        </w:rPr>
        <w:t>11）技术要求成交“▲”的条款发生负偏离或允许负偏离的条款数超过“供应商须知前附表”规定项数的；</w:t>
      </w:r>
    </w:p>
    <w:p w14:paraId="09B0417D">
      <w:pPr>
        <w:spacing w:line="360" w:lineRule="auto"/>
        <w:ind w:firstLine="420" w:firstLineChars="200"/>
        <w:rPr>
          <w:rFonts w:ascii="宋体" w:hAnsi="宋体" w:cs="宋体"/>
          <w:szCs w:val="21"/>
        </w:rPr>
      </w:pPr>
      <w:r>
        <w:rPr>
          <w:rFonts w:hint="eastAsia" w:ascii="宋体" w:hAnsi="宋体" w:cs="宋体"/>
          <w:szCs w:val="21"/>
        </w:rPr>
        <w:t>12）虚假竞标，或者出现其他情形而导致被谈判小组认定无效的；</w:t>
      </w:r>
    </w:p>
    <w:p w14:paraId="3E98D020">
      <w:pPr>
        <w:spacing w:line="360" w:lineRule="auto"/>
        <w:ind w:firstLine="420" w:firstLineChars="200"/>
        <w:rPr>
          <w:rFonts w:ascii="宋体" w:hAnsi="宋体" w:cs="宋体"/>
          <w:szCs w:val="21"/>
        </w:rPr>
      </w:pPr>
      <w:r>
        <w:rPr>
          <w:rFonts w:hint="eastAsia" w:ascii="宋体" w:hAnsi="宋体" w:cs="宋体"/>
          <w:szCs w:val="21"/>
        </w:rPr>
        <w:t>13）</w:t>
      </w:r>
      <w:bookmarkStart w:id="31" w:name="_Hlk71704147"/>
      <w:r>
        <w:rPr>
          <w:rFonts w:hint="eastAsia" w:ascii="宋体" w:hAnsi="宋体" w:cs="宋体"/>
          <w:szCs w:val="21"/>
        </w:rPr>
        <w:t>谈判文件未载明允许提供备选（替代）竞标方案或明确不允许提供备选（替代）竞标方案时，供应商提供了备选（替代）竞标方案的；</w:t>
      </w:r>
      <w:bookmarkEnd w:id="31"/>
    </w:p>
    <w:p w14:paraId="088C529E">
      <w:pPr>
        <w:spacing w:line="360" w:lineRule="auto"/>
        <w:ind w:firstLine="420" w:firstLineChars="200"/>
        <w:rPr>
          <w:rFonts w:ascii="宋体" w:hAnsi="宋体" w:cs="宋体"/>
          <w:szCs w:val="21"/>
        </w:rPr>
      </w:pPr>
      <w:r>
        <w:rPr>
          <w:rFonts w:hint="eastAsia" w:ascii="宋体" w:hAnsi="宋体" w:cs="宋体"/>
          <w:szCs w:val="21"/>
        </w:rPr>
        <w:t>14）响应文件标注的项目名称或者项目编号与谈判文件标注的项目名称或者项目编号不一致的；</w:t>
      </w:r>
    </w:p>
    <w:p w14:paraId="742A7A14">
      <w:pPr>
        <w:spacing w:line="360" w:lineRule="auto"/>
        <w:ind w:firstLine="420" w:firstLineChars="200"/>
        <w:rPr>
          <w:rFonts w:ascii="宋体" w:hAnsi="宋体" w:cs="宋体"/>
          <w:szCs w:val="21"/>
        </w:rPr>
      </w:pPr>
      <w:r>
        <w:rPr>
          <w:rFonts w:hint="eastAsia" w:ascii="宋体" w:hAnsi="宋体" w:cs="宋体"/>
          <w:szCs w:val="21"/>
        </w:rPr>
        <w:t>15）</w:t>
      </w:r>
      <w:r>
        <w:rPr>
          <w:rFonts w:hint="eastAsia" w:ascii="宋体" w:hAnsi="宋体"/>
          <w:b/>
          <w:szCs w:val="21"/>
        </w:rPr>
        <w:t>谈判文件明确不允许分包，响应文件拟分包的；</w:t>
      </w:r>
    </w:p>
    <w:p w14:paraId="02F444B0">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6）未响应谈判文件实质性要求；</w:t>
      </w:r>
    </w:p>
    <w:p w14:paraId="4445C7C2">
      <w:pPr>
        <w:spacing w:line="360" w:lineRule="auto"/>
        <w:ind w:firstLine="420" w:firstLineChars="200"/>
        <w:rPr>
          <w:rFonts w:ascii="宋体" w:hAnsi="宋体" w:cs="宋体"/>
          <w:szCs w:val="21"/>
        </w:rPr>
      </w:pPr>
      <w:r>
        <w:rPr>
          <w:rFonts w:hint="eastAsia" w:ascii="宋体" w:hAnsi="宋体" w:cs="宋体"/>
          <w:szCs w:val="21"/>
        </w:rPr>
        <w:t>17）法律、法规和谈判文件规定的其他无效情形。</w:t>
      </w:r>
    </w:p>
    <w:p w14:paraId="0DFBBFCC">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2）报</w:t>
      </w:r>
      <w:r>
        <w:rPr>
          <w:rFonts w:hint="eastAsia" w:ascii="宋体" w:hAnsi="宋体" w:cs="宋体"/>
          <w:szCs w:val="21"/>
        </w:rPr>
        <w:t>价评审</w:t>
      </w:r>
    </w:p>
    <w:p w14:paraId="72EC4000">
      <w:pPr>
        <w:spacing w:line="360" w:lineRule="auto"/>
        <w:ind w:firstLine="420" w:firstLineChars="200"/>
        <w:rPr>
          <w:rFonts w:ascii="宋体" w:hAnsi="宋体" w:cs="宋体"/>
          <w:szCs w:val="21"/>
        </w:rPr>
      </w:pPr>
      <w:r>
        <w:rPr>
          <w:rFonts w:hint="eastAsia" w:ascii="宋体" w:hAnsi="宋体" w:cs="宋体"/>
          <w:szCs w:val="21"/>
        </w:rPr>
        <w:t>1）响应文件未提供“供应商须知前附表” 报价商务技术文件中规定的“竞标报价表”的；</w:t>
      </w:r>
    </w:p>
    <w:p w14:paraId="1C64F2BD">
      <w:pPr>
        <w:spacing w:line="360" w:lineRule="auto"/>
        <w:ind w:firstLine="420" w:firstLineChars="200"/>
        <w:rPr>
          <w:rFonts w:ascii="宋体" w:hAnsi="宋体" w:cs="宋体"/>
          <w:szCs w:val="21"/>
        </w:rPr>
      </w:pPr>
      <w:r>
        <w:rPr>
          <w:rFonts w:hint="eastAsia" w:ascii="宋体" w:hAnsi="宋体" w:cs="宋体"/>
          <w:szCs w:val="21"/>
        </w:rPr>
        <w:t>2）未采用人民币报价或者未按照谈判文件标明的币种报价的；</w:t>
      </w:r>
    </w:p>
    <w:p w14:paraId="3802A6BC">
      <w:pPr>
        <w:spacing w:line="360" w:lineRule="auto"/>
        <w:ind w:firstLine="420" w:firstLineChars="200"/>
        <w:rPr>
          <w:rFonts w:ascii="宋体" w:hAnsi="宋体" w:cs="宋体"/>
          <w:szCs w:val="21"/>
        </w:rPr>
      </w:pPr>
      <w:r>
        <w:rPr>
          <w:rFonts w:hint="eastAsia" w:ascii="宋体" w:hAnsi="宋体" w:cs="宋体"/>
          <w:szCs w:val="21"/>
        </w:rPr>
        <w:t>3）供应商未就所竞标分标进行报价或者存在漏项报价的；供应商未就所竞标分标的单项内容作唯一报价的；供应商未就所竞标分标的全部内容作完整唯一总价报价的；供应商响应文件中存在有选择、有条件报价的（谈判文件允许有备选方案或者其他约定的除外）；</w:t>
      </w:r>
    </w:p>
    <w:p w14:paraId="0D737A9A">
      <w:pPr>
        <w:spacing w:line="360" w:lineRule="auto"/>
        <w:ind w:firstLine="420" w:firstLineChars="200"/>
        <w:rPr>
          <w:rFonts w:ascii="宋体" w:hAnsi="宋体" w:cs="宋体"/>
          <w:szCs w:val="21"/>
        </w:rPr>
      </w:pPr>
      <w:r>
        <w:rPr>
          <w:rFonts w:hint="eastAsia" w:ascii="宋体" w:hAnsi="宋体" w:cs="宋体"/>
          <w:szCs w:val="21"/>
        </w:rPr>
        <w:t xml:space="preserve">4）最后报价超过所竞标分标规定的采购预算金额或者最高限价的（如本项目公布了最高限价）； </w:t>
      </w:r>
    </w:p>
    <w:p w14:paraId="29642305">
      <w:pPr>
        <w:spacing w:line="360" w:lineRule="auto"/>
        <w:ind w:firstLine="420" w:firstLineChars="200"/>
        <w:rPr>
          <w:rFonts w:ascii="宋体" w:hAnsi="宋体" w:cs="宋体"/>
          <w:szCs w:val="21"/>
        </w:rPr>
      </w:pPr>
      <w:r>
        <w:rPr>
          <w:rFonts w:hint="eastAsia" w:ascii="宋体" w:hAnsi="宋体" w:cs="宋体"/>
          <w:szCs w:val="21"/>
        </w:rPr>
        <w:t>5）修正后的报价，供应商不确认的；或者经供应商确认修正后的最后报价超过所竞标分标规定的采购预算金额或者最高限价（如本项目公布了最高限价）；</w:t>
      </w:r>
    </w:p>
    <w:p w14:paraId="53E14654">
      <w:pPr>
        <w:spacing w:line="360" w:lineRule="auto"/>
        <w:ind w:firstLine="420" w:firstLineChars="200"/>
        <w:rPr>
          <w:rFonts w:ascii="宋体" w:hAnsi="宋体" w:cs="宋体"/>
          <w:szCs w:val="21"/>
        </w:rPr>
      </w:pPr>
      <w:r>
        <w:rPr>
          <w:rFonts w:hint="eastAsia" w:ascii="宋体" w:hAnsi="宋体" w:cs="宋体"/>
          <w:szCs w:val="21"/>
        </w:rPr>
        <w:t>6）</w:t>
      </w:r>
      <w:r>
        <w:rPr>
          <w:rFonts w:hint="eastAsia" w:ascii="宋体" w:hAnsi="宋体"/>
          <w:szCs w:val="21"/>
        </w:rPr>
        <w:t>响应文件响应的标的数量及单位与竞争性谈判采购文件要求实质性不一致的。</w:t>
      </w:r>
    </w:p>
    <w:p w14:paraId="2EC49C17">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6谈判小组对响应文件进行评审，未实质性响应谈判文件的响应文件按无效响应处理。谈判小组应当将资格和符合性不通过的情况告知有关供应商。谈判小组从符合谈判文件规定的相应资格条件的供应商名单中确定不少于3家的供应商参加谈判。</w:t>
      </w:r>
    </w:p>
    <w:p w14:paraId="018701E7">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7公开招标的货物、服务采购项目，招标过程中提交响应文件或者经评审实质性响应采购文件要求的供应商只有两家时，采购人、采购代理机构按照《政府采购非招标采购方式管理办法》（财政部74号令）第四条经本级财政部门批准后可以与该两家供应商进行竞争性谈判采购。</w:t>
      </w:r>
    </w:p>
    <w:p w14:paraId="132E73FD">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.8通过符合性审查的合格供应商不足3家的，不得进入谈判环节，应当重新开展采购活动。</w:t>
      </w:r>
    </w:p>
    <w:p w14:paraId="0D989EBF">
      <w:pPr>
        <w:spacing w:line="360" w:lineRule="auto"/>
        <w:ind w:firstLine="482" w:firstLineChars="200"/>
        <w:rPr>
          <w:rFonts w:ascii="黑体" w:hAnsi="黑体" w:eastAsia="黑体" w:cs="宋体"/>
          <w:b/>
          <w:bCs/>
          <w:sz w:val="24"/>
        </w:rPr>
      </w:pPr>
      <w:r>
        <w:rPr>
          <w:rFonts w:hint="eastAsia" w:ascii="黑体" w:hAnsi="黑体" w:eastAsia="黑体" w:cs="宋体"/>
          <w:b/>
          <w:bCs/>
          <w:sz w:val="24"/>
        </w:rPr>
        <w:t>4</w:t>
      </w:r>
      <w:r>
        <w:rPr>
          <w:rFonts w:ascii="黑体" w:hAnsi="黑体" w:eastAsia="黑体" w:cs="宋体"/>
          <w:b/>
          <w:bCs/>
          <w:sz w:val="24"/>
        </w:rPr>
        <w:t>.</w:t>
      </w:r>
      <w:r>
        <w:rPr>
          <w:rFonts w:hint="eastAsia" w:ascii="黑体" w:hAnsi="黑体" w:eastAsia="黑体" w:cs="宋体"/>
          <w:b/>
          <w:bCs/>
          <w:sz w:val="24"/>
        </w:rPr>
        <w:t>谈判程序</w:t>
      </w:r>
    </w:p>
    <w:p w14:paraId="1BE42E4F">
      <w:pPr>
        <w:spacing w:line="360" w:lineRule="auto"/>
        <w:ind w:firstLine="420" w:firstLineChars="200"/>
        <w:rPr>
          <w:rFonts w:ascii="宋体" w:hAnsi="宋体" w:cs="宋体"/>
          <w:szCs w:val="21"/>
        </w:rPr>
      </w:pPr>
      <w:r>
        <w:rPr>
          <w:rFonts w:hint="eastAsia" w:ascii="宋体" w:hAnsi="宋体" w:cs="宋体"/>
          <w:kern w:val="0"/>
          <w:szCs w:val="21"/>
        </w:rPr>
        <w:t>4</w:t>
      </w:r>
      <w:r>
        <w:rPr>
          <w:rFonts w:ascii="宋体" w:hAnsi="宋体" w:cs="宋体"/>
          <w:kern w:val="0"/>
          <w:szCs w:val="21"/>
        </w:rPr>
        <w:t>.1</w:t>
      </w:r>
      <w:r>
        <w:rPr>
          <w:rFonts w:hint="eastAsia" w:ascii="宋体" w:hAnsi="宋体" w:cs="宋体"/>
          <w:kern w:val="0"/>
          <w:szCs w:val="21"/>
        </w:rPr>
        <w:t>谈判小组按照“供应商须知前附表”第2</w:t>
      </w:r>
      <w:r>
        <w:rPr>
          <w:rFonts w:ascii="宋体" w:hAnsi="宋体" w:cs="宋体"/>
          <w:kern w:val="0"/>
          <w:szCs w:val="21"/>
        </w:rPr>
        <w:t>6</w:t>
      </w:r>
      <w:r>
        <w:rPr>
          <w:rFonts w:hint="eastAsia" w:ascii="宋体" w:hAnsi="宋体" w:cs="宋体"/>
          <w:kern w:val="0"/>
          <w:szCs w:val="21"/>
        </w:rPr>
        <w:t>条确定的</w:t>
      </w:r>
      <w:r>
        <w:rPr>
          <w:rFonts w:hint="eastAsia" w:ascii="宋体" w:hAnsi="宋体" w:cs="宋体"/>
          <w:szCs w:val="21"/>
        </w:rPr>
        <w:t>顺序，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响应处理。</w:t>
      </w:r>
    </w:p>
    <w:p w14:paraId="04078E00">
      <w:pPr>
        <w:spacing w:line="360" w:lineRule="auto"/>
        <w:ind w:firstLine="420" w:firstLineChars="200"/>
        <w:rPr>
          <w:rFonts w:ascii="宋体" w:hAnsi="宋体" w:cs="宋体"/>
          <w:szCs w:val="21"/>
        </w:rPr>
      </w:pPr>
      <w:r>
        <w:rPr>
          <w:rFonts w:hint="eastAsia" w:ascii="宋体" w:hAnsi="宋体" w:cs="宋体"/>
          <w:szCs w:val="21"/>
        </w:rPr>
        <w:t>4</w:t>
      </w:r>
      <w:r>
        <w:rPr>
          <w:rFonts w:ascii="宋体" w:hAnsi="宋体" w:cs="宋体"/>
          <w:szCs w:val="21"/>
        </w:rPr>
        <w:t>.2</w:t>
      </w:r>
      <w:r>
        <w:rPr>
          <w:rFonts w:hint="eastAsia" w:ascii="宋体" w:hAnsi="宋体" w:cs="宋体"/>
          <w:szCs w:val="21"/>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61DA16E5">
      <w:pPr>
        <w:spacing w:line="360" w:lineRule="auto"/>
        <w:ind w:firstLine="420" w:firstLineChars="200"/>
        <w:rPr>
          <w:rFonts w:ascii="宋体" w:hAnsi="宋体" w:cs="宋体"/>
          <w:szCs w:val="21"/>
        </w:rPr>
      </w:pPr>
      <w:r>
        <w:rPr>
          <w:rFonts w:ascii="宋体" w:hAnsi="宋体" w:cs="宋体"/>
          <w:szCs w:val="21"/>
        </w:rPr>
        <w:t>4.3</w:t>
      </w:r>
      <w:r>
        <w:rPr>
          <w:rFonts w:hint="eastAsia" w:ascii="宋体" w:hAnsi="宋体" w:cs="宋体"/>
          <w:szCs w:val="21"/>
        </w:rPr>
        <w:t>对谈判文件作出的实质性变动是谈判文件的有效组成部分，谈判小组应当及时以电子谈判记录形式同时通知所有参加谈判的供应商。</w:t>
      </w:r>
    </w:p>
    <w:p w14:paraId="454E8607">
      <w:pPr>
        <w:spacing w:line="360" w:lineRule="auto"/>
        <w:ind w:firstLine="420" w:firstLineChars="200"/>
        <w:rPr>
          <w:rFonts w:ascii="宋体" w:hAnsi="宋体" w:cs="宋体"/>
          <w:szCs w:val="21"/>
        </w:rPr>
      </w:pPr>
      <w:r>
        <w:rPr>
          <w:rFonts w:ascii="宋体" w:hAnsi="宋体" w:cs="宋体"/>
          <w:szCs w:val="21"/>
        </w:rPr>
        <w:t>4.4</w:t>
      </w:r>
      <w:r>
        <w:rPr>
          <w:rFonts w:hint="eastAsia" w:ascii="宋体" w:hAnsi="宋体" w:cs="宋体"/>
          <w:szCs w:val="21"/>
        </w:rPr>
        <w:t>供应商必须按照谈判文件的变动情况和谈判小组的要求以电子回函的形式重新提交响应文件，并由其法定代表人或者委托代理人签字或者加盖供应商公章。由委托代理人签字的，</w:t>
      </w:r>
      <w:r>
        <w:rPr>
          <w:rFonts w:hint="eastAsia" w:ascii="宋体" w:hAnsi="宋体" w:cs="宋体"/>
          <w:bCs/>
          <w:szCs w:val="21"/>
        </w:rPr>
        <w:t>若委托代理人不是响应文件中授权的委托代理人时，必须同时出示有效的授权委托书原件</w:t>
      </w:r>
      <w:r>
        <w:rPr>
          <w:rFonts w:hint="eastAsia" w:ascii="宋体" w:hAnsi="宋体" w:cs="宋体"/>
          <w:szCs w:val="21"/>
        </w:rPr>
        <w:t>。供应商为自然人的，必须由本人签字并附身份证明。参加谈判的供应商未在规定时间内以电子回函的形式重新提交响应文件的，视同退出谈判，其响应文件按无效响应处理。</w:t>
      </w:r>
    </w:p>
    <w:p w14:paraId="0535995F">
      <w:pPr>
        <w:spacing w:line="360" w:lineRule="auto"/>
        <w:ind w:firstLine="420" w:firstLineChars="200"/>
        <w:rPr>
          <w:rFonts w:ascii="宋体" w:hAnsi="宋体" w:cs="宋体"/>
          <w:szCs w:val="21"/>
        </w:rPr>
      </w:pPr>
      <w:r>
        <w:rPr>
          <w:rFonts w:ascii="宋体" w:hAnsi="宋体" w:cs="宋体"/>
          <w:szCs w:val="21"/>
        </w:rPr>
        <w:t>4.5</w:t>
      </w:r>
      <w:r>
        <w:rPr>
          <w:rFonts w:hint="eastAsia" w:ascii="宋体" w:hAnsi="宋体" w:cs="宋体"/>
          <w:szCs w:val="21"/>
        </w:rPr>
        <w:t>谈判中，谈判的任何一方不得透露与谈判有关的其他供应商的技术资料、价格和其他信息。</w:t>
      </w:r>
    </w:p>
    <w:p w14:paraId="3ECA87E4">
      <w:pPr>
        <w:tabs>
          <w:tab w:val="left" w:pos="2835"/>
        </w:tabs>
        <w:spacing w:line="360" w:lineRule="auto"/>
        <w:ind w:firstLine="420" w:firstLineChars="200"/>
        <w:rPr>
          <w:rFonts w:ascii="宋体" w:hAnsi="宋体" w:cs="宋体"/>
          <w:szCs w:val="21"/>
        </w:rPr>
      </w:pPr>
      <w:r>
        <w:rPr>
          <w:rFonts w:ascii="宋体" w:hAnsi="宋体" w:cs="宋体"/>
          <w:szCs w:val="21"/>
        </w:rPr>
        <w:t>4.</w:t>
      </w:r>
      <w:r>
        <w:rPr>
          <w:rFonts w:hint="eastAsia" w:ascii="宋体" w:hAnsi="宋体" w:cs="宋体"/>
          <w:szCs w:val="21"/>
        </w:rPr>
        <w:t>6</w:t>
      </w:r>
      <w:r>
        <w:rPr>
          <w:rFonts w:hint="eastAsia" w:ascii="宋体" w:hAnsi="宋体"/>
          <w:szCs w:val="21"/>
        </w:rPr>
        <w:t>对谈判过程提交的响应文件进行有效性、完整性和响应程度审查，通过审查的合格供应商不足3家的，采购人或者采购代理机构应当重新开展采购活动。</w:t>
      </w:r>
    </w:p>
    <w:p w14:paraId="0F7EDA3B">
      <w:pPr>
        <w:spacing w:line="360" w:lineRule="auto"/>
        <w:ind w:firstLine="482" w:firstLineChars="200"/>
        <w:rPr>
          <w:rFonts w:ascii="黑体" w:hAnsi="黑体" w:eastAsia="黑体" w:cs="宋体"/>
          <w:b/>
          <w:bCs/>
          <w:sz w:val="24"/>
        </w:rPr>
      </w:pPr>
      <w:r>
        <w:rPr>
          <w:rFonts w:hint="eastAsia" w:ascii="黑体" w:hAnsi="黑体" w:eastAsia="黑体" w:cs="宋体"/>
          <w:b/>
          <w:bCs/>
          <w:sz w:val="24"/>
        </w:rPr>
        <w:t>5</w:t>
      </w:r>
      <w:r>
        <w:rPr>
          <w:rFonts w:ascii="黑体" w:hAnsi="黑体" w:eastAsia="黑体" w:cs="宋体"/>
          <w:b/>
          <w:bCs/>
          <w:sz w:val="24"/>
        </w:rPr>
        <w:t>.</w:t>
      </w:r>
      <w:r>
        <w:rPr>
          <w:rFonts w:hint="eastAsia" w:ascii="黑体" w:hAnsi="黑体" w:eastAsia="黑体" w:cs="宋体"/>
          <w:b/>
          <w:bCs/>
          <w:sz w:val="24"/>
        </w:rPr>
        <w:t xml:space="preserve"> 最后报价</w:t>
      </w:r>
    </w:p>
    <w:p w14:paraId="18C0E3F4">
      <w:pPr>
        <w:spacing w:line="360" w:lineRule="auto"/>
        <w:ind w:firstLine="420" w:firstLineChars="200"/>
        <w:rPr>
          <w:rFonts w:ascii="宋体" w:hAnsi="宋体" w:cs="宋体"/>
          <w:szCs w:val="21"/>
        </w:rPr>
      </w:pPr>
      <w:r>
        <w:rPr>
          <w:rFonts w:hint="eastAsia" w:ascii="宋体" w:hAnsi="宋体" w:cs="宋体"/>
          <w:szCs w:val="21"/>
        </w:rPr>
        <w:t>5</w:t>
      </w:r>
      <w:r>
        <w:rPr>
          <w:rFonts w:ascii="宋体" w:hAnsi="宋体" w:cs="宋体"/>
          <w:szCs w:val="21"/>
        </w:rPr>
        <w:t>.1</w:t>
      </w:r>
      <w:r>
        <w:rPr>
          <w:rFonts w:hint="eastAsia" w:ascii="宋体" w:hAnsi="宋体" w:cs="宋体"/>
          <w:szCs w:val="21"/>
        </w:rPr>
        <w:t>谈判文件能够详细列明采购标的的技术、服务要求的，谈判结束后，谈判小组应当要求所有继续参加谈判的供应商在规定时间内以电子文件形式提交最后报价，提交最后报价的供应商不得少于3家，除本章第3.7条外，否则必须重新采购。</w:t>
      </w:r>
    </w:p>
    <w:p w14:paraId="0860322E">
      <w:pPr>
        <w:spacing w:line="360" w:lineRule="auto"/>
        <w:ind w:firstLine="420" w:firstLineChars="200"/>
        <w:rPr>
          <w:rFonts w:ascii="宋体" w:hAnsi="宋体" w:cs="宋体"/>
          <w:szCs w:val="21"/>
        </w:rPr>
      </w:pPr>
      <w:r>
        <w:rPr>
          <w:rFonts w:ascii="宋体" w:hAnsi="宋体" w:cs="宋体"/>
          <w:szCs w:val="21"/>
        </w:rPr>
        <w:t>5</w:t>
      </w:r>
      <w:r>
        <w:rPr>
          <w:rFonts w:hint="eastAsia" w:ascii="宋体" w:hAnsi="宋体" w:cs="宋体"/>
          <w:szCs w:val="21"/>
        </w:rPr>
        <w:t>.</w:t>
      </w:r>
      <w:r>
        <w:rPr>
          <w:rFonts w:ascii="宋体" w:hAnsi="宋体" w:cs="宋体"/>
          <w:szCs w:val="21"/>
        </w:rPr>
        <w:t>2</w:t>
      </w:r>
      <w:r>
        <w:rPr>
          <w:rFonts w:hint="eastAsia" w:ascii="宋体" w:hAnsi="宋体" w:cs="宋体"/>
          <w:szCs w:val="21"/>
        </w:rPr>
        <w:t>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以电子文件形式提交最后报价。</w:t>
      </w:r>
    </w:p>
    <w:p w14:paraId="48C7A1F6">
      <w:pPr>
        <w:spacing w:line="360" w:lineRule="auto"/>
        <w:ind w:firstLine="420" w:firstLineChars="200"/>
        <w:rPr>
          <w:rFonts w:ascii="宋体" w:hAnsi="宋体" w:cs="宋体"/>
          <w:szCs w:val="21"/>
        </w:rPr>
      </w:pPr>
      <w:r>
        <w:rPr>
          <w:rFonts w:ascii="宋体" w:hAnsi="宋体" w:cs="宋体"/>
          <w:szCs w:val="21"/>
        </w:rPr>
        <w:t>5.3</w:t>
      </w:r>
      <w:r>
        <w:rPr>
          <w:rFonts w:hint="eastAsia" w:ascii="宋体" w:hAnsi="宋体" w:cs="宋体"/>
          <w:szCs w:val="21"/>
        </w:rPr>
        <w:t>最后报价是供应商响应文件的有效组成部分。</w:t>
      </w:r>
    </w:p>
    <w:p w14:paraId="7149F4FC">
      <w:pPr>
        <w:spacing w:line="360" w:lineRule="auto"/>
        <w:ind w:firstLine="420" w:firstLineChars="200"/>
        <w:rPr>
          <w:rFonts w:ascii="宋体" w:hAnsi="宋体" w:cs="宋体"/>
          <w:szCs w:val="21"/>
        </w:rPr>
      </w:pPr>
      <w:r>
        <w:rPr>
          <w:rFonts w:ascii="宋体" w:hAnsi="宋体" w:cs="宋体"/>
          <w:szCs w:val="21"/>
        </w:rPr>
        <w:t>5.4</w:t>
      </w:r>
      <w:r>
        <w:rPr>
          <w:rFonts w:hint="eastAsia" w:ascii="宋体" w:hAnsi="宋体" w:cs="宋体"/>
          <w:szCs w:val="21"/>
        </w:rPr>
        <w:t>已经提交响应文件的供应商，在提交最后报价之前，可以根据谈判情况退出谈判。采购人、采购代理机构将退还退出谈判的供应商的保证金。</w:t>
      </w:r>
    </w:p>
    <w:p w14:paraId="1634D2C5">
      <w:pPr>
        <w:spacing w:line="360" w:lineRule="auto"/>
        <w:ind w:firstLine="420" w:firstLineChars="200"/>
        <w:rPr>
          <w:rFonts w:ascii="宋体" w:hAnsi="宋体" w:cs="宋体"/>
          <w:szCs w:val="21"/>
        </w:rPr>
      </w:pPr>
      <w:r>
        <w:rPr>
          <w:rFonts w:ascii="宋体" w:hAnsi="宋体" w:cs="宋体"/>
          <w:szCs w:val="21"/>
        </w:rPr>
        <w:t>5.5</w:t>
      </w:r>
      <w:r>
        <w:rPr>
          <w:rFonts w:hint="eastAsia" w:ascii="宋体" w:hAnsi="宋体" w:cs="宋体"/>
          <w:szCs w:val="21"/>
        </w:rPr>
        <w:t>供应商未在规定时间内提交最后报价的，视为退出谈判，其响应文件按无效响应处理。</w:t>
      </w:r>
    </w:p>
    <w:p w14:paraId="605B5E42">
      <w:pPr>
        <w:spacing w:line="360" w:lineRule="auto"/>
        <w:ind w:firstLine="420" w:firstLineChars="200"/>
        <w:rPr>
          <w:rFonts w:ascii="宋体" w:hAnsi="宋体" w:cs="宋体"/>
          <w:szCs w:val="21"/>
        </w:rPr>
      </w:pPr>
      <w:r>
        <w:rPr>
          <w:rFonts w:hint="eastAsia" w:ascii="宋体" w:hAnsi="宋体" w:cs="宋体"/>
          <w:szCs w:val="21"/>
        </w:rPr>
        <w:t>5</w:t>
      </w:r>
      <w:r>
        <w:rPr>
          <w:rFonts w:ascii="宋体" w:hAnsi="宋体" w:cs="宋体"/>
          <w:szCs w:val="21"/>
        </w:rPr>
        <w:t>.6</w:t>
      </w:r>
      <w:r>
        <w:rPr>
          <w:rFonts w:hint="eastAsia" w:ascii="宋体" w:hAnsi="宋体" w:cs="宋体"/>
          <w:szCs w:val="21"/>
        </w:rPr>
        <w:t>谈判小组收齐某一分标最后报价后或达到规定时间后统一开启，谈判小组对最后报价进行有效性、完整性和响应程度的审查。</w:t>
      </w:r>
    </w:p>
    <w:p w14:paraId="50B72911">
      <w:pPr>
        <w:spacing w:line="360" w:lineRule="auto"/>
        <w:ind w:firstLine="420" w:firstLineChars="200"/>
        <w:rPr>
          <w:rFonts w:ascii="宋体" w:hAnsi="宋体" w:cs="宋体"/>
          <w:szCs w:val="21"/>
        </w:rPr>
      </w:pPr>
      <w:r>
        <w:rPr>
          <w:rFonts w:ascii="宋体" w:hAnsi="宋体" w:cs="宋体"/>
          <w:szCs w:val="21"/>
        </w:rPr>
        <w:t>5.7</w:t>
      </w:r>
      <w:r>
        <w:rPr>
          <w:rFonts w:hint="eastAsia" w:ascii="宋体" w:hAnsi="宋体" w:cs="宋体"/>
          <w:szCs w:val="21"/>
        </w:rPr>
        <w:t>响应文件首次及最后报价出现前后不一致的，按照本章第</w:t>
      </w:r>
      <w:r>
        <w:rPr>
          <w:rFonts w:ascii="宋体" w:hAnsi="宋体" w:cs="宋体"/>
          <w:szCs w:val="21"/>
        </w:rPr>
        <w:t>3.4</w:t>
      </w:r>
      <w:r>
        <w:rPr>
          <w:rFonts w:hint="eastAsia" w:ascii="宋体" w:hAnsi="宋体" w:cs="宋体"/>
          <w:szCs w:val="21"/>
        </w:rPr>
        <w:t xml:space="preserve">条的规定修正。 </w:t>
      </w:r>
    </w:p>
    <w:p w14:paraId="40A6ADCC">
      <w:pPr>
        <w:spacing w:line="360" w:lineRule="auto"/>
        <w:ind w:firstLine="420" w:firstLineChars="200"/>
        <w:rPr>
          <w:rFonts w:ascii="宋体" w:hAnsi="宋体" w:cs="宋体"/>
          <w:szCs w:val="21"/>
        </w:rPr>
      </w:pPr>
      <w:r>
        <w:rPr>
          <w:rFonts w:ascii="宋体" w:hAnsi="宋体" w:cs="宋体"/>
          <w:szCs w:val="21"/>
        </w:rPr>
        <w:t>5.8</w:t>
      </w:r>
      <w:r>
        <w:rPr>
          <w:rFonts w:hint="eastAsia" w:ascii="宋体" w:hAnsi="宋体" w:cs="宋体"/>
          <w:szCs w:val="21"/>
        </w:rPr>
        <w:t>经供应商确认修正后的最后报价作为评审及签订合同的依据。</w:t>
      </w:r>
    </w:p>
    <w:p w14:paraId="13842CEA">
      <w:pPr>
        <w:spacing w:line="360" w:lineRule="auto"/>
        <w:ind w:firstLine="420" w:firstLineChars="200"/>
        <w:rPr>
          <w:rFonts w:ascii="宋体" w:hAnsi="宋体" w:cs="宋体"/>
          <w:szCs w:val="21"/>
        </w:rPr>
      </w:pPr>
      <w:r>
        <w:rPr>
          <w:rFonts w:hint="eastAsia" w:ascii="宋体" w:hAnsi="宋体" w:cs="宋体"/>
          <w:szCs w:val="21"/>
        </w:rPr>
        <w:t>5.</w:t>
      </w:r>
      <w:r>
        <w:rPr>
          <w:rFonts w:ascii="宋体" w:hAnsi="宋体" w:cs="宋体"/>
          <w:szCs w:val="21"/>
        </w:rPr>
        <w:t>9</w:t>
      </w:r>
      <w:r>
        <w:rPr>
          <w:rFonts w:hint="eastAsia" w:ascii="宋体" w:hAnsi="宋体" w:cs="宋体"/>
          <w:szCs w:val="21"/>
        </w:rPr>
        <w:t>供应商出现最后报价按无效响应处理或者响应文件按无效响应处理时</w:t>
      </w:r>
      <w:r>
        <w:rPr>
          <w:rFonts w:hint="eastAsia" w:ascii="宋体" w:hAnsi="宋体"/>
          <w:sz w:val="22"/>
          <w:szCs w:val="22"/>
        </w:rPr>
        <w:t>，谈判小组应当告知有关供应商</w:t>
      </w:r>
      <w:r>
        <w:rPr>
          <w:rFonts w:hint="eastAsia" w:ascii="宋体" w:hAnsi="宋体" w:cs="宋体"/>
          <w:szCs w:val="21"/>
        </w:rPr>
        <w:t>。</w:t>
      </w:r>
    </w:p>
    <w:p w14:paraId="7988472E">
      <w:pPr>
        <w:spacing w:line="360" w:lineRule="auto"/>
        <w:ind w:firstLine="420" w:firstLineChars="200"/>
        <w:rPr>
          <w:rFonts w:ascii="宋体" w:hAnsi="宋体" w:cs="宋体"/>
          <w:szCs w:val="21"/>
        </w:rPr>
      </w:pPr>
      <w:r>
        <w:rPr>
          <w:rFonts w:ascii="宋体" w:hAnsi="宋体" w:cs="宋体"/>
          <w:szCs w:val="21"/>
        </w:rPr>
        <w:t>5.10</w:t>
      </w:r>
      <w:r>
        <w:rPr>
          <w:rFonts w:hint="eastAsia" w:ascii="宋体" w:hAnsi="宋体" w:cs="宋体"/>
          <w:szCs w:val="21"/>
        </w:rPr>
        <w:t>最后报价结束后，谈判小组不得再与供应商进行任何形式的商谈。</w:t>
      </w:r>
    </w:p>
    <w:p w14:paraId="5BAF75E6">
      <w:pPr>
        <w:spacing w:line="360" w:lineRule="auto"/>
        <w:ind w:firstLine="472" w:firstLineChars="196"/>
        <w:rPr>
          <w:rFonts w:ascii="黑体" w:hAnsi="黑体" w:eastAsia="黑体" w:cs="宋体"/>
          <w:b/>
          <w:bCs/>
          <w:sz w:val="24"/>
        </w:rPr>
      </w:pPr>
      <w:r>
        <w:rPr>
          <w:rFonts w:ascii="黑体" w:hAnsi="黑体" w:eastAsia="黑体" w:cs="宋体"/>
          <w:b/>
          <w:bCs/>
          <w:sz w:val="24"/>
        </w:rPr>
        <w:t>6.</w:t>
      </w:r>
      <w:r>
        <w:rPr>
          <w:rFonts w:hint="eastAsia" w:ascii="黑体" w:hAnsi="黑体" w:eastAsia="黑体" w:cs="宋体"/>
          <w:b/>
          <w:bCs/>
          <w:sz w:val="24"/>
        </w:rPr>
        <w:t xml:space="preserve"> 最后报价政府采购政策性扣除</w:t>
      </w:r>
    </w:p>
    <w:p w14:paraId="79EA947D">
      <w:pPr>
        <w:spacing w:line="360" w:lineRule="auto"/>
        <w:ind w:firstLine="420" w:firstLineChars="200"/>
        <w:rPr>
          <w:rFonts w:ascii="宋体" w:hAnsi="宋体" w:cs="宋体"/>
          <w:szCs w:val="21"/>
        </w:rPr>
      </w:pPr>
      <w:r>
        <w:rPr>
          <w:rFonts w:hint="eastAsia" w:ascii="宋体" w:hAnsi="宋体" w:cs="宋体"/>
          <w:szCs w:val="21"/>
        </w:rPr>
        <w:t>6.1根据《政府采购促进中小企业发展管理办法》</w:t>
      </w:r>
      <w:r>
        <w:rPr>
          <w:rFonts w:ascii="宋体" w:hAnsi="宋体" w:cs="宋体"/>
          <w:szCs w:val="21"/>
        </w:rPr>
        <w:t>（财库〔2020〕46号）</w:t>
      </w:r>
      <w:r>
        <w:rPr>
          <w:rFonts w:hint="eastAsia" w:hAnsi="宋体" w:cs="宋体"/>
          <w:szCs w:val="21"/>
        </w:rPr>
        <w:t>及</w:t>
      </w:r>
      <w:r>
        <w:rPr>
          <w:rFonts w:ascii="宋体" w:hAnsi="宋体" w:cs="宋体"/>
          <w:szCs w:val="21"/>
        </w:rPr>
        <w:t>《</w:t>
      </w:r>
      <w:r>
        <w:rPr>
          <w:rFonts w:hint="eastAsia" w:hAnsi="宋体" w:cs="宋体"/>
          <w:szCs w:val="21"/>
        </w:rPr>
        <w:t>广西壮族自治区财政厅关于持续优化政府采购营商环境推动高质量发展的通知</w:t>
      </w:r>
      <w:r>
        <w:rPr>
          <w:rFonts w:ascii="宋体" w:hAnsi="宋体" w:cs="宋体"/>
          <w:szCs w:val="21"/>
        </w:rPr>
        <w:t>》（</w:t>
      </w:r>
      <w:r>
        <w:rPr>
          <w:rFonts w:hint="eastAsia" w:hAnsi="宋体" w:cs="宋体"/>
          <w:szCs w:val="21"/>
        </w:rPr>
        <w:t>桂财采〔2024〕55号</w:t>
      </w:r>
      <w:r>
        <w:rPr>
          <w:rFonts w:ascii="宋体" w:hAnsi="宋体" w:cs="宋体"/>
          <w:szCs w:val="21"/>
        </w:rPr>
        <w:t>）</w:t>
      </w:r>
      <w:r>
        <w:rPr>
          <w:rFonts w:hint="eastAsia" w:ascii="宋体" w:hAnsi="宋体" w:cs="宋体"/>
          <w:szCs w:val="21"/>
        </w:rPr>
        <w:t xml:space="preserve">的规定，供应商在其响应文件中提供《中小企业声明函》，且货物全部由小微企业承接，对其最后报价给予 10%的扣除，扣除后的价格为评标报价，即评标报价=最后报价×（1-10%）。接受大中型企业与小微企业组成联合体或者允许大中型企业向一家或者多家小微企业分包的采购项目，采购人、采购代理机构应当对联合体或者大中型企业的报价给予4%的扣除，用扣除后的价格参加评审，扣除后的价格为评标报价，即评标报价=最后报价×（1-4%）。不符合上述给予扣除情形的，评标报价=竞标报价。 </w:t>
      </w:r>
    </w:p>
    <w:p w14:paraId="164667C8">
      <w:pPr>
        <w:spacing w:line="360" w:lineRule="auto"/>
        <w:ind w:firstLine="420" w:firstLineChars="200"/>
        <w:rPr>
          <w:rFonts w:ascii="宋体" w:hAnsi="宋体" w:cs="宋体"/>
          <w:szCs w:val="21"/>
        </w:rPr>
      </w:pPr>
      <w:r>
        <w:rPr>
          <w:rFonts w:hint="eastAsia" w:ascii="宋体" w:hAnsi="宋体" w:cs="宋体"/>
          <w:szCs w:val="21"/>
        </w:rPr>
        <w:t>评审价为供应商的最后报价，评审价只是作为评审时使用。最终成交供应商的成交金额等于最后报价（如有修正，以确认修正的最后报价为准）</w:t>
      </w:r>
    </w:p>
    <w:p w14:paraId="6C8FA877">
      <w:pPr>
        <w:spacing w:line="360" w:lineRule="auto"/>
        <w:ind w:firstLine="420" w:firstLineChars="200"/>
        <w:rPr>
          <w:rFonts w:ascii="宋体" w:hAnsi="宋体" w:cs="宋体"/>
          <w:szCs w:val="21"/>
        </w:rPr>
      </w:pPr>
      <w:r>
        <w:rPr>
          <w:rFonts w:hint="eastAsia" w:ascii="宋体" w:hAnsi="宋体" w:cs="宋体"/>
          <w:szCs w:val="21"/>
        </w:rPr>
        <w:t xml:space="preserve">6.2按照《财政部、司法部关于政府采购支持监狱企业发展有关问题的通知》（财库〔2014〕68 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 </w:t>
      </w:r>
    </w:p>
    <w:p w14:paraId="2D249567">
      <w:pPr>
        <w:spacing w:line="360" w:lineRule="auto"/>
        <w:ind w:firstLine="420" w:firstLineChars="200"/>
        <w:rPr>
          <w:rFonts w:ascii="宋体" w:hAnsi="宋体" w:cs="宋体"/>
          <w:szCs w:val="21"/>
        </w:rPr>
      </w:pPr>
      <w:r>
        <w:rPr>
          <w:rFonts w:hint="eastAsia" w:ascii="宋体" w:hAnsi="宋体" w:cs="宋体"/>
          <w:szCs w:val="21"/>
        </w:rPr>
        <w:t xml:space="preserve">6.3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 </w:t>
      </w:r>
    </w:p>
    <w:p w14:paraId="2B85780D">
      <w:pPr>
        <w:spacing w:line="360" w:lineRule="auto"/>
        <w:ind w:firstLine="420" w:firstLineChars="200"/>
        <w:rPr>
          <w:rFonts w:ascii="宋体" w:hAnsi="宋体" w:cs="宋体"/>
          <w:szCs w:val="21"/>
        </w:rPr>
      </w:pPr>
      <w:r>
        <w:rPr>
          <w:rFonts w:hint="eastAsia" w:ascii="宋体" w:hAnsi="宋体" w:cs="宋体"/>
          <w:szCs w:val="21"/>
        </w:rPr>
        <w:t xml:space="preserve"> 6.4</w:t>
      </w:r>
      <w:r>
        <w:rPr>
          <w:rFonts w:hint="eastAsia" w:ascii="宋体" w:hAnsi="宋体" w:cs="宋体"/>
          <w:b/>
          <w:bCs/>
          <w:szCs w:val="21"/>
        </w:rPr>
        <w:t>如果本项目落实政府采购政策为部分预留份额或专门面向中小微企业采购的项目，则不再享受最后报价政府采购政策性扣除。</w:t>
      </w:r>
    </w:p>
    <w:p w14:paraId="5BD54A1B">
      <w:pPr>
        <w:spacing w:line="360" w:lineRule="auto"/>
        <w:jc w:val="center"/>
        <w:rPr>
          <w:rFonts w:ascii="宋体" w:hAnsi="宋体"/>
          <w:b/>
          <w:sz w:val="32"/>
          <w:szCs w:val="32"/>
        </w:rPr>
      </w:pPr>
      <w:r>
        <w:rPr>
          <w:rFonts w:hint="eastAsia" w:ascii="宋体" w:hAnsi="宋体"/>
          <w:b/>
          <w:sz w:val="32"/>
          <w:szCs w:val="32"/>
        </w:rPr>
        <w:t>二、评定成交的标准</w:t>
      </w:r>
    </w:p>
    <w:p w14:paraId="31ACE259">
      <w:pPr>
        <w:spacing w:line="360" w:lineRule="auto"/>
        <w:ind w:firstLine="482" w:firstLineChars="200"/>
        <w:rPr>
          <w:rFonts w:ascii="黑体" w:hAnsi="黑体" w:eastAsia="黑体" w:cs="宋体"/>
          <w:b/>
          <w:bCs/>
          <w:sz w:val="24"/>
        </w:rPr>
      </w:pPr>
      <w:r>
        <w:rPr>
          <w:rFonts w:ascii="黑体" w:hAnsi="黑体" w:eastAsia="黑体" w:cs="宋体"/>
          <w:b/>
          <w:bCs/>
          <w:sz w:val="24"/>
        </w:rPr>
        <w:t>7.</w:t>
      </w:r>
      <w:r>
        <w:rPr>
          <w:rFonts w:hint="eastAsia" w:ascii="黑体" w:hAnsi="黑体" w:eastAsia="黑体" w:cs="宋体"/>
          <w:b/>
          <w:bCs/>
          <w:sz w:val="24"/>
        </w:rPr>
        <w:t xml:space="preserve"> 成交候选人推荐原则</w:t>
      </w:r>
    </w:p>
    <w:p w14:paraId="2BB9AF34">
      <w:pPr>
        <w:spacing w:line="360" w:lineRule="auto"/>
        <w:ind w:firstLine="420" w:firstLineChars="200"/>
        <w:jc w:val="center"/>
        <w:rPr>
          <w:rFonts w:ascii="宋体" w:hAnsi="宋体" w:cs="宋体"/>
        </w:rPr>
      </w:pPr>
      <w:r>
        <w:rPr>
          <w:rFonts w:hint="eastAsia" w:ascii="宋体" w:hAnsi="宋体" w:cs="宋体"/>
        </w:rPr>
        <w:t>谈判小组应当从质量和服务均能满足谈判文件实质性响应要求的供应商中，按照评标价由低到高的顺序提出3名以上成交候选人（评标价相同时，按照最后报价由低到高顺序依次推荐；最后报价相同时，由谈判小组按“供应商须知前附表”第26条规定的顺序推荐）,并编写评审报告。在符合采购需求、质量和</w:t>
      </w:r>
    </w:p>
    <w:p w14:paraId="6FF67081">
      <w:pPr>
        <w:spacing w:line="360" w:lineRule="auto"/>
        <w:rPr>
          <w:rFonts w:ascii="宋体" w:hAnsi="宋体" w:cs="宋体"/>
        </w:rPr>
      </w:pPr>
      <w:r>
        <w:rPr>
          <w:rFonts w:hint="eastAsia" w:ascii="宋体" w:hAnsi="宋体" w:cs="宋体"/>
        </w:rPr>
        <w:t>服务相等的前提下，以提出最低评标报价的竞标人作为成交候选供应商。</w:t>
      </w:r>
      <w:r>
        <w:rPr>
          <w:rFonts w:hint="eastAsia" w:ascii="宋体" w:hAnsi="宋体" w:cs="宋体"/>
        </w:rPr>
        <w:br w:type="page"/>
      </w:r>
      <w:bookmarkStart w:id="32" w:name="_Toc74322012"/>
      <w:r>
        <w:rPr>
          <w:rFonts w:hint="eastAsia" w:ascii="宋体" w:hAnsi="宋体" w:cs="宋体"/>
        </w:rPr>
        <w:t xml:space="preserve">                    </w:t>
      </w:r>
    </w:p>
    <w:p w14:paraId="7E2B6631">
      <w:pPr>
        <w:spacing w:line="360" w:lineRule="auto"/>
        <w:rPr>
          <w:rFonts w:ascii="宋体" w:hAnsi="宋体" w:cs="宋体"/>
        </w:rPr>
      </w:pPr>
    </w:p>
    <w:p w14:paraId="5B14259A">
      <w:pPr>
        <w:spacing w:line="360" w:lineRule="auto"/>
        <w:rPr>
          <w:rFonts w:ascii="宋体" w:hAnsi="宋体" w:cs="宋体"/>
        </w:rPr>
      </w:pPr>
    </w:p>
    <w:p w14:paraId="2566B55E">
      <w:pPr>
        <w:spacing w:line="360" w:lineRule="auto"/>
        <w:rPr>
          <w:rFonts w:ascii="宋体" w:hAnsi="宋体" w:cs="宋体"/>
        </w:rPr>
      </w:pPr>
    </w:p>
    <w:p w14:paraId="2E746D0D">
      <w:pPr>
        <w:spacing w:line="360" w:lineRule="auto"/>
        <w:rPr>
          <w:rFonts w:ascii="宋体" w:hAnsi="宋体" w:cs="宋体"/>
        </w:rPr>
      </w:pPr>
    </w:p>
    <w:p w14:paraId="4744D3C3">
      <w:pPr>
        <w:spacing w:line="360" w:lineRule="auto"/>
        <w:rPr>
          <w:rFonts w:ascii="宋体" w:hAnsi="宋体" w:cs="宋体"/>
        </w:rPr>
      </w:pPr>
    </w:p>
    <w:p w14:paraId="6A687556">
      <w:pPr>
        <w:spacing w:line="360" w:lineRule="auto"/>
        <w:rPr>
          <w:rFonts w:ascii="宋体" w:hAnsi="宋体" w:cs="宋体"/>
        </w:rPr>
      </w:pPr>
    </w:p>
    <w:p w14:paraId="6ED18B59">
      <w:pPr>
        <w:spacing w:line="360" w:lineRule="auto"/>
        <w:rPr>
          <w:rFonts w:ascii="宋体" w:hAnsi="宋体" w:cs="宋体"/>
        </w:rPr>
      </w:pPr>
    </w:p>
    <w:p w14:paraId="69F64A79">
      <w:pPr>
        <w:spacing w:line="360" w:lineRule="auto"/>
        <w:rPr>
          <w:rFonts w:ascii="宋体" w:hAnsi="宋体" w:cs="宋体"/>
        </w:rPr>
      </w:pPr>
    </w:p>
    <w:p w14:paraId="4BB8C98C">
      <w:pPr>
        <w:spacing w:line="360" w:lineRule="auto"/>
        <w:rPr>
          <w:rFonts w:ascii="宋体" w:hAnsi="宋体" w:cs="宋体"/>
        </w:rPr>
      </w:pPr>
    </w:p>
    <w:p w14:paraId="24455290">
      <w:pPr>
        <w:spacing w:line="360" w:lineRule="auto"/>
        <w:rPr>
          <w:rFonts w:ascii="宋体" w:hAnsi="宋体" w:cs="宋体"/>
        </w:rPr>
      </w:pPr>
    </w:p>
    <w:p w14:paraId="658A2E5A">
      <w:pPr>
        <w:spacing w:line="360" w:lineRule="auto"/>
        <w:rPr>
          <w:rFonts w:ascii="宋体" w:hAnsi="宋体" w:cs="宋体"/>
        </w:rPr>
      </w:pPr>
    </w:p>
    <w:p w14:paraId="50EF148C">
      <w:pPr>
        <w:spacing w:line="360" w:lineRule="auto"/>
        <w:rPr>
          <w:rFonts w:ascii="宋体" w:hAnsi="宋体" w:cs="宋体"/>
        </w:rPr>
      </w:pPr>
    </w:p>
    <w:p w14:paraId="37EA1D84">
      <w:pPr>
        <w:spacing w:line="360" w:lineRule="auto"/>
        <w:rPr>
          <w:rFonts w:ascii="宋体" w:hAnsi="宋体" w:cs="宋体"/>
        </w:rPr>
      </w:pPr>
    </w:p>
    <w:p w14:paraId="673209AD">
      <w:pPr>
        <w:spacing w:line="360" w:lineRule="auto"/>
        <w:jc w:val="center"/>
      </w:pPr>
      <w:r>
        <w:rPr>
          <w:rFonts w:hint="eastAsia"/>
          <w:b/>
          <w:bCs/>
          <w:sz w:val="44"/>
          <w:szCs w:val="44"/>
        </w:rPr>
        <w:t>第五章 响应文件格式</w:t>
      </w:r>
      <w:bookmarkEnd w:id="32"/>
    </w:p>
    <w:p w14:paraId="1DE74ED9">
      <w:pPr>
        <w:spacing w:line="240" w:lineRule="atLeast"/>
        <w:rPr>
          <w:rFonts w:ascii="宋体" w:hAnsi="宋体"/>
          <w:b/>
          <w:sz w:val="32"/>
          <w:szCs w:val="32"/>
        </w:rPr>
      </w:pPr>
    </w:p>
    <w:p w14:paraId="34EC82E0">
      <w:pPr>
        <w:spacing w:line="240" w:lineRule="atLeast"/>
        <w:rPr>
          <w:rFonts w:ascii="宋体" w:hAnsi="宋体"/>
          <w:b/>
          <w:sz w:val="32"/>
          <w:szCs w:val="32"/>
        </w:rPr>
      </w:pPr>
    </w:p>
    <w:p w14:paraId="5AEAD221">
      <w:pPr>
        <w:spacing w:line="240" w:lineRule="atLeast"/>
        <w:rPr>
          <w:rFonts w:ascii="宋体" w:hAnsi="宋体"/>
          <w:b/>
          <w:sz w:val="32"/>
          <w:szCs w:val="32"/>
        </w:rPr>
      </w:pPr>
    </w:p>
    <w:p w14:paraId="21FF119D">
      <w:pPr>
        <w:spacing w:line="240" w:lineRule="atLeast"/>
        <w:rPr>
          <w:rFonts w:ascii="宋体" w:hAnsi="宋体"/>
          <w:b/>
          <w:sz w:val="32"/>
          <w:szCs w:val="32"/>
        </w:rPr>
      </w:pPr>
    </w:p>
    <w:p w14:paraId="5D57E0FB">
      <w:pPr>
        <w:spacing w:line="240" w:lineRule="atLeast"/>
        <w:rPr>
          <w:rFonts w:ascii="宋体" w:hAnsi="宋体"/>
          <w:b/>
          <w:sz w:val="32"/>
          <w:szCs w:val="32"/>
        </w:rPr>
      </w:pPr>
    </w:p>
    <w:p w14:paraId="379C1EC6">
      <w:pPr>
        <w:spacing w:line="240" w:lineRule="atLeast"/>
        <w:rPr>
          <w:rFonts w:ascii="宋体" w:hAnsi="宋体"/>
          <w:b/>
          <w:sz w:val="32"/>
          <w:szCs w:val="32"/>
        </w:rPr>
      </w:pPr>
    </w:p>
    <w:p w14:paraId="09CBFBC8">
      <w:pPr>
        <w:spacing w:line="240" w:lineRule="atLeast"/>
        <w:rPr>
          <w:rFonts w:ascii="宋体" w:hAnsi="宋体"/>
          <w:b/>
          <w:sz w:val="32"/>
          <w:szCs w:val="32"/>
        </w:rPr>
      </w:pPr>
    </w:p>
    <w:p w14:paraId="7608F17C">
      <w:pPr>
        <w:spacing w:line="240" w:lineRule="atLeast"/>
        <w:rPr>
          <w:rFonts w:ascii="宋体" w:hAnsi="宋体"/>
          <w:b/>
          <w:sz w:val="32"/>
          <w:szCs w:val="32"/>
        </w:rPr>
      </w:pPr>
    </w:p>
    <w:p w14:paraId="5BCBE465">
      <w:pPr>
        <w:spacing w:line="240" w:lineRule="atLeast"/>
        <w:rPr>
          <w:rFonts w:ascii="宋体" w:hAnsi="宋体"/>
          <w:b/>
          <w:sz w:val="32"/>
          <w:szCs w:val="32"/>
        </w:rPr>
      </w:pPr>
    </w:p>
    <w:p w14:paraId="75278403">
      <w:pPr>
        <w:spacing w:line="240" w:lineRule="atLeast"/>
        <w:rPr>
          <w:rFonts w:ascii="宋体" w:hAnsi="宋体"/>
          <w:b/>
          <w:sz w:val="32"/>
          <w:szCs w:val="32"/>
        </w:rPr>
      </w:pPr>
    </w:p>
    <w:p w14:paraId="0D38A7C2">
      <w:pPr>
        <w:spacing w:line="240" w:lineRule="atLeast"/>
        <w:rPr>
          <w:rFonts w:ascii="宋体" w:hAnsi="宋体"/>
          <w:b/>
          <w:sz w:val="32"/>
          <w:szCs w:val="32"/>
        </w:rPr>
      </w:pPr>
    </w:p>
    <w:p w14:paraId="37085213">
      <w:pPr>
        <w:spacing w:line="240" w:lineRule="atLeast"/>
        <w:rPr>
          <w:rFonts w:ascii="宋体" w:hAnsi="宋体"/>
          <w:b/>
          <w:sz w:val="32"/>
          <w:szCs w:val="32"/>
        </w:rPr>
      </w:pPr>
    </w:p>
    <w:p w14:paraId="4DDABBBD">
      <w:pPr>
        <w:spacing w:line="240" w:lineRule="atLeast"/>
        <w:rPr>
          <w:rFonts w:ascii="宋体" w:hAnsi="宋体"/>
          <w:b/>
          <w:sz w:val="32"/>
          <w:szCs w:val="32"/>
        </w:rPr>
      </w:pPr>
    </w:p>
    <w:p w14:paraId="40352E24">
      <w:pPr>
        <w:spacing w:line="240" w:lineRule="atLeast"/>
        <w:rPr>
          <w:rFonts w:ascii="宋体" w:hAnsi="宋体"/>
          <w:b/>
          <w:sz w:val="32"/>
          <w:szCs w:val="32"/>
        </w:rPr>
      </w:pPr>
    </w:p>
    <w:p w14:paraId="0A73B114">
      <w:pPr>
        <w:snapToGrid w:val="0"/>
        <w:spacing w:before="50" w:after="50"/>
        <w:outlineLvl w:val="1"/>
        <w:rPr>
          <w:rFonts w:ascii="宋体" w:hAnsi="宋体"/>
          <w:b/>
          <w:bCs/>
          <w:sz w:val="24"/>
        </w:rPr>
      </w:pPr>
    </w:p>
    <w:p w14:paraId="38384293">
      <w:pPr>
        <w:snapToGrid w:val="0"/>
        <w:spacing w:before="50" w:after="50"/>
        <w:outlineLvl w:val="1"/>
        <w:rPr>
          <w:rFonts w:ascii="宋体" w:hAnsi="宋体"/>
          <w:b/>
          <w:bCs/>
          <w:sz w:val="24"/>
        </w:rPr>
      </w:pPr>
    </w:p>
    <w:p w14:paraId="14F7B803">
      <w:pPr>
        <w:spacing w:line="240" w:lineRule="atLeast"/>
        <w:rPr>
          <w:rFonts w:ascii="宋体" w:hAnsi="宋体"/>
          <w:b/>
          <w:bCs/>
          <w:sz w:val="32"/>
          <w:szCs w:val="32"/>
        </w:rPr>
      </w:pPr>
    </w:p>
    <w:p w14:paraId="1E9DA5C6">
      <w:pPr>
        <w:spacing w:line="240" w:lineRule="atLeast"/>
        <w:rPr>
          <w:b/>
          <w:sz w:val="32"/>
          <w:szCs w:val="32"/>
        </w:rPr>
      </w:pPr>
      <w:bookmarkStart w:id="33" w:name="_Toc71365382"/>
      <w:bookmarkStart w:id="34" w:name="_Toc71366060"/>
      <w:r>
        <w:rPr>
          <w:b/>
          <w:sz w:val="32"/>
          <w:szCs w:val="32"/>
        </w:rPr>
        <w:br w:type="page"/>
      </w:r>
      <w:r>
        <w:rPr>
          <w:rFonts w:hint="eastAsia"/>
          <w:b/>
          <w:sz w:val="32"/>
          <w:szCs w:val="32"/>
        </w:rPr>
        <w:t>一、资格证明文件格式</w:t>
      </w:r>
      <w:bookmarkEnd w:id="33"/>
      <w:bookmarkEnd w:id="34"/>
    </w:p>
    <w:p w14:paraId="5940A8CC">
      <w:pPr>
        <w:snapToGrid w:val="0"/>
        <w:spacing w:beforeLines="50" w:after="50" w:line="360" w:lineRule="auto"/>
        <w:jc w:val="left"/>
        <w:rPr>
          <w:rFonts w:ascii="宋体" w:hAnsi="宋体"/>
          <w:b/>
          <w:sz w:val="24"/>
        </w:rPr>
      </w:pPr>
      <w:r>
        <w:rPr>
          <w:rFonts w:hint="eastAsia" w:ascii="宋体" w:hAnsi="宋体"/>
          <w:b/>
          <w:sz w:val="32"/>
          <w:szCs w:val="32"/>
        </w:rPr>
        <w:t>1.资格证明文件封面格式：</w:t>
      </w:r>
      <w:r>
        <w:rPr>
          <w:rFonts w:hint="eastAsia" w:ascii="宋体" w:hAnsi="宋体"/>
          <w:b/>
          <w:sz w:val="24"/>
        </w:rPr>
        <w:t xml:space="preserve"> </w:t>
      </w:r>
    </w:p>
    <w:p w14:paraId="486C1019">
      <w:pPr>
        <w:snapToGrid w:val="0"/>
        <w:spacing w:beforeLines="50" w:after="50"/>
        <w:rPr>
          <w:rFonts w:ascii="宋体" w:hAnsi="宋体"/>
          <w:bCs/>
          <w:sz w:val="32"/>
          <w:szCs w:val="20"/>
        </w:rPr>
      </w:pPr>
      <w:r>
        <w:rPr>
          <w:rFonts w:hint="eastAsia" w:ascii="宋体" w:hAnsi="宋体"/>
          <w:sz w:val="24"/>
        </w:rPr>
        <w:t xml:space="preserve">                                                  </w:t>
      </w:r>
    </w:p>
    <w:p w14:paraId="26E4CA80">
      <w:pPr>
        <w:snapToGrid w:val="0"/>
        <w:spacing w:beforeLines="50" w:after="50"/>
        <w:jc w:val="center"/>
        <w:rPr>
          <w:rFonts w:ascii="方正小标宋简体" w:hAnsi="方正小标宋简体" w:eastAsia="方正小标宋简体" w:cs="方正小标宋简体"/>
          <w:bCs/>
          <w:sz w:val="44"/>
          <w:szCs w:val="44"/>
        </w:rPr>
      </w:pPr>
    </w:p>
    <w:p w14:paraId="426B590F">
      <w:pPr>
        <w:snapToGrid w:val="0"/>
        <w:spacing w:beforeLines="50" w:after="50"/>
        <w:jc w:val="center"/>
        <w:rPr>
          <w:rFonts w:ascii="方正小标宋简体" w:hAnsi="方正小标宋简体" w:eastAsia="方正小标宋简体" w:cs="方正小标宋简体"/>
          <w:bCs/>
          <w:sz w:val="84"/>
          <w:szCs w:val="84"/>
        </w:rPr>
      </w:pPr>
      <w:r>
        <w:rPr>
          <w:rFonts w:hint="eastAsia" w:ascii="方正小标宋简体" w:hAnsi="方正小标宋简体" w:eastAsia="方正小标宋简体" w:cs="方正小标宋简体"/>
          <w:bCs/>
          <w:sz w:val="84"/>
          <w:szCs w:val="84"/>
        </w:rPr>
        <w:t>响  应  文  件</w:t>
      </w:r>
    </w:p>
    <w:p w14:paraId="38B64C6C">
      <w:pPr>
        <w:snapToGrid w:val="0"/>
        <w:spacing w:beforeLines="50" w:after="50"/>
        <w:rPr>
          <w:rFonts w:ascii="宋体" w:hAnsi="宋体"/>
          <w:sz w:val="24"/>
          <w:szCs w:val="20"/>
        </w:rPr>
      </w:pPr>
    </w:p>
    <w:p w14:paraId="4C5248C6">
      <w:pPr>
        <w:snapToGrid w:val="0"/>
        <w:spacing w:beforeLines="50" w:after="50"/>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资  格  证  明  文  件</w:t>
      </w:r>
    </w:p>
    <w:p w14:paraId="2E4226B4">
      <w:pPr>
        <w:snapToGrid w:val="0"/>
        <w:spacing w:beforeLines="50" w:after="50"/>
        <w:rPr>
          <w:rFonts w:ascii="宋体" w:hAnsi="宋体"/>
          <w:bCs/>
          <w:sz w:val="24"/>
          <w:szCs w:val="20"/>
        </w:rPr>
      </w:pPr>
    </w:p>
    <w:p w14:paraId="5D7CB88F">
      <w:pPr>
        <w:snapToGrid w:val="0"/>
        <w:spacing w:beforeLines="50" w:after="50"/>
        <w:rPr>
          <w:rFonts w:ascii="宋体" w:hAnsi="宋体"/>
          <w:bCs/>
          <w:sz w:val="24"/>
          <w:szCs w:val="20"/>
        </w:rPr>
      </w:pPr>
    </w:p>
    <w:p w14:paraId="32CBBDA7">
      <w:pPr>
        <w:snapToGrid w:val="0"/>
        <w:spacing w:beforeLines="50" w:after="50"/>
        <w:rPr>
          <w:rFonts w:ascii="宋体" w:hAnsi="宋体"/>
          <w:bCs/>
          <w:sz w:val="24"/>
          <w:szCs w:val="20"/>
        </w:rPr>
      </w:pPr>
    </w:p>
    <w:p w14:paraId="496BAD50">
      <w:pPr>
        <w:snapToGrid w:val="0"/>
        <w:spacing w:beforeLines="50" w:after="50"/>
        <w:rPr>
          <w:rFonts w:ascii="宋体" w:hAnsi="宋体"/>
          <w:bCs/>
          <w:sz w:val="24"/>
          <w:szCs w:val="20"/>
        </w:rPr>
      </w:pPr>
    </w:p>
    <w:p w14:paraId="44FA1EF1">
      <w:pPr>
        <w:snapToGrid w:val="0"/>
        <w:spacing w:beforeLines="50" w:after="50"/>
        <w:rPr>
          <w:rFonts w:ascii="宋体" w:hAnsi="宋体"/>
          <w:bCs/>
          <w:sz w:val="24"/>
          <w:szCs w:val="20"/>
        </w:rPr>
      </w:pPr>
    </w:p>
    <w:p w14:paraId="39E0DDCC">
      <w:pPr>
        <w:snapToGrid w:val="0"/>
        <w:spacing w:beforeLines="50" w:after="50"/>
        <w:ind w:firstLine="960" w:firstLineChars="300"/>
        <w:rPr>
          <w:rFonts w:ascii="宋体" w:hAnsi="宋体" w:cs="仿宋_GB2312"/>
          <w:bCs/>
          <w:sz w:val="32"/>
          <w:szCs w:val="32"/>
        </w:rPr>
      </w:pPr>
      <w:r>
        <w:rPr>
          <w:rFonts w:hint="eastAsia" w:ascii="宋体" w:hAnsi="宋体" w:cs="仿宋_GB2312"/>
          <w:bCs/>
          <w:sz w:val="32"/>
          <w:szCs w:val="32"/>
        </w:rPr>
        <w:t>项目名称：</w:t>
      </w:r>
    </w:p>
    <w:p w14:paraId="0CC94473">
      <w:pPr>
        <w:snapToGrid w:val="0"/>
        <w:spacing w:beforeLines="50" w:after="50"/>
        <w:ind w:firstLine="720" w:firstLineChars="225"/>
        <w:rPr>
          <w:rFonts w:ascii="宋体" w:hAnsi="宋体" w:cs="仿宋_GB2312"/>
          <w:bCs/>
          <w:sz w:val="32"/>
          <w:szCs w:val="32"/>
        </w:rPr>
      </w:pPr>
    </w:p>
    <w:p w14:paraId="7A9F02C0">
      <w:pPr>
        <w:snapToGrid w:val="0"/>
        <w:spacing w:beforeLines="50" w:after="50"/>
        <w:ind w:firstLine="1040" w:firstLineChars="325"/>
        <w:rPr>
          <w:rFonts w:ascii="宋体" w:hAnsi="宋体" w:cs="仿宋_GB2312"/>
          <w:bCs/>
          <w:sz w:val="32"/>
          <w:szCs w:val="32"/>
        </w:rPr>
      </w:pPr>
      <w:r>
        <w:rPr>
          <w:rFonts w:hint="eastAsia" w:ascii="宋体" w:hAnsi="宋体" w:cs="仿宋_GB2312"/>
          <w:bCs/>
          <w:sz w:val="32"/>
          <w:szCs w:val="32"/>
        </w:rPr>
        <w:t>项目编号：</w:t>
      </w:r>
    </w:p>
    <w:p w14:paraId="68D9B5E3">
      <w:pPr>
        <w:snapToGrid w:val="0"/>
        <w:spacing w:beforeLines="50" w:after="50"/>
        <w:ind w:firstLine="720" w:firstLineChars="225"/>
        <w:rPr>
          <w:rFonts w:ascii="宋体" w:hAnsi="宋体" w:cs="仿宋_GB2312"/>
          <w:bCs/>
          <w:sz w:val="32"/>
          <w:szCs w:val="32"/>
        </w:rPr>
      </w:pPr>
    </w:p>
    <w:p w14:paraId="07F3C0AC">
      <w:pPr>
        <w:snapToGrid w:val="0"/>
        <w:spacing w:beforeLines="50" w:after="50"/>
        <w:ind w:firstLine="1040" w:firstLineChars="325"/>
        <w:rPr>
          <w:rFonts w:ascii="宋体" w:hAnsi="宋体" w:cs="仿宋_GB2312"/>
          <w:bCs/>
          <w:sz w:val="32"/>
          <w:szCs w:val="32"/>
        </w:rPr>
      </w:pPr>
      <w:r>
        <w:rPr>
          <w:rFonts w:hint="eastAsia" w:ascii="宋体" w:hAnsi="宋体" w:cs="仿宋_GB2312"/>
          <w:bCs/>
          <w:sz w:val="32"/>
          <w:szCs w:val="32"/>
        </w:rPr>
        <w:t>所竞分标：(如有则填写，无分标时填写“无”或者留空）</w:t>
      </w:r>
    </w:p>
    <w:p w14:paraId="12838A95">
      <w:pPr>
        <w:snapToGrid w:val="0"/>
        <w:spacing w:beforeLines="50" w:after="50"/>
        <w:ind w:firstLine="720" w:firstLineChars="225"/>
        <w:rPr>
          <w:rFonts w:ascii="宋体" w:hAnsi="宋体" w:cs="仿宋_GB2312"/>
          <w:bCs/>
          <w:sz w:val="32"/>
          <w:szCs w:val="32"/>
        </w:rPr>
      </w:pPr>
    </w:p>
    <w:p w14:paraId="1C388B5C">
      <w:pPr>
        <w:pStyle w:val="7"/>
        <w:snapToGrid w:val="0"/>
        <w:spacing w:before="50" w:after="50"/>
        <w:ind w:firstLine="1040" w:firstLineChars="325"/>
        <w:rPr>
          <w:rFonts w:ascii="宋体" w:hAnsi="宋体" w:cs="仿宋_GB2312"/>
          <w:bCs/>
          <w:sz w:val="32"/>
          <w:szCs w:val="32"/>
        </w:rPr>
      </w:pPr>
      <w:r>
        <w:rPr>
          <w:rFonts w:hint="eastAsia" w:ascii="宋体" w:hAnsi="宋体" w:cs="仿宋_GB2312"/>
          <w:bCs/>
          <w:sz w:val="32"/>
          <w:szCs w:val="32"/>
        </w:rPr>
        <w:t>供应商名称：</w:t>
      </w:r>
    </w:p>
    <w:p w14:paraId="5094AAB1">
      <w:pPr>
        <w:snapToGrid w:val="0"/>
        <w:spacing w:beforeLines="50" w:after="50"/>
        <w:ind w:firstLine="640" w:firstLineChars="200"/>
        <w:rPr>
          <w:rFonts w:ascii="宋体" w:hAnsi="宋体" w:cs="仿宋_GB2312"/>
          <w:bCs/>
          <w:sz w:val="32"/>
          <w:szCs w:val="32"/>
        </w:rPr>
      </w:pPr>
    </w:p>
    <w:p w14:paraId="79FDC0E9">
      <w:pPr>
        <w:pStyle w:val="7"/>
        <w:snapToGrid w:val="0"/>
        <w:spacing w:before="50" w:after="50"/>
        <w:ind w:firstLine="720" w:firstLineChars="225"/>
        <w:rPr>
          <w:rFonts w:ascii="宋体" w:hAnsi="宋体" w:cs="仿宋_GB2312"/>
          <w:bCs/>
          <w:sz w:val="32"/>
          <w:szCs w:val="32"/>
        </w:rPr>
      </w:pPr>
    </w:p>
    <w:p w14:paraId="6A6D628B">
      <w:pPr>
        <w:pStyle w:val="7"/>
        <w:snapToGrid w:val="0"/>
        <w:spacing w:before="50" w:after="50"/>
        <w:ind w:firstLine="1280" w:firstLineChars="400"/>
        <w:rPr>
          <w:rFonts w:ascii="宋体" w:hAnsi="宋体" w:cs="仿宋_GB2312"/>
          <w:bCs/>
          <w:sz w:val="32"/>
          <w:szCs w:val="32"/>
        </w:rPr>
      </w:pPr>
    </w:p>
    <w:p w14:paraId="70CB3AFF">
      <w:pPr>
        <w:snapToGrid w:val="0"/>
        <w:spacing w:beforeLines="50" w:after="50"/>
        <w:jc w:val="center"/>
        <w:rPr>
          <w:rFonts w:ascii="宋体" w:hAnsi="宋体" w:cs="仿宋_GB2312"/>
          <w:sz w:val="32"/>
          <w:szCs w:val="32"/>
        </w:rPr>
      </w:pPr>
      <w:r>
        <w:rPr>
          <w:rFonts w:hint="eastAsia" w:ascii="宋体" w:hAnsi="宋体" w:cs="仿宋_GB2312"/>
          <w:sz w:val="32"/>
          <w:szCs w:val="32"/>
        </w:rPr>
        <w:t>年    月    日</w:t>
      </w:r>
    </w:p>
    <w:p w14:paraId="5C76E4E2">
      <w:pPr>
        <w:snapToGrid w:val="0"/>
        <w:spacing w:beforeLines="50" w:after="50" w:line="360" w:lineRule="auto"/>
        <w:ind w:left="142"/>
        <w:jc w:val="left"/>
        <w:rPr>
          <w:rFonts w:ascii="宋体" w:hAnsi="宋体"/>
          <w:b/>
          <w:bCs/>
          <w:sz w:val="32"/>
          <w:szCs w:val="32"/>
        </w:rPr>
      </w:pPr>
      <w:r>
        <w:rPr>
          <w:rFonts w:ascii="宋体" w:hAnsi="宋体"/>
          <w:sz w:val="24"/>
        </w:rPr>
        <w:br w:type="page"/>
      </w:r>
      <w:r>
        <w:rPr>
          <w:rFonts w:hint="eastAsia" w:ascii="宋体" w:hAnsi="宋体"/>
          <w:b/>
          <w:bCs/>
          <w:sz w:val="32"/>
          <w:szCs w:val="32"/>
        </w:rPr>
        <w:t>2.资格证明文件目录</w:t>
      </w:r>
    </w:p>
    <w:p w14:paraId="14D09668">
      <w:pPr>
        <w:snapToGrid w:val="0"/>
        <w:spacing w:beforeLines="50" w:after="50" w:line="360" w:lineRule="auto"/>
        <w:ind w:firstLine="645"/>
        <w:rPr>
          <w:rFonts w:ascii="宋体" w:hAnsi="宋体"/>
          <w:sz w:val="32"/>
          <w:szCs w:val="32"/>
        </w:rPr>
      </w:pPr>
      <w:r>
        <w:rPr>
          <w:rFonts w:hint="eastAsia" w:ascii="宋体" w:hAnsi="宋体"/>
          <w:sz w:val="32"/>
          <w:szCs w:val="32"/>
        </w:rPr>
        <w:t>根据谈判文件规定及供应商提供的材料自行编写目录（部分格式后附）。</w:t>
      </w:r>
    </w:p>
    <w:p w14:paraId="7D88221E">
      <w:pPr>
        <w:snapToGrid w:val="0"/>
        <w:spacing w:beforeLines="50" w:after="50" w:line="360" w:lineRule="auto"/>
        <w:rPr>
          <w:rFonts w:ascii="宋体" w:hAnsi="宋体"/>
          <w:sz w:val="24"/>
          <w:szCs w:val="20"/>
        </w:rPr>
      </w:pPr>
      <w:r>
        <w:rPr>
          <w:rFonts w:ascii="宋体" w:hAnsi="宋体"/>
          <w:sz w:val="24"/>
          <w:szCs w:val="20"/>
        </w:rPr>
        <w:t xml:space="preserve"> </w:t>
      </w:r>
    </w:p>
    <w:p w14:paraId="29979954">
      <w:pPr>
        <w:spacing w:line="360" w:lineRule="auto"/>
        <w:rPr>
          <w:rFonts w:ascii="宋体" w:hAnsi="宋体"/>
          <w:szCs w:val="21"/>
        </w:rPr>
      </w:pPr>
    </w:p>
    <w:p w14:paraId="74C12695">
      <w:pPr>
        <w:spacing w:line="360" w:lineRule="auto"/>
        <w:rPr>
          <w:rFonts w:ascii="宋体" w:hAnsi="宋体"/>
          <w:szCs w:val="21"/>
        </w:rPr>
      </w:pPr>
    </w:p>
    <w:p w14:paraId="148F0D81">
      <w:pPr>
        <w:spacing w:line="360" w:lineRule="auto"/>
        <w:rPr>
          <w:rFonts w:ascii="宋体" w:hAnsi="宋体"/>
          <w:szCs w:val="21"/>
        </w:rPr>
      </w:pPr>
    </w:p>
    <w:p w14:paraId="530C1555">
      <w:pPr>
        <w:spacing w:line="360" w:lineRule="auto"/>
        <w:rPr>
          <w:rFonts w:ascii="宋体" w:hAnsi="宋体"/>
          <w:szCs w:val="21"/>
        </w:rPr>
      </w:pPr>
    </w:p>
    <w:p w14:paraId="3541E1A6">
      <w:pPr>
        <w:spacing w:line="300" w:lineRule="auto"/>
        <w:rPr>
          <w:rFonts w:ascii="宋体" w:hAnsi="宋体"/>
          <w:szCs w:val="21"/>
        </w:rPr>
      </w:pPr>
    </w:p>
    <w:p w14:paraId="624434E8">
      <w:pPr>
        <w:spacing w:line="300" w:lineRule="auto"/>
        <w:rPr>
          <w:rFonts w:ascii="宋体" w:hAnsi="宋体"/>
          <w:szCs w:val="21"/>
        </w:rPr>
      </w:pPr>
    </w:p>
    <w:p w14:paraId="4E0E232E">
      <w:pPr>
        <w:spacing w:line="300" w:lineRule="auto"/>
        <w:rPr>
          <w:rFonts w:ascii="宋体" w:hAnsi="宋体"/>
          <w:szCs w:val="21"/>
        </w:rPr>
      </w:pPr>
    </w:p>
    <w:p w14:paraId="513E8BCC">
      <w:pPr>
        <w:spacing w:line="300" w:lineRule="auto"/>
        <w:rPr>
          <w:rFonts w:ascii="宋体" w:hAnsi="宋体"/>
          <w:szCs w:val="21"/>
        </w:rPr>
      </w:pPr>
    </w:p>
    <w:p w14:paraId="267F1024">
      <w:pPr>
        <w:spacing w:line="300" w:lineRule="auto"/>
        <w:rPr>
          <w:rFonts w:ascii="宋体" w:hAnsi="宋体"/>
          <w:szCs w:val="21"/>
        </w:rPr>
      </w:pPr>
    </w:p>
    <w:p w14:paraId="2FA17933">
      <w:pPr>
        <w:spacing w:line="300" w:lineRule="auto"/>
        <w:rPr>
          <w:rFonts w:ascii="宋体" w:hAnsi="宋体"/>
          <w:szCs w:val="21"/>
        </w:rPr>
      </w:pPr>
    </w:p>
    <w:p w14:paraId="0A19D3A2">
      <w:pPr>
        <w:spacing w:line="300" w:lineRule="auto"/>
        <w:rPr>
          <w:rFonts w:ascii="宋体" w:hAnsi="宋体"/>
          <w:szCs w:val="21"/>
        </w:rPr>
      </w:pPr>
    </w:p>
    <w:p w14:paraId="25A5D143">
      <w:pPr>
        <w:spacing w:line="300" w:lineRule="auto"/>
        <w:rPr>
          <w:rFonts w:ascii="宋体" w:hAnsi="宋体"/>
          <w:szCs w:val="21"/>
        </w:rPr>
      </w:pPr>
    </w:p>
    <w:p w14:paraId="6FA40CBB">
      <w:pPr>
        <w:spacing w:line="300" w:lineRule="auto"/>
        <w:rPr>
          <w:rFonts w:ascii="宋体" w:hAnsi="宋体"/>
          <w:szCs w:val="21"/>
        </w:rPr>
      </w:pPr>
    </w:p>
    <w:p w14:paraId="31A56EB3">
      <w:pPr>
        <w:spacing w:line="300" w:lineRule="auto"/>
        <w:rPr>
          <w:rFonts w:ascii="宋体" w:hAnsi="宋体"/>
          <w:szCs w:val="21"/>
        </w:rPr>
      </w:pPr>
    </w:p>
    <w:p w14:paraId="7B41D078">
      <w:pPr>
        <w:spacing w:line="300" w:lineRule="auto"/>
        <w:rPr>
          <w:rFonts w:ascii="宋体" w:hAnsi="宋体"/>
          <w:szCs w:val="21"/>
        </w:rPr>
      </w:pPr>
    </w:p>
    <w:p w14:paraId="178A3374">
      <w:pPr>
        <w:spacing w:line="320" w:lineRule="exact"/>
        <w:jc w:val="left"/>
        <w:rPr>
          <w:rFonts w:ascii="宋体" w:hAnsi="宋体"/>
          <w:szCs w:val="21"/>
        </w:rPr>
      </w:pPr>
    </w:p>
    <w:p w14:paraId="125298AF">
      <w:pPr>
        <w:snapToGrid w:val="0"/>
        <w:spacing w:beforeLines="50" w:after="50"/>
        <w:jc w:val="center"/>
        <w:rPr>
          <w:rFonts w:ascii="宋体" w:hAnsi="宋体"/>
          <w:b/>
          <w:sz w:val="32"/>
          <w:szCs w:val="32"/>
        </w:rPr>
      </w:pPr>
      <w:r>
        <w:rPr>
          <w:rFonts w:ascii="宋体" w:hAnsi="宋体"/>
          <w:b/>
          <w:sz w:val="32"/>
          <w:szCs w:val="32"/>
        </w:rPr>
        <w:br w:type="page"/>
      </w:r>
      <w:r>
        <w:rPr>
          <w:rFonts w:hint="eastAsia" w:ascii="宋体" w:hAnsi="宋体"/>
          <w:b/>
          <w:sz w:val="32"/>
          <w:szCs w:val="32"/>
        </w:rPr>
        <w:t>供应商直接控股、管理关系信息表</w:t>
      </w:r>
    </w:p>
    <w:p w14:paraId="7FE50A67">
      <w:pPr>
        <w:snapToGrid w:val="0"/>
        <w:spacing w:beforeLines="50" w:after="50"/>
        <w:jc w:val="center"/>
        <w:rPr>
          <w:rFonts w:ascii="宋体" w:hAnsi="宋体"/>
          <w:b/>
          <w:sz w:val="32"/>
          <w:szCs w:val="32"/>
        </w:rPr>
      </w:pPr>
    </w:p>
    <w:p w14:paraId="7FD47ABD">
      <w:pPr>
        <w:snapToGrid w:val="0"/>
        <w:spacing w:beforeLines="50" w:after="50"/>
        <w:jc w:val="center"/>
        <w:rPr>
          <w:rFonts w:ascii="宋体" w:hAnsi="宋体"/>
          <w:b/>
          <w:sz w:val="32"/>
          <w:szCs w:val="32"/>
        </w:rPr>
      </w:pPr>
      <w:r>
        <w:rPr>
          <w:rFonts w:hint="eastAsia" w:ascii="宋体" w:hAnsi="宋体"/>
          <w:b/>
          <w:sz w:val="32"/>
          <w:szCs w:val="32"/>
        </w:rPr>
        <w:t>供应商直接控股股东信息表</w:t>
      </w:r>
    </w:p>
    <w:p w14:paraId="726AC93D">
      <w:pPr>
        <w:snapToGrid w:val="0"/>
        <w:spacing w:before="50" w:afterLines="50"/>
        <w:jc w:val="center"/>
        <w:rPr>
          <w:rFonts w:ascii="宋体" w:hAnsi="宋体"/>
          <w:b/>
          <w:sz w:val="32"/>
          <w:szCs w:val="32"/>
        </w:rPr>
      </w:pPr>
    </w:p>
    <w:tbl>
      <w:tblPr>
        <w:tblStyle w:val="27"/>
        <w:tblW w:w="9698" w:type="dxa"/>
        <w:jc w:val="center"/>
        <w:shd w:val="clear" w:color="auto" w:fill="FBFBFB"/>
        <w:tblLayout w:type="fixed"/>
        <w:tblCellMar>
          <w:top w:w="0" w:type="dxa"/>
          <w:left w:w="0" w:type="dxa"/>
          <w:bottom w:w="0" w:type="dxa"/>
          <w:right w:w="0" w:type="dxa"/>
        </w:tblCellMar>
      </w:tblPr>
      <w:tblGrid>
        <w:gridCol w:w="841"/>
        <w:gridCol w:w="2538"/>
        <w:gridCol w:w="1390"/>
        <w:gridCol w:w="4098"/>
        <w:gridCol w:w="831"/>
      </w:tblGrid>
      <w:tr w14:paraId="17033BA1">
        <w:tblPrEx>
          <w:shd w:val="clear" w:color="auto" w:fill="FBFBFB"/>
          <w:tblCellMar>
            <w:top w:w="0" w:type="dxa"/>
            <w:left w:w="0" w:type="dxa"/>
            <w:bottom w:w="0" w:type="dxa"/>
            <w:right w:w="0" w:type="dxa"/>
          </w:tblCellMar>
        </w:tblPrEx>
        <w:trPr>
          <w:trHeight w:val="1035" w:hRule="atLeast"/>
          <w:tblHeader/>
          <w:jc w:val="center"/>
        </w:trPr>
        <w:tc>
          <w:tcPr>
            <w:tcW w:w="84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447288B">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序号</w:t>
            </w:r>
          </w:p>
        </w:tc>
        <w:tc>
          <w:tcPr>
            <w:tcW w:w="253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278242D">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直接控股股东名称</w:t>
            </w:r>
          </w:p>
        </w:tc>
        <w:tc>
          <w:tcPr>
            <w:tcW w:w="139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25E072B">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出资比例</w:t>
            </w:r>
          </w:p>
        </w:tc>
        <w:tc>
          <w:tcPr>
            <w:tcW w:w="409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7117218">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身份证号码或者统一社会信用代码</w:t>
            </w:r>
          </w:p>
        </w:tc>
        <w:tc>
          <w:tcPr>
            <w:tcW w:w="83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AB95C8B">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备注</w:t>
            </w:r>
          </w:p>
        </w:tc>
      </w:tr>
      <w:tr w14:paraId="216C6E11">
        <w:tblPrEx>
          <w:tblCellMar>
            <w:top w:w="0" w:type="dxa"/>
            <w:left w:w="0" w:type="dxa"/>
            <w:bottom w:w="0" w:type="dxa"/>
            <w:right w:w="0" w:type="dxa"/>
          </w:tblCellMar>
        </w:tblPrEx>
        <w:trPr>
          <w:trHeight w:val="525"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6A09B6">
            <w:pPr>
              <w:widowControl/>
              <w:spacing w:line="360" w:lineRule="auto"/>
              <w:jc w:val="center"/>
              <w:rPr>
                <w:rFonts w:ascii="宋体" w:hAnsi="宋体" w:cs="宋体"/>
                <w:kern w:val="0"/>
                <w:sz w:val="28"/>
                <w:szCs w:val="28"/>
              </w:rPr>
            </w:pPr>
            <w:r>
              <w:rPr>
                <w:rFonts w:hint="eastAsia" w:ascii="宋体" w:hAnsi="宋体" w:cs="宋体"/>
                <w:kern w:val="0"/>
                <w:sz w:val="28"/>
                <w:szCs w:val="28"/>
              </w:rPr>
              <w:t>1</w:t>
            </w:r>
          </w:p>
        </w:tc>
        <w:tc>
          <w:tcPr>
            <w:tcW w:w="253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A61FFD">
            <w:pPr>
              <w:widowControl/>
              <w:spacing w:line="360" w:lineRule="auto"/>
              <w:jc w:val="center"/>
              <w:rPr>
                <w:rFonts w:ascii="宋体" w:hAnsi="宋体" w:cs="宋体"/>
                <w:kern w:val="0"/>
                <w:sz w:val="28"/>
                <w:szCs w:val="28"/>
              </w:rPr>
            </w:pPr>
          </w:p>
        </w:tc>
        <w:tc>
          <w:tcPr>
            <w:tcW w:w="139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F18A8E">
            <w:pPr>
              <w:widowControl/>
              <w:spacing w:line="360" w:lineRule="auto"/>
              <w:jc w:val="center"/>
              <w:rPr>
                <w:rFonts w:ascii="宋体" w:hAnsi="宋体" w:cs="宋体"/>
                <w:kern w:val="0"/>
                <w:sz w:val="28"/>
                <w:szCs w:val="28"/>
              </w:rPr>
            </w:pPr>
          </w:p>
        </w:tc>
        <w:tc>
          <w:tcPr>
            <w:tcW w:w="409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E23267">
            <w:pPr>
              <w:widowControl/>
              <w:spacing w:line="360" w:lineRule="auto"/>
              <w:jc w:val="center"/>
              <w:rPr>
                <w:rFonts w:ascii="宋体" w:hAnsi="宋体" w:cs="宋体"/>
                <w:kern w:val="0"/>
                <w:sz w:val="28"/>
                <w:szCs w:val="28"/>
              </w:rPr>
            </w:pPr>
          </w:p>
        </w:tc>
        <w:tc>
          <w:tcPr>
            <w:tcW w:w="83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5C77E3">
            <w:pPr>
              <w:widowControl/>
              <w:spacing w:line="360" w:lineRule="auto"/>
              <w:jc w:val="center"/>
              <w:rPr>
                <w:rFonts w:ascii="宋体" w:hAnsi="宋体" w:cs="宋体"/>
                <w:kern w:val="0"/>
                <w:sz w:val="28"/>
                <w:szCs w:val="28"/>
              </w:rPr>
            </w:pPr>
          </w:p>
        </w:tc>
      </w:tr>
      <w:tr w14:paraId="24467DD5">
        <w:tblPrEx>
          <w:tblCellMar>
            <w:top w:w="0" w:type="dxa"/>
            <w:left w:w="0" w:type="dxa"/>
            <w:bottom w:w="0" w:type="dxa"/>
            <w:right w:w="0" w:type="dxa"/>
          </w:tblCellMar>
        </w:tblPrEx>
        <w:trPr>
          <w:trHeight w:val="495"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413449">
            <w:pPr>
              <w:widowControl/>
              <w:spacing w:line="360" w:lineRule="auto"/>
              <w:jc w:val="center"/>
              <w:rPr>
                <w:rFonts w:ascii="宋体" w:hAnsi="宋体" w:cs="宋体"/>
                <w:kern w:val="0"/>
                <w:sz w:val="28"/>
                <w:szCs w:val="28"/>
              </w:rPr>
            </w:pPr>
            <w:r>
              <w:rPr>
                <w:rFonts w:hint="eastAsia" w:ascii="宋体" w:hAnsi="宋体" w:cs="宋体"/>
                <w:kern w:val="0"/>
                <w:sz w:val="28"/>
                <w:szCs w:val="28"/>
              </w:rPr>
              <w:t>2</w:t>
            </w:r>
          </w:p>
        </w:tc>
        <w:tc>
          <w:tcPr>
            <w:tcW w:w="253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84A601">
            <w:pPr>
              <w:widowControl/>
              <w:spacing w:line="360" w:lineRule="auto"/>
              <w:jc w:val="center"/>
              <w:rPr>
                <w:rFonts w:ascii="宋体" w:hAnsi="宋体" w:cs="宋体"/>
                <w:kern w:val="0"/>
                <w:sz w:val="28"/>
                <w:szCs w:val="28"/>
              </w:rPr>
            </w:pPr>
          </w:p>
        </w:tc>
        <w:tc>
          <w:tcPr>
            <w:tcW w:w="139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FC29F0">
            <w:pPr>
              <w:widowControl/>
              <w:spacing w:line="360" w:lineRule="auto"/>
              <w:jc w:val="center"/>
              <w:rPr>
                <w:rFonts w:ascii="宋体" w:hAnsi="宋体" w:cs="宋体"/>
                <w:kern w:val="0"/>
                <w:sz w:val="28"/>
                <w:szCs w:val="28"/>
              </w:rPr>
            </w:pPr>
          </w:p>
        </w:tc>
        <w:tc>
          <w:tcPr>
            <w:tcW w:w="409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068828">
            <w:pPr>
              <w:widowControl/>
              <w:spacing w:line="360" w:lineRule="auto"/>
              <w:jc w:val="center"/>
              <w:rPr>
                <w:rFonts w:ascii="宋体" w:hAnsi="宋体" w:cs="宋体"/>
                <w:kern w:val="0"/>
                <w:sz w:val="28"/>
                <w:szCs w:val="28"/>
              </w:rPr>
            </w:pPr>
          </w:p>
        </w:tc>
        <w:tc>
          <w:tcPr>
            <w:tcW w:w="83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00E75D">
            <w:pPr>
              <w:widowControl/>
              <w:spacing w:line="360" w:lineRule="auto"/>
              <w:jc w:val="center"/>
              <w:rPr>
                <w:rFonts w:ascii="宋体" w:hAnsi="宋体" w:cs="宋体"/>
                <w:kern w:val="0"/>
                <w:sz w:val="28"/>
                <w:szCs w:val="28"/>
              </w:rPr>
            </w:pPr>
          </w:p>
        </w:tc>
      </w:tr>
      <w:tr w14:paraId="2BBCCF36">
        <w:tblPrEx>
          <w:tblCellMar>
            <w:top w:w="0" w:type="dxa"/>
            <w:left w:w="0" w:type="dxa"/>
            <w:bottom w:w="0" w:type="dxa"/>
            <w:right w:w="0" w:type="dxa"/>
          </w:tblCellMar>
        </w:tblPrEx>
        <w:trPr>
          <w:trHeight w:val="564"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625B12">
            <w:pPr>
              <w:widowControl/>
              <w:spacing w:line="360" w:lineRule="auto"/>
              <w:jc w:val="center"/>
              <w:rPr>
                <w:rFonts w:ascii="宋体" w:hAnsi="宋体" w:cs="宋体"/>
                <w:kern w:val="0"/>
                <w:sz w:val="28"/>
                <w:szCs w:val="28"/>
              </w:rPr>
            </w:pPr>
            <w:r>
              <w:rPr>
                <w:rFonts w:hint="eastAsia" w:ascii="宋体" w:hAnsi="宋体" w:cs="宋体"/>
                <w:kern w:val="0"/>
                <w:sz w:val="28"/>
                <w:szCs w:val="28"/>
              </w:rPr>
              <w:t>3</w:t>
            </w:r>
          </w:p>
        </w:tc>
        <w:tc>
          <w:tcPr>
            <w:tcW w:w="253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04D390">
            <w:pPr>
              <w:widowControl/>
              <w:spacing w:line="360" w:lineRule="auto"/>
              <w:jc w:val="center"/>
              <w:rPr>
                <w:rFonts w:ascii="宋体" w:hAnsi="宋体" w:cs="宋体"/>
                <w:kern w:val="0"/>
                <w:sz w:val="28"/>
                <w:szCs w:val="28"/>
              </w:rPr>
            </w:pPr>
          </w:p>
        </w:tc>
        <w:tc>
          <w:tcPr>
            <w:tcW w:w="139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B362C7">
            <w:pPr>
              <w:widowControl/>
              <w:spacing w:line="360" w:lineRule="auto"/>
              <w:jc w:val="center"/>
              <w:rPr>
                <w:rFonts w:ascii="宋体" w:hAnsi="宋体" w:cs="宋体"/>
                <w:kern w:val="0"/>
                <w:sz w:val="28"/>
                <w:szCs w:val="28"/>
              </w:rPr>
            </w:pPr>
          </w:p>
        </w:tc>
        <w:tc>
          <w:tcPr>
            <w:tcW w:w="409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D82EBB">
            <w:pPr>
              <w:widowControl/>
              <w:spacing w:line="360" w:lineRule="auto"/>
              <w:jc w:val="center"/>
              <w:rPr>
                <w:rFonts w:ascii="宋体" w:hAnsi="宋体" w:cs="宋体"/>
                <w:kern w:val="0"/>
                <w:sz w:val="28"/>
                <w:szCs w:val="28"/>
              </w:rPr>
            </w:pPr>
          </w:p>
        </w:tc>
        <w:tc>
          <w:tcPr>
            <w:tcW w:w="83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9B8071">
            <w:pPr>
              <w:widowControl/>
              <w:spacing w:line="360" w:lineRule="auto"/>
              <w:jc w:val="center"/>
              <w:rPr>
                <w:rFonts w:ascii="宋体" w:hAnsi="宋体" w:cs="宋体"/>
                <w:kern w:val="0"/>
                <w:sz w:val="28"/>
                <w:szCs w:val="28"/>
              </w:rPr>
            </w:pPr>
          </w:p>
        </w:tc>
      </w:tr>
      <w:tr w14:paraId="31F2877A">
        <w:tblPrEx>
          <w:tblCellMar>
            <w:top w:w="0" w:type="dxa"/>
            <w:left w:w="0" w:type="dxa"/>
            <w:bottom w:w="0" w:type="dxa"/>
            <w:right w:w="0" w:type="dxa"/>
          </w:tblCellMar>
        </w:tblPrEx>
        <w:trPr>
          <w:trHeight w:val="680"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1F65CF">
            <w:pPr>
              <w:widowControl/>
              <w:spacing w:line="360" w:lineRule="auto"/>
              <w:jc w:val="center"/>
              <w:rPr>
                <w:rFonts w:ascii="宋体" w:hAnsi="宋体" w:cs="宋体"/>
                <w:kern w:val="0"/>
                <w:sz w:val="28"/>
                <w:szCs w:val="28"/>
              </w:rPr>
            </w:pPr>
            <w:r>
              <w:rPr>
                <w:rFonts w:hint="eastAsia" w:ascii="宋体" w:hAnsi="宋体" w:cs="宋体"/>
                <w:kern w:val="0"/>
                <w:sz w:val="28"/>
                <w:szCs w:val="28"/>
              </w:rPr>
              <w:t>……</w:t>
            </w:r>
          </w:p>
        </w:tc>
        <w:tc>
          <w:tcPr>
            <w:tcW w:w="253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DB5981">
            <w:pPr>
              <w:widowControl/>
              <w:spacing w:line="360" w:lineRule="auto"/>
              <w:jc w:val="center"/>
              <w:rPr>
                <w:rFonts w:ascii="宋体" w:hAnsi="宋体" w:cs="宋体"/>
                <w:kern w:val="0"/>
                <w:sz w:val="28"/>
                <w:szCs w:val="28"/>
              </w:rPr>
            </w:pPr>
          </w:p>
        </w:tc>
        <w:tc>
          <w:tcPr>
            <w:tcW w:w="139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2F153F">
            <w:pPr>
              <w:widowControl/>
              <w:spacing w:line="360" w:lineRule="auto"/>
              <w:jc w:val="center"/>
              <w:rPr>
                <w:rFonts w:ascii="宋体" w:hAnsi="宋体" w:cs="宋体"/>
                <w:kern w:val="0"/>
                <w:sz w:val="28"/>
                <w:szCs w:val="28"/>
              </w:rPr>
            </w:pPr>
          </w:p>
        </w:tc>
        <w:tc>
          <w:tcPr>
            <w:tcW w:w="409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DBF015">
            <w:pPr>
              <w:widowControl/>
              <w:spacing w:line="360" w:lineRule="auto"/>
              <w:jc w:val="center"/>
              <w:rPr>
                <w:rFonts w:ascii="宋体" w:hAnsi="宋体" w:cs="宋体"/>
                <w:kern w:val="0"/>
                <w:sz w:val="28"/>
                <w:szCs w:val="28"/>
              </w:rPr>
            </w:pPr>
          </w:p>
        </w:tc>
        <w:tc>
          <w:tcPr>
            <w:tcW w:w="83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1216FB">
            <w:pPr>
              <w:widowControl/>
              <w:spacing w:line="360" w:lineRule="auto"/>
              <w:jc w:val="center"/>
              <w:rPr>
                <w:rFonts w:ascii="宋体" w:hAnsi="宋体" w:cs="宋体"/>
                <w:kern w:val="0"/>
                <w:sz w:val="28"/>
                <w:szCs w:val="28"/>
              </w:rPr>
            </w:pPr>
          </w:p>
        </w:tc>
      </w:tr>
    </w:tbl>
    <w:p w14:paraId="6B7D8828">
      <w:pPr>
        <w:spacing w:line="360" w:lineRule="auto"/>
        <w:contextualSpacing/>
        <w:jc w:val="left"/>
        <w:rPr>
          <w:rFonts w:ascii="宋体" w:hAnsi="宋体" w:cs="宋体"/>
          <w:sz w:val="24"/>
        </w:rPr>
      </w:pPr>
      <w:r>
        <w:rPr>
          <w:rFonts w:hint="eastAsia" w:ascii="宋体" w:hAnsi="宋体" w:cs="宋体"/>
          <w:sz w:val="24"/>
        </w:rPr>
        <w:t>注：</w:t>
      </w:r>
    </w:p>
    <w:p w14:paraId="6A9AA498">
      <w:pPr>
        <w:spacing w:line="360" w:lineRule="auto"/>
        <w:ind w:firstLine="480" w:firstLineChars="200"/>
        <w:contextualSpacing/>
        <w:jc w:val="left"/>
        <w:rPr>
          <w:rFonts w:ascii="宋体" w:hAnsi="宋体" w:cs="宋体"/>
          <w:sz w:val="24"/>
        </w:rPr>
      </w:pPr>
      <w:r>
        <w:rPr>
          <w:rFonts w:hint="eastAsia" w:ascii="宋体" w:hAnsi="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5109607">
      <w:pPr>
        <w:spacing w:line="360" w:lineRule="auto"/>
        <w:ind w:firstLine="480" w:firstLineChars="200"/>
        <w:contextualSpacing/>
        <w:jc w:val="left"/>
        <w:rPr>
          <w:rFonts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14:paraId="2BE8C8FB">
      <w:pPr>
        <w:spacing w:line="360" w:lineRule="auto"/>
        <w:ind w:firstLine="480" w:firstLineChars="200"/>
        <w:contextualSpacing/>
        <w:jc w:val="left"/>
        <w:rPr>
          <w:rFonts w:ascii="宋体" w:hAnsi="宋体" w:cs="宋体"/>
          <w:sz w:val="24"/>
        </w:rPr>
      </w:pPr>
      <w:r>
        <w:rPr>
          <w:rFonts w:hint="eastAsia" w:ascii="宋体" w:hAnsi="宋体" w:cs="宋体"/>
          <w:sz w:val="24"/>
        </w:rPr>
        <w:t>3.供应商不存在直接控股股东的，则填“无”。</w:t>
      </w:r>
    </w:p>
    <w:p w14:paraId="61C1D4C0">
      <w:pPr>
        <w:spacing w:line="360" w:lineRule="auto"/>
        <w:ind w:firstLine="420" w:firstLineChars="200"/>
        <w:contextualSpacing/>
        <w:jc w:val="left"/>
        <w:rPr>
          <w:rFonts w:ascii="宋体" w:hAnsi="宋体" w:cs="宋体"/>
          <w:szCs w:val="21"/>
        </w:rPr>
      </w:pPr>
    </w:p>
    <w:p w14:paraId="49DF6BF5">
      <w:pPr>
        <w:spacing w:line="360" w:lineRule="auto"/>
        <w:ind w:firstLine="560" w:firstLineChars="200"/>
        <w:contextualSpacing/>
        <w:jc w:val="left"/>
        <w:rPr>
          <w:rFonts w:ascii="宋体" w:hAnsi="宋体" w:cs="宋体"/>
          <w:sz w:val="28"/>
          <w:szCs w:val="28"/>
        </w:rPr>
      </w:pPr>
    </w:p>
    <w:p w14:paraId="12BB6F5B">
      <w:pPr>
        <w:spacing w:line="360" w:lineRule="auto"/>
        <w:ind w:right="480"/>
        <w:contextualSpacing/>
        <w:jc w:val="center"/>
        <w:rPr>
          <w:rFonts w:ascii="宋体" w:hAnsi="宋体" w:cs="宋体"/>
          <w:sz w:val="24"/>
          <w:u w:val="single"/>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法定代表人或者委托代理人签字：</w:t>
      </w:r>
      <w:r>
        <w:rPr>
          <w:rFonts w:hint="eastAsia" w:ascii="宋体" w:hAnsi="宋体" w:cs="宋体"/>
          <w:sz w:val="24"/>
          <w:u w:val="single"/>
        </w:rPr>
        <w:t xml:space="preserve"> </w:t>
      </w:r>
      <w:r>
        <w:rPr>
          <w:rFonts w:ascii="宋体" w:hAnsi="宋体" w:cs="宋体"/>
          <w:sz w:val="24"/>
          <w:u w:val="single"/>
        </w:rPr>
        <w:t xml:space="preserve">                   </w:t>
      </w:r>
    </w:p>
    <w:p w14:paraId="5DDCC170">
      <w:pPr>
        <w:spacing w:line="360" w:lineRule="auto"/>
        <w:ind w:right="480" w:firstLine="3360" w:firstLineChars="1400"/>
        <w:contextualSpacing/>
        <w:rPr>
          <w:rFonts w:ascii="宋体" w:hAnsi="宋体" w:cs="宋体"/>
          <w:sz w:val="24"/>
          <w:u w:val="single"/>
        </w:rPr>
      </w:pPr>
      <w:r>
        <w:rPr>
          <w:rFonts w:hint="eastAsia" w:ascii="宋体" w:hAnsi="宋体" w:cs="宋体"/>
          <w:sz w:val="24"/>
        </w:rPr>
        <w:t xml:space="preserve">供应商（盖公章 ）： </w:t>
      </w:r>
      <w:r>
        <w:rPr>
          <w:rFonts w:hint="eastAsia" w:ascii="宋体" w:hAnsi="宋体" w:cs="宋体"/>
          <w:sz w:val="24"/>
          <w:u w:val="single"/>
        </w:rPr>
        <w:t xml:space="preserve">                              </w:t>
      </w:r>
    </w:p>
    <w:p w14:paraId="272571B5">
      <w:pPr>
        <w:spacing w:line="360" w:lineRule="auto"/>
        <w:ind w:right="480" w:firstLine="5280" w:firstLineChars="2200"/>
        <w:contextualSpacing/>
        <w:rPr>
          <w:rFonts w:ascii="宋体" w:hAnsi="宋体" w:cs="宋体"/>
          <w:sz w:val="28"/>
          <w:szCs w:val="28"/>
        </w:rPr>
      </w:pPr>
      <w:r>
        <w:rPr>
          <w:rFonts w:hint="eastAsia" w:ascii="宋体" w:hAnsi="宋体" w:cs="宋体"/>
          <w:sz w:val="24"/>
        </w:rPr>
        <w:t>年    月    日</w:t>
      </w:r>
    </w:p>
    <w:p w14:paraId="203933A4">
      <w:pPr>
        <w:snapToGrid w:val="0"/>
        <w:jc w:val="center"/>
        <w:rPr>
          <w:rFonts w:ascii="宋体" w:hAnsi="宋体"/>
          <w:b/>
          <w:sz w:val="28"/>
          <w:szCs w:val="28"/>
        </w:rPr>
      </w:pPr>
      <w:r>
        <w:rPr>
          <w:rFonts w:ascii="宋体" w:hAnsi="宋体"/>
          <w:b/>
          <w:sz w:val="28"/>
          <w:szCs w:val="28"/>
        </w:rPr>
        <w:br w:type="page"/>
      </w:r>
    </w:p>
    <w:p w14:paraId="78EA125A">
      <w:pPr>
        <w:snapToGrid w:val="0"/>
        <w:jc w:val="center"/>
        <w:rPr>
          <w:rFonts w:ascii="宋体" w:hAnsi="宋体"/>
          <w:b/>
          <w:sz w:val="32"/>
          <w:szCs w:val="32"/>
        </w:rPr>
      </w:pPr>
      <w:r>
        <w:rPr>
          <w:rFonts w:hint="eastAsia" w:ascii="宋体" w:hAnsi="宋体"/>
          <w:b/>
          <w:sz w:val="32"/>
          <w:szCs w:val="32"/>
        </w:rPr>
        <w:t>供应商直接管理关系信息表</w:t>
      </w:r>
    </w:p>
    <w:p w14:paraId="35BBA5D2">
      <w:pPr>
        <w:snapToGrid w:val="0"/>
        <w:jc w:val="center"/>
        <w:rPr>
          <w:rFonts w:ascii="宋体" w:hAnsi="宋体"/>
          <w:b/>
          <w:sz w:val="32"/>
          <w:szCs w:val="32"/>
        </w:rPr>
      </w:pPr>
    </w:p>
    <w:tbl>
      <w:tblPr>
        <w:tblStyle w:val="27"/>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6FB812CF">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28210C8">
            <w:pPr>
              <w:widowControl/>
              <w:jc w:val="center"/>
              <w:rPr>
                <w:rFonts w:ascii="宋体" w:hAnsi="宋体" w:cs="宋体"/>
                <w:b/>
                <w:bCs/>
                <w:kern w:val="0"/>
                <w:sz w:val="28"/>
                <w:szCs w:val="28"/>
              </w:rPr>
            </w:pPr>
            <w:r>
              <w:rPr>
                <w:rFonts w:hint="eastAsia" w:ascii="宋体" w:hAnsi="宋体" w:cs="宋体"/>
                <w:b/>
                <w:bCs/>
                <w:kern w:val="0"/>
                <w:sz w:val="28"/>
                <w:szCs w:val="28"/>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6056D6C">
            <w:pPr>
              <w:widowControl/>
              <w:jc w:val="center"/>
              <w:rPr>
                <w:rFonts w:ascii="宋体" w:hAnsi="宋体" w:cs="宋体"/>
                <w:b/>
                <w:bCs/>
                <w:kern w:val="0"/>
                <w:sz w:val="28"/>
                <w:szCs w:val="28"/>
              </w:rPr>
            </w:pPr>
            <w:r>
              <w:rPr>
                <w:rFonts w:hint="eastAsia" w:ascii="宋体" w:hAnsi="宋体" w:cs="宋体"/>
                <w:b/>
                <w:bCs/>
                <w:kern w:val="0"/>
                <w:sz w:val="28"/>
                <w:szCs w:val="28"/>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FAC08C0">
            <w:pPr>
              <w:widowControl/>
              <w:jc w:val="center"/>
              <w:rPr>
                <w:rFonts w:ascii="宋体" w:hAnsi="宋体" w:cs="宋体"/>
                <w:b/>
                <w:bCs/>
                <w:kern w:val="0"/>
                <w:sz w:val="28"/>
                <w:szCs w:val="28"/>
              </w:rPr>
            </w:pPr>
            <w:r>
              <w:rPr>
                <w:rFonts w:hint="eastAsia" w:ascii="宋体" w:hAnsi="宋体" w:cs="宋体"/>
                <w:b/>
                <w:bCs/>
                <w:kern w:val="0"/>
                <w:sz w:val="28"/>
                <w:szCs w:val="28"/>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DA9B133">
            <w:pPr>
              <w:widowControl/>
              <w:jc w:val="center"/>
              <w:rPr>
                <w:rFonts w:ascii="宋体" w:hAnsi="宋体" w:cs="宋体"/>
                <w:b/>
                <w:bCs/>
                <w:kern w:val="0"/>
                <w:sz w:val="28"/>
                <w:szCs w:val="28"/>
              </w:rPr>
            </w:pPr>
            <w:r>
              <w:rPr>
                <w:rFonts w:hint="eastAsia" w:ascii="宋体" w:hAnsi="宋体" w:cs="宋体"/>
                <w:b/>
                <w:bCs/>
                <w:kern w:val="0"/>
                <w:sz w:val="28"/>
                <w:szCs w:val="28"/>
              </w:rPr>
              <w:t>备注</w:t>
            </w:r>
          </w:p>
        </w:tc>
      </w:tr>
      <w:tr w14:paraId="08FEF64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50250A">
            <w:pPr>
              <w:widowControl/>
              <w:wordWrap w:val="0"/>
              <w:spacing w:line="200" w:lineRule="atLeast"/>
              <w:jc w:val="center"/>
              <w:rPr>
                <w:rFonts w:ascii="宋体" w:hAnsi="宋体" w:cs="宋体"/>
                <w:kern w:val="0"/>
                <w:sz w:val="28"/>
                <w:szCs w:val="28"/>
              </w:rPr>
            </w:pPr>
            <w:r>
              <w:rPr>
                <w:rFonts w:hint="eastAsia" w:ascii="宋体" w:hAnsi="宋体" w:cs="宋体"/>
                <w:kern w:val="0"/>
                <w:sz w:val="28"/>
                <w:szCs w:val="28"/>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1FE7F4">
            <w:pPr>
              <w:widowControl/>
              <w:wordWrap w:val="0"/>
              <w:spacing w:line="200" w:lineRule="atLeast"/>
              <w:jc w:val="center"/>
              <w:rPr>
                <w:rFonts w:ascii="宋体" w:hAnsi="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FF680E">
            <w:pPr>
              <w:widowControl/>
              <w:wordWrap w:val="0"/>
              <w:spacing w:line="200" w:lineRule="atLeast"/>
              <w:jc w:val="center"/>
              <w:rPr>
                <w:rFonts w:ascii="宋体" w:hAnsi="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7208FD">
            <w:pPr>
              <w:widowControl/>
              <w:wordWrap w:val="0"/>
              <w:spacing w:line="200" w:lineRule="atLeast"/>
              <w:jc w:val="center"/>
              <w:rPr>
                <w:rFonts w:ascii="宋体" w:hAnsi="宋体" w:cs="宋体"/>
                <w:kern w:val="0"/>
                <w:sz w:val="28"/>
                <w:szCs w:val="28"/>
              </w:rPr>
            </w:pPr>
          </w:p>
        </w:tc>
      </w:tr>
      <w:tr w14:paraId="4BB75BF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CDA82E">
            <w:pPr>
              <w:widowControl/>
              <w:wordWrap w:val="0"/>
              <w:spacing w:line="200" w:lineRule="atLeast"/>
              <w:jc w:val="center"/>
              <w:rPr>
                <w:rFonts w:ascii="宋体" w:hAnsi="宋体" w:cs="宋体"/>
                <w:kern w:val="0"/>
                <w:sz w:val="28"/>
                <w:szCs w:val="28"/>
              </w:rPr>
            </w:pPr>
            <w:r>
              <w:rPr>
                <w:rFonts w:hint="eastAsia" w:ascii="宋体" w:hAnsi="宋体" w:cs="宋体"/>
                <w:kern w:val="0"/>
                <w:sz w:val="28"/>
                <w:szCs w:val="28"/>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86D6A5">
            <w:pPr>
              <w:widowControl/>
              <w:wordWrap w:val="0"/>
              <w:spacing w:line="200" w:lineRule="atLeast"/>
              <w:jc w:val="center"/>
              <w:rPr>
                <w:rFonts w:ascii="宋体" w:hAnsi="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5DCE24">
            <w:pPr>
              <w:widowControl/>
              <w:wordWrap w:val="0"/>
              <w:spacing w:line="200" w:lineRule="atLeast"/>
              <w:jc w:val="center"/>
              <w:rPr>
                <w:rFonts w:ascii="宋体" w:hAnsi="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986DE8">
            <w:pPr>
              <w:widowControl/>
              <w:wordWrap w:val="0"/>
              <w:spacing w:line="200" w:lineRule="atLeast"/>
              <w:jc w:val="center"/>
              <w:rPr>
                <w:rFonts w:ascii="宋体" w:hAnsi="宋体" w:cs="宋体"/>
                <w:kern w:val="0"/>
                <w:sz w:val="28"/>
                <w:szCs w:val="28"/>
              </w:rPr>
            </w:pPr>
          </w:p>
        </w:tc>
      </w:tr>
      <w:tr w14:paraId="19C6024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96FE83">
            <w:pPr>
              <w:widowControl/>
              <w:wordWrap w:val="0"/>
              <w:spacing w:line="200" w:lineRule="atLeast"/>
              <w:jc w:val="center"/>
              <w:rPr>
                <w:rFonts w:ascii="宋体" w:hAnsi="宋体" w:cs="宋体"/>
                <w:kern w:val="0"/>
                <w:sz w:val="28"/>
                <w:szCs w:val="28"/>
              </w:rPr>
            </w:pPr>
            <w:r>
              <w:rPr>
                <w:rFonts w:hint="eastAsia" w:ascii="宋体" w:hAnsi="宋体" w:cs="宋体"/>
                <w:kern w:val="0"/>
                <w:sz w:val="28"/>
                <w:szCs w:val="28"/>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2F5E740">
            <w:pPr>
              <w:widowControl/>
              <w:wordWrap w:val="0"/>
              <w:spacing w:line="200" w:lineRule="atLeast"/>
              <w:jc w:val="center"/>
              <w:rPr>
                <w:rFonts w:ascii="宋体" w:hAnsi="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CE4F62">
            <w:pPr>
              <w:widowControl/>
              <w:wordWrap w:val="0"/>
              <w:spacing w:line="200" w:lineRule="atLeast"/>
              <w:jc w:val="center"/>
              <w:rPr>
                <w:rFonts w:ascii="宋体" w:hAnsi="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4E9396">
            <w:pPr>
              <w:widowControl/>
              <w:wordWrap w:val="0"/>
              <w:spacing w:line="200" w:lineRule="atLeast"/>
              <w:jc w:val="center"/>
              <w:rPr>
                <w:rFonts w:ascii="宋体" w:hAnsi="宋体" w:cs="宋体"/>
                <w:kern w:val="0"/>
                <w:sz w:val="28"/>
                <w:szCs w:val="28"/>
              </w:rPr>
            </w:pPr>
          </w:p>
        </w:tc>
      </w:tr>
      <w:tr w14:paraId="52E9E68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250866">
            <w:pPr>
              <w:widowControl/>
              <w:wordWrap w:val="0"/>
              <w:spacing w:line="200" w:lineRule="atLeast"/>
              <w:jc w:val="center"/>
              <w:rPr>
                <w:rFonts w:ascii="宋体" w:hAnsi="宋体" w:cs="宋体"/>
                <w:kern w:val="0"/>
                <w:sz w:val="28"/>
                <w:szCs w:val="28"/>
              </w:rPr>
            </w:pPr>
            <w:r>
              <w:rPr>
                <w:rFonts w:hint="eastAsia" w:ascii="宋体" w:hAnsi="宋体" w:cs="宋体"/>
                <w:kern w:val="0"/>
                <w:sz w:val="28"/>
                <w:szCs w:val="28"/>
              </w:rPr>
              <w:t>……</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11D5D4">
            <w:pPr>
              <w:widowControl/>
              <w:wordWrap w:val="0"/>
              <w:spacing w:line="200" w:lineRule="atLeast"/>
              <w:jc w:val="center"/>
              <w:rPr>
                <w:rFonts w:ascii="宋体" w:hAnsi="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2F9BC03">
            <w:pPr>
              <w:widowControl/>
              <w:wordWrap w:val="0"/>
              <w:spacing w:line="200" w:lineRule="atLeast"/>
              <w:jc w:val="center"/>
              <w:rPr>
                <w:rFonts w:ascii="宋体" w:hAnsi="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09ACAE">
            <w:pPr>
              <w:widowControl/>
              <w:wordWrap w:val="0"/>
              <w:spacing w:line="200" w:lineRule="atLeast"/>
              <w:jc w:val="center"/>
              <w:rPr>
                <w:rFonts w:ascii="宋体" w:hAnsi="宋体" w:cs="宋体"/>
                <w:kern w:val="0"/>
                <w:sz w:val="28"/>
                <w:szCs w:val="28"/>
              </w:rPr>
            </w:pPr>
          </w:p>
        </w:tc>
      </w:tr>
    </w:tbl>
    <w:p w14:paraId="11D5944A">
      <w:pPr>
        <w:spacing w:line="360" w:lineRule="auto"/>
        <w:contextualSpacing/>
        <w:jc w:val="left"/>
        <w:rPr>
          <w:rFonts w:ascii="宋体" w:hAnsi="宋体"/>
          <w:sz w:val="24"/>
        </w:rPr>
      </w:pPr>
      <w:r>
        <w:rPr>
          <w:rFonts w:hint="eastAsia" w:ascii="宋体" w:hAnsi="宋体"/>
          <w:sz w:val="24"/>
        </w:rPr>
        <w:t>注：</w:t>
      </w:r>
    </w:p>
    <w:p w14:paraId="6C0C115E">
      <w:pPr>
        <w:spacing w:line="360" w:lineRule="auto"/>
        <w:ind w:firstLine="480" w:firstLineChars="200"/>
        <w:contextualSpacing/>
        <w:jc w:val="left"/>
        <w:rPr>
          <w:rFonts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6FE37120">
      <w:pPr>
        <w:spacing w:line="360" w:lineRule="auto"/>
        <w:ind w:firstLine="480" w:firstLineChars="200"/>
        <w:contextualSpacing/>
        <w:jc w:val="left"/>
        <w:rPr>
          <w:rFonts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14:paraId="724FB077">
      <w:pPr>
        <w:spacing w:line="360" w:lineRule="auto"/>
        <w:ind w:firstLine="480" w:firstLineChars="200"/>
        <w:contextualSpacing/>
        <w:jc w:val="left"/>
        <w:rPr>
          <w:rFonts w:ascii="宋体" w:hAnsi="宋体"/>
          <w:sz w:val="24"/>
        </w:rPr>
      </w:pPr>
      <w:r>
        <w:rPr>
          <w:rFonts w:hint="eastAsia" w:ascii="宋体" w:hAnsi="宋体"/>
          <w:sz w:val="24"/>
        </w:rPr>
        <w:t>3.供应商不存在直接管理关系的，则填“无”。</w:t>
      </w:r>
    </w:p>
    <w:p w14:paraId="253122D0">
      <w:pPr>
        <w:spacing w:line="360" w:lineRule="auto"/>
        <w:contextualSpacing/>
        <w:jc w:val="left"/>
        <w:rPr>
          <w:rFonts w:ascii="宋体" w:hAnsi="宋体"/>
          <w:sz w:val="28"/>
          <w:szCs w:val="28"/>
        </w:rPr>
      </w:pPr>
    </w:p>
    <w:p w14:paraId="0F588276">
      <w:pPr>
        <w:spacing w:line="360" w:lineRule="auto"/>
        <w:contextualSpacing/>
        <w:jc w:val="left"/>
        <w:rPr>
          <w:rFonts w:ascii="宋体" w:hAnsi="宋体"/>
          <w:sz w:val="28"/>
          <w:szCs w:val="28"/>
        </w:rPr>
      </w:pPr>
    </w:p>
    <w:p w14:paraId="73458F73">
      <w:pPr>
        <w:spacing w:line="360" w:lineRule="auto"/>
        <w:contextualSpacing/>
        <w:jc w:val="left"/>
        <w:rPr>
          <w:sz w:val="28"/>
          <w:szCs w:val="28"/>
        </w:rPr>
      </w:pPr>
    </w:p>
    <w:p w14:paraId="2EB5E870">
      <w:pPr>
        <w:spacing w:line="360" w:lineRule="auto"/>
        <w:contextualSpacing/>
        <w:jc w:val="left"/>
        <w:rPr>
          <w:sz w:val="28"/>
          <w:szCs w:val="28"/>
        </w:rPr>
      </w:pPr>
    </w:p>
    <w:p w14:paraId="5BD30B16">
      <w:pPr>
        <w:spacing w:line="360" w:lineRule="auto"/>
        <w:contextualSpacing/>
        <w:jc w:val="left"/>
        <w:rPr>
          <w:sz w:val="28"/>
          <w:szCs w:val="28"/>
        </w:rPr>
      </w:pPr>
    </w:p>
    <w:p w14:paraId="3C078A0D">
      <w:pPr>
        <w:spacing w:line="360" w:lineRule="auto"/>
        <w:contextualSpacing/>
        <w:jc w:val="left"/>
        <w:rPr>
          <w:rFonts w:ascii="宋体" w:hAnsi="宋体"/>
          <w:sz w:val="28"/>
          <w:szCs w:val="28"/>
        </w:rPr>
      </w:pPr>
    </w:p>
    <w:p w14:paraId="378C68E4">
      <w:pPr>
        <w:spacing w:line="360" w:lineRule="auto"/>
        <w:ind w:right="480"/>
        <w:contextualSpacing/>
        <w:jc w:val="center"/>
        <w:rPr>
          <w:rFonts w:ascii="宋体" w:hAnsi="宋体"/>
          <w:sz w:val="24"/>
          <w:u w:val="single"/>
        </w:rPr>
      </w:pPr>
      <w:r>
        <w:rPr>
          <w:rFonts w:hint="eastAsia" w:ascii="宋体" w:hAnsi="宋体"/>
          <w:sz w:val="24"/>
        </w:rPr>
        <w:t xml:space="preserve"> </w:t>
      </w:r>
      <w:r>
        <w:rPr>
          <w:rFonts w:ascii="宋体" w:hAnsi="宋体"/>
          <w:sz w:val="24"/>
        </w:rPr>
        <w:t xml:space="preserve">             </w:t>
      </w:r>
      <w:r>
        <w:rPr>
          <w:rFonts w:hint="eastAsia" w:ascii="宋体" w:hAnsi="宋体"/>
          <w:sz w:val="24"/>
        </w:rPr>
        <w:t>法定代表人或者委托代理人签字：</w:t>
      </w:r>
      <w:r>
        <w:rPr>
          <w:rFonts w:hint="eastAsia" w:ascii="宋体" w:hAnsi="宋体"/>
          <w:sz w:val="24"/>
          <w:u w:val="single"/>
        </w:rPr>
        <w:t xml:space="preserve"> </w:t>
      </w:r>
      <w:r>
        <w:rPr>
          <w:rFonts w:ascii="宋体" w:hAnsi="宋体"/>
          <w:sz w:val="24"/>
          <w:u w:val="single"/>
        </w:rPr>
        <w:t xml:space="preserve">                  </w:t>
      </w:r>
    </w:p>
    <w:p w14:paraId="36BB48A2">
      <w:pPr>
        <w:spacing w:line="360" w:lineRule="auto"/>
        <w:ind w:right="480" w:firstLine="3720" w:firstLineChars="1550"/>
        <w:contextualSpacing/>
        <w:rPr>
          <w:rFonts w:ascii="宋体" w:hAnsi="宋体"/>
          <w:sz w:val="24"/>
        </w:rPr>
      </w:pPr>
      <w:r>
        <w:rPr>
          <w:rFonts w:hint="eastAsia" w:ascii="宋体" w:hAnsi="宋体"/>
          <w:sz w:val="24"/>
        </w:rPr>
        <w:t>供应商（盖公章）：</w:t>
      </w:r>
      <w:r>
        <w:rPr>
          <w:rFonts w:hint="eastAsia" w:ascii="宋体" w:hAnsi="宋体"/>
          <w:sz w:val="24"/>
          <w:u w:val="single"/>
        </w:rPr>
        <w:t xml:space="preserve">                </w:t>
      </w:r>
    </w:p>
    <w:p w14:paraId="7A9008E4">
      <w:pPr>
        <w:spacing w:line="360" w:lineRule="auto"/>
        <w:ind w:right="480" w:firstLine="240" w:firstLineChars="100"/>
        <w:contextualSpacing/>
        <w:jc w:val="center"/>
        <w:rPr>
          <w:rFonts w:ascii="宋体" w:hAnsi="宋体"/>
          <w:sz w:val="28"/>
          <w:szCs w:val="28"/>
        </w:rPr>
      </w:pPr>
      <w:r>
        <w:rPr>
          <w:rFonts w:hint="eastAsia" w:ascii="宋体" w:hAnsi="宋体"/>
          <w:sz w:val="24"/>
        </w:rPr>
        <w:t xml:space="preserve">                                        年    月    日</w:t>
      </w:r>
    </w:p>
    <w:p w14:paraId="2F69DB8B">
      <w:pPr>
        <w:spacing w:line="320" w:lineRule="exact"/>
        <w:jc w:val="center"/>
        <w:rPr>
          <w:rFonts w:ascii="方正小标宋简体" w:hAnsi="宋体" w:eastAsia="方正小标宋简体"/>
          <w:b/>
          <w:sz w:val="32"/>
          <w:szCs w:val="32"/>
        </w:rPr>
      </w:pPr>
      <w:r>
        <w:rPr>
          <w:rFonts w:ascii="宋体" w:hAnsi="宋体"/>
          <w:b/>
          <w:sz w:val="32"/>
          <w:szCs w:val="32"/>
        </w:rPr>
        <w:br w:type="page"/>
      </w:r>
      <w:r>
        <w:rPr>
          <w:rFonts w:hint="eastAsia" w:ascii="方正小标宋简体" w:hAnsi="宋体" w:eastAsia="方正小标宋简体"/>
          <w:b/>
          <w:sz w:val="32"/>
          <w:szCs w:val="32"/>
        </w:rPr>
        <w:t>竞标声明</w:t>
      </w:r>
    </w:p>
    <w:p w14:paraId="26CD6E0E">
      <w:pPr>
        <w:spacing w:line="320" w:lineRule="exact"/>
        <w:jc w:val="center"/>
        <w:rPr>
          <w:rFonts w:ascii="宋体" w:hAnsi="宋体"/>
          <w:sz w:val="24"/>
          <w:szCs w:val="20"/>
        </w:rPr>
      </w:pPr>
    </w:p>
    <w:p w14:paraId="41D2BE09">
      <w:pPr>
        <w:spacing w:line="360" w:lineRule="auto"/>
        <w:contextualSpacing/>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p>
    <w:p w14:paraId="2AAD553A">
      <w:pPr>
        <w:spacing w:line="360" w:lineRule="auto"/>
        <w:ind w:firstLine="480" w:firstLineChars="200"/>
        <w:contextualSpacing/>
        <w:rPr>
          <w:rFonts w:ascii="宋体" w:hAnsi="宋体" w:cs="宋体"/>
          <w:sz w:val="24"/>
        </w:rPr>
      </w:pPr>
      <w:r>
        <w:rPr>
          <w:rFonts w:hint="eastAsia" w:ascii="宋体" w:hAnsi="宋体" w:cs="宋体"/>
          <w:sz w:val="24"/>
        </w:rPr>
        <w:t>我方</w:t>
      </w:r>
      <w:r>
        <w:rPr>
          <w:rFonts w:hint="eastAsia" w:ascii="宋体" w:hAnsi="宋体" w:cs="宋体"/>
          <w:sz w:val="24"/>
          <w:u w:val="single"/>
        </w:rPr>
        <w:t xml:space="preserve"> 供应商名称 </w:t>
      </w:r>
      <w:r>
        <w:rPr>
          <w:rFonts w:hint="eastAsia" w:ascii="宋体" w:hAnsi="宋体" w:cs="宋体"/>
          <w:sz w:val="24"/>
        </w:rPr>
        <w:t>系中华人民共和国合法供应商，经营地址</w:t>
      </w:r>
      <w:r>
        <w:rPr>
          <w:rFonts w:hint="eastAsia" w:ascii="宋体" w:hAnsi="宋体" w:cs="宋体"/>
          <w:sz w:val="24"/>
          <w:u w:val="single"/>
        </w:rPr>
        <w:t xml:space="preserve">                              </w:t>
      </w:r>
      <w:r>
        <w:rPr>
          <w:rFonts w:hint="eastAsia" w:ascii="宋体" w:hAnsi="宋体" w:cs="宋体"/>
          <w:sz w:val="24"/>
        </w:rPr>
        <w:t>。</w:t>
      </w:r>
    </w:p>
    <w:p w14:paraId="05DA0C50">
      <w:pPr>
        <w:spacing w:line="360" w:lineRule="auto"/>
        <w:ind w:firstLine="480" w:firstLineChars="200"/>
        <w:contextualSpacing/>
        <w:rPr>
          <w:rFonts w:ascii="宋体" w:hAnsi="宋体" w:cs="宋体"/>
          <w:sz w:val="24"/>
        </w:rPr>
      </w:pPr>
      <w:r>
        <w:rPr>
          <w:rFonts w:hint="eastAsia" w:ascii="宋体" w:hAnsi="宋体" w:cs="宋体"/>
          <w:sz w:val="24"/>
        </w:rPr>
        <w:t>我方愿意参加贵方组织的</w:t>
      </w:r>
      <w:r>
        <w:rPr>
          <w:rFonts w:hint="eastAsia" w:ascii="宋体" w:hAnsi="宋体" w:cs="宋体"/>
          <w:sz w:val="24"/>
          <w:u w:val="single"/>
        </w:rPr>
        <w:t xml:space="preserve"> 项目名称 </w:t>
      </w:r>
      <w:r>
        <w:rPr>
          <w:rFonts w:hint="eastAsia" w:ascii="宋体" w:hAnsi="宋体" w:cs="宋体"/>
          <w:sz w:val="24"/>
        </w:rPr>
        <w:t>项目的竞标，为便于贵方公正、择优地确定成交供应商及其竞标产品和服务，我方就本次竞标有关事项郑重声明如下：</w:t>
      </w:r>
    </w:p>
    <w:p w14:paraId="5B642907">
      <w:pPr>
        <w:spacing w:line="360" w:lineRule="auto"/>
        <w:ind w:firstLine="480" w:firstLineChars="200"/>
        <w:contextualSpacing/>
        <w:rPr>
          <w:rFonts w:ascii="宋体" w:hAnsi="宋体" w:cs="宋体"/>
          <w:sz w:val="24"/>
        </w:rPr>
      </w:pPr>
      <w:r>
        <w:rPr>
          <w:rFonts w:hint="eastAsia" w:ascii="宋体" w:hAnsi="宋体" w:cs="宋体"/>
          <w:sz w:val="24"/>
        </w:rPr>
        <w:t>1.我方向贵方提交的所有响应文件、资料都是准确的和真实的。</w:t>
      </w:r>
    </w:p>
    <w:p w14:paraId="099039DA">
      <w:pPr>
        <w:spacing w:line="360" w:lineRule="auto"/>
        <w:ind w:firstLine="480" w:firstLineChars="200"/>
        <w:contextualSpacing/>
        <w:rPr>
          <w:rFonts w:ascii="宋体" w:hAnsi="宋体" w:cs="宋体"/>
          <w:sz w:val="24"/>
        </w:rPr>
      </w:pPr>
      <w:r>
        <w:rPr>
          <w:rFonts w:hint="eastAsia" w:ascii="宋体" w:hAnsi="宋体" w:cs="宋体"/>
          <w:sz w:val="24"/>
        </w:rPr>
        <w:t>2.</w:t>
      </w:r>
      <w:r>
        <w:rPr>
          <w:rFonts w:hint="eastAsia" w:ascii="宋体" w:hAnsi="宋体"/>
          <w:sz w:val="24"/>
        </w:rPr>
        <w:t>我方不是为本次采购项目提供整体设计、规范编制或者项目管理、监理、检测等服务的供应商</w:t>
      </w:r>
      <w:r>
        <w:rPr>
          <w:rFonts w:hint="eastAsia" w:ascii="宋体" w:hAnsi="宋体" w:cs="宋体"/>
          <w:sz w:val="24"/>
        </w:rPr>
        <w:t>。</w:t>
      </w:r>
    </w:p>
    <w:p w14:paraId="079BAA15">
      <w:pPr>
        <w:spacing w:line="360" w:lineRule="auto"/>
        <w:ind w:firstLine="480" w:firstLineChars="200"/>
        <w:contextualSpacing/>
        <w:rPr>
          <w:rFonts w:ascii="宋体" w:hAnsi="宋体" w:cs="宋体"/>
          <w:sz w:val="24"/>
        </w:rPr>
      </w:pPr>
      <w:r>
        <w:rPr>
          <w:rFonts w:hint="eastAsia" w:ascii="宋体" w:hAnsi="宋体" w:cs="宋体"/>
          <w:sz w:val="24"/>
        </w:rPr>
        <w:t>3.在此，我方宣布同意如下：</w:t>
      </w:r>
    </w:p>
    <w:p w14:paraId="1B3B407F">
      <w:pPr>
        <w:spacing w:line="360" w:lineRule="auto"/>
        <w:ind w:firstLine="480" w:firstLineChars="200"/>
        <w:contextualSpacing/>
        <w:rPr>
          <w:rFonts w:ascii="宋体" w:hAnsi="宋体" w:cs="宋体"/>
          <w:sz w:val="24"/>
        </w:rPr>
      </w:pPr>
      <w:r>
        <w:rPr>
          <w:rFonts w:hint="eastAsia" w:ascii="宋体" w:hAnsi="宋体" w:cs="宋体"/>
          <w:sz w:val="24"/>
        </w:rPr>
        <w:t>（1）将按谈判文件的约定履行合同责任和义务；</w:t>
      </w:r>
    </w:p>
    <w:p w14:paraId="69CCFA93">
      <w:pPr>
        <w:spacing w:line="360" w:lineRule="auto"/>
        <w:ind w:firstLine="480" w:firstLineChars="200"/>
        <w:contextualSpacing/>
        <w:rPr>
          <w:rFonts w:ascii="宋体" w:hAnsi="宋体" w:cs="宋体"/>
          <w:sz w:val="24"/>
        </w:rPr>
      </w:pPr>
      <w:r>
        <w:rPr>
          <w:rFonts w:hint="eastAsia" w:ascii="宋体" w:hAnsi="宋体" w:cs="宋体"/>
          <w:sz w:val="24"/>
        </w:rPr>
        <w:t>（2）已详细审查全部谈判文件，包括补遗文件（如有）；</w:t>
      </w:r>
    </w:p>
    <w:p w14:paraId="0EA1F2DA">
      <w:pPr>
        <w:spacing w:line="360" w:lineRule="auto"/>
        <w:ind w:firstLine="480" w:firstLineChars="200"/>
        <w:contextualSpacing/>
        <w:rPr>
          <w:rFonts w:ascii="宋体" w:hAnsi="宋体" w:cs="宋体"/>
          <w:sz w:val="24"/>
        </w:rPr>
      </w:pPr>
      <w:r>
        <w:rPr>
          <w:rFonts w:hint="eastAsia" w:ascii="宋体" w:hAnsi="宋体" w:cs="宋体"/>
          <w:sz w:val="24"/>
        </w:rPr>
        <w:t>（3）同意提供按照贵方可能要求的与谈判有关的一切数据或者资料；</w:t>
      </w:r>
    </w:p>
    <w:p w14:paraId="287D4DA9">
      <w:pPr>
        <w:spacing w:line="360" w:lineRule="auto"/>
        <w:ind w:firstLine="480" w:firstLineChars="200"/>
        <w:contextualSpacing/>
        <w:rPr>
          <w:rFonts w:ascii="宋体" w:hAnsi="宋体" w:cs="宋体"/>
          <w:sz w:val="24"/>
        </w:rPr>
      </w:pPr>
      <w:r>
        <w:rPr>
          <w:rFonts w:hint="eastAsia" w:ascii="宋体" w:hAnsi="宋体" w:cs="宋体"/>
          <w:sz w:val="24"/>
        </w:rPr>
        <w:t>（4）响应谈判文件规定的竞标有效期。</w:t>
      </w:r>
    </w:p>
    <w:p w14:paraId="45FB36CB">
      <w:pPr>
        <w:spacing w:line="360" w:lineRule="auto"/>
        <w:ind w:firstLine="480" w:firstLineChars="200"/>
        <w:contextualSpacing/>
        <w:rPr>
          <w:rFonts w:ascii="宋体" w:hAnsi="宋体" w:cs="宋体"/>
          <w:sz w:val="24"/>
        </w:rPr>
      </w:pPr>
      <w:r>
        <w:rPr>
          <w:rFonts w:hint="eastAsia" w:ascii="宋体" w:hAnsi="宋体" w:cs="宋体"/>
          <w:sz w:val="24"/>
        </w:rPr>
        <w:t>4.我方承诺符合《中华人民共和国政府采购法》第二十二条规定：</w:t>
      </w:r>
    </w:p>
    <w:p w14:paraId="2AB04C3E">
      <w:pPr>
        <w:spacing w:line="360" w:lineRule="auto"/>
        <w:ind w:firstLine="480" w:firstLineChars="200"/>
        <w:contextualSpacing/>
        <w:rPr>
          <w:rFonts w:ascii="宋体" w:hAnsi="宋体" w:cs="宋体"/>
          <w:sz w:val="24"/>
        </w:rPr>
      </w:pPr>
      <w:r>
        <w:rPr>
          <w:rFonts w:hint="eastAsia" w:ascii="宋体" w:hAnsi="宋体" w:cs="宋体"/>
          <w:sz w:val="24"/>
        </w:rPr>
        <w:t>（1）具有独立承担民事责任的能力；</w:t>
      </w:r>
    </w:p>
    <w:p w14:paraId="1DD4FAC4">
      <w:pPr>
        <w:spacing w:line="360" w:lineRule="auto"/>
        <w:ind w:firstLine="480" w:firstLineChars="200"/>
        <w:contextualSpacing/>
        <w:rPr>
          <w:rFonts w:ascii="宋体" w:hAnsi="宋体" w:cs="宋体"/>
          <w:sz w:val="24"/>
        </w:rPr>
      </w:pPr>
      <w:r>
        <w:rPr>
          <w:rFonts w:hint="eastAsia" w:ascii="宋体" w:hAnsi="宋体" w:cs="宋体"/>
          <w:sz w:val="24"/>
        </w:rPr>
        <w:t>（2）具有良好的商业信誉和健全的财务会计制度；</w:t>
      </w:r>
    </w:p>
    <w:p w14:paraId="02A2348B">
      <w:pPr>
        <w:spacing w:line="360" w:lineRule="auto"/>
        <w:ind w:firstLine="480" w:firstLineChars="200"/>
        <w:contextualSpacing/>
        <w:rPr>
          <w:rFonts w:ascii="宋体" w:hAnsi="宋体" w:cs="宋体"/>
          <w:sz w:val="24"/>
        </w:rPr>
      </w:pPr>
      <w:r>
        <w:rPr>
          <w:rFonts w:hint="eastAsia" w:ascii="宋体" w:hAnsi="宋体" w:cs="宋体"/>
          <w:sz w:val="24"/>
        </w:rPr>
        <w:t>（3）具有履行合同所必需的设备和专业技术能力；</w:t>
      </w:r>
    </w:p>
    <w:p w14:paraId="288F1CAB">
      <w:pPr>
        <w:spacing w:line="360" w:lineRule="auto"/>
        <w:ind w:firstLine="480" w:firstLineChars="200"/>
        <w:contextualSpacing/>
        <w:rPr>
          <w:rFonts w:ascii="宋体" w:hAnsi="宋体" w:cs="宋体"/>
          <w:sz w:val="24"/>
        </w:rPr>
      </w:pPr>
      <w:r>
        <w:rPr>
          <w:rFonts w:hint="eastAsia" w:ascii="宋体" w:hAnsi="宋体" w:cs="宋体"/>
          <w:sz w:val="24"/>
        </w:rPr>
        <w:t>（4）有依法缴纳税收和社会保障资金的良好记录；</w:t>
      </w:r>
    </w:p>
    <w:p w14:paraId="5F2DD615">
      <w:pPr>
        <w:spacing w:line="360" w:lineRule="auto"/>
        <w:ind w:firstLine="480" w:firstLineChars="200"/>
        <w:contextualSpacing/>
        <w:rPr>
          <w:rFonts w:ascii="宋体" w:hAnsi="宋体" w:cs="宋体"/>
          <w:sz w:val="24"/>
        </w:rPr>
      </w:pPr>
      <w:r>
        <w:rPr>
          <w:rFonts w:hint="eastAsia" w:ascii="宋体" w:hAnsi="宋体" w:cs="宋体"/>
          <w:sz w:val="24"/>
        </w:rPr>
        <w:t>（5）参加政府采购活动前三年内，在经营活动中没有重大违法记录；</w:t>
      </w:r>
    </w:p>
    <w:p w14:paraId="7716AA92">
      <w:pPr>
        <w:spacing w:line="360" w:lineRule="auto"/>
        <w:ind w:firstLine="480" w:firstLineChars="200"/>
        <w:contextualSpacing/>
        <w:rPr>
          <w:rFonts w:ascii="宋体" w:hAnsi="宋体" w:cs="宋体"/>
          <w:sz w:val="24"/>
        </w:rPr>
      </w:pPr>
      <w:r>
        <w:rPr>
          <w:rFonts w:hint="eastAsia" w:ascii="宋体" w:hAnsi="宋体" w:cs="宋体"/>
          <w:sz w:val="24"/>
        </w:rPr>
        <w:t>（6）法律、行政法规规定的其他条件。</w:t>
      </w:r>
    </w:p>
    <w:p w14:paraId="7C01DA1F">
      <w:pPr>
        <w:spacing w:line="360" w:lineRule="auto"/>
        <w:ind w:firstLine="480" w:firstLineChars="200"/>
        <w:contextualSpacing/>
        <w:rPr>
          <w:rFonts w:ascii="宋体" w:hAnsi="宋体" w:cs="宋体"/>
          <w:sz w:val="24"/>
        </w:rPr>
      </w:pPr>
      <w:r>
        <w:rPr>
          <w:rFonts w:hint="eastAsia" w:ascii="宋体" w:hAnsi="宋体"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07D1DD90">
      <w:pPr>
        <w:spacing w:line="360" w:lineRule="auto"/>
        <w:ind w:firstLine="480" w:firstLineChars="200"/>
        <w:contextualSpacing/>
        <w:rPr>
          <w:rFonts w:ascii="宋体" w:hAnsi="宋体" w:cs="宋体"/>
          <w:sz w:val="24"/>
        </w:rPr>
      </w:pPr>
      <w:r>
        <w:rPr>
          <w:rFonts w:hint="eastAsia" w:ascii="宋体" w:hAnsi="宋体"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5DED54D">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14:paraId="10F4EDE1">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涉及商业秘密的内容有：</w:t>
      </w:r>
      <w:r>
        <w:rPr>
          <w:rFonts w:hint="eastAsia" w:ascii="宋体" w:hAnsi="宋体" w:cs="宋体"/>
          <w:kern w:val="0"/>
          <w:sz w:val="24"/>
          <w:u w:val="single"/>
        </w:rPr>
        <w:t xml:space="preserve">                         </w:t>
      </w:r>
      <w:r>
        <w:rPr>
          <w:rFonts w:hint="eastAsia" w:ascii="宋体" w:hAnsi="宋体" w:cs="宋体"/>
          <w:kern w:val="0"/>
          <w:sz w:val="24"/>
        </w:rPr>
        <w:t>；</w:t>
      </w:r>
    </w:p>
    <w:p w14:paraId="3AC86CCA">
      <w:pPr>
        <w:pStyle w:val="16"/>
        <w:spacing w:line="360" w:lineRule="auto"/>
        <w:ind w:firstLine="480" w:firstLineChars="200"/>
        <w:contextualSpacing/>
        <w:rPr>
          <w:rFonts w:hAnsi="宋体" w:cs="宋体"/>
          <w:sz w:val="24"/>
          <w:szCs w:val="24"/>
          <w:u w:val="single"/>
        </w:rPr>
      </w:pPr>
      <w:r>
        <w:rPr>
          <w:rFonts w:hint="eastAsia" w:hAnsi="宋体" w:cs="宋体"/>
          <w:sz w:val="24"/>
          <w:szCs w:val="24"/>
        </w:rPr>
        <w:t>7.与本谈判有关的一切正式往来信函请寄：</w:t>
      </w:r>
      <w:r>
        <w:rPr>
          <w:rFonts w:hint="eastAsia" w:hAnsi="宋体" w:cs="宋体"/>
          <w:sz w:val="24"/>
          <w:szCs w:val="24"/>
          <w:u w:val="single"/>
        </w:rPr>
        <w:t xml:space="preserve">                  </w:t>
      </w:r>
      <w:r>
        <w:rPr>
          <w:rFonts w:hint="eastAsia" w:hAnsi="宋体" w:cs="宋体"/>
          <w:sz w:val="24"/>
          <w:szCs w:val="24"/>
        </w:rPr>
        <w:t>邮政编号：</w:t>
      </w:r>
      <w:r>
        <w:rPr>
          <w:rFonts w:hint="eastAsia" w:hAnsi="宋体" w:cs="宋体"/>
          <w:sz w:val="24"/>
          <w:szCs w:val="24"/>
          <w:u w:val="single"/>
        </w:rPr>
        <w:t xml:space="preserve">    </w:t>
      </w:r>
    </w:p>
    <w:p w14:paraId="4DB240BD">
      <w:pPr>
        <w:pStyle w:val="16"/>
        <w:spacing w:line="360" w:lineRule="auto"/>
        <w:ind w:firstLine="480" w:firstLineChars="200"/>
        <w:contextualSpacing/>
        <w:rPr>
          <w:rFonts w:hAnsi="宋体" w:cs="宋体"/>
          <w:sz w:val="24"/>
          <w:szCs w:val="24"/>
        </w:rPr>
      </w:pPr>
      <w:r>
        <w:rPr>
          <w:rFonts w:hint="eastAsia" w:hAnsi="宋体" w:cs="宋体"/>
          <w:sz w:val="24"/>
          <w:szCs w:val="24"/>
        </w:rPr>
        <w:t>电话/传真：</w:t>
      </w:r>
      <w:r>
        <w:rPr>
          <w:rFonts w:hint="eastAsia" w:hAnsi="宋体" w:cs="宋体"/>
          <w:sz w:val="24"/>
          <w:szCs w:val="24"/>
          <w:u w:val="single"/>
        </w:rPr>
        <w:t xml:space="preserve">                        </w:t>
      </w:r>
      <w:r>
        <w:rPr>
          <w:rFonts w:hint="eastAsia" w:hAnsi="宋体" w:cs="宋体"/>
          <w:sz w:val="24"/>
          <w:szCs w:val="24"/>
        </w:rPr>
        <w:t xml:space="preserve"> 电子函件：</w:t>
      </w:r>
      <w:r>
        <w:rPr>
          <w:rFonts w:hint="eastAsia" w:hAnsi="宋体" w:cs="宋体"/>
          <w:sz w:val="24"/>
          <w:szCs w:val="24"/>
          <w:u w:val="single"/>
        </w:rPr>
        <w:t xml:space="preserve">             </w:t>
      </w:r>
      <w:r>
        <w:rPr>
          <w:rFonts w:hint="eastAsia" w:hAnsi="宋体" w:cs="宋体"/>
          <w:sz w:val="24"/>
          <w:szCs w:val="24"/>
        </w:rPr>
        <w:t xml:space="preserve">    </w:t>
      </w:r>
    </w:p>
    <w:p w14:paraId="4E1845FB">
      <w:pPr>
        <w:pStyle w:val="15"/>
        <w:tabs>
          <w:tab w:val="left" w:pos="939"/>
        </w:tabs>
        <w:spacing w:line="360" w:lineRule="auto"/>
        <w:ind w:left="141" w:leftChars="67" w:firstLine="360" w:firstLineChars="150"/>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帐号/行号：</w:t>
      </w:r>
      <w:r>
        <w:rPr>
          <w:rFonts w:hint="eastAsia" w:ascii="宋体" w:hAnsi="宋体" w:cs="宋体"/>
          <w:sz w:val="24"/>
          <w:u w:val="single"/>
        </w:rPr>
        <w:t xml:space="preserve">           </w:t>
      </w:r>
    </w:p>
    <w:p w14:paraId="2D5D402B">
      <w:pPr>
        <w:pStyle w:val="15"/>
        <w:tabs>
          <w:tab w:val="left" w:pos="939"/>
        </w:tabs>
        <w:spacing w:line="360" w:lineRule="auto"/>
        <w:ind w:left="141" w:leftChars="67" w:firstLine="360" w:firstLineChars="150"/>
        <w:rPr>
          <w:rFonts w:ascii="宋体" w:hAnsi="宋体" w:cs="宋体"/>
          <w:sz w:val="24"/>
        </w:rPr>
      </w:pPr>
      <w:r>
        <w:rPr>
          <w:rFonts w:hint="eastAsia" w:ascii="宋体" w:hAnsi="宋体" w:cs="宋体"/>
          <w:sz w:val="24"/>
        </w:rPr>
        <w:t>8.以上事项如有虚假或者隐瞒，我方愿意承担一切后果，并不再寻求任何旨在减轻或者免除法律责任的辩解。</w:t>
      </w:r>
    </w:p>
    <w:p w14:paraId="56FD8E83">
      <w:pPr>
        <w:pStyle w:val="15"/>
        <w:tabs>
          <w:tab w:val="left" w:pos="939"/>
        </w:tabs>
        <w:spacing w:line="360" w:lineRule="auto"/>
        <w:ind w:left="141" w:leftChars="67" w:firstLine="360" w:firstLineChars="150"/>
        <w:rPr>
          <w:rFonts w:ascii="宋体" w:hAnsi="宋体" w:cs="宋体"/>
          <w:szCs w:val="21"/>
        </w:rPr>
      </w:pPr>
      <w:r>
        <w:rPr>
          <w:rFonts w:hint="eastAsia" w:ascii="宋体" w:hAnsi="宋体" w:cs="宋体"/>
          <w:sz w:val="24"/>
        </w:rPr>
        <w:t>特此承诺。</w:t>
      </w:r>
    </w:p>
    <w:p w14:paraId="5FCCACF7">
      <w:pPr>
        <w:spacing w:line="360" w:lineRule="auto"/>
        <w:contextualSpacing/>
        <w:jc w:val="left"/>
        <w:rPr>
          <w:rFonts w:ascii="宋体" w:hAnsi="宋体"/>
          <w:b/>
          <w:sz w:val="24"/>
        </w:rPr>
      </w:pPr>
      <w:r>
        <w:rPr>
          <w:rFonts w:hint="eastAsia" w:ascii="宋体" w:hAnsi="宋体"/>
          <w:b/>
          <w:sz w:val="24"/>
        </w:rPr>
        <w:t xml:space="preserve">    注：如为联合体竞标，盖章处须加盖联合体各方公章并由联合体各方法定代表人分别签署，否则响应文件按无效响应处理。</w:t>
      </w:r>
    </w:p>
    <w:p w14:paraId="3BF8ECC2">
      <w:pPr>
        <w:spacing w:line="360" w:lineRule="auto"/>
        <w:contextualSpacing/>
        <w:jc w:val="left"/>
        <w:rPr>
          <w:rFonts w:ascii="宋体" w:hAnsi="宋体" w:cs="宋体"/>
          <w:szCs w:val="21"/>
        </w:rPr>
      </w:pPr>
    </w:p>
    <w:p w14:paraId="5FFE3FFA">
      <w:pPr>
        <w:spacing w:line="360" w:lineRule="auto"/>
        <w:ind w:firstLine="4320" w:firstLineChars="1800"/>
        <w:contextualSpacing/>
        <w:rPr>
          <w:sz w:val="24"/>
        </w:rPr>
      </w:pPr>
      <w:r>
        <w:rPr>
          <w:rFonts w:hint="eastAsia"/>
          <w:sz w:val="24"/>
        </w:rPr>
        <w:t>法定代表人（签字或者盖章）：</w:t>
      </w:r>
      <w:r>
        <w:rPr>
          <w:rFonts w:hint="eastAsia"/>
          <w:sz w:val="24"/>
          <w:u w:val="single"/>
        </w:rPr>
        <w:t xml:space="preserve">           </w:t>
      </w:r>
      <w:r>
        <w:rPr>
          <w:rFonts w:hint="eastAsia"/>
          <w:sz w:val="24"/>
        </w:rPr>
        <w:t xml:space="preserve">                                     </w:t>
      </w:r>
    </w:p>
    <w:p w14:paraId="1D00EFA5">
      <w:pPr>
        <w:spacing w:line="360" w:lineRule="auto"/>
        <w:ind w:firstLine="4320" w:firstLineChars="1800"/>
        <w:contextualSpacing/>
        <w:rPr>
          <w:rFonts w:ascii="宋体" w:hAnsi="宋体" w:cs="宋体"/>
          <w:sz w:val="24"/>
          <w:u w:val="single"/>
        </w:rPr>
      </w:pPr>
      <w:r>
        <w:rPr>
          <w:rFonts w:hint="eastAsia"/>
          <w:sz w:val="24"/>
        </w:rPr>
        <w:t>供应商（盖公章）：</w:t>
      </w:r>
      <w:r>
        <w:rPr>
          <w:rFonts w:hint="eastAsia"/>
          <w:sz w:val="24"/>
          <w:u w:val="single"/>
        </w:rPr>
        <w:t xml:space="preserve">                               </w:t>
      </w:r>
      <w:r>
        <w:rPr>
          <w:rFonts w:hint="eastAsia"/>
          <w:sz w:val="24"/>
        </w:rPr>
        <w:t xml:space="preserve">       </w:t>
      </w:r>
      <w:r>
        <w:rPr>
          <w:rFonts w:hint="eastAsia" w:ascii="宋体" w:hAnsi="宋体" w:cs="宋体"/>
          <w:sz w:val="24"/>
        </w:rPr>
        <w:t xml:space="preserve">    </w:t>
      </w:r>
    </w:p>
    <w:p w14:paraId="22EC3FDA">
      <w:pPr>
        <w:spacing w:line="360" w:lineRule="auto"/>
        <w:ind w:right="482" w:firstLine="240" w:firstLineChars="100"/>
        <w:contextualSpacing/>
        <w:jc w:val="center"/>
        <w:rPr>
          <w:rFonts w:ascii="宋体" w:hAnsi="宋体"/>
          <w:sz w:val="24"/>
        </w:rPr>
      </w:pPr>
      <w:r>
        <w:rPr>
          <w:rFonts w:hint="eastAsia" w:ascii="宋体" w:hAnsi="宋体" w:cs="宋体"/>
          <w:sz w:val="24"/>
        </w:rPr>
        <w:t xml:space="preserve">                                                        </w:t>
      </w:r>
      <w:r>
        <w:rPr>
          <w:rFonts w:hint="eastAsia"/>
          <w:sz w:val="24"/>
        </w:rPr>
        <w:t xml:space="preserve"> 年    月    日 </w:t>
      </w:r>
    </w:p>
    <w:p w14:paraId="2B2CEDC6">
      <w:pPr>
        <w:spacing w:line="360" w:lineRule="auto"/>
        <w:ind w:right="420"/>
        <w:contextualSpacing/>
        <w:jc w:val="left"/>
        <w:rPr>
          <w:rFonts w:ascii="宋体" w:hAnsi="宋体"/>
          <w:b/>
          <w:sz w:val="32"/>
          <w:szCs w:val="32"/>
        </w:rPr>
      </w:pPr>
      <w:r>
        <w:rPr>
          <w:rFonts w:hint="eastAsia" w:ascii="方正小标宋简体" w:hAnsi="方正小标宋简体" w:eastAsia="方正小标宋简体" w:cs="方正小标宋简体"/>
          <w:sz w:val="32"/>
          <w:szCs w:val="32"/>
        </w:rPr>
        <w:br w:type="page"/>
      </w:r>
      <w:r>
        <w:rPr>
          <w:rFonts w:hint="eastAsia" w:ascii="宋体" w:hAnsi="宋体"/>
          <w:b/>
          <w:bCs/>
          <w:sz w:val="32"/>
          <w:szCs w:val="32"/>
        </w:rPr>
        <w:t>二、</w:t>
      </w:r>
      <w:r>
        <w:rPr>
          <w:rFonts w:hint="eastAsia" w:ascii="宋体" w:hAnsi="宋体"/>
          <w:b/>
          <w:sz w:val="32"/>
          <w:szCs w:val="32"/>
        </w:rPr>
        <w:t xml:space="preserve">报价文件格式 </w:t>
      </w:r>
    </w:p>
    <w:p w14:paraId="6DA66D4A">
      <w:pPr>
        <w:snapToGrid w:val="0"/>
        <w:spacing w:beforeLines="50" w:after="50" w:line="360" w:lineRule="auto"/>
        <w:jc w:val="left"/>
        <w:rPr>
          <w:rFonts w:ascii="宋体" w:hAnsi="宋体"/>
          <w:b/>
          <w:sz w:val="32"/>
          <w:szCs w:val="32"/>
        </w:rPr>
      </w:pPr>
      <w:r>
        <w:rPr>
          <w:rFonts w:hint="eastAsia" w:ascii="宋体" w:hAnsi="宋体"/>
          <w:b/>
          <w:sz w:val="32"/>
          <w:szCs w:val="32"/>
        </w:rPr>
        <w:t>1.报价文件封面格式</w:t>
      </w:r>
    </w:p>
    <w:p w14:paraId="78CB8724">
      <w:pPr>
        <w:snapToGrid w:val="0"/>
        <w:spacing w:beforeLines="50" w:after="50"/>
        <w:rPr>
          <w:rFonts w:ascii="宋体" w:hAnsi="宋体"/>
          <w:sz w:val="24"/>
        </w:rPr>
      </w:pPr>
      <w:r>
        <w:rPr>
          <w:rFonts w:hint="eastAsia" w:ascii="宋体" w:hAnsi="宋体"/>
          <w:sz w:val="24"/>
        </w:rPr>
        <w:t xml:space="preserve">                                                   </w:t>
      </w:r>
    </w:p>
    <w:p w14:paraId="422FDCB8">
      <w:pPr>
        <w:snapToGrid w:val="0"/>
        <w:spacing w:beforeLines="50" w:after="50"/>
        <w:rPr>
          <w:rFonts w:ascii="宋体" w:hAnsi="宋体"/>
          <w:sz w:val="24"/>
        </w:rPr>
      </w:pPr>
    </w:p>
    <w:p w14:paraId="03C0FE14">
      <w:pPr>
        <w:snapToGrid w:val="0"/>
        <w:spacing w:beforeLines="50" w:after="50"/>
        <w:rPr>
          <w:rFonts w:ascii="宋体" w:hAnsi="宋体"/>
          <w:sz w:val="24"/>
          <w:szCs w:val="20"/>
        </w:rPr>
      </w:pPr>
    </w:p>
    <w:p w14:paraId="02ED6BF4">
      <w:pPr>
        <w:snapToGrid w:val="0"/>
        <w:spacing w:beforeLines="50" w:after="50"/>
        <w:jc w:val="center"/>
        <w:rPr>
          <w:rFonts w:ascii="方正小标宋简体" w:hAnsi="方正小标宋简体" w:eastAsia="方正小标宋简体" w:cs="方正小标宋简体"/>
          <w:bCs/>
          <w:sz w:val="84"/>
          <w:szCs w:val="84"/>
        </w:rPr>
      </w:pPr>
      <w:r>
        <w:rPr>
          <w:rFonts w:hint="eastAsia" w:ascii="方正小标宋简体" w:hAnsi="方正小标宋简体" w:eastAsia="方正小标宋简体" w:cs="方正小标宋简体"/>
          <w:bCs/>
          <w:sz w:val="84"/>
          <w:szCs w:val="84"/>
        </w:rPr>
        <w:t>响  应  文  件</w:t>
      </w:r>
    </w:p>
    <w:p w14:paraId="3612DEB6">
      <w:pPr>
        <w:snapToGrid w:val="0"/>
        <w:spacing w:beforeLines="50" w:after="50"/>
        <w:rPr>
          <w:rFonts w:ascii="宋体" w:hAnsi="宋体"/>
          <w:sz w:val="24"/>
          <w:szCs w:val="20"/>
        </w:rPr>
      </w:pPr>
    </w:p>
    <w:p w14:paraId="386FF4DB">
      <w:pPr>
        <w:snapToGrid w:val="0"/>
        <w:spacing w:beforeLines="50" w:after="50"/>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报  价   文  件</w:t>
      </w:r>
    </w:p>
    <w:p w14:paraId="021174FA">
      <w:pPr>
        <w:snapToGrid w:val="0"/>
        <w:spacing w:beforeLines="50" w:after="50"/>
        <w:rPr>
          <w:rFonts w:ascii="宋体" w:hAnsi="宋体"/>
          <w:bCs/>
          <w:sz w:val="24"/>
          <w:szCs w:val="20"/>
        </w:rPr>
      </w:pPr>
    </w:p>
    <w:p w14:paraId="26874C70">
      <w:pPr>
        <w:snapToGrid w:val="0"/>
        <w:spacing w:beforeLines="50" w:after="50"/>
        <w:rPr>
          <w:rFonts w:ascii="宋体" w:hAnsi="宋体"/>
          <w:bCs/>
          <w:sz w:val="24"/>
          <w:szCs w:val="20"/>
        </w:rPr>
      </w:pPr>
    </w:p>
    <w:p w14:paraId="512042B5">
      <w:pPr>
        <w:snapToGrid w:val="0"/>
        <w:spacing w:beforeLines="50" w:after="50"/>
        <w:rPr>
          <w:rFonts w:ascii="宋体" w:hAnsi="宋体"/>
          <w:bCs/>
          <w:sz w:val="24"/>
          <w:szCs w:val="20"/>
        </w:rPr>
      </w:pPr>
    </w:p>
    <w:p w14:paraId="0CDE78DB">
      <w:pPr>
        <w:snapToGrid w:val="0"/>
        <w:spacing w:beforeLines="50" w:after="50"/>
        <w:rPr>
          <w:rFonts w:ascii="宋体" w:hAnsi="宋体"/>
          <w:bCs/>
          <w:sz w:val="24"/>
          <w:szCs w:val="20"/>
        </w:rPr>
      </w:pPr>
    </w:p>
    <w:p w14:paraId="0E1733CA">
      <w:pPr>
        <w:snapToGrid w:val="0"/>
        <w:spacing w:beforeLines="50" w:after="50"/>
        <w:rPr>
          <w:rFonts w:ascii="宋体" w:hAnsi="宋体"/>
          <w:bCs/>
          <w:sz w:val="24"/>
          <w:szCs w:val="20"/>
        </w:rPr>
      </w:pPr>
    </w:p>
    <w:p w14:paraId="76F30BD2">
      <w:pPr>
        <w:snapToGrid w:val="0"/>
        <w:spacing w:beforeLines="50" w:after="50"/>
        <w:ind w:firstLine="640" w:firstLineChars="200"/>
        <w:rPr>
          <w:rFonts w:ascii="宋体" w:hAnsi="宋体" w:cs="仿宋_GB2312"/>
          <w:bCs/>
          <w:sz w:val="32"/>
          <w:szCs w:val="32"/>
        </w:rPr>
      </w:pPr>
      <w:r>
        <w:rPr>
          <w:rFonts w:hint="eastAsia" w:ascii="宋体" w:hAnsi="宋体" w:cs="仿宋_GB2312"/>
          <w:bCs/>
          <w:sz w:val="32"/>
          <w:szCs w:val="32"/>
        </w:rPr>
        <w:t>项目名称：</w:t>
      </w:r>
    </w:p>
    <w:p w14:paraId="5B8073E6">
      <w:pPr>
        <w:snapToGrid w:val="0"/>
        <w:spacing w:beforeLines="50" w:after="50"/>
        <w:ind w:firstLine="720" w:firstLineChars="225"/>
        <w:rPr>
          <w:rFonts w:ascii="宋体" w:hAnsi="宋体" w:cs="仿宋_GB2312"/>
          <w:bCs/>
          <w:sz w:val="32"/>
          <w:szCs w:val="32"/>
        </w:rPr>
      </w:pPr>
    </w:p>
    <w:p w14:paraId="53A9B626">
      <w:pPr>
        <w:snapToGrid w:val="0"/>
        <w:spacing w:beforeLines="50" w:after="50"/>
        <w:ind w:firstLine="720" w:firstLineChars="225"/>
        <w:rPr>
          <w:rFonts w:ascii="宋体" w:hAnsi="宋体" w:cs="仿宋_GB2312"/>
          <w:bCs/>
          <w:sz w:val="32"/>
          <w:szCs w:val="32"/>
        </w:rPr>
      </w:pPr>
      <w:r>
        <w:rPr>
          <w:rFonts w:hint="eastAsia" w:ascii="宋体" w:hAnsi="宋体" w:cs="仿宋_GB2312"/>
          <w:bCs/>
          <w:sz w:val="32"/>
          <w:szCs w:val="32"/>
        </w:rPr>
        <w:t>项目编号：</w:t>
      </w:r>
    </w:p>
    <w:p w14:paraId="7ACB6528">
      <w:pPr>
        <w:snapToGrid w:val="0"/>
        <w:spacing w:beforeLines="50" w:after="50"/>
        <w:ind w:firstLine="720" w:firstLineChars="225"/>
        <w:rPr>
          <w:rFonts w:ascii="宋体" w:hAnsi="宋体" w:cs="仿宋_GB2312"/>
          <w:bCs/>
          <w:sz w:val="32"/>
          <w:szCs w:val="32"/>
        </w:rPr>
      </w:pPr>
      <w:r>
        <w:rPr>
          <w:rFonts w:hint="eastAsia" w:ascii="宋体" w:hAnsi="宋体" w:cs="仿宋_GB2312"/>
          <w:bCs/>
          <w:sz w:val="32"/>
          <w:szCs w:val="32"/>
        </w:rPr>
        <w:t xml:space="preserve"> </w:t>
      </w:r>
    </w:p>
    <w:p w14:paraId="050D3AAB">
      <w:pPr>
        <w:snapToGrid w:val="0"/>
        <w:spacing w:beforeLines="50" w:after="50"/>
        <w:ind w:firstLine="640" w:firstLineChars="200"/>
        <w:rPr>
          <w:rFonts w:ascii="宋体" w:hAnsi="宋体" w:cs="仿宋_GB2312"/>
          <w:bCs/>
          <w:sz w:val="32"/>
          <w:szCs w:val="32"/>
        </w:rPr>
      </w:pPr>
      <w:r>
        <w:rPr>
          <w:rFonts w:hint="eastAsia" w:ascii="宋体" w:hAnsi="宋体" w:cs="仿宋_GB2312"/>
          <w:bCs/>
          <w:sz w:val="32"/>
          <w:szCs w:val="32"/>
        </w:rPr>
        <w:t>所竞分标：(如有则填写，无分标时填写“无”或者留空）</w:t>
      </w:r>
    </w:p>
    <w:p w14:paraId="0FBA42A9">
      <w:pPr>
        <w:snapToGrid w:val="0"/>
        <w:spacing w:beforeLines="50" w:after="50"/>
        <w:ind w:firstLine="720" w:firstLineChars="225"/>
        <w:rPr>
          <w:rFonts w:ascii="宋体" w:hAnsi="宋体" w:cs="仿宋_GB2312"/>
          <w:bCs/>
          <w:sz w:val="32"/>
          <w:szCs w:val="32"/>
        </w:rPr>
      </w:pPr>
    </w:p>
    <w:p w14:paraId="2DF14EB9">
      <w:pPr>
        <w:pStyle w:val="7"/>
        <w:snapToGrid w:val="0"/>
        <w:spacing w:before="50" w:after="50"/>
        <w:ind w:firstLine="640" w:firstLineChars="200"/>
        <w:rPr>
          <w:rFonts w:ascii="宋体" w:hAnsi="宋体" w:cs="仿宋_GB2312"/>
          <w:bCs/>
          <w:sz w:val="32"/>
          <w:szCs w:val="32"/>
        </w:rPr>
      </w:pPr>
      <w:r>
        <w:rPr>
          <w:rFonts w:hint="eastAsia" w:ascii="宋体" w:hAnsi="宋体" w:cs="仿宋_GB2312"/>
          <w:bCs/>
          <w:sz w:val="32"/>
          <w:szCs w:val="32"/>
        </w:rPr>
        <w:t>供应商名称：</w:t>
      </w:r>
    </w:p>
    <w:p w14:paraId="778A557F">
      <w:pPr>
        <w:pStyle w:val="7"/>
        <w:snapToGrid w:val="0"/>
        <w:spacing w:before="50" w:after="50"/>
        <w:ind w:firstLine="640" w:firstLineChars="200"/>
        <w:rPr>
          <w:rFonts w:ascii="宋体" w:hAnsi="宋体" w:cs="仿宋_GB2312"/>
          <w:bCs/>
          <w:sz w:val="32"/>
          <w:szCs w:val="32"/>
        </w:rPr>
      </w:pPr>
    </w:p>
    <w:p w14:paraId="2CF6DCF3">
      <w:pPr>
        <w:pStyle w:val="7"/>
        <w:snapToGrid w:val="0"/>
        <w:spacing w:before="50" w:after="50"/>
        <w:ind w:firstLine="0"/>
        <w:rPr>
          <w:rFonts w:ascii="宋体" w:hAnsi="宋体" w:cs="仿宋_GB2312"/>
          <w:bCs/>
          <w:sz w:val="32"/>
          <w:szCs w:val="32"/>
        </w:rPr>
      </w:pPr>
    </w:p>
    <w:p w14:paraId="1070713D">
      <w:pPr>
        <w:pStyle w:val="7"/>
        <w:snapToGrid w:val="0"/>
        <w:spacing w:before="50" w:after="50"/>
        <w:ind w:firstLine="1280" w:firstLineChars="400"/>
        <w:rPr>
          <w:rFonts w:ascii="宋体" w:hAnsi="宋体" w:cs="仿宋_GB2312"/>
          <w:bCs/>
          <w:sz w:val="32"/>
          <w:szCs w:val="32"/>
        </w:rPr>
      </w:pPr>
    </w:p>
    <w:p w14:paraId="2C388D05">
      <w:pPr>
        <w:snapToGrid w:val="0"/>
        <w:spacing w:beforeLines="50" w:after="50"/>
        <w:jc w:val="center"/>
        <w:rPr>
          <w:rFonts w:ascii="宋体" w:hAnsi="宋体" w:cs="仿宋_GB2312"/>
          <w:sz w:val="32"/>
          <w:szCs w:val="32"/>
        </w:rPr>
      </w:pPr>
      <w:r>
        <w:rPr>
          <w:rFonts w:hint="eastAsia" w:ascii="宋体" w:hAnsi="宋体" w:cs="仿宋_GB2312"/>
          <w:sz w:val="32"/>
          <w:szCs w:val="32"/>
        </w:rPr>
        <w:t>年    月    日</w:t>
      </w:r>
    </w:p>
    <w:p w14:paraId="328AB015">
      <w:pPr>
        <w:snapToGrid w:val="0"/>
        <w:spacing w:beforeLines="50" w:after="50" w:line="360" w:lineRule="auto"/>
        <w:ind w:left="142"/>
        <w:jc w:val="left"/>
        <w:rPr>
          <w:rFonts w:ascii="宋体" w:hAnsi="宋体"/>
          <w:b/>
          <w:bCs/>
          <w:sz w:val="24"/>
        </w:rPr>
      </w:pPr>
      <w:r>
        <w:rPr>
          <w:rFonts w:ascii="宋体" w:hAnsi="宋体"/>
          <w:sz w:val="24"/>
        </w:rPr>
        <w:br w:type="page"/>
      </w:r>
      <w:r>
        <w:rPr>
          <w:rFonts w:hint="eastAsia" w:ascii="宋体" w:hAnsi="宋体"/>
          <w:b/>
          <w:bCs/>
          <w:sz w:val="32"/>
          <w:szCs w:val="32"/>
        </w:rPr>
        <w:t>2.报价文件目录</w:t>
      </w:r>
    </w:p>
    <w:p w14:paraId="76D77CF0">
      <w:pPr>
        <w:snapToGrid w:val="0"/>
        <w:spacing w:beforeLines="50" w:after="50" w:line="360" w:lineRule="auto"/>
        <w:ind w:firstLine="640" w:firstLineChars="200"/>
        <w:rPr>
          <w:rFonts w:ascii="宋体" w:hAnsi="宋体"/>
          <w:sz w:val="32"/>
          <w:szCs w:val="32"/>
        </w:rPr>
      </w:pPr>
      <w:r>
        <w:rPr>
          <w:rFonts w:hint="eastAsia" w:ascii="宋体" w:hAnsi="宋体"/>
          <w:sz w:val="32"/>
          <w:szCs w:val="32"/>
        </w:rPr>
        <w:t>根据谈判文件规定及供应商提供的材料自行编写目录（部分格式后附）。</w:t>
      </w:r>
    </w:p>
    <w:p w14:paraId="6A92E727">
      <w:pPr>
        <w:spacing w:line="400" w:lineRule="exact"/>
        <w:rPr>
          <w:rFonts w:ascii="仿宋_GB2312" w:hAnsi="仿宋_GB2312" w:eastAsia="仿宋_GB2312" w:cs="仿宋_GB2312"/>
          <w:sz w:val="32"/>
          <w:szCs w:val="32"/>
        </w:rPr>
      </w:pPr>
    </w:p>
    <w:p w14:paraId="3B937941">
      <w:pPr>
        <w:tabs>
          <w:tab w:val="left" w:pos="3479"/>
        </w:tabs>
        <w:spacing w:line="52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bCs/>
          <w:sz w:val="44"/>
          <w:szCs w:val="44"/>
        </w:rPr>
        <w:t>竞标报价表</w:t>
      </w:r>
    </w:p>
    <w:p w14:paraId="32F00124">
      <w:pPr>
        <w:spacing w:line="520" w:lineRule="exact"/>
        <w:jc w:val="center"/>
        <w:rPr>
          <w:rFonts w:ascii="方正小标宋简体" w:hAnsi="方正小标宋简体" w:eastAsia="方正小标宋简体" w:cs="方正小标宋简体"/>
          <w:bCs/>
          <w:sz w:val="32"/>
          <w:szCs w:val="32"/>
        </w:rPr>
      </w:pPr>
    </w:p>
    <w:p w14:paraId="3C95CA9A">
      <w:pPr>
        <w:snapToGrid w:val="0"/>
        <w:spacing w:before="50" w:after="50" w:line="360" w:lineRule="auto"/>
        <w:rPr>
          <w:rFonts w:ascii="宋体" w:hAnsi="宋体" w:cs="仿宋_GB2312"/>
          <w:sz w:val="24"/>
        </w:rPr>
      </w:pPr>
      <w:r>
        <w:rPr>
          <w:rFonts w:hint="eastAsia" w:ascii="宋体" w:hAnsi="宋体" w:cs="仿宋_GB2312"/>
          <w:sz w:val="24"/>
        </w:rPr>
        <w:t>项目名称：</w:t>
      </w:r>
      <w:r>
        <w:rPr>
          <w:rFonts w:hint="eastAsia" w:ascii="宋体" w:hAnsi="宋体" w:cs="仿宋_GB2312"/>
          <w:sz w:val="24"/>
          <w:u w:val="single"/>
        </w:rPr>
        <w:t xml:space="preserve">                </w:t>
      </w:r>
      <w:r>
        <w:rPr>
          <w:rFonts w:hint="eastAsia" w:ascii="宋体" w:hAnsi="宋体" w:cs="仿宋_GB2312"/>
          <w:sz w:val="24"/>
        </w:rPr>
        <w:t>项目编号：</w:t>
      </w:r>
      <w:r>
        <w:rPr>
          <w:rFonts w:hint="eastAsia" w:ascii="宋体" w:hAnsi="宋体" w:cs="仿宋_GB2312"/>
          <w:sz w:val="24"/>
          <w:u w:val="single"/>
        </w:rPr>
        <w:t xml:space="preserve">               </w:t>
      </w:r>
      <w:r>
        <w:rPr>
          <w:rFonts w:hint="eastAsia" w:ascii="宋体" w:hAnsi="宋体" w:cs="仿宋_GB2312"/>
          <w:sz w:val="24"/>
        </w:rPr>
        <w:t xml:space="preserve"> 分标（如有）：</w:t>
      </w:r>
      <w:r>
        <w:rPr>
          <w:rFonts w:hint="eastAsia" w:ascii="宋体" w:hAnsi="宋体" w:cs="仿宋_GB2312"/>
          <w:sz w:val="24"/>
          <w:u w:val="single"/>
        </w:rPr>
        <w:t xml:space="preserve">            </w:t>
      </w:r>
    </w:p>
    <w:p w14:paraId="28A56F51">
      <w:pPr>
        <w:snapToGrid w:val="0"/>
        <w:spacing w:before="50" w:after="50" w:line="360" w:lineRule="auto"/>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 xml:space="preserve">                      </w:t>
      </w:r>
    </w:p>
    <w:tbl>
      <w:tblPr>
        <w:tblStyle w:val="27"/>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51"/>
        <w:gridCol w:w="1414"/>
        <w:gridCol w:w="1560"/>
        <w:gridCol w:w="1958"/>
        <w:gridCol w:w="1651"/>
      </w:tblGrid>
      <w:tr w14:paraId="3DBF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719" w:type="dxa"/>
            <w:tcBorders>
              <w:top w:val="single" w:color="auto" w:sz="4" w:space="0"/>
              <w:left w:val="single" w:color="auto" w:sz="4" w:space="0"/>
              <w:bottom w:val="single" w:color="auto" w:sz="4" w:space="0"/>
              <w:right w:val="single" w:color="auto" w:sz="4" w:space="0"/>
            </w:tcBorders>
            <w:vAlign w:val="center"/>
          </w:tcPr>
          <w:p w14:paraId="2D614340">
            <w:pPr>
              <w:snapToGrid w:val="0"/>
              <w:spacing w:before="50" w:after="50" w:line="360" w:lineRule="auto"/>
              <w:jc w:val="center"/>
              <w:rPr>
                <w:rFonts w:ascii="宋体" w:hAnsi="宋体"/>
                <w:b/>
                <w:sz w:val="24"/>
              </w:rPr>
            </w:pPr>
            <w:r>
              <w:rPr>
                <w:rFonts w:hint="eastAsia" w:ascii="宋体" w:hAnsi="宋体"/>
                <w:b/>
                <w:sz w:val="24"/>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1496A8F2">
            <w:pPr>
              <w:snapToGrid w:val="0"/>
              <w:spacing w:before="50" w:after="50" w:line="360" w:lineRule="auto"/>
              <w:jc w:val="center"/>
              <w:rPr>
                <w:rFonts w:ascii="宋体" w:hAnsi="宋体"/>
                <w:b/>
                <w:sz w:val="24"/>
              </w:rPr>
            </w:pPr>
            <w:r>
              <w:rPr>
                <w:rFonts w:hint="eastAsia" w:ascii="宋体" w:hAnsi="宋体"/>
                <w:b/>
                <w:sz w:val="24"/>
              </w:rPr>
              <w:t>标的名称</w:t>
            </w:r>
          </w:p>
        </w:tc>
        <w:tc>
          <w:tcPr>
            <w:tcW w:w="1251" w:type="dxa"/>
            <w:tcBorders>
              <w:top w:val="single" w:color="auto" w:sz="4" w:space="0"/>
              <w:left w:val="single" w:color="auto" w:sz="4" w:space="0"/>
              <w:bottom w:val="single" w:color="auto" w:sz="4" w:space="0"/>
              <w:right w:val="single" w:color="auto" w:sz="4" w:space="0"/>
            </w:tcBorders>
            <w:vAlign w:val="center"/>
          </w:tcPr>
          <w:p w14:paraId="3EC76074">
            <w:pPr>
              <w:snapToGrid w:val="0"/>
              <w:spacing w:before="50" w:after="50" w:line="360" w:lineRule="auto"/>
              <w:jc w:val="center"/>
              <w:rPr>
                <w:rFonts w:ascii="宋体" w:hAnsi="宋体"/>
                <w:b/>
                <w:sz w:val="24"/>
              </w:rPr>
            </w:pPr>
            <w:r>
              <w:rPr>
                <w:rFonts w:hint="eastAsia" w:ascii="宋体" w:hAnsi="宋体"/>
                <w:b/>
                <w:sz w:val="24"/>
              </w:rPr>
              <w:t>规格型号</w:t>
            </w:r>
          </w:p>
        </w:tc>
        <w:tc>
          <w:tcPr>
            <w:tcW w:w="1414" w:type="dxa"/>
            <w:tcBorders>
              <w:top w:val="single" w:color="auto" w:sz="4" w:space="0"/>
              <w:left w:val="single" w:color="auto" w:sz="4" w:space="0"/>
              <w:bottom w:val="single" w:color="auto" w:sz="4" w:space="0"/>
              <w:right w:val="single" w:color="auto" w:sz="4" w:space="0"/>
            </w:tcBorders>
            <w:vAlign w:val="center"/>
          </w:tcPr>
          <w:p w14:paraId="18FBE2EE">
            <w:pPr>
              <w:snapToGrid w:val="0"/>
              <w:spacing w:before="50" w:after="50" w:line="360" w:lineRule="auto"/>
              <w:jc w:val="center"/>
              <w:rPr>
                <w:rFonts w:ascii="宋体" w:hAnsi="宋体"/>
                <w:b/>
                <w:sz w:val="24"/>
              </w:rPr>
            </w:pPr>
            <w:r>
              <w:rPr>
                <w:rFonts w:hint="eastAsia" w:ascii="宋体" w:hAnsi="宋体"/>
                <w:b/>
                <w:sz w:val="24"/>
              </w:rPr>
              <w:t>品牌</w:t>
            </w:r>
          </w:p>
          <w:p w14:paraId="4D0D1AEB">
            <w:pPr>
              <w:snapToGrid w:val="0"/>
              <w:spacing w:before="50" w:after="50" w:line="360" w:lineRule="auto"/>
              <w:jc w:val="center"/>
              <w:rPr>
                <w:rFonts w:ascii="宋体" w:hAnsi="宋体"/>
                <w:b/>
                <w:sz w:val="24"/>
              </w:rPr>
            </w:pPr>
            <w:r>
              <w:rPr>
                <w:rFonts w:hint="eastAsia" w:ascii="宋体" w:hAnsi="宋体"/>
                <w:b/>
                <w:sz w:val="24"/>
              </w:rPr>
              <w:t>及制造商</w:t>
            </w:r>
          </w:p>
        </w:tc>
        <w:tc>
          <w:tcPr>
            <w:tcW w:w="1560" w:type="dxa"/>
            <w:tcBorders>
              <w:top w:val="single" w:color="auto" w:sz="4" w:space="0"/>
              <w:left w:val="single" w:color="auto" w:sz="4" w:space="0"/>
              <w:bottom w:val="single" w:color="auto" w:sz="4" w:space="0"/>
              <w:right w:val="single" w:color="auto" w:sz="4" w:space="0"/>
            </w:tcBorders>
            <w:vAlign w:val="center"/>
          </w:tcPr>
          <w:p w14:paraId="71501EAA">
            <w:pPr>
              <w:snapToGrid w:val="0"/>
              <w:spacing w:before="50" w:after="50" w:line="360" w:lineRule="auto"/>
              <w:jc w:val="center"/>
              <w:rPr>
                <w:rFonts w:ascii="宋体" w:hAnsi="宋体"/>
                <w:b/>
                <w:sz w:val="24"/>
              </w:rPr>
            </w:pPr>
            <w:r>
              <w:rPr>
                <w:rFonts w:hint="eastAsia" w:ascii="宋体" w:hAnsi="宋体"/>
                <w:b/>
                <w:sz w:val="24"/>
              </w:rPr>
              <w:t>数量及单位</w:t>
            </w:r>
          </w:p>
        </w:tc>
        <w:tc>
          <w:tcPr>
            <w:tcW w:w="1958" w:type="dxa"/>
            <w:tcBorders>
              <w:top w:val="single" w:color="auto" w:sz="4" w:space="0"/>
              <w:left w:val="single" w:color="auto" w:sz="4" w:space="0"/>
              <w:bottom w:val="single" w:color="auto" w:sz="4" w:space="0"/>
              <w:right w:val="single" w:color="auto" w:sz="4" w:space="0"/>
            </w:tcBorders>
            <w:vAlign w:val="center"/>
          </w:tcPr>
          <w:p w14:paraId="257E608A">
            <w:pPr>
              <w:snapToGrid w:val="0"/>
              <w:spacing w:before="50" w:after="50" w:line="360" w:lineRule="auto"/>
              <w:jc w:val="center"/>
              <w:rPr>
                <w:rFonts w:ascii="宋体" w:hAnsi="宋体"/>
                <w:b/>
                <w:sz w:val="24"/>
              </w:rPr>
            </w:pPr>
            <w:r>
              <w:rPr>
                <w:rFonts w:hint="eastAsia" w:ascii="宋体" w:hAnsi="宋体"/>
                <w:b/>
                <w:sz w:val="24"/>
              </w:rPr>
              <w:t>下浮系数报价</w:t>
            </w:r>
          </w:p>
        </w:tc>
        <w:tc>
          <w:tcPr>
            <w:tcW w:w="1651" w:type="dxa"/>
            <w:tcBorders>
              <w:top w:val="single" w:color="auto" w:sz="4" w:space="0"/>
              <w:left w:val="single" w:color="auto" w:sz="4" w:space="0"/>
              <w:bottom w:val="single" w:color="auto" w:sz="4" w:space="0"/>
              <w:right w:val="single" w:color="auto" w:sz="4" w:space="0"/>
            </w:tcBorders>
            <w:vAlign w:val="center"/>
          </w:tcPr>
          <w:p w14:paraId="2471F3A5">
            <w:pPr>
              <w:snapToGrid w:val="0"/>
              <w:spacing w:before="50" w:after="50" w:line="360" w:lineRule="auto"/>
              <w:jc w:val="center"/>
              <w:rPr>
                <w:rFonts w:ascii="宋体" w:hAnsi="宋体"/>
                <w:b/>
                <w:sz w:val="24"/>
              </w:rPr>
            </w:pPr>
            <w:r>
              <w:rPr>
                <w:rFonts w:hint="eastAsia" w:ascii="宋体" w:hAnsi="宋体"/>
                <w:b/>
                <w:sz w:val="24"/>
              </w:rPr>
              <w:t>备注</w:t>
            </w:r>
          </w:p>
        </w:tc>
      </w:tr>
      <w:tr w14:paraId="1D6CA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09C6A416">
            <w:pPr>
              <w:jc w:val="center"/>
              <w:rPr>
                <w:rFonts w:ascii="宋体" w:hAnsi="宋体" w:cs="宋体"/>
                <w:sz w:val="24"/>
              </w:rPr>
            </w:pPr>
            <w:r>
              <w:rPr>
                <w:rFonts w:hint="eastAsia" w:ascii="宋体" w:hAnsi="宋体" w:cs="宋体"/>
                <w:sz w:val="24"/>
              </w:rPr>
              <w:t>1</w:t>
            </w:r>
          </w:p>
        </w:tc>
        <w:tc>
          <w:tcPr>
            <w:tcW w:w="1260" w:type="dxa"/>
            <w:tcBorders>
              <w:top w:val="single" w:color="auto" w:sz="4" w:space="0"/>
              <w:left w:val="single" w:color="auto" w:sz="4" w:space="0"/>
              <w:bottom w:val="single" w:color="auto" w:sz="4" w:space="0"/>
              <w:right w:val="single" w:color="auto" w:sz="4" w:space="0"/>
            </w:tcBorders>
            <w:vAlign w:val="center"/>
          </w:tcPr>
          <w:p w14:paraId="5389FD92">
            <w:pPr>
              <w:rPr>
                <w:rFonts w:ascii="宋体" w:hAnsi="宋体" w:cs="宋体"/>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7B3B9088">
            <w:pPr>
              <w:rPr>
                <w:rFonts w:ascii="宋体" w:hAnsi="宋体" w:cs="宋体"/>
                <w:sz w:val="24"/>
              </w:rPr>
            </w:pPr>
          </w:p>
        </w:tc>
        <w:tc>
          <w:tcPr>
            <w:tcW w:w="1414" w:type="dxa"/>
            <w:tcBorders>
              <w:top w:val="single" w:color="auto" w:sz="4" w:space="0"/>
              <w:left w:val="single" w:color="auto" w:sz="4" w:space="0"/>
              <w:bottom w:val="single" w:color="auto" w:sz="4" w:space="0"/>
              <w:right w:val="single" w:color="auto" w:sz="4" w:space="0"/>
            </w:tcBorders>
            <w:vAlign w:val="center"/>
          </w:tcPr>
          <w:p w14:paraId="581BE589">
            <w:pPr>
              <w:rPr>
                <w:rFonts w:ascii="宋体" w:hAnsi="宋体" w:cs="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49C9B7CB">
            <w:pPr>
              <w:rPr>
                <w:rFonts w:ascii="宋体" w:hAnsi="宋体" w:cs="宋体"/>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407D9132">
            <w:pPr>
              <w:rPr>
                <w:rFonts w:ascii="宋体" w:hAnsi="宋体" w:cs="宋体"/>
                <w:sz w:val="24"/>
              </w:rPr>
            </w:pPr>
          </w:p>
        </w:tc>
        <w:tc>
          <w:tcPr>
            <w:tcW w:w="1651" w:type="dxa"/>
            <w:tcBorders>
              <w:top w:val="single" w:color="auto" w:sz="4" w:space="0"/>
              <w:left w:val="single" w:color="auto" w:sz="4" w:space="0"/>
              <w:bottom w:val="single" w:color="auto" w:sz="4" w:space="0"/>
              <w:right w:val="single" w:color="auto" w:sz="4" w:space="0"/>
            </w:tcBorders>
          </w:tcPr>
          <w:p w14:paraId="2E2D1829">
            <w:pPr>
              <w:rPr>
                <w:rFonts w:ascii="宋体" w:hAnsi="宋体" w:cs="宋体"/>
                <w:sz w:val="24"/>
              </w:rPr>
            </w:pPr>
          </w:p>
        </w:tc>
      </w:tr>
      <w:tr w14:paraId="6E0D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0C054469">
            <w:pPr>
              <w:jc w:val="center"/>
              <w:rPr>
                <w:rFonts w:ascii="宋体" w:hAnsi="宋体" w:cs="宋体"/>
                <w:sz w:val="24"/>
              </w:rPr>
            </w:pPr>
            <w:r>
              <w:rPr>
                <w:rFonts w:hint="eastAsia" w:ascii="宋体" w:hAnsi="宋体" w:cs="宋体"/>
                <w:sz w:val="24"/>
              </w:rPr>
              <w:t>2</w:t>
            </w:r>
          </w:p>
        </w:tc>
        <w:tc>
          <w:tcPr>
            <w:tcW w:w="1260" w:type="dxa"/>
            <w:tcBorders>
              <w:top w:val="single" w:color="auto" w:sz="4" w:space="0"/>
              <w:left w:val="single" w:color="auto" w:sz="4" w:space="0"/>
              <w:bottom w:val="single" w:color="auto" w:sz="4" w:space="0"/>
              <w:right w:val="single" w:color="auto" w:sz="4" w:space="0"/>
            </w:tcBorders>
            <w:vAlign w:val="center"/>
          </w:tcPr>
          <w:p w14:paraId="349A638B">
            <w:pPr>
              <w:rPr>
                <w:rFonts w:ascii="宋体" w:hAnsi="宋体" w:cs="宋体"/>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34515A58">
            <w:pPr>
              <w:rPr>
                <w:rFonts w:ascii="宋体" w:hAnsi="宋体" w:cs="宋体"/>
                <w:sz w:val="24"/>
              </w:rPr>
            </w:pPr>
          </w:p>
        </w:tc>
        <w:tc>
          <w:tcPr>
            <w:tcW w:w="1414" w:type="dxa"/>
            <w:tcBorders>
              <w:top w:val="single" w:color="auto" w:sz="4" w:space="0"/>
              <w:left w:val="single" w:color="auto" w:sz="4" w:space="0"/>
              <w:bottom w:val="single" w:color="auto" w:sz="4" w:space="0"/>
              <w:right w:val="single" w:color="auto" w:sz="4" w:space="0"/>
            </w:tcBorders>
            <w:vAlign w:val="center"/>
          </w:tcPr>
          <w:p w14:paraId="53B3A2F2">
            <w:pPr>
              <w:rPr>
                <w:rFonts w:ascii="宋体" w:hAnsi="宋体" w:cs="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04427302">
            <w:pPr>
              <w:rPr>
                <w:rFonts w:ascii="宋体" w:hAnsi="宋体" w:cs="宋体"/>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7316A538">
            <w:pPr>
              <w:rPr>
                <w:rFonts w:ascii="宋体" w:hAnsi="宋体" w:cs="宋体"/>
                <w:sz w:val="24"/>
              </w:rPr>
            </w:pPr>
          </w:p>
        </w:tc>
        <w:tc>
          <w:tcPr>
            <w:tcW w:w="1651" w:type="dxa"/>
            <w:tcBorders>
              <w:top w:val="single" w:color="auto" w:sz="4" w:space="0"/>
              <w:left w:val="single" w:color="auto" w:sz="4" w:space="0"/>
              <w:bottom w:val="single" w:color="auto" w:sz="4" w:space="0"/>
              <w:right w:val="single" w:color="auto" w:sz="4" w:space="0"/>
            </w:tcBorders>
          </w:tcPr>
          <w:p w14:paraId="761225C3">
            <w:pPr>
              <w:rPr>
                <w:rFonts w:ascii="宋体" w:hAnsi="宋体" w:cs="宋体"/>
                <w:sz w:val="24"/>
              </w:rPr>
            </w:pPr>
          </w:p>
        </w:tc>
      </w:tr>
      <w:tr w14:paraId="0F03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19" w:type="dxa"/>
            <w:tcBorders>
              <w:top w:val="single" w:color="auto" w:sz="4" w:space="0"/>
              <w:left w:val="single" w:color="auto" w:sz="4" w:space="0"/>
              <w:bottom w:val="single" w:color="auto" w:sz="4" w:space="0"/>
              <w:right w:val="single" w:color="auto" w:sz="4" w:space="0"/>
            </w:tcBorders>
            <w:vAlign w:val="center"/>
          </w:tcPr>
          <w:p w14:paraId="7FAFD74D">
            <w:pPr>
              <w:jc w:val="center"/>
              <w:rPr>
                <w:rFonts w:ascii="宋体" w:hAnsi="宋体" w:cs="宋体"/>
                <w:sz w:val="24"/>
              </w:rPr>
            </w:pPr>
            <w:r>
              <w:rPr>
                <w:rFonts w:hint="eastAsia" w:ascii="宋体" w:hAnsi="宋体" w:cs="宋体"/>
                <w:sz w:val="24"/>
              </w:rPr>
              <w:t>...</w:t>
            </w:r>
          </w:p>
        </w:tc>
        <w:tc>
          <w:tcPr>
            <w:tcW w:w="1260" w:type="dxa"/>
            <w:tcBorders>
              <w:top w:val="single" w:color="auto" w:sz="4" w:space="0"/>
              <w:left w:val="single" w:color="auto" w:sz="4" w:space="0"/>
              <w:bottom w:val="single" w:color="auto" w:sz="4" w:space="0"/>
              <w:right w:val="single" w:color="auto" w:sz="4" w:space="0"/>
            </w:tcBorders>
            <w:vAlign w:val="center"/>
          </w:tcPr>
          <w:p w14:paraId="68642DDC">
            <w:pPr>
              <w:rPr>
                <w:rFonts w:ascii="宋体" w:hAnsi="宋体" w:cs="宋体"/>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5B807AF0">
            <w:pPr>
              <w:rPr>
                <w:rFonts w:ascii="宋体" w:hAnsi="宋体" w:cs="宋体"/>
                <w:sz w:val="24"/>
              </w:rPr>
            </w:pPr>
          </w:p>
        </w:tc>
        <w:tc>
          <w:tcPr>
            <w:tcW w:w="1414" w:type="dxa"/>
            <w:tcBorders>
              <w:top w:val="single" w:color="auto" w:sz="4" w:space="0"/>
              <w:left w:val="single" w:color="auto" w:sz="4" w:space="0"/>
              <w:bottom w:val="single" w:color="auto" w:sz="4" w:space="0"/>
              <w:right w:val="single" w:color="auto" w:sz="4" w:space="0"/>
            </w:tcBorders>
            <w:vAlign w:val="center"/>
          </w:tcPr>
          <w:p w14:paraId="69CDE902">
            <w:pPr>
              <w:rPr>
                <w:rFonts w:ascii="宋体" w:hAnsi="宋体" w:cs="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66E2ACEB">
            <w:pPr>
              <w:rPr>
                <w:rFonts w:ascii="宋体" w:hAnsi="宋体" w:cs="宋体"/>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5B707D2D">
            <w:pPr>
              <w:rPr>
                <w:rFonts w:ascii="宋体" w:hAnsi="宋体" w:cs="宋体"/>
                <w:sz w:val="24"/>
              </w:rPr>
            </w:pPr>
          </w:p>
        </w:tc>
        <w:tc>
          <w:tcPr>
            <w:tcW w:w="1651" w:type="dxa"/>
            <w:tcBorders>
              <w:top w:val="single" w:color="auto" w:sz="4" w:space="0"/>
              <w:left w:val="single" w:color="auto" w:sz="4" w:space="0"/>
              <w:bottom w:val="single" w:color="auto" w:sz="4" w:space="0"/>
              <w:right w:val="single" w:color="auto" w:sz="4" w:space="0"/>
            </w:tcBorders>
          </w:tcPr>
          <w:p w14:paraId="6BBE82DD">
            <w:pPr>
              <w:rPr>
                <w:rFonts w:ascii="宋体" w:hAnsi="宋体" w:cs="宋体"/>
                <w:sz w:val="24"/>
              </w:rPr>
            </w:pPr>
          </w:p>
        </w:tc>
      </w:tr>
      <w:tr w14:paraId="71094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9813" w:type="dxa"/>
            <w:gridSpan w:val="7"/>
            <w:tcBorders>
              <w:top w:val="single" w:color="auto" w:sz="4" w:space="0"/>
              <w:left w:val="single" w:color="auto" w:sz="4" w:space="0"/>
              <w:bottom w:val="single" w:color="auto" w:sz="4" w:space="0"/>
              <w:right w:val="single" w:color="auto" w:sz="4" w:space="0"/>
            </w:tcBorders>
            <w:vAlign w:val="center"/>
          </w:tcPr>
          <w:p w14:paraId="61E879CF">
            <w:pPr>
              <w:spacing w:line="360" w:lineRule="auto"/>
              <w:rPr>
                <w:rFonts w:ascii="宋体" w:hAnsi="宋体" w:cs="宋体"/>
                <w:sz w:val="24"/>
              </w:rPr>
            </w:pPr>
            <w:r>
              <w:rPr>
                <w:rFonts w:hint="eastAsia" w:ascii="宋体" w:hAnsi="宋体" w:cs="宋体"/>
                <w:sz w:val="24"/>
              </w:rPr>
              <w:t>下浮系数报价（包含配送等所有费用）：</w:t>
            </w:r>
            <w:r>
              <w:rPr>
                <w:rFonts w:hint="eastAsia" w:ascii="宋体" w:hAnsi="宋体" w:cs="宋体"/>
                <w:sz w:val="24"/>
                <w:u w:val="single"/>
              </w:rPr>
              <w:t xml:space="preserve">（大写）                         （小写：       ）      </w:t>
            </w:r>
          </w:p>
        </w:tc>
      </w:tr>
      <w:tr w14:paraId="7544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9813" w:type="dxa"/>
            <w:gridSpan w:val="7"/>
            <w:tcBorders>
              <w:top w:val="single" w:color="auto" w:sz="4" w:space="0"/>
              <w:left w:val="single" w:color="auto" w:sz="4" w:space="0"/>
              <w:bottom w:val="single" w:color="auto" w:sz="4" w:space="0"/>
              <w:right w:val="single" w:color="auto" w:sz="4" w:space="0"/>
            </w:tcBorders>
            <w:vAlign w:val="center"/>
          </w:tcPr>
          <w:p w14:paraId="14F59E79">
            <w:pPr>
              <w:rPr>
                <w:rFonts w:ascii="宋体" w:hAnsi="宋体" w:cs="宋体"/>
                <w:sz w:val="24"/>
              </w:rPr>
            </w:pPr>
            <w:r>
              <w:rPr>
                <w:rFonts w:hint="eastAsia" w:ascii="宋体" w:hAnsi="宋体" w:cs="宋体"/>
                <w:sz w:val="24"/>
              </w:rPr>
              <w:t>合同履约期限：</w:t>
            </w:r>
          </w:p>
        </w:tc>
      </w:tr>
      <w:tr w14:paraId="6B6EA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vAlign w:val="center"/>
          </w:tcPr>
          <w:p w14:paraId="7E37C20D">
            <w:pPr>
              <w:spacing w:line="360" w:lineRule="auto"/>
              <w:rPr>
                <w:rFonts w:ascii="宋体" w:hAnsi="宋体" w:cs="宋体"/>
                <w:sz w:val="24"/>
              </w:rPr>
            </w:pPr>
            <w:r>
              <w:rPr>
                <w:rFonts w:hint="eastAsia" w:ascii="宋体" w:hAnsi="宋体" w:cs="宋体"/>
                <w:sz w:val="24"/>
              </w:rPr>
              <w:t>优惠及其它：（如没有填写无）</w:t>
            </w:r>
          </w:p>
        </w:tc>
      </w:tr>
    </w:tbl>
    <w:p w14:paraId="6E48B879">
      <w:pPr>
        <w:spacing w:line="360" w:lineRule="auto"/>
        <w:contextualSpacing/>
        <w:jc w:val="left"/>
        <w:rPr>
          <w:rFonts w:ascii="宋体" w:hAnsi="宋体" w:cs="仿宋_GB2312"/>
          <w:sz w:val="24"/>
        </w:rPr>
      </w:pPr>
      <w:r>
        <w:rPr>
          <w:rFonts w:hint="eastAsia" w:ascii="宋体" w:hAnsi="宋体" w:cs="仿宋_GB2312"/>
          <w:sz w:val="24"/>
        </w:rPr>
        <w:t xml:space="preserve">注: </w:t>
      </w:r>
    </w:p>
    <w:p w14:paraId="288F5BF6">
      <w:pPr>
        <w:spacing w:line="360" w:lineRule="exact"/>
        <w:ind w:firstLine="480" w:firstLineChars="200"/>
        <w:contextualSpacing/>
        <w:jc w:val="left"/>
        <w:rPr>
          <w:rFonts w:ascii="宋体" w:hAnsi="宋体" w:cs="仿宋_GB2312"/>
          <w:sz w:val="24"/>
        </w:rPr>
      </w:pPr>
      <w:r>
        <w:rPr>
          <w:rFonts w:hint="eastAsia" w:ascii="宋体" w:hAnsi="宋体" w:cs="仿宋_GB2312"/>
          <w:sz w:val="24"/>
        </w:rPr>
        <w:t>1</w:t>
      </w:r>
      <w:r>
        <w:rPr>
          <w:rFonts w:ascii="宋体" w:hAnsi="宋体" w:cs="仿宋_GB2312"/>
          <w:sz w:val="24"/>
        </w:rPr>
        <w:t>.</w:t>
      </w:r>
      <w:r>
        <w:rPr>
          <w:rFonts w:hint="eastAsia" w:ascii="宋体" w:hAnsi="宋体"/>
          <w:sz w:val="24"/>
        </w:rPr>
        <w:t xml:space="preserve"> 以上竞标报价表中“货物名称、产地、品牌及型号、数量及单位、”必须如实填写完整，品牌、规格型号没有则填无，填写有缺漏</w:t>
      </w:r>
      <w:r>
        <w:rPr>
          <w:rFonts w:hint="eastAsia" w:ascii="宋体" w:hAnsi="宋体"/>
          <w:bCs/>
          <w:sz w:val="24"/>
        </w:rPr>
        <w:t>的，</w:t>
      </w:r>
      <w:r>
        <w:rPr>
          <w:rFonts w:hint="eastAsia" w:ascii="宋体" w:hAnsi="宋体" w:cs="仿宋_GB2312"/>
          <w:b/>
          <w:sz w:val="24"/>
        </w:rPr>
        <w:t>其响应文件按无效响应处理</w:t>
      </w:r>
      <w:r>
        <w:rPr>
          <w:rFonts w:hint="eastAsia" w:ascii="宋体" w:hAnsi="宋体"/>
          <w:b/>
          <w:sz w:val="24"/>
        </w:rPr>
        <w:t>。</w:t>
      </w:r>
    </w:p>
    <w:p w14:paraId="1110ED01">
      <w:pPr>
        <w:spacing w:line="360" w:lineRule="exact"/>
        <w:ind w:firstLine="480" w:firstLineChars="200"/>
        <w:contextualSpacing/>
        <w:jc w:val="left"/>
        <w:rPr>
          <w:rFonts w:ascii="宋体" w:hAnsi="宋体" w:cs="仿宋_GB2312"/>
          <w:sz w:val="24"/>
        </w:rPr>
      </w:pPr>
      <w:r>
        <w:rPr>
          <w:rFonts w:ascii="宋体" w:hAnsi="宋体" w:cs="仿宋_GB2312"/>
          <w:sz w:val="24"/>
        </w:rPr>
        <w:t>2</w:t>
      </w:r>
      <w:r>
        <w:rPr>
          <w:rFonts w:hint="eastAsia" w:ascii="宋体" w:hAnsi="宋体" w:cs="仿宋_GB2312"/>
          <w:sz w:val="24"/>
        </w:rPr>
        <w:t>.供应商的报价表必须加盖供应商公章并由法定代表人或者委托代理人签字，</w:t>
      </w:r>
      <w:r>
        <w:rPr>
          <w:rFonts w:hint="eastAsia" w:ascii="宋体" w:hAnsi="宋体" w:cs="仿宋_GB2312"/>
          <w:b/>
          <w:sz w:val="24"/>
        </w:rPr>
        <w:t>否则其响应文件按无效响应处理</w:t>
      </w:r>
      <w:r>
        <w:rPr>
          <w:rFonts w:hint="eastAsia" w:ascii="宋体" w:hAnsi="宋体" w:cs="仿宋_GB2312"/>
          <w:sz w:val="24"/>
        </w:rPr>
        <w:t>。</w:t>
      </w:r>
    </w:p>
    <w:p w14:paraId="1F419B74">
      <w:pPr>
        <w:spacing w:line="360" w:lineRule="exact"/>
        <w:ind w:firstLine="480" w:firstLineChars="200"/>
        <w:contextualSpacing/>
        <w:jc w:val="left"/>
        <w:rPr>
          <w:rFonts w:ascii="宋体" w:hAnsi="宋体" w:cs="仿宋_GB2312"/>
          <w:b/>
          <w:sz w:val="24"/>
        </w:rPr>
      </w:pPr>
      <w:r>
        <w:rPr>
          <w:rFonts w:ascii="宋体" w:hAnsi="宋体" w:cs="仿宋_GB2312"/>
          <w:bCs/>
          <w:sz w:val="24"/>
        </w:rPr>
        <w:t>3</w:t>
      </w:r>
      <w:r>
        <w:rPr>
          <w:rFonts w:hint="eastAsia" w:ascii="宋体" w:hAnsi="宋体" w:cs="仿宋_GB2312"/>
          <w:bCs/>
          <w:sz w:val="24"/>
        </w:rPr>
        <w:t>.</w:t>
      </w:r>
      <w:r>
        <w:rPr>
          <w:rFonts w:hint="eastAsia" w:ascii="宋体" w:hAnsi="宋体" w:cs="仿宋_GB2312"/>
          <w:sz w:val="24"/>
        </w:rPr>
        <w:t>报价一经涂改，应在涂改处加盖供应商公章或者由法定代表人或者授权委托人签字或者盖章</w:t>
      </w:r>
      <w:r>
        <w:rPr>
          <w:rFonts w:hint="eastAsia" w:ascii="宋体" w:hAnsi="宋体" w:cs="仿宋_GB2312"/>
          <w:b/>
          <w:sz w:val="24"/>
        </w:rPr>
        <w:t>，否则其响应文件按无效响应处理。</w:t>
      </w:r>
    </w:p>
    <w:p w14:paraId="7796EE65">
      <w:pPr>
        <w:spacing w:line="360" w:lineRule="exact"/>
        <w:ind w:firstLine="480" w:firstLineChars="200"/>
        <w:contextualSpacing/>
        <w:jc w:val="left"/>
        <w:rPr>
          <w:rFonts w:ascii="宋体" w:hAnsi="宋体" w:cs="仿宋_GB2312"/>
          <w:sz w:val="24"/>
        </w:rPr>
      </w:pPr>
      <w:r>
        <w:rPr>
          <w:rFonts w:ascii="宋体" w:hAnsi="宋体" w:cs="仿宋_GB2312"/>
          <w:sz w:val="24"/>
        </w:rPr>
        <w:t>4</w:t>
      </w:r>
      <w:r>
        <w:rPr>
          <w:rFonts w:hint="eastAsia" w:ascii="宋体" w:hAnsi="宋体" w:cs="仿宋_GB2312"/>
          <w:sz w:val="24"/>
        </w:rPr>
        <w:t>.谈判文件中列明采购专用耗材的，应按谈判文件规定的耗材量或者按耗材的常规试用量提供报价。</w:t>
      </w:r>
    </w:p>
    <w:p w14:paraId="67FEAB8A">
      <w:pPr>
        <w:spacing w:line="360" w:lineRule="exact"/>
        <w:ind w:firstLine="480" w:firstLineChars="200"/>
        <w:contextualSpacing/>
        <w:jc w:val="left"/>
        <w:rPr>
          <w:rFonts w:ascii="宋体" w:hAnsi="宋体" w:cs="仿宋_GB2312"/>
          <w:sz w:val="24"/>
        </w:rPr>
      </w:pPr>
      <w:r>
        <w:rPr>
          <w:rFonts w:ascii="宋体" w:hAnsi="宋体" w:cs="仿宋_GB2312"/>
          <w:sz w:val="24"/>
        </w:rPr>
        <w:t>5</w:t>
      </w:r>
      <w:r>
        <w:rPr>
          <w:rFonts w:hint="eastAsia" w:ascii="宋体" w:hAnsi="宋体" w:cs="仿宋_GB2312"/>
          <w:sz w:val="24"/>
        </w:rPr>
        <w:t>.如为联合体竞标,“供应商名称”处必须列明联合体各方名称，标注联合体牵头人名称，</w:t>
      </w:r>
      <w:r>
        <w:rPr>
          <w:rFonts w:hint="eastAsia" w:ascii="宋体" w:hAnsi="宋体" w:cs="仿宋_GB2312"/>
          <w:b/>
          <w:sz w:val="24"/>
        </w:rPr>
        <w:t>否则其响应文件按无效响应处理。（采购人可根据项目情况自行修改是否需要联合体各方签字盖章）</w:t>
      </w:r>
    </w:p>
    <w:p w14:paraId="0F1D671B">
      <w:pPr>
        <w:spacing w:line="360" w:lineRule="exact"/>
        <w:ind w:firstLine="480" w:firstLineChars="200"/>
        <w:contextualSpacing/>
        <w:jc w:val="left"/>
        <w:rPr>
          <w:rFonts w:ascii="宋体" w:hAnsi="宋体" w:cs="仿宋_GB2312"/>
          <w:sz w:val="24"/>
        </w:rPr>
      </w:pPr>
      <w:r>
        <w:rPr>
          <w:rFonts w:ascii="宋体" w:hAnsi="宋体" w:cs="仿宋_GB2312"/>
          <w:sz w:val="24"/>
        </w:rPr>
        <w:t>6</w:t>
      </w:r>
      <w:r>
        <w:rPr>
          <w:rFonts w:hint="eastAsia" w:ascii="宋体" w:hAnsi="宋体" w:cs="仿宋_GB2312"/>
          <w:sz w:val="24"/>
        </w:rPr>
        <w:t>.如为联合体竞标,盖章处须加盖联合体各方公章，</w:t>
      </w:r>
      <w:r>
        <w:rPr>
          <w:rFonts w:hint="eastAsia" w:ascii="宋体" w:hAnsi="宋体" w:cs="仿宋_GB2312"/>
          <w:b/>
          <w:sz w:val="24"/>
        </w:rPr>
        <w:t>否则其响应文件按无效响应处理。</w:t>
      </w:r>
    </w:p>
    <w:p w14:paraId="6E513668">
      <w:pPr>
        <w:spacing w:line="360" w:lineRule="exact"/>
        <w:ind w:firstLine="480" w:firstLineChars="200"/>
        <w:contextualSpacing/>
        <w:rPr>
          <w:rFonts w:ascii="宋体" w:hAnsi="宋体" w:cs="仿宋_GB2312"/>
          <w:sz w:val="24"/>
        </w:rPr>
      </w:pPr>
      <w:r>
        <w:rPr>
          <w:rFonts w:ascii="宋体" w:hAnsi="宋体" w:cs="仿宋_GB2312"/>
          <w:sz w:val="24"/>
        </w:rPr>
        <w:t>7</w:t>
      </w:r>
      <w:r>
        <w:rPr>
          <w:rFonts w:hint="eastAsia" w:ascii="宋体" w:hAnsi="宋体" w:cs="仿宋_GB2312"/>
          <w:sz w:val="24"/>
        </w:rPr>
        <w:t>.</w:t>
      </w:r>
      <w:r>
        <w:rPr>
          <w:rFonts w:hint="eastAsia" w:ascii="宋体" w:hAnsi="宋体" w:cs="仿宋_GB2312"/>
          <w:spacing w:val="-6"/>
          <w:sz w:val="24"/>
        </w:rPr>
        <w:t>如有多分标，分别列明各分标的报价表，</w:t>
      </w:r>
      <w:r>
        <w:rPr>
          <w:rFonts w:hint="eastAsia" w:ascii="宋体" w:hAnsi="宋体" w:cs="仿宋_GB2312"/>
          <w:b/>
          <w:spacing w:val="-6"/>
          <w:sz w:val="24"/>
        </w:rPr>
        <w:t>否则其响应文件按无效响应处理。</w:t>
      </w:r>
      <w:r>
        <w:rPr>
          <w:rFonts w:hint="eastAsia" w:ascii="宋体" w:hAnsi="宋体" w:cs="仿宋_GB2312"/>
          <w:b/>
          <w:sz w:val="24"/>
        </w:rPr>
        <w:t>（采购人可根据项目情况自行修改是否需要联合体各方签字盖章）</w:t>
      </w:r>
    </w:p>
    <w:p w14:paraId="6C6B8FD6">
      <w:pPr>
        <w:spacing w:line="360" w:lineRule="exact"/>
        <w:ind w:firstLine="482" w:firstLineChars="200"/>
        <w:contextualSpacing/>
        <w:jc w:val="left"/>
        <w:rPr>
          <w:rFonts w:hint="eastAsia" w:ascii="宋体" w:hAnsi="宋体" w:cs="仿宋_GB2312"/>
          <w:b/>
          <w:bCs/>
          <w:sz w:val="24"/>
        </w:rPr>
      </w:pPr>
      <w:r>
        <w:rPr>
          <w:rFonts w:hint="eastAsia" w:ascii="宋体" w:hAnsi="宋体" w:cs="仿宋_GB2312"/>
          <w:b/>
          <w:bCs/>
          <w:sz w:val="24"/>
          <w:lang w:val="en-US" w:eastAsia="zh-CN"/>
        </w:rPr>
        <w:t>8.</w:t>
      </w:r>
      <w:r>
        <w:rPr>
          <w:rFonts w:hint="eastAsia" w:ascii="宋体" w:hAnsi="宋体" w:cs="仿宋_GB2312"/>
          <w:b/>
          <w:bCs/>
          <w:sz w:val="24"/>
        </w:rPr>
        <w:t>供应商配送费用包含在油价中，采购</w:t>
      </w:r>
      <w:r>
        <w:rPr>
          <w:rFonts w:hint="eastAsia" w:ascii="宋体" w:hAnsi="宋体" w:cs="仿宋_GB2312"/>
          <w:b/>
          <w:bCs/>
          <w:sz w:val="24"/>
          <w:lang w:eastAsia="zh-CN"/>
        </w:rPr>
        <w:t>人</w:t>
      </w:r>
      <w:r>
        <w:rPr>
          <w:rFonts w:hint="eastAsia" w:ascii="宋体" w:hAnsi="宋体" w:cs="仿宋_GB2312"/>
          <w:b/>
          <w:bCs/>
          <w:sz w:val="24"/>
        </w:rPr>
        <w:t>不再另行支付其他费用。每次供货结算金额＝每次实际配送数量×进货当天按玉林中石化或中石油的挂牌销售价</w:t>
      </w:r>
      <w:r>
        <w:rPr>
          <w:rFonts w:hint="eastAsia" w:ascii="宋体" w:hAnsi="宋体" w:cs="仿宋_GB2312"/>
          <w:b/>
          <w:bCs/>
          <w:sz w:val="24"/>
          <w:lang w:eastAsia="zh-CN"/>
        </w:rPr>
        <w:t>格</w:t>
      </w:r>
      <w:r>
        <w:rPr>
          <w:rFonts w:hint="eastAsia" w:ascii="宋体" w:hAnsi="宋体" w:cs="仿宋_GB2312"/>
          <w:b/>
          <w:bCs/>
          <w:sz w:val="24"/>
        </w:rPr>
        <w:t>×成交下浮系数。下浮系数≤0.95。</w:t>
      </w:r>
    </w:p>
    <w:p w14:paraId="4C308BA8">
      <w:pPr>
        <w:spacing w:line="400" w:lineRule="exact"/>
        <w:ind w:right="-817" w:rightChars="-389"/>
        <w:contextualSpacing/>
        <w:rPr>
          <w:rFonts w:hint="eastAsia" w:ascii="宋体" w:hAnsi="宋体" w:cs="仿宋_GB2312"/>
          <w:sz w:val="24"/>
        </w:rPr>
      </w:pPr>
    </w:p>
    <w:p w14:paraId="640A2D8A">
      <w:pPr>
        <w:spacing w:line="400" w:lineRule="exact"/>
        <w:ind w:right="-817" w:rightChars="-389" w:firstLine="2640" w:firstLineChars="1100"/>
        <w:contextualSpacing/>
        <w:rPr>
          <w:rFonts w:ascii="宋体" w:hAnsi="宋体" w:cs="仿宋_GB2312"/>
          <w:sz w:val="24"/>
        </w:rPr>
      </w:pPr>
      <w:r>
        <w:rPr>
          <w:rFonts w:hint="eastAsia" w:ascii="宋体" w:hAnsi="宋体" w:cs="仿宋_GB2312"/>
          <w:sz w:val="24"/>
        </w:rPr>
        <w:t xml:space="preserve">法定代表人或者委托代理人（签字）：                    </w:t>
      </w:r>
    </w:p>
    <w:p w14:paraId="598D9F4C">
      <w:pPr>
        <w:spacing w:line="400" w:lineRule="exact"/>
        <w:ind w:right="-817" w:rightChars="-389" w:firstLine="2640" w:firstLineChars="1100"/>
        <w:contextualSpacing/>
        <w:rPr>
          <w:rFonts w:ascii="宋体" w:hAnsi="宋体" w:cs="仿宋_GB2312"/>
          <w:sz w:val="24"/>
        </w:rPr>
      </w:pPr>
      <w:r>
        <w:rPr>
          <w:rFonts w:hint="eastAsia" w:ascii="宋体" w:hAnsi="宋体" w:cs="仿宋_GB2312"/>
          <w:sz w:val="24"/>
        </w:rPr>
        <w:t xml:space="preserve">供应商（盖公章）：      </w:t>
      </w:r>
    </w:p>
    <w:p w14:paraId="40EDD2B1">
      <w:pPr>
        <w:spacing w:line="400" w:lineRule="exact"/>
        <w:jc w:val="center"/>
        <w:rPr>
          <w:rFonts w:ascii="方正小标宋简体" w:hAnsi="方正小标宋简体" w:eastAsia="方正小标宋简体" w:cs="方正小标宋简体"/>
          <w:sz w:val="44"/>
          <w:szCs w:val="44"/>
        </w:rPr>
      </w:pPr>
      <w:r>
        <w:rPr>
          <w:rFonts w:hint="eastAsia" w:ascii="宋体" w:hAnsi="宋体" w:cs="仿宋_GB2312"/>
          <w:sz w:val="24"/>
        </w:rPr>
        <w:t>日期：   年   月   日</w:t>
      </w:r>
      <w:r>
        <w:rPr>
          <w:rFonts w:hint="eastAsia" w:ascii="宋体" w:hAnsi="Courier New"/>
          <w:b/>
          <w:sz w:val="32"/>
          <w:szCs w:val="32"/>
        </w:rPr>
        <w:br w:type="page"/>
      </w:r>
    </w:p>
    <w:p w14:paraId="1D98BD1E">
      <w:pPr>
        <w:spacing w:line="360" w:lineRule="auto"/>
        <w:ind w:right="420"/>
        <w:contextualSpacing/>
        <w:jc w:val="left"/>
        <w:rPr>
          <w:rFonts w:ascii="宋体" w:hAnsi="宋体"/>
          <w:b/>
          <w:sz w:val="32"/>
          <w:szCs w:val="32"/>
        </w:rPr>
      </w:pPr>
      <w:r>
        <w:rPr>
          <w:rFonts w:hint="eastAsia" w:ascii="宋体" w:hAnsi="宋体"/>
          <w:b/>
          <w:bCs/>
          <w:sz w:val="32"/>
          <w:szCs w:val="32"/>
        </w:rPr>
        <w:t>三、</w:t>
      </w:r>
      <w:r>
        <w:rPr>
          <w:rFonts w:hint="eastAsia" w:ascii="宋体" w:hAnsi="宋体"/>
          <w:b/>
          <w:sz w:val="32"/>
          <w:szCs w:val="32"/>
        </w:rPr>
        <w:t xml:space="preserve">商务技术文件格式 </w:t>
      </w:r>
    </w:p>
    <w:p w14:paraId="067B0BCB">
      <w:pPr>
        <w:snapToGrid w:val="0"/>
        <w:spacing w:beforeLines="50" w:after="50" w:line="360" w:lineRule="auto"/>
        <w:jc w:val="left"/>
        <w:rPr>
          <w:rFonts w:ascii="宋体" w:hAnsi="宋体"/>
          <w:b/>
          <w:sz w:val="32"/>
          <w:szCs w:val="32"/>
        </w:rPr>
      </w:pPr>
      <w:r>
        <w:rPr>
          <w:rFonts w:hint="eastAsia" w:ascii="宋体" w:hAnsi="宋体"/>
          <w:b/>
          <w:sz w:val="32"/>
          <w:szCs w:val="32"/>
        </w:rPr>
        <w:t>1.商务技术文件封面格式</w:t>
      </w:r>
    </w:p>
    <w:p w14:paraId="08DCDBC8">
      <w:pPr>
        <w:snapToGrid w:val="0"/>
        <w:spacing w:beforeLines="50" w:after="50"/>
        <w:rPr>
          <w:rFonts w:ascii="宋体" w:hAnsi="宋体"/>
          <w:sz w:val="24"/>
        </w:rPr>
      </w:pPr>
      <w:r>
        <w:rPr>
          <w:rFonts w:hint="eastAsia" w:ascii="宋体" w:hAnsi="宋体"/>
          <w:sz w:val="24"/>
        </w:rPr>
        <w:t xml:space="preserve">                                                   </w:t>
      </w:r>
    </w:p>
    <w:p w14:paraId="5DA2EEDD">
      <w:pPr>
        <w:snapToGrid w:val="0"/>
        <w:spacing w:beforeLines="50" w:after="50"/>
        <w:rPr>
          <w:rFonts w:ascii="宋体" w:hAnsi="宋体"/>
          <w:sz w:val="24"/>
        </w:rPr>
      </w:pPr>
    </w:p>
    <w:p w14:paraId="3943CDC6">
      <w:pPr>
        <w:snapToGrid w:val="0"/>
        <w:spacing w:beforeLines="50" w:after="50"/>
        <w:rPr>
          <w:rFonts w:ascii="宋体" w:hAnsi="宋体"/>
          <w:sz w:val="24"/>
          <w:szCs w:val="20"/>
        </w:rPr>
      </w:pPr>
    </w:p>
    <w:p w14:paraId="5F2E38AC">
      <w:pPr>
        <w:snapToGrid w:val="0"/>
        <w:spacing w:beforeLines="50" w:after="50"/>
        <w:jc w:val="center"/>
        <w:rPr>
          <w:rFonts w:ascii="方正小标宋简体" w:hAnsi="方正小标宋简体" w:eastAsia="方正小标宋简体" w:cs="方正小标宋简体"/>
          <w:bCs/>
          <w:sz w:val="84"/>
          <w:szCs w:val="84"/>
        </w:rPr>
      </w:pPr>
      <w:r>
        <w:rPr>
          <w:rFonts w:hint="eastAsia" w:ascii="方正小标宋简体" w:hAnsi="方正小标宋简体" w:eastAsia="方正小标宋简体" w:cs="方正小标宋简体"/>
          <w:bCs/>
          <w:sz w:val="84"/>
          <w:szCs w:val="84"/>
        </w:rPr>
        <w:t>响  应  文  件</w:t>
      </w:r>
    </w:p>
    <w:p w14:paraId="3A28D2C4">
      <w:pPr>
        <w:snapToGrid w:val="0"/>
        <w:spacing w:beforeLines="50" w:after="50"/>
        <w:rPr>
          <w:rFonts w:ascii="宋体" w:hAnsi="宋体"/>
          <w:sz w:val="24"/>
          <w:szCs w:val="20"/>
        </w:rPr>
      </w:pPr>
    </w:p>
    <w:p w14:paraId="59DED6B7">
      <w:pPr>
        <w:snapToGrid w:val="0"/>
        <w:spacing w:beforeLines="50" w:after="50"/>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 xml:space="preserve">  商  务  技  术  文  件</w:t>
      </w:r>
    </w:p>
    <w:p w14:paraId="29C3059D">
      <w:pPr>
        <w:snapToGrid w:val="0"/>
        <w:spacing w:beforeLines="50" w:after="50"/>
        <w:rPr>
          <w:rFonts w:ascii="宋体" w:hAnsi="宋体"/>
          <w:bCs/>
          <w:sz w:val="24"/>
          <w:szCs w:val="20"/>
        </w:rPr>
      </w:pPr>
    </w:p>
    <w:p w14:paraId="2A8A5108">
      <w:pPr>
        <w:snapToGrid w:val="0"/>
        <w:spacing w:beforeLines="50" w:after="50"/>
        <w:rPr>
          <w:rFonts w:ascii="宋体" w:hAnsi="宋体"/>
          <w:bCs/>
          <w:sz w:val="24"/>
          <w:szCs w:val="20"/>
        </w:rPr>
      </w:pPr>
    </w:p>
    <w:p w14:paraId="542498F8">
      <w:pPr>
        <w:snapToGrid w:val="0"/>
        <w:spacing w:beforeLines="50" w:after="50"/>
        <w:rPr>
          <w:rFonts w:ascii="宋体" w:hAnsi="宋体"/>
          <w:bCs/>
          <w:sz w:val="24"/>
          <w:szCs w:val="20"/>
        </w:rPr>
      </w:pPr>
    </w:p>
    <w:p w14:paraId="709CF870">
      <w:pPr>
        <w:snapToGrid w:val="0"/>
        <w:spacing w:beforeLines="50" w:after="50"/>
        <w:rPr>
          <w:rFonts w:ascii="宋体" w:hAnsi="宋体"/>
          <w:bCs/>
          <w:sz w:val="24"/>
          <w:szCs w:val="20"/>
        </w:rPr>
      </w:pPr>
    </w:p>
    <w:p w14:paraId="7152A276">
      <w:pPr>
        <w:snapToGrid w:val="0"/>
        <w:spacing w:beforeLines="50" w:after="50"/>
        <w:rPr>
          <w:rFonts w:ascii="宋体" w:hAnsi="宋体"/>
          <w:bCs/>
          <w:sz w:val="24"/>
          <w:szCs w:val="20"/>
        </w:rPr>
      </w:pPr>
    </w:p>
    <w:p w14:paraId="317946F8">
      <w:pPr>
        <w:snapToGrid w:val="0"/>
        <w:spacing w:beforeLines="50" w:after="50"/>
        <w:ind w:firstLine="640" w:firstLineChars="200"/>
        <w:rPr>
          <w:rFonts w:ascii="宋体" w:hAnsi="宋体" w:cs="仿宋_GB2312"/>
          <w:bCs/>
          <w:sz w:val="32"/>
          <w:szCs w:val="32"/>
        </w:rPr>
      </w:pPr>
      <w:r>
        <w:rPr>
          <w:rFonts w:hint="eastAsia" w:ascii="宋体" w:hAnsi="宋体" w:cs="仿宋_GB2312"/>
          <w:bCs/>
          <w:sz w:val="32"/>
          <w:szCs w:val="32"/>
        </w:rPr>
        <w:t>项目名称：</w:t>
      </w:r>
    </w:p>
    <w:p w14:paraId="10A84EA1">
      <w:pPr>
        <w:snapToGrid w:val="0"/>
        <w:spacing w:beforeLines="50" w:after="50"/>
        <w:ind w:firstLine="720" w:firstLineChars="225"/>
        <w:rPr>
          <w:rFonts w:ascii="宋体" w:hAnsi="宋体" w:cs="仿宋_GB2312"/>
          <w:bCs/>
          <w:sz w:val="32"/>
          <w:szCs w:val="32"/>
        </w:rPr>
      </w:pPr>
    </w:p>
    <w:p w14:paraId="554FD222">
      <w:pPr>
        <w:snapToGrid w:val="0"/>
        <w:spacing w:beforeLines="50" w:after="50"/>
        <w:ind w:firstLine="720" w:firstLineChars="225"/>
        <w:rPr>
          <w:rFonts w:ascii="宋体" w:hAnsi="宋体" w:cs="仿宋_GB2312"/>
          <w:bCs/>
          <w:sz w:val="32"/>
          <w:szCs w:val="32"/>
        </w:rPr>
      </w:pPr>
      <w:r>
        <w:rPr>
          <w:rFonts w:hint="eastAsia" w:ascii="宋体" w:hAnsi="宋体" w:cs="仿宋_GB2312"/>
          <w:bCs/>
          <w:sz w:val="32"/>
          <w:szCs w:val="32"/>
        </w:rPr>
        <w:t>项目编号：</w:t>
      </w:r>
    </w:p>
    <w:p w14:paraId="329683C8">
      <w:pPr>
        <w:snapToGrid w:val="0"/>
        <w:spacing w:beforeLines="50" w:after="50"/>
        <w:ind w:firstLine="720" w:firstLineChars="225"/>
        <w:rPr>
          <w:rFonts w:ascii="宋体" w:hAnsi="宋体" w:cs="仿宋_GB2312"/>
          <w:bCs/>
          <w:sz w:val="32"/>
          <w:szCs w:val="32"/>
        </w:rPr>
      </w:pPr>
      <w:r>
        <w:rPr>
          <w:rFonts w:hint="eastAsia" w:ascii="宋体" w:hAnsi="宋体" w:cs="仿宋_GB2312"/>
          <w:bCs/>
          <w:sz w:val="32"/>
          <w:szCs w:val="32"/>
        </w:rPr>
        <w:t xml:space="preserve"> </w:t>
      </w:r>
    </w:p>
    <w:p w14:paraId="39FE60DF">
      <w:pPr>
        <w:snapToGrid w:val="0"/>
        <w:spacing w:beforeLines="50" w:after="50"/>
        <w:ind w:firstLine="640" w:firstLineChars="200"/>
        <w:rPr>
          <w:rFonts w:ascii="宋体" w:hAnsi="宋体" w:cs="仿宋_GB2312"/>
          <w:bCs/>
          <w:sz w:val="32"/>
          <w:szCs w:val="32"/>
        </w:rPr>
      </w:pPr>
      <w:r>
        <w:rPr>
          <w:rFonts w:hint="eastAsia" w:ascii="宋体" w:hAnsi="宋体" w:cs="仿宋_GB2312"/>
          <w:bCs/>
          <w:sz w:val="32"/>
          <w:szCs w:val="32"/>
        </w:rPr>
        <w:t>所竞分标：(如有则填写，无分标时填写“无”或者留空）</w:t>
      </w:r>
    </w:p>
    <w:p w14:paraId="05A89242">
      <w:pPr>
        <w:snapToGrid w:val="0"/>
        <w:spacing w:beforeLines="50" w:after="50"/>
        <w:ind w:firstLine="720" w:firstLineChars="225"/>
        <w:rPr>
          <w:rFonts w:ascii="宋体" w:hAnsi="宋体" w:cs="仿宋_GB2312"/>
          <w:bCs/>
          <w:sz w:val="32"/>
          <w:szCs w:val="32"/>
        </w:rPr>
      </w:pPr>
    </w:p>
    <w:p w14:paraId="171B4418">
      <w:pPr>
        <w:pStyle w:val="7"/>
        <w:snapToGrid w:val="0"/>
        <w:spacing w:before="50" w:after="50"/>
        <w:ind w:firstLine="640" w:firstLineChars="200"/>
        <w:rPr>
          <w:rFonts w:ascii="宋体" w:hAnsi="宋体" w:cs="仿宋_GB2312"/>
          <w:bCs/>
          <w:sz w:val="32"/>
          <w:szCs w:val="32"/>
        </w:rPr>
      </w:pPr>
      <w:r>
        <w:rPr>
          <w:rFonts w:hint="eastAsia" w:ascii="宋体" w:hAnsi="宋体" w:cs="仿宋_GB2312"/>
          <w:bCs/>
          <w:sz w:val="32"/>
          <w:szCs w:val="32"/>
        </w:rPr>
        <w:t>供应商名称：</w:t>
      </w:r>
    </w:p>
    <w:p w14:paraId="769218CD">
      <w:pPr>
        <w:pStyle w:val="7"/>
        <w:snapToGrid w:val="0"/>
        <w:spacing w:before="50" w:after="50"/>
        <w:ind w:firstLine="640" w:firstLineChars="200"/>
        <w:rPr>
          <w:rFonts w:ascii="宋体" w:hAnsi="宋体" w:cs="仿宋_GB2312"/>
          <w:bCs/>
          <w:sz w:val="32"/>
          <w:szCs w:val="32"/>
        </w:rPr>
      </w:pPr>
    </w:p>
    <w:p w14:paraId="7EBB0DF9">
      <w:pPr>
        <w:pStyle w:val="7"/>
        <w:snapToGrid w:val="0"/>
        <w:spacing w:before="50" w:after="50"/>
        <w:ind w:firstLine="0"/>
        <w:rPr>
          <w:rFonts w:ascii="宋体" w:hAnsi="宋体" w:cs="仿宋_GB2312"/>
          <w:bCs/>
          <w:sz w:val="32"/>
          <w:szCs w:val="32"/>
        </w:rPr>
      </w:pPr>
    </w:p>
    <w:p w14:paraId="4E81EF01">
      <w:pPr>
        <w:pStyle w:val="7"/>
        <w:snapToGrid w:val="0"/>
        <w:spacing w:before="50" w:after="50"/>
        <w:ind w:firstLine="1280" w:firstLineChars="400"/>
        <w:rPr>
          <w:rFonts w:ascii="宋体" w:hAnsi="宋体" w:cs="仿宋_GB2312"/>
          <w:bCs/>
          <w:sz w:val="32"/>
          <w:szCs w:val="32"/>
        </w:rPr>
      </w:pPr>
    </w:p>
    <w:p w14:paraId="11206712">
      <w:pPr>
        <w:snapToGrid w:val="0"/>
        <w:spacing w:beforeLines="50" w:after="50"/>
        <w:jc w:val="center"/>
        <w:rPr>
          <w:rFonts w:ascii="宋体" w:hAnsi="宋体" w:cs="仿宋_GB2312"/>
          <w:sz w:val="32"/>
          <w:szCs w:val="32"/>
        </w:rPr>
      </w:pPr>
      <w:r>
        <w:rPr>
          <w:rFonts w:hint="eastAsia" w:ascii="宋体" w:hAnsi="宋体" w:cs="仿宋_GB2312"/>
          <w:sz w:val="32"/>
          <w:szCs w:val="32"/>
        </w:rPr>
        <w:t>年    月    日</w:t>
      </w:r>
    </w:p>
    <w:p w14:paraId="55438273">
      <w:pPr>
        <w:snapToGrid w:val="0"/>
        <w:spacing w:beforeLines="50" w:after="50" w:line="360" w:lineRule="auto"/>
        <w:ind w:left="142"/>
        <w:jc w:val="left"/>
        <w:rPr>
          <w:rFonts w:ascii="宋体" w:hAnsi="宋体"/>
          <w:b/>
          <w:bCs/>
          <w:sz w:val="24"/>
        </w:rPr>
      </w:pPr>
      <w:r>
        <w:rPr>
          <w:rFonts w:ascii="宋体" w:hAnsi="宋体"/>
          <w:sz w:val="24"/>
        </w:rPr>
        <w:br w:type="page"/>
      </w:r>
      <w:r>
        <w:rPr>
          <w:rFonts w:hint="eastAsia" w:ascii="宋体" w:hAnsi="宋体"/>
          <w:b/>
          <w:bCs/>
          <w:sz w:val="32"/>
          <w:szCs w:val="32"/>
        </w:rPr>
        <w:t>2.商务技术文件目录</w:t>
      </w:r>
    </w:p>
    <w:p w14:paraId="47E50248">
      <w:pPr>
        <w:snapToGrid w:val="0"/>
        <w:spacing w:beforeLines="50" w:after="50" w:line="360" w:lineRule="auto"/>
        <w:ind w:firstLine="640" w:firstLineChars="200"/>
        <w:rPr>
          <w:rFonts w:ascii="宋体" w:hAnsi="宋体"/>
          <w:sz w:val="32"/>
          <w:szCs w:val="32"/>
        </w:rPr>
      </w:pPr>
      <w:r>
        <w:rPr>
          <w:rFonts w:hint="eastAsia" w:ascii="宋体" w:hAnsi="宋体"/>
          <w:sz w:val="32"/>
          <w:szCs w:val="32"/>
        </w:rPr>
        <w:t>根据谈判文件规定及供应商提供的材料自行编写目录（部分格式后附）。</w:t>
      </w:r>
    </w:p>
    <w:p w14:paraId="3094D978">
      <w:pPr>
        <w:pStyle w:val="2"/>
        <w:rPr>
          <w:rFonts w:ascii="宋体" w:hAnsi="宋体"/>
          <w:sz w:val="32"/>
          <w:szCs w:val="32"/>
        </w:rPr>
      </w:pPr>
    </w:p>
    <w:p w14:paraId="4FFF1BDC">
      <w:pPr>
        <w:rPr>
          <w:rFonts w:ascii="宋体" w:hAnsi="宋体"/>
          <w:sz w:val="32"/>
          <w:szCs w:val="32"/>
        </w:rPr>
      </w:pPr>
    </w:p>
    <w:p w14:paraId="7818B04A">
      <w:pPr>
        <w:pStyle w:val="2"/>
        <w:rPr>
          <w:rFonts w:ascii="宋体" w:hAnsi="宋体"/>
          <w:sz w:val="32"/>
          <w:szCs w:val="32"/>
        </w:rPr>
      </w:pPr>
    </w:p>
    <w:p w14:paraId="25D85668">
      <w:pPr>
        <w:rPr>
          <w:rFonts w:ascii="宋体" w:hAnsi="宋体"/>
          <w:sz w:val="32"/>
          <w:szCs w:val="32"/>
        </w:rPr>
      </w:pPr>
    </w:p>
    <w:p w14:paraId="5C07F995">
      <w:pPr>
        <w:pStyle w:val="2"/>
        <w:rPr>
          <w:rFonts w:ascii="宋体" w:hAnsi="宋体"/>
          <w:sz w:val="32"/>
          <w:szCs w:val="32"/>
        </w:rPr>
      </w:pPr>
    </w:p>
    <w:p w14:paraId="11B553E4">
      <w:pPr>
        <w:rPr>
          <w:rFonts w:ascii="宋体" w:hAnsi="宋体"/>
          <w:sz w:val="32"/>
          <w:szCs w:val="32"/>
        </w:rPr>
      </w:pPr>
    </w:p>
    <w:p w14:paraId="412AF029">
      <w:pPr>
        <w:pStyle w:val="2"/>
        <w:rPr>
          <w:rFonts w:ascii="宋体" w:hAnsi="宋体"/>
          <w:sz w:val="32"/>
          <w:szCs w:val="32"/>
        </w:rPr>
      </w:pPr>
    </w:p>
    <w:p w14:paraId="3E3CFECE">
      <w:pPr>
        <w:rPr>
          <w:rFonts w:ascii="宋体" w:hAnsi="宋体"/>
          <w:sz w:val="32"/>
          <w:szCs w:val="32"/>
        </w:rPr>
      </w:pPr>
    </w:p>
    <w:p w14:paraId="056077B0">
      <w:pPr>
        <w:pStyle w:val="2"/>
        <w:rPr>
          <w:rFonts w:ascii="宋体" w:hAnsi="宋体"/>
          <w:sz w:val="32"/>
          <w:szCs w:val="32"/>
        </w:rPr>
      </w:pPr>
    </w:p>
    <w:p w14:paraId="2D818FCC">
      <w:pPr>
        <w:rPr>
          <w:rFonts w:ascii="宋体" w:hAnsi="宋体"/>
          <w:sz w:val="32"/>
          <w:szCs w:val="32"/>
        </w:rPr>
      </w:pPr>
    </w:p>
    <w:p w14:paraId="30D5A40A">
      <w:pPr>
        <w:pStyle w:val="2"/>
        <w:rPr>
          <w:rFonts w:ascii="宋体" w:hAnsi="宋体"/>
          <w:sz w:val="32"/>
          <w:szCs w:val="32"/>
        </w:rPr>
      </w:pPr>
    </w:p>
    <w:p w14:paraId="35EA6650">
      <w:pPr>
        <w:rPr>
          <w:rFonts w:ascii="宋体" w:hAnsi="宋体"/>
          <w:sz w:val="32"/>
          <w:szCs w:val="32"/>
        </w:rPr>
      </w:pPr>
    </w:p>
    <w:p w14:paraId="4098797F">
      <w:pPr>
        <w:pStyle w:val="2"/>
        <w:rPr>
          <w:rFonts w:ascii="宋体" w:hAnsi="宋体"/>
          <w:sz w:val="32"/>
          <w:szCs w:val="32"/>
        </w:rPr>
      </w:pPr>
    </w:p>
    <w:p w14:paraId="03FE822D">
      <w:pPr>
        <w:rPr>
          <w:rFonts w:ascii="宋体" w:hAnsi="宋体"/>
          <w:sz w:val="32"/>
          <w:szCs w:val="32"/>
        </w:rPr>
      </w:pPr>
    </w:p>
    <w:p w14:paraId="26E4ED9F">
      <w:pPr>
        <w:pStyle w:val="2"/>
        <w:rPr>
          <w:rFonts w:ascii="宋体" w:hAnsi="宋体"/>
          <w:sz w:val="32"/>
          <w:szCs w:val="32"/>
        </w:rPr>
      </w:pPr>
    </w:p>
    <w:p w14:paraId="760CD4FE">
      <w:pPr>
        <w:rPr>
          <w:rFonts w:ascii="宋体" w:hAnsi="宋体"/>
          <w:sz w:val="32"/>
          <w:szCs w:val="32"/>
        </w:rPr>
      </w:pPr>
    </w:p>
    <w:p w14:paraId="55F203DE">
      <w:pPr>
        <w:pStyle w:val="2"/>
        <w:rPr>
          <w:rFonts w:ascii="宋体" w:hAnsi="宋体"/>
          <w:sz w:val="32"/>
          <w:szCs w:val="32"/>
        </w:rPr>
      </w:pPr>
    </w:p>
    <w:p w14:paraId="3A9BA995">
      <w:pPr>
        <w:rPr>
          <w:rFonts w:ascii="宋体" w:hAnsi="宋体"/>
          <w:sz w:val="32"/>
          <w:szCs w:val="32"/>
        </w:rPr>
      </w:pPr>
    </w:p>
    <w:p w14:paraId="5F8B6205">
      <w:pPr>
        <w:pStyle w:val="2"/>
        <w:rPr>
          <w:rFonts w:ascii="宋体" w:hAnsi="宋体"/>
          <w:sz w:val="32"/>
          <w:szCs w:val="32"/>
        </w:rPr>
      </w:pPr>
    </w:p>
    <w:p w14:paraId="1934BC7A">
      <w:pPr>
        <w:rPr>
          <w:rFonts w:ascii="宋体" w:hAnsi="宋体"/>
          <w:sz w:val="32"/>
          <w:szCs w:val="32"/>
        </w:rPr>
      </w:pPr>
    </w:p>
    <w:p w14:paraId="582347DB">
      <w:pPr>
        <w:pStyle w:val="2"/>
        <w:rPr>
          <w:rFonts w:ascii="宋体" w:hAnsi="宋体"/>
          <w:sz w:val="32"/>
          <w:szCs w:val="32"/>
        </w:rPr>
      </w:pPr>
    </w:p>
    <w:p w14:paraId="7975C29B">
      <w:pPr>
        <w:rPr>
          <w:rFonts w:ascii="宋体" w:hAnsi="宋体"/>
          <w:sz w:val="32"/>
          <w:szCs w:val="32"/>
        </w:rPr>
      </w:pPr>
    </w:p>
    <w:p w14:paraId="17EC5CCA">
      <w:pPr>
        <w:pStyle w:val="2"/>
        <w:rPr>
          <w:rFonts w:ascii="宋体" w:hAnsi="宋体"/>
          <w:sz w:val="32"/>
          <w:szCs w:val="32"/>
        </w:rPr>
      </w:pPr>
    </w:p>
    <w:p w14:paraId="695B2DC7">
      <w:pPr>
        <w:rPr>
          <w:rFonts w:ascii="宋体" w:hAnsi="宋体"/>
          <w:sz w:val="32"/>
          <w:szCs w:val="32"/>
        </w:rPr>
      </w:pPr>
    </w:p>
    <w:p w14:paraId="46C0F710">
      <w:pPr>
        <w:pStyle w:val="2"/>
        <w:rPr>
          <w:rFonts w:ascii="宋体" w:hAnsi="宋体"/>
          <w:sz w:val="32"/>
          <w:szCs w:val="32"/>
        </w:rPr>
      </w:pPr>
    </w:p>
    <w:p w14:paraId="08AC6A62">
      <w:pPr>
        <w:rPr>
          <w:rFonts w:ascii="宋体" w:hAnsi="宋体"/>
          <w:sz w:val="32"/>
          <w:szCs w:val="32"/>
        </w:rPr>
      </w:pPr>
    </w:p>
    <w:p w14:paraId="73D27540">
      <w:pPr>
        <w:pStyle w:val="2"/>
        <w:rPr>
          <w:rFonts w:ascii="宋体" w:hAnsi="宋体"/>
          <w:sz w:val="32"/>
          <w:szCs w:val="32"/>
        </w:rPr>
      </w:pPr>
    </w:p>
    <w:p w14:paraId="332E4313"/>
    <w:p w14:paraId="63CC6BD6">
      <w:pPr>
        <w:spacing w:line="520" w:lineRule="exact"/>
        <w:jc w:val="center"/>
        <w:rPr>
          <w:rFonts w:ascii="方正小标宋简体" w:hAnsi="方正小标宋简体" w:eastAsia="方正小标宋简体" w:cs="方正小标宋简体"/>
          <w:sz w:val="44"/>
          <w:szCs w:val="44"/>
        </w:rPr>
      </w:pPr>
    </w:p>
    <w:p w14:paraId="1D7A25F0">
      <w:pPr>
        <w:spacing w:line="52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无串通竞标行为的承诺函</w:t>
      </w:r>
    </w:p>
    <w:p w14:paraId="7FC4766A">
      <w:pPr>
        <w:spacing w:line="360" w:lineRule="auto"/>
        <w:ind w:firstLine="640" w:firstLineChars="200"/>
        <w:contextualSpacing/>
        <w:rPr>
          <w:rFonts w:ascii="仿宋_GB2312" w:hAnsi="仿宋_GB2312" w:eastAsia="仿宋_GB2312" w:cs="仿宋_GB2312"/>
          <w:sz w:val="32"/>
          <w:szCs w:val="32"/>
        </w:rPr>
      </w:pPr>
    </w:p>
    <w:p w14:paraId="1058EEC0">
      <w:pPr>
        <w:spacing w:line="360" w:lineRule="auto"/>
        <w:ind w:firstLine="482" w:firstLineChars="200"/>
        <w:contextualSpacing/>
        <w:rPr>
          <w:rFonts w:ascii="宋体" w:hAnsi="宋体" w:cs="仿宋_GB2312"/>
          <w:b/>
          <w:bCs/>
          <w:sz w:val="24"/>
        </w:rPr>
      </w:pPr>
      <w:r>
        <w:rPr>
          <w:rFonts w:hint="eastAsia" w:ascii="宋体" w:hAnsi="宋体" w:cs="仿宋_GB2312"/>
          <w:b/>
          <w:bCs/>
          <w:sz w:val="24"/>
        </w:rPr>
        <w:t>一、我方承诺无下列相互串通竞标的情形：</w:t>
      </w:r>
    </w:p>
    <w:p w14:paraId="2B128B1D">
      <w:pPr>
        <w:spacing w:line="360" w:lineRule="auto"/>
        <w:ind w:firstLine="480" w:firstLineChars="200"/>
        <w:contextualSpacing/>
        <w:rPr>
          <w:rFonts w:ascii="宋体" w:hAnsi="宋体" w:cs="仿宋_GB2312"/>
          <w:sz w:val="24"/>
        </w:rPr>
      </w:pPr>
      <w:r>
        <w:rPr>
          <w:rFonts w:hint="eastAsia" w:ascii="宋体" w:hAnsi="宋体" w:cs="仿宋_GB2312"/>
          <w:sz w:val="24"/>
        </w:rPr>
        <w:t>1.不同供应商的响应文件由同一单位或者个人编制；</w:t>
      </w:r>
    </w:p>
    <w:p w14:paraId="33A08153">
      <w:pPr>
        <w:spacing w:line="360" w:lineRule="auto"/>
        <w:ind w:firstLine="480" w:firstLineChars="200"/>
        <w:contextualSpacing/>
        <w:rPr>
          <w:rFonts w:ascii="宋体" w:hAnsi="宋体" w:cs="仿宋_GB2312"/>
          <w:sz w:val="24"/>
        </w:rPr>
      </w:pPr>
      <w:r>
        <w:rPr>
          <w:rFonts w:hint="eastAsia" w:ascii="宋体" w:hAnsi="宋体" w:cs="仿宋_GB2312"/>
          <w:sz w:val="24"/>
        </w:rPr>
        <w:t>2.不同供应商委托同一单位或者个人办理竞标事宜；</w:t>
      </w:r>
    </w:p>
    <w:p w14:paraId="7E802909">
      <w:pPr>
        <w:spacing w:line="360" w:lineRule="auto"/>
        <w:ind w:firstLine="480" w:firstLineChars="200"/>
        <w:contextualSpacing/>
        <w:rPr>
          <w:rFonts w:ascii="宋体" w:hAnsi="宋体" w:cs="仿宋_GB2312"/>
          <w:sz w:val="24"/>
        </w:rPr>
      </w:pPr>
      <w:r>
        <w:rPr>
          <w:rFonts w:hint="eastAsia" w:ascii="宋体" w:hAnsi="宋体" w:cs="仿宋_GB2312"/>
          <w:sz w:val="24"/>
        </w:rPr>
        <w:t>3.不同的供应商的响应文件载明的项目管理员为同一个人；</w:t>
      </w:r>
    </w:p>
    <w:p w14:paraId="2A6DF679">
      <w:pPr>
        <w:spacing w:line="360" w:lineRule="auto"/>
        <w:ind w:firstLine="480" w:firstLineChars="200"/>
        <w:contextualSpacing/>
        <w:rPr>
          <w:rFonts w:ascii="宋体" w:hAnsi="宋体" w:cs="仿宋_GB2312"/>
          <w:sz w:val="24"/>
        </w:rPr>
      </w:pPr>
      <w:r>
        <w:rPr>
          <w:rFonts w:hint="eastAsia" w:ascii="宋体" w:hAnsi="宋体" w:cs="仿宋_GB2312"/>
          <w:sz w:val="24"/>
        </w:rPr>
        <w:t>4.不</w:t>
      </w:r>
      <w:r>
        <w:rPr>
          <w:rFonts w:hint="eastAsia" w:ascii="宋体" w:hAnsi="宋体" w:cs="仿宋_GB2312"/>
          <w:spacing w:val="-6"/>
          <w:sz w:val="24"/>
        </w:rPr>
        <w:t>同供应商的响应文件异常一致或者竞标报价呈规律性差异；</w:t>
      </w:r>
    </w:p>
    <w:p w14:paraId="27477488">
      <w:pPr>
        <w:spacing w:line="360" w:lineRule="auto"/>
        <w:ind w:firstLine="480" w:firstLineChars="200"/>
        <w:contextualSpacing/>
        <w:rPr>
          <w:rFonts w:ascii="宋体" w:hAnsi="宋体" w:cs="仿宋_GB2312"/>
          <w:sz w:val="24"/>
        </w:rPr>
      </w:pPr>
      <w:r>
        <w:rPr>
          <w:rFonts w:hint="eastAsia" w:ascii="宋体" w:hAnsi="宋体" w:cs="仿宋_GB2312"/>
          <w:sz w:val="24"/>
        </w:rPr>
        <w:t>5.不同供应商的响应文件相互混装；</w:t>
      </w:r>
    </w:p>
    <w:p w14:paraId="36E645B1">
      <w:pPr>
        <w:spacing w:line="360" w:lineRule="auto"/>
        <w:ind w:firstLine="480" w:firstLineChars="200"/>
        <w:contextualSpacing/>
        <w:rPr>
          <w:rFonts w:ascii="宋体" w:hAnsi="宋体" w:cs="仿宋_GB2312"/>
          <w:sz w:val="24"/>
        </w:rPr>
      </w:pPr>
      <w:r>
        <w:rPr>
          <w:rFonts w:hint="eastAsia" w:ascii="宋体" w:hAnsi="宋体" w:cs="仿宋_GB2312"/>
          <w:sz w:val="24"/>
        </w:rPr>
        <w:t>6.不同供应商的竞标保证金从同一单位或者个人账户转出。</w:t>
      </w:r>
    </w:p>
    <w:p w14:paraId="10C47243">
      <w:pPr>
        <w:spacing w:line="360" w:lineRule="auto"/>
        <w:ind w:firstLine="482" w:firstLineChars="200"/>
        <w:contextualSpacing/>
        <w:rPr>
          <w:rFonts w:ascii="宋体" w:hAnsi="宋体" w:cs="仿宋_GB2312"/>
          <w:b/>
          <w:bCs/>
          <w:sz w:val="24"/>
        </w:rPr>
      </w:pPr>
      <w:r>
        <w:rPr>
          <w:rFonts w:hint="eastAsia" w:ascii="宋体" w:hAnsi="宋体" w:cs="仿宋_GB2312"/>
          <w:b/>
          <w:bCs/>
          <w:sz w:val="24"/>
        </w:rPr>
        <w:t>二、我方承诺无下列恶意串通的情形：</w:t>
      </w:r>
    </w:p>
    <w:p w14:paraId="5345DDC6">
      <w:pPr>
        <w:spacing w:line="360" w:lineRule="auto"/>
        <w:ind w:firstLine="480" w:firstLineChars="200"/>
        <w:contextualSpacing/>
        <w:rPr>
          <w:rFonts w:ascii="宋体" w:hAnsi="宋体" w:cs="仿宋_GB2312"/>
          <w:sz w:val="24"/>
        </w:rPr>
      </w:pPr>
      <w:r>
        <w:rPr>
          <w:rFonts w:hint="eastAsia" w:ascii="宋体" w:hAnsi="宋体" w:cs="仿宋_GB2312"/>
          <w:sz w:val="24"/>
        </w:rPr>
        <w:t>1.供应商直接或者间接从采购人或者采购代理机构处获得其他供应商的相关信息并修改其响应文件；</w:t>
      </w:r>
    </w:p>
    <w:p w14:paraId="6B6AC7FC">
      <w:pPr>
        <w:spacing w:line="360" w:lineRule="auto"/>
        <w:ind w:firstLine="480" w:firstLineChars="200"/>
        <w:contextualSpacing/>
        <w:rPr>
          <w:rFonts w:ascii="宋体" w:hAnsi="宋体" w:cs="仿宋_GB2312"/>
          <w:sz w:val="24"/>
        </w:rPr>
      </w:pPr>
      <w:r>
        <w:rPr>
          <w:rFonts w:hint="eastAsia" w:ascii="宋体" w:hAnsi="宋体" w:cs="仿宋_GB2312"/>
          <w:sz w:val="24"/>
        </w:rPr>
        <w:t>2.供应商按照采购人或者采购代理机构的授意撤换、修改响应文件；</w:t>
      </w:r>
    </w:p>
    <w:p w14:paraId="4F7EAFB1">
      <w:pPr>
        <w:spacing w:line="360" w:lineRule="auto"/>
        <w:ind w:firstLine="480" w:firstLineChars="200"/>
        <w:contextualSpacing/>
        <w:rPr>
          <w:rFonts w:ascii="宋体" w:hAnsi="宋体" w:cs="仿宋_GB2312"/>
          <w:sz w:val="24"/>
        </w:rPr>
      </w:pPr>
      <w:r>
        <w:rPr>
          <w:rFonts w:hint="eastAsia" w:ascii="宋体" w:hAnsi="宋体" w:cs="仿宋_GB2312"/>
          <w:sz w:val="24"/>
        </w:rPr>
        <w:t>3.供</w:t>
      </w:r>
      <w:r>
        <w:rPr>
          <w:rFonts w:hint="eastAsia" w:ascii="宋体" w:hAnsi="宋体" w:cs="仿宋_GB2312"/>
          <w:spacing w:val="-6"/>
          <w:sz w:val="24"/>
        </w:rPr>
        <w:t>应商之间协商报价、技术方案等响应文件的实质性内容；</w:t>
      </w:r>
    </w:p>
    <w:p w14:paraId="4380F060">
      <w:pPr>
        <w:spacing w:line="360" w:lineRule="auto"/>
        <w:ind w:firstLine="480" w:firstLineChars="200"/>
        <w:contextualSpacing/>
        <w:rPr>
          <w:rFonts w:ascii="宋体" w:hAnsi="宋体" w:cs="仿宋_GB2312"/>
          <w:sz w:val="24"/>
        </w:rPr>
      </w:pPr>
      <w:r>
        <w:rPr>
          <w:rFonts w:hint="eastAsia" w:ascii="宋体" w:hAnsi="宋体" w:cs="仿宋_GB2312"/>
          <w:sz w:val="24"/>
        </w:rPr>
        <w:t>4.属于同一集团、协会、商会等组织成员的供应商按照该组织要求协同参加政府采购活动；</w:t>
      </w:r>
    </w:p>
    <w:p w14:paraId="6F7E0EC2">
      <w:pPr>
        <w:spacing w:line="360" w:lineRule="auto"/>
        <w:ind w:firstLine="480" w:firstLineChars="200"/>
        <w:contextualSpacing/>
        <w:rPr>
          <w:rFonts w:ascii="宋体" w:hAnsi="宋体" w:cs="仿宋_GB2312"/>
          <w:sz w:val="24"/>
        </w:rPr>
      </w:pPr>
      <w:r>
        <w:rPr>
          <w:rFonts w:hint="eastAsia" w:ascii="宋体" w:hAnsi="宋体" w:cs="仿宋_GB2312"/>
          <w:sz w:val="24"/>
        </w:rPr>
        <w:t>5.供应商之间事先约定一致抬高或者压低竞标报价,或者在竞争性谈判项目中事先约定轮流以高价位或者低价位成交,或者事先约定由某一特定供应商成交,然后再参加竞标；</w:t>
      </w:r>
    </w:p>
    <w:p w14:paraId="505918A0">
      <w:pPr>
        <w:spacing w:line="360" w:lineRule="auto"/>
        <w:ind w:firstLine="480" w:firstLineChars="200"/>
        <w:contextualSpacing/>
        <w:rPr>
          <w:rFonts w:ascii="宋体" w:hAnsi="宋体" w:cs="仿宋_GB2312"/>
          <w:sz w:val="24"/>
        </w:rPr>
      </w:pPr>
      <w:r>
        <w:rPr>
          <w:rFonts w:hint="eastAsia" w:ascii="宋体" w:hAnsi="宋体" w:cs="仿宋_GB2312"/>
          <w:sz w:val="24"/>
        </w:rPr>
        <w:t>6.供应商之间商定部分供应商放弃参加政府采购活动或者放弃成交；</w:t>
      </w:r>
    </w:p>
    <w:p w14:paraId="2EC8328A">
      <w:pPr>
        <w:spacing w:line="360" w:lineRule="auto"/>
        <w:ind w:firstLine="480" w:firstLineChars="200"/>
        <w:contextualSpacing/>
        <w:rPr>
          <w:rFonts w:ascii="宋体" w:hAnsi="宋体" w:cs="仿宋_GB2312"/>
          <w:sz w:val="24"/>
        </w:rPr>
      </w:pPr>
      <w:r>
        <w:rPr>
          <w:rFonts w:hint="eastAsia" w:ascii="宋体" w:hAnsi="宋体" w:cs="仿宋_GB2312"/>
          <w:sz w:val="24"/>
        </w:rPr>
        <w:t>7.供应商与采购人或者采购代理机构之间、供应商相互之间，为</w:t>
      </w:r>
      <w:r>
        <w:rPr>
          <w:rFonts w:hint="eastAsia" w:ascii="宋体" w:hAnsi="宋体" w:cs="仿宋_GB2312"/>
          <w:spacing w:val="-6"/>
          <w:sz w:val="24"/>
        </w:rPr>
        <w:t>谋求特定供应商成交或者排斥其他供应商的其他串通行为。</w:t>
      </w:r>
    </w:p>
    <w:p w14:paraId="3856F4D8">
      <w:pPr>
        <w:spacing w:line="360" w:lineRule="auto"/>
        <w:ind w:firstLine="480" w:firstLineChars="200"/>
        <w:contextualSpacing/>
        <w:rPr>
          <w:rFonts w:ascii="宋体" w:hAnsi="宋体" w:cs="仿宋_GB2312"/>
          <w:sz w:val="24"/>
        </w:rPr>
      </w:pPr>
    </w:p>
    <w:p w14:paraId="6E9823E6">
      <w:pPr>
        <w:spacing w:line="360" w:lineRule="auto"/>
        <w:ind w:firstLine="482" w:firstLineChars="200"/>
        <w:contextualSpacing/>
        <w:rPr>
          <w:rFonts w:ascii="宋体" w:hAnsi="宋体" w:cs="仿宋_GB2312"/>
          <w:b/>
          <w:bCs/>
          <w:sz w:val="24"/>
        </w:rPr>
      </w:pPr>
      <w:r>
        <w:rPr>
          <w:rFonts w:hint="eastAsia" w:ascii="宋体" w:hAnsi="宋体" w:cs="仿宋_GB2312"/>
          <w:b/>
          <w:bCs/>
          <w:sz w:val="24"/>
        </w:rPr>
        <w:t>以上情形一经核查属实，我方愿意承担一切后果，并不再寻求任何旨在减轻或者免除法律责任的辩解。</w:t>
      </w:r>
    </w:p>
    <w:p w14:paraId="16732BF6">
      <w:pPr>
        <w:spacing w:line="360" w:lineRule="auto"/>
        <w:ind w:firstLine="480" w:firstLineChars="200"/>
        <w:contextualSpacing/>
        <w:rPr>
          <w:rFonts w:ascii="宋体" w:hAnsi="宋体" w:cs="仿宋_GB2312"/>
          <w:sz w:val="24"/>
        </w:rPr>
      </w:pPr>
    </w:p>
    <w:p w14:paraId="1317E57F">
      <w:pPr>
        <w:spacing w:line="360" w:lineRule="auto"/>
        <w:contextualSpacing/>
        <w:rPr>
          <w:rFonts w:ascii="宋体" w:hAnsi="宋体" w:cs="仿宋_GB2312"/>
          <w:sz w:val="24"/>
        </w:rPr>
      </w:pPr>
    </w:p>
    <w:p w14:paraId="712E588A">
      <w:pPr>
        <w:spacing w:line="360" w:lineRule="auto"/>
        <w:ind w:firstLine="3600" w:firstLineChars="1500"/>
        <w:contextualSpacing/>
        <w:rPr>
          <w:rFonts w:ascii="宋体" w:hAnsi="宋体" w:cs="仿宋_GB2312"/>
          <w:sz w:val="24"/>
        </w:rPr>
      </w:pPr>
      <w:r>
        <w:rPr>
          <w:rFonts w:hint="eastAsia" w:ascii="宋体" w:hAnsi="宋体" w:cs="仿宋_GB2312"/>
          <w:sz w:val="24"/>
        </w:rPr>
        <w:t>供应商（盖公章 ）：</w:t>
      </w:r>
    </w:p>
    <w:p w14:paraId="0B8B46A0">
      <w:pPr>
        <w:spacing w:line="360" w:lineRule="auto"/>
        <w:ind w:firstLine="480" w:firstLineChars="200"/>
        <w:contextualSpacing/>
        <w:jc w:val="center"/>
        <w:rPr>
          <w:rFonts w:ascii="宋体" w:hAnsi="宋体" w:cs="仿宋_GB2312"/>
          <w:sz w:val="24"/>
        </w:rPr>
      </w:pPr>
      <w:r>
        <w:rPr>
          <w:rFonts w:hint="eastAsia" w:ascii="宋体" w:hAnsi="宋体" w:cs="仿宋_GB2312"/>
          <w:sz w:val="24"/>
        </w:rPr>
        <w:t xml:space="preserve">                               年   月   日</w:t>
      </w:r>
    </w:p>
    <w:p w14:paraId="23E7D6C6">
      <w:pPr>
        <w:spacing w:line="360" w:lineRule="auto"/>
        <w:ind w:firstLine="640" w:firstLineChars="200"/>
        <w:contextualSpacing/>
        <w:jc w:val="center"/>
        <w:rPr>
          <w:rFonts w:ascii="宋体" w:hAnsi="宋体" w:cs="仿宋_GB2312"/>
          <w:sz w:val="32"/>
          <w:szCs w:val="32"/>
        </w:rPr>
      </w:pPr>
    </w:p>
    <w:p w14:paraId="6669B764">
      <w:pPr>
        <w:spacing w:line="360" w:lineRule="auto"/>
        <w:ind w:right="-817" w:rightChars="-389"/>
        <w:contextualSpacing/>
        <w:jc w:val="center"/>
        <w:rPr>
          <w:rFonts w:ascii="仿宋_GB2312" w:hAnsi="仿宋_GB2312" w:eastAsia="仿宋_GB2312" w:cs="仿宋_GB2312"/>
          <w:sz w:val="32"/>
          <w:szCs w:val="32"/>
        </w:rPr>
      </w:pPr>
      <w:r>
        <w:rPr>
          <w:rFonts w:ascii="方正小标宋简体" w:hAnsi="方正小标宋简体" w:eastAsia="方正小标宋简体" w:cs="方正小标宋简体"/>
          <w:bCs/>
          <w:sz w:val="44"/>
          <w:szCs w:val="44"/>
        </w:rPr>
        <w:br w:type="page"/>
      </w:r>
      <w:r>
        <w:rPr>
          <w:rFonts w:hint="eastAsia" w:ascii="方正小标宋简体" w:hAnsi="方正小标宋简体" w:eastAsia="方正小标宋简体" w:cs="方正小标宋简体"/>
          <w:bCs/>
          <w:sz w:val="44"/>
          <w:szCs w:val="44"/>
        </w:rPr>
        <w:t>法定代表人身份证明</w:t>
      </w:r>
    </w:p>
    <w:p w14:paraId="5F741085">
      <w:pPr>
        <w:spacing w:line="360" w:lineRule="auto"/>
        <w:ind w:left="540"/>
        <w:contextualSpacing/>
        <w:rPr>
          <w:rFonts w:ascii="仿宋_GB2312" w:hAnsi="仿宋_GB2312" w:eastAsia="仿宋_GB2312" w:cs="仿宋_GB2312"/>
          <w:sz w:val="32"/>
          <w:szCs w:val="32"/>
        </w:rPr>
      </w:pPr>
    </w:p>
    <w:p w14:paraId="0CF54E8E">
      <w:pPr>
        <w:spacing w:line="360" w:lineRule="auto"/>
        <w:ind w:left="540"/>
        <w:contextualSpacing/>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p>
    <w:p w14:paraId="6FC3C040">
      <w:pPr>
        <w:spacing w:line="360" w:lineRule="auto"/>
        <w:ind w:left="540"/>
        <w:contextualSpacing/>
        <w:rPr>
          <w:rFonts w:ascii="宋体" w:hAnsi="宋体" w:cs="仿宋_GB2312"/>
          <w:sz w:val="24"/>
        </w:rPr>
      </w:pPr>
      <w:r>
        <w:rPr>
          <w:rFonts w:hint="eastAsia" w:ascii="宋体" w:hAnsi="宋体" w:cs="仿宋_GB2312"/>
          <w:sz w:val="24"/>
        </w:rPr>
        <w:t>地    址：</w:t>
      </w:r>
      <w:r>
        <w:rPr>
          <w:rFonts w:hint="eastAsia" w:ascii="宋体" w:hAnsi="宋体" w:cs="仿宋_GB2312"/>
          <w:sz w:val="24"/>
          <w:u w:val="single"/>
        </w:rPr>
        <w:t xml:space="preserve">                                                        </w:t>
      </w:r>
    </w:p>
    <w:p w14:paraId="349B6AB9">
      <w:pPr>
        <w:spacing w:line="360" w:lineRule="auto"/>
        <w:ind w:left="540"/>
        <w:contextualSpacing/>
        <w:rPr>
          <w:rFonts w:ascii="宋体" w:hAnsi="宋体" w:cs="仿宋_GB2312"/>
          <w:sz w:val="24"/>
        </w:rPr>
      </w:pPr>
      <w:r>
        <w:rPr>
          <w:rFonts w:hint="eastAsia" w:ascii="宋体" w:hAnsi="宋体" w:cs="仿宋_GB2312"/>
          <w:sz w:val="24"/>
        </w:rPr>
        <w:t>姓    名：</w:t>
      </w:r>
      <w:r>
        <w:rPr>
          <w:rFonts w:hint="eastAsia" w:ascii="宋体" w:hAnsi="宋体" w:cs="仿宋_GB2312"/>
          <w:sz w:val="24"/>
          <w:u w:val="single"/>
        </w:rPr>
        <w:t xml:space="preserve">               </w:t>
      </w:r>
      <w:r>
        <w:rPr>
          <w:rFonts w:hint="eastAsia" w:ascii="宋体" w:hAnsi="宋体" w:cs="仿宋_GB2312"/>
          <w:sz w:val="24"/>
        </w:rPr>
        <w:t>性      别：</w:t>
      </w:r>
      <w:r>
        <w:rPr>
          <w:rFonts w:hint="eastAsia" w:ascii="宋体" w:hAnsi="宋体" w:cs="仿宋_GB2312"/>
          <w:sz w:val="24"/>
          <w:u w:val="single"/>
        </w:rPr>
        <w:t xml:space="preserve">                </w:t>
      </w:r>
    </w:p>
    <w:p w14:paraId="631B8D15">
      <w:pPr>
        <w:spacing w:line="360" w:lineRule="auto"/>
        <w:ind w:left="540"/>
        <w:contextualSpacing/>
        <w:rPr>
          <w:rFonts w:ascii="宋体" w:hAnsi="宋体" w:cs="仿宋_GB2312"/>
          <w:sz w:val="24"/>
          <w:u w:val="single"/>
        </w:rPr>
      </w:pPr>
      <w:r>
        <w:rPr>
          <w:rFonts w:hint="eastAsia" w:ascii="宋体" w:hAnsi="宋体" w:cs="仿宋_GB2312"/>
          <w:sz w:val="24"/>
        </w:rPr>
        <w:t>年    龄：</w:t>
      </w:r>
      <w:r>
        <w:rPr>
          <w:rFonts w:hint="eastAsia" w:ascii="宋体" w:hAnsi="宋体" w:cs="仿宋_GB2312"/>
          <w:sz w:val="24"/>
          <w:u w:val="single"/>
        </w:rPr>
        <w:t xml:space="preserve">               </w:t>
      </w:r>
      <w:r>
        <w:rPr>
          <w:rFonts w:hint="eastAsia" w:ascii="宋体" w:hAnsi="宋体" w:cs="仿宋_GB2312"/>
          <w:sz w:val="24"/>
        </w:rPr>
        <w:t>职      务：</w:t>
      </w:r>
      <w:r>
        <w:rPr>
          <w:rFonts w:hint="eastAsia" w:ascii="宋体" w:hAnsi="宋体" w:cs="仿宋_GB2312"/>
          <w:sz w:val="24"/>
          <w:u w:val="single"/>
        </w:rPr>
        <w:t xml:space="preserve">                </w:t>
      </w:r>
    </w:p>
    <w:p w14:paraId="2E7ABCF8">
      <w:pPr>
        <w:spacing w:line="360" w:lineRule="auto"/>
        <w:ind w:left="540"/>
        <w:contextualSpacing/>
        <w:rPr>
          <w:rFonts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p>
    <w:p w14:paraId="4E200890">
      <w:pPr>
        <w:spacing w:line="360" w:lineRule="auto"/>
        <w:ind w:left="540"/>
        <w:contextualSpacing/>
        <w:rPr>
          <w:rFonts w:ascii="宋体" w:hAnsi="宋体" w:cs="仿宋_GB2312"/>
          <w:sz w:val="24"/>
        </w:rPr>
      </w:pPr>
      <w:r>
        <w:rPr>
          <w:rFonts w:hint="eastAsia" w:ascii="宋体" w:hAnsi="宋体" w:cs="仿宋_GB2312"/>
          <w:sz w:val="24"/>
        </w:rPr>
        <w:t>系</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u w:val="single"/>
        </w:rPr>
        <w:t xml:space="preserve">供应商名称 </w:t>
      </w:r>
      <w:r>
        <w:rPr>
          <w:rFonts w:ascii="宋体" w:hAnsi="宋体" w:cs="仿宋_GB2312"/>
          <w:sz w:val="24"/>
          <w:u w:val="single"/>
        </w:rPr>
        <w:t xml:space="preserve">  </w:t>
      </w:r>
      <w:r>
        <w:rPr>
          <w:rFonts w:hint="eastAsia" w:ascii="宋体" w:hAnsi="宋体" w:cs="仿宋_GB2312"/>
          <w:sz w:val="24"/>
        </w:rPr>
        <w:t>的法定代表人。</w:t>
      </w:r>
    </w:p>
    <w:p w14:paraId="6921FD55">
      <w:pPr>
        <w:spacing w:line="360" w:lineRule="auto"/>
        <w:ind w:left="540"/>
        <w:contextualSpacing/>
        <w:rPr>
          <w:rFonts w:ascii="宋体" w:hAnsi="宋体" w:cs="仿宋_GB2312"/>
          <w:sz w:val="24"/>
        </w:rPr>
      </w:pPr>
      <w:r>
        <w:rPr>
          <w:rFonts w:hint="eastAsia" w:ascii="宋体" w:hAnsi="宋体" w:cs="仿宋_GB2312"/>
          <w:sz w:val="24"/>
        </w:rPr>
        <w:t>特此证明。</w:t>
      </w:r>
    </w:p>
    <w:p w14:paraId="7D3ED661">
      <w:pPr>
        <w:spacing w:line="360" w:lineRule="auto"/>
        <w:ind w:left="540"/>
        <w:contextualSpacing/>
        <w:rPr>
          <w:rFonts w:ascii="宋体" w:hAnsi="宋体" w:cs="仿宋_GB2312"/>
          <w:sz w:val="24"/>
        </w:rPr>
      </w:pPr>
    </w:p>
    <w:p w14:paraId="3F73CC96">
      <w:pPr>
        <w:spacing w:line="360" w:lineRule="auto"/>
        <w:ind w:left="540"/>
        <w:contextualSpacing/>
        <w:rPr>
          <w:rFonts w:ascii="宋体" w:hAnsi="宋体" w:cs="仿宋_GB2312"/>
          <w:sz w:val="24"/>
        </w:rPr>
      </w:pPr>
    </w:p>
    <w:p w14:paraId="5D85EB3D">
      <w:pPr>
        <w:spacing w:line="360" w:lineRule="auto"/>
        <w:ind w:left="540"/>
        <w:contextualSpacing/>
        <w:rPr>
          <w:rFonts w:ascii="宋体" w:hAnsi="宋体" w:cs="仿宋_GB2312"/>
          <w:sz w:val="24"/>
        </w:rPr>
      </w:pPr>
    </w:p>
    <w:p w14:paraId="0331139E">
      <w:pPr>
        <w:spacing w:line="360" w:lineRule="auto"/>
        <w:ind w:left="540"/>
        <w:contextualSpacing/>
        <w:rPr>
          <w:rFonts w:ascii="宋体" w:hAnsi="宋体" w:cs="仿宋_GB2312"/>
          <w:sz w:val="24"/>
        </w:rPr>
      </w:pPr>
      <w:r>
        <w:rPr>
          <w:rFonts w:hint="eastAsia" w:ascii="宋体" w:hAnsi="宋体" w:cs="仿宋_GB2312"/>
          <w:sz w:val="24"/>
        </w:rPr>
        <w:t>附件：法定代表人有效身份证正反面复印件</w:t>
      </w:r>
    </w:p>
    <w:p w14:paraId="07B95F74">
      <w:pPr>
        <w:spacing w:line="360" w:lineRule="auto"/>
        <w:ind w:left="540"/>
        <w:contextualSpacing/>
        <w:rPr>
          <w:rFonts w:ascii="宋体" w:hAnsi="宋体" w:cs="仿宋_GB2312"/>
          <w:sz w:val="24"/>
        </w:rPr>
      </w:pPr>
    </w:p>
    <w:p w14:paraId="69F1973D">
      <w:pPr>
        <w:spacing w:line="360" w:lineRule="auto"/>
        <w:ind w:left="540"/>
        <w:contextualSpacing/>
        <w:jc w:val="right"/>
        <w:rPr>
          <w:rFonts w:ascii="宋体" w:hAnsi="宋体" w:cs="仿宋_GB2312"/>
          <w:sz w:val="24"/>
        </w:rPr>
      </w:pPr>
      <w:r>
        <w:rPr>
          <w:rFonts w:hint="eastAsia" w:ascii="宋体" w:hAnsi="宋体" w:cs="仿宋_GB2312"/>
          <w:sz w:val="24"/>
        </w:rPr>
        <w:t>供应商（盖公章）：</w:t>
      </w:r>
      <w:r>
        <w:rPr>
          <w:rFonts w:hint="eastAsia" w:ascii="宋体" w:hAnsi="宋体" w:cs="仿宋_GB2312"/>
          <w:sz w:val="24"/>
          <w:u w:val="single"/>
        </w:rPr>
        <w:t xml:space="preserve">               </w:t>
      </w:r>
    </w:p>
    <w:p w14:paraId="3AF37A91">
      <w:pPr>
        <w:spacing w:line="360" w:lineRule="auto"/>
        <w:ind w:firstLine="4080" w:firstLineChars="1700"/>
        <w:contextualSpacing/>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年</w:t>
      </w:r>
      <w:r>
        <w:rPr>
          <w:rFonts w:hint="eastAsia" w:ascii="宋体" w:hAnsi="宋体" w:cs="仿宋_GB2312"/>
          <w:sz w:val="24"/>
          <w:u w:val="single"/>
        </w:rPr>
        <w:t xml:space="preserve">     </w:t>
      </w:r>
      <w:r>
        <w:rPr>
          <w:rFonts w:hint="eastAsia" w:ascii="宋体" w:hAnsi="宋体" w:cs="仿宋_GB2312"/>
          <w:sz w:val="24"/>
        </w:rPr>
        <w:t>月</w:t>
      </w:r>
      <w:r>
        <w:rPr>
          <w:rFonts w:hint="eastAsia" w:ascii="宋体" w:hAnsi="宋体" w:cs="仿宋_GB2312"/>
          <w:sz w:val="24"/>
          <w:u w:val="single"/>
        </w:rPr>
        <w:t xml:space="preserve">     </w:t>
      </w:r>
      <w:r>
        <w:rPr>
          <w:rFonts w:hint="eastAsia" w:ascii="宋体" w:hAnsi="宋体" w:cs="仿宋_GB2312"/>
          <w:sz w:val="24"/>
        </w:rPr>
        <w:t>日</w:t>
      </w:r>
    </w:p>
    <w:p w14:paraId="27CF04AC">
      <w:pPr>
        <w:spacing w:line="360" w:lineRule="auto"/>
        <w:contextualSpacing/>
        <w:jc w:val="center"/>
        <w:rPr>
          <w:rFonts w:ascii="宋体" w:hAnsi="宋体" w:cs="仿宋_GB2312"/>
          <w:b/>
          <w:sz w:val="24"/>
        </w:rPr>
      </w:pPr>
    </w:p>
    <w:p w14:paraId="721FAF76">
      <w:pPr>
        <w:spacing w:line="360" w:lineRule="auto"/>
        <w:contextualSpacing/>
        <w:jc w:val="left"/>
        <w:rPr>
          <w:rFonts w:ascii="宋体" w:hAnsi="宋体" w:cs="仿宋_GB2312"/>
          <w:sz w:val="24"/>
        </w:rPr>
      </w:pPr>
      <w:r>
        <w:rPr>
          <w:rFonts w:hint="eastAsia" w:ascii="宋体" w:hAnsi="宋体" w:cs="仿宋_GB2312"/>
          <w:sz w:val="24"/>
        </w:rPr>
        <w:t>注：自然人竞标的无需提供，联合体竞标的只需牵头人出具。</w:t>
      </w:r>
    </w:p>
    <w:p w14:paraId="00D8FD3D">
      <w:pPr>
        <w:adjustRightInd w:val="0"/>
        <w:snapToGrid w:val="0"/>
        <w:spacing w:line="300" w:lineRule="auto"/>
        <w:jc w:val="left"/>
        <w:rPr>
          <w:rFonts w:ascii="宋体" w:hAnsi="宋体"/>
          <w:b/>
          <w:szCs w:val="21"/>
        </w:rPr>
      </w:pPr>
    </w:p>
    <w:p w14:paraId="7FFBFE29">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授权委托书</w:t>
      </w:r>
    </w:p>
    <w:p w14:paraId="260E181A">
      <w:pPr>
        <w:spacing w:line="520" w:lineRule="exact"/>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（非联合体竞标格式）</w:t>
      </w:r>
    </w:p>
    <w:p w14:paraId="05A2172F">
      <w:pPr>
        <w:spacing w:line="520" w:lineRule="exact"/>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（如有委托时）</w:t>
      </w:r>
    </w:p>
    <w:p w14:paraId="6FFE202B">
      <w:pPr>
        <w:spacing w:line="360" w:lineRule="auto"/>
        <w:contextualSpacing/>
        <w:rPr>
          <w:rFonts w:ascii="仿宋_GB2312" w:hAnsi="仿宋_GB2312" w:eastAsia="仿宋_GB2312" w:cs="仿宋_GB2312"/>
          <w:sz w:val="32"/>
          <w:szCs w:val="32"/>
        </w:rPr>
      </w:pPr>
    </w:p>
    <w:p w14:paraId="69203C03">
      <w:pPr>
        <w:spacing w:line="360" w:lineRule="auto"/>
        <w:contextualSpacing/>
        <w:rPr>
          <w:rFonts w:ascii="宋体" w:hAnsi="宋体" w:cs="仿宋_GB2312"/>
          <w:sz w:val="24"/>
        </w:rPr>
      </w:pPr>
      <w:r>
        <w:rPr>
          <w:rFonts w:hint="eastAsia" w:ascii="宋体" w:hAnsi="宋体" w:cs="仿宋_GB2312"/>
          <w:sz w:val="24"/>
        </w:rPr>
        <w:t>致：</w:t>
      </w:r>
      <w:r>
        <w:rPr>
          <w:rFonts w:hint="eastAsia" w:ascii="宋体" w:hAnsi="宋体" w:cs="仿宋_GB2312"/>
          <w:sz w:val="24"/>
          <w:u w:val="single"/>
        </w:rPr>
        <w:t>采购人名称</w:t>
      </w:r>
    </w:p>
    <w:p w14:paraId="30C07894">
      <w:pPr>
        <w:spacing w:line="360" w:lineRule="auto"/>
        <w:ind w:firstLine="480" w:firstLineChars="200"/>
        <w:contextualSpacing/>
        <w:rPr>
          <w:rFonts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sym w:font="Wingdings 2" w:char="00A3"/>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 xml:space="preserve"> 姓名 </w:t>
      </w:r>
      <w:r>
        <w:rPr>
          <w:rFonts w:hint="eastAsia" w:ascii="宋体" w:hAnsi="宋体" w:cs="仿宋_GB2312"/>
          <w:sz w:val="24"/>
        </w:rPr>
        <w:t>以我方的名义参加</w:t>
      </w:r>
      <w:r>
        <w:rPr>
          <w:rFonts w:hint="eastAsia" w:ascii="宋体" w:hAnsi="宋体" w:cs="仿宋_GB2312"/>
          <w:sz w:val="24"/>
          <w:u w:val="single"/>
        </w:rPr>
        <w:t xml:space="preserve">      项目名称        </w:t>
      </w:r>
      <w:r>
        <w:rPr>
          <w:rFonts w:hint="eastAsia" w:ascii="宋体" w:hAnsi="宋体" w:cs="仿宋_GB2312"/>
          <w:sz w:val="24"/>
        </w:rPr>
        <w:t>项目的竞标活动，并代表我方全权办理针对上述项目的所有采购程序和环节的具体事务和签署相关文件。</w:t>
      </w:r>
    </w:p>
    <w:p w14:paraId="05AF7569">
      <w:pPr>
        <w:spacing w:line="360" w:lineRule="auto"/>
        <w:contextualSpacing/>
        <w:rPr>
          <w:rFonts w:ascii="宋体" w:hAnsi="宋体" w:cs="仿宋_GB2312"/>
          <w:sz w:val="24"/>
        </w:rPr>
      </w:pPr>
      <w:r>
        <w:rPr>
          <w:rFonts w:hint="eastAsia" w:ascii="宋体" w:hAnsi="宋体" w:cs="仿宋_GB2312"/>
          <w:sz w:val="24"/>
        </w:rPr>
        <w:t xml:space="preserve">    我方对委托代理人的签字事项负全部责任。</w:t>
      </w:r>
    </w:p>
    <w:p w14:paraId="442E8A66">
      <w:pPr>
        <w:spacing w:line="360" w:lineRule="auto"/>
        <w:ind w:firstLine="480" w:firstLineChars="200"/>
        <w:contextualSpacing/>
        <w:rPr>
          <w:rFonts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00FE5B5E">
      <w:pPr>
        <w:spacing w:line="360" w:lineRule="auto"/>
        <w:ind w:firstLine="480" w:firstLineChars="200"/>
        <w:contextualSpacing/>
        <w:rPr>
          <w:rFonts w:ascii="宋体" w:hAnsi="宋体" w:cs="仿宋_GB2312"/>
          <w:sz w:val="24"/>
        </w:rPr>
      </w:pPr>
      <w:r>
        <w:rPr>
          <w:rFonts w:hint="eastAsia" w:ascii="宋体" w:hAnsi="宋体" w:cs="仿宋_GB2312"/>
          <w:sz w:val="24"/>
        </w:rPr>
        <w:t>委托代理人无转委托权，特此委托。</w:t>
      </w:r>
    </w:p>
    <w:p w14:paraId="001CBF13">
      <w:pPr>
        <w:spacing w:line="360" w:lineRule="auto"/>
        <w:ind w:firstLine="480" w:firstLineChars="200"/>
        <w:contextualSpacing/>
        <w:rPr>
          <w:rFonts w:ascii="宋体" w:hAnsi="宋体" w:cs="仿宋_GB2312"/>
          <w:sz w:val="24"/>
        </w:rPr>
      </w:pPr>
      <w:r>
        <w:rPr>
          <w:rFonts w:hint="eastAsia" w:ascii="宋体" w:hAnsi="宋体" w:cs="仿宋_GB2312"/>
          <w:sz w:val="24"/>
        </w:rPr>
        <w:t>附：法定代表人身份证明及委托代理人有效身份证正反面复印件</w:t>
      </w:r>
    </w:p>
    <w:p w14:paraId="455F2334">
      <w:pPr>
        <w:spacing w:line="360" w:lineRule="auto"/>
        <w:contextualSpacing/>
        <w:rPr>
          <w:rFonts w:ascii="宋体" w:hAnsi="宋体" w:cs="仿宋_GB2312"/>
          <w:sz w:val="24"/>
        </w:rPr>
      </w:pPr>
    </w:p>
    <w:p w14:paraId="2A395DB2">
      <w:pPr>
        <w:spacing w:line="360" w:lineRule="auto"/>
        <w:contextualSpacing/>
        <w:rPr>
          <w:rFonts w:ascii="宋体" w:hAnsi="宋体" w:cs="仿宋_GB2312"/>
          <w:sz w:val="24"/>
        </w:rPr>
      </w:pPr>
      <w:r>
        <w:rPr>
          <w:rFonts w:hint="eastAsia" w:ascii="宋体" w:hAnsi="宋体" w:cs="仿宋_GB2312"/>
          <w:sz w:val="24"/>
        </w:rPr>
        <w:t xml:space="preserve">委托代理人（签字）：         法定代表人（签字或者盖章）：                    </w:t>
      </w:r>
    </w:p>
    <w:p w14:paraId="7E60AABF">
      <w:pPr>
        <w:spacing w:line="360" w:lineRule="auto"/>
        <w:contextualSpacing/>
        <w:rPr>
          <w:rFonts w:ascii="宋体" w:hAnsi="宋体" w:cs="仿宋_GB2312"/>
          <w:sz w:val="24"/>
        </w:rPr>
      </w:pPr>
      <w:r>
        <w:rPr>
          <w:rFonts w:hint="eastAsia" w:ascii="宋体" w:hAnsi="宋体" w:cs="仿宋_GB2312"/>
          <w:sz w:val="24"/>
        </w:rPr>
        <w:t xml:space="preserve">委托代理人身份证号码：                              </w:t>
      </w:r>
    </w:p>
    <w:p w14:paraId="5CA5BC25">
      <w:pPr>
        <w:spacing w:line="360" w:lineRule="auto"/>
        <w:contextualSpacing/>
        <w:rPr>
          <w:rFonts w:ascii="宋体" w:hAnsi="宋体" w:cs="仿宋_GB2312"/>
          <w:sz w:val="24"/>
        </w:rPr>
      </w:pPr>
      <w:r>
        <w:rPr>
          <w:rFonts w:hint="eastAsia" w:ascii="宋体" w:hAnsi="宋体" w:cs="仿宋_GB2312"/>
          <w:sz w:val="24"/>
        </w:rPr>
        <w:t xml:space="preserve">                                </w:t>
      </w:r>
    </w:p>
    <w:p w14:paraId="761DB1DA">
      <w:pPr>
        <w:spacing w:line="360" w:lineRule="auto"/>
        <w:contextualSpacing/>
        <w:rPr>
          <w:rFonts w:ascii="宋体" w:hAnsi="宋体" w:cs="仿宋_GB2312"/>
          <w:sz w:val="24"/>
        </w:rPr>
      </w:pPr>
      <w:r>
        <w:rPr>
          <w:rFonts w:hint="eastAsia" w:ascii="宋体" w:hAnsi="宋体" w:cs="仿宋_GB2312"/>
          <w:sz w:val="24"/>
        </w:rPr>
        <w:t xml:space="preserve">                         供应商（盖公章）：                      </w:t>
      </w:r>
    </w:p>
    <w:p w14:paraId="39BFFB5A">
      <w:pPr>
        <w:spacing w:line="360" w:lineRule="auto"/>
        <w:contextualSpacing/>
        <w:rPr>
          <w:rFonts w:ascii="宋体" w:hAnsi="宋体" w:cs="仿宋_GB2312"/>
          <w:sz w:val="24"/>
        </w:rPr>
      </w:pPr>
      <w:r>
        <w:rPr>
          <w:rFonts w:hint="eastAsia" w:ascii="宋体" w:hAnsi="宋体" w:cs="仿宋_GB2312"/>
          <w:sz w:val="24"/>
        </w:rPr>
        <w:t xml:space="preserve">                                         年    月    日</w:t>
      </w:r>
    </w:p>
    <w:p w14:paraId="71E27413">
      <w:pPr>
        <w:spacing w:line="360" w:lineRule="auto"/>
        <w:contextualSpacing/>
        <w:rPr>
          <w:rFonts w:ascii="宋体" w:hAnsi="宋体" w:cs="仿宋_GB2312"/>
          <w:sz w:val="24"/>
        </w:rPr>
      </w:pPr>
    </w:p>
    <w:p w14:paraId="2726F808">
      <w:pPr>
        <w:spacing w:line="360" w:lineRule="auto"/>
        <w:contextualSpacing/>
        <w:rPr>
          <w:rFonts w:ascii="宋体" w:hAnsi="宋体" w:cs="仿宋_GB2312"/>
          <w:sz w:val="24"/>
        </w:rPr>
      </w:pPr>
      <w:r>
        <w:rPr>
          <w:rFonts w:hint="eastAsia" w:ascii="宋体" w:hAnsi="宋体" w:cs="仿宋_GB2312"/>
          <w:sz w:val="24"/>
        </w:rPr>
        <w:t>注：1. 法定代表人必须在授权委托书上亲笔签字或者盖章，委托代理人必须在授权委托书上亲笔签字，</w:t>
      </w:r>
      <w:r>
        <w:rPr>
          <w:rFonts w:hint="eastAsia" w:ascii="宋体" w:hAnsi="宋体" w:cs="仿宋_GB2312"/>
          <w:b/>
          <w:sz w:val="24"/>
        </w:rPr>
        <w:t>否则其响应文件按无效响应处理。</w:t>
      </w:r>
    </w:p>
    <w:p w14:paraId="113F0436">
      <w:pPr>
        <w:spacing w:line="360" w:lineRule="auto"/>
        <w:ind w:firstLine="480" w:firstLineChars="200"/>
        <w:contextualSpacing/>
        <w:jc w:val="left"/>
        <w:rPr>
          <w:rFonts w:ascii="宋体" w:hAnsi="宋体" w:cs="仿宋_GB2312"/>
          <w:sz w:val="24"/>
        </w:rPr>
      </w:pPr>
      <w:r>
        <w:rPr>
          <w:rFonts w:ascii="宋体" w:hAnsi="宋体" w:cs="仿宋_GB2312"/>
          <w:sz w:val="24"/>
        </w:rPr>
        <w:t>2.</w:t>
      </w:r>
      <w:r>
        <w:rPr>
          <w:rFonts w:hint="eastAsia" w:ascii="宋体" w:hAnsi="宋体" w:cs="仿宋_GB2312"/>
          <w:sz w:val="24"/>
        </w:rPr>
        <w:t>法人、其他组织竞标时“我方”是指“我单位”，自然人竞标时“我方”是指“本人”。</w:t>
      </w:r>
    </w:p>
    <w:p w14:paraId="43C20404">
      <w:pPr>
        <w:spacing w:line="360" w:lineRule="auto"/>
        <w:ind w:firstLine="420" w:firstLineChars="200"/>
        <w:contextualSpacing/>
        <w:jc w:val="left"/>
        <w:rPr>
          <w:rFonts w:ascii="仿宋_GB2312" w:hAnsi="仿宋_GB2312" w:eastAsia="仿宋_GB2312" w:cs="仿宋_GB2312"/>
          <w:szCs w:val="21"/>
        </w:rPr>
      </w:pPr>
    </w:p>
    <w:p w14:paraId="6E184B74">
      <w:pPr>
        <w:contextualSpacing/>
        <w:jc w:val="center"/>
        <w:rPr>
          <w:rFonts w:ascii="方正小标宋简体" w:hAnsi="方正小标宋简体" w:eastAsia="方正小标宋简体" w:cs="方正小标宋简体"/>
          <w:sz w:val="44"/>
          <w:szCs w:val="44"/>
        </w:rPr>
      </w:pPr>
      <w:r>
        <w:rPr>
          <w:rFonts w:ascii="仿宋_GB2312" w:hAnsi="仿宋_GB2312" w:eastAsia="仿宋_GB2312" w:cs="仿宋_GB2312"/>
          <w:szCs w:val="21"/>
        </w:rPr>
        <w:br w:type="page"/>
      </w:r>
      <w:r>
        <w:rPr>
          <w:rFonts w:hint="eastAsia" w:ascii="方正小标宋简体" w:hAnsi="方正小标宋简体" w:eastAsia="方正小标宋简体" w:cs="方正小标宋简体"/>
          <w:sz w:val="44"/>
          <w:szCs w:val="44"/>
        </w:rPr>
        <w:t>授权委托书</w:t>
      </w:r>
    </w:p>
    <w:p w14:paraId="5576DC0B">
      <w:pPr>
        <w:contextualSpacing/>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（联合体竞标格式）</w:t>
      </w:r>
    </w:p>
    <w:p w14:paraId="0690DF86">
      <w:pPr>
        <w:contextualSpacing/>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（如有委托时）</w:t>
      </w:r>
    </w:p>
    <w:p w14:paraId="2E1139E7">
      <w:pPr>
        <w:spacing w:line="360" w:lineRule="auto"/>
        <w:contextualSpacing/>
        <w:rPr>
          <w:rFonts w:ascii="仿宋_GB2312" w:hAnsi="仿宋_GB2312" w:eastAsia="仿宋_GB2312" w:cs="仿宋_GB2312"/>
          <w:sz w:val="32"/>
          <w:szCs w:val="32"/>
        </w:rPr>
      </w:pPr>
    </w:p>
    <w:p w14:paraId="03899C86">
      <w:pPr>
        <w:spacing w:line="360" w:lineRule="auto"/>
        <w:ind w:firstLine="480" w:firstLineChars="200"/>
        <w:contextualSpacing/>
        <w:jc w:val="left"/>
        <w:rPr>
          <w:rFonts w:ascii="宋体" w:hAnsi="宋体" w:cs="仿宋_GB2312"/>
          <w:sz w:val="24"/>
        </w:rPr>
      </w:pPr>
      <w:r>
        <w:rPr>
          <w:rFonts w:hint="eastAsia" w:ascii="宋体" w:hAnsi="宋体" w:cs="仿宋_GB2312"/>
          <w:sz w:val="24"/>
        </w:rPr>
        <w:t>本授权委托书声明：根据</w:t>
      </w:r>
      <w:r>
        <w:rPr>
          <w:rFonts w:hint="eastAsia" w:ascii="宋体" w:hAnsi="宋体" w:cs="仿宋_GB2312"/>
          <w:sz w:val="24"/>
          <w:u w:val="single"/>
        </w:rPr>
        <w:t xml:space="preserve">                </w:t>
      </w:r>
      <w:r>
        <w:rPr>
          <w:rFonts w:hint="eastAsia" w:ascii="宋体" w:hAnsi="宋体" w:cs="仿宋_GB2312"/>
          <w:sz w:val="24"/>
        </w:rPr>
        <w:t>（牵头人名称）与</w:t>
      </w:r>
      <w:r>
        <w:rPr>
          <w:rFonts w:hint="eastAsia" w:ascii="宋体" w:hAnsi="宋体" w:cs="仿宋_GB2312"/>
          <w:sz w:val="24"/>
          <w:u w:val="single"/>
        </w:rPr>
        <w:t xml:space="preserve">              </w:t>
      </w:r>
      <w:r>
        <w:rPr>
          <w:rFonts w:hint="eastAsia" w:ascii="宋体" w:hAnsi="宋体" w:cs="仿宋_GB2312"/>
          <w:sz w:val="24"/>
        </w:rPr>
        <w:t>（联合体其他成员名称）签订的《联合体竞标协议书》的内容，</w:t>
      </w:r>
      <w:r>
        <w:rPr>
          <w:rFonts w:hint="eastAsia" w:ascii="宋体" w:hAnsi="宋体" w:cs="仿宋_GB2312"/>
          <w:sz w:val="24"/>
          <w:u w:val="single"/>
        </w:rPr>
        <w:t xml:space="preserve">                       </w:t>
      </w:r>
      <w:r>
        <w:rPr>
          <w:rFonts w:hint="eastAsia" w:ascii="宋体" w:hAnsi="宋体" w:cs="仿宋_GB2312"/>
          <w:sz w:val="24"/>
        </w:rPr>
        <w:t>（牵头人名称）的法定代表人</w:t>
      </w:r>
      <w:r>
        <w:rPr>
          <w:rFonts w:hint="eastAsia" w:ascii="宋体" w:hAnsi="宋体" w:cs="仿宋_GB2312"/>
          <w:sz w:val="24"/>
          <w:u w:val="single"/>
        </w:rPr>
        <w:t xml:space="preserve">      </w:t>
      </w:r>
      <w:r>
        <w:rPr>
          <w:rFonts w:hint="eastAsia" w:ascii="宋体" w:hAnsi="宋体" w:cs="仿宋_GB2312"/>
          <w:sz w:val="24"/>
        </w:rPr>
        <w:t>（姓名）现授权</w:t>
      </w:r>
      <w:r>
        <w:rPr>
          <w:rFonts w:hint="eastAsia" w:ascii="宋体" w:hAnsi="宋体" w:cs="仿宋_GB2312"/>
          <w:sz w:val="24"/>
          <w:u w:val="single"/>
        </w:rPr>
        <w:t xml:space="preserve">      </w:t>
      </w:r>
      <w:r>
        <w:rPr>
          <w:rFonts w:hint="eastAsia" w:ascii="宋体" w:hAnsi="宋体" w:cs="仿宋_GB2312"/>
          <w:sz w:val="24"/>
        </w:rPr>
        <w:t>（姓名）为联合委托代理人，并代表我方全权办理针对上述项目的所有采购程序和环节的具体事务和签署相关文件。</w:t>
      </w:r>
    </w:p>
    <w:p w14:paraId="5C5F7434">
      <w:pPr>
        <w:spacing w:line="360" w:lineRule="auto"/>
        <w:ind w:firstLine="480" w:firstLineChars="200"/>
        <w:contextualSpacing/>
        <w:rPr>
          <w:rFonts w:ascii="宋体" w:hAnsi="宋体" w:cs="仿宋_GB2312"/>
          <w:sz w:val="24"/>
        </w:rPr>
      </w:pPr>
      <w:r>
        <w:rPr>
          <w:rFonts w:hint="eastAsia" w:ascii="宋体" w:hAnsi="宋体" w:cs="仿宋_GB2312"/>
          <w:sz w:val="24"/>
        </w:rPr>
        <w:t>我方对委托代理人的签字事项负全部责任。</w:t>
      </w:r>
    </w:p>
    <w:p w14:paraId="4CDB52F3">
      <w:pPr>
        <w:spacing w:line="360" w:lineRule="auto"/>
        <w:ind w:firstLine="480" w:firstLineChars="200"/>
        <w:contextualSpacing/>
        <w:rPr>
          <w:rFonts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17BF60EB">
      <w:pPr>
        <w:spacing w:line="360" w:lineRule="auto"/>
        <w:ind w:firstLine="480" w:firstLineChars="200"/>
        <w:contextualSpacing/>
        <w:rPr>
          <w:rFonts w:ascii="宋体" w:hAnsi="宋体" w:cs="仿宋_GB2312"/>
          <w:sz w:val="24"/>
        </w:rPr>
      </w:pPr>
      <w:r>
        <w:rPr>
          <w:rFonts w:hint="eastAsia" w:ascii="宋体" w:hAnsi="宋体" w:cs="仿宋_GB2312"/>
          <w:sz w:val="24"/>
        </w:rPr>
        <w:t>委托代理人无转委托权，特此委托。</w:t>
      </w:r>
    </w:p>
    <w:p w14:paraId="2621B622">
      <w:pPr>
        <w:spacing w:line="360" w:lineRule="auto"/>
        <w:contextualSpacing/>
        <w:rPr>
          <w:rFonts w:ascii="宋体" w:hAnsi="宋体" w:cs="仿宋_GB2312"/>
          <w:sz w:val="24"/>
        </w:rPr>
      </w:pPr>
      <w:r>
        <w:rPr>
          <w:rFonts w:hint="eastAsia" w:ascii="宋体" w:hAnsi="宋体" w:cs="仿宋_GB2312"/>
          <w:sz w:val="24"/>
        </w:rPr>
        <w:t xml:space="preserve">    附：法定代表人身份证明及委托代理人有效身份证正反面复印件</w:t>
      </w:r>
    </w:p>
    <w:p w14:paraId="3C03F739">
      <w:pPr>
        <w:spacing w:line="360" w:lineRule="auto"/>
        <w:ind w:firstLine="480" w:firstLineChars="200"/>
        <w:contextualSpacing/>
        <w:rPr>
          <w:rFonts w:ascii="宋体" w:hAnsi="宋体" w:cs="仿宋_GB2312"/>
          <w:sz w:val="24"/>
        </w:rPr>
      </w:pPr>
      <w:r>
        <w:rPr>
          <w:rFonts w:hint="eastAsia" w:ascii="宋体" w:hAnsi="宋体" w:cs="仿宋_GB2312"/>
          <w:sz w:val="24"/>
        </w:rPr>
        <w:t>牵头人法定代表人（签字或者盖章）：</w:t>
      </w:r>
    </w:p>
    <w:p w14:paraId="0DD667C4">
      <w:pPr>
        <w:spacing w:line="360" w:lineRule="auto"/>
        <w:ind w:firstLine="3120" w:firstLineChars="1300"/>
        <w:contextualSpacing/>
        <w:rPr>
          <w:rFonts w:ascii="宋体" w:hAnsi="宋体" w:cs="仿宋_GB2312"/>
          <w:sz w:val="24"/>
        </w:rPr>
      </w:pPr>
      <w:r>
        <w:rPr>
          <w:rFonts w:hint="eastAsia" w:ascii="宋体" w:hAnsi="宋体" w:cs="仿宋_GB2312"/>
          <w:sz w:val="24"/>
        </w:rPr>
        <w:t>牵头人（盖公章）：</w:t>
      </w:r>
    </w:p>
    <w:p w14:paraId="32E4CAD2">
      <w:pPr>
        <w:spacing w:line="360" w:lineRule="auto"/>
        <w:ind w:firstLine="3840" w:firstLineChars="1600"/>
        <w:contextualSpacing/>
        <w:rPr>
          <w:rFonts w:ascii="宋体" w:hAnsi="宋体" w:cs="仿宋_GB2312"/>
          <w:sz w:val="24"/>
        </w:rPr>
      </w:pPr>
      <w:r>
        <w:rPr>
          <w:rFonts w:hint="eastAsia" w:ascii="宋体" w:hAnsi="宋体" w:cs="仿宋_GB2312"/>
          <w:sz w:val="24"/>
        </w:rPr>
        <w:t>日期：    年   月   日</w:t>
      </w:r>
    </w:p>
    <w:p w14:paraId="7FA22783">
      <w:pPr>
        <w:spacing w:line="360" w:lineRule="auto"/>
        <w:contextualSpacing/>
        <w:rPr>
          <w:rFonts w:ascii="宋体" w:hAnsi="宋体" w:cs="仿宋_GB2312"/>
          <w:sz w:val="24"/>
        </w:rPr>
      </w:pPr>
    </w:p>
    <w:p w14:paraId="7C5C3D48">
      <w:pPr>
        <w:spacing w:line="360" w:lineRule="auto"/>
        <w:ind w:firstLine="3120" w:firstLineChars="1300"/>
        <w:contextualSpacing/>
        <w:rPr>
          <w:rFonts w:ascii="宋体" w:hAnsi="宋体" w:cs="仿宋_GB2312"/>
          <w:sz w:val="24"/>
        </w:rPr>
      </w:pPr>
      <w:r>
        <w:rPr>
          <w:rFonts w:hint="eastAsia" w:ascii="宋体" w:hAnsi="宋体" w:cs="仿宋_GB2312"/>
          <w:sz w:val="24"/>
        </w:rPr>
        <w:t>被授权人（签字）：</w:t>
      </w:r>
    </w:p>
    <w:p w14:paraId="04B38244">
      <w:pPr>
        <w:spacing w:line="360" w:lineRule="auto"/>
        <w:ind w:firstLine="3840" w:firstLineChars="1600"/>
        <w:contextualSpacing/>
        <w:rPr>
          <w:rFonts w:ascii="宋体" w:hAnsi="宋体" w:cs="仿宋_GB2312"/>
          <w:sz w:val="24"/>
        </w:rPr>
      </w:pPr>
      <w:r>
        <w:rPr>
          <w:rFonts w:hint="eastAsia" w:ascii="宋体" w:hAnsi="宋体" w:cs="仿宋_GB2312"/>
          <w:sz w:val="24"/>
        </w:rPr>
        <w:t>日期：    年   月   日</w:t>
      </w:r>
    </w:p>
    <w:p w14:paraId="1A7D08D0">
      <w:pPr>
        <w:spacing w:line="360" w:lineRule="auto"/>
        <w:contextualSpacing/>
        <w:rPr>
          <w:rFonts w:ascii="宋体" w:hAnsi="宋体" w:cs="仿宋_GB2312"/>
          <w:sz w:val="24"/>
        </w:rPr>
      </w:pPr>
    </w:p>
    <w:p w14:paraId="71240890">
      <w:pPr>
        <w:spacing w:line="360" w:lineRule="auto"/>
        <w:contextualSpacing/>
        <w:rPr>
          <w:rFonts w:ascii="宋体" w:hAnsi="宋体" w:cs="仿宋_GB2312"/>
          <w:sz w:val="24"/>
        </w:rPr>
      </w:pPr>
      <w:r>
        <w:rPr>
          <w:rFonts w:hint="eastAsia" w:ascii="宋体" w:hAnsi="宋体" w:cs="仿宋_GB2312"/>
          <w:sz w:val="24"/>
        </w:rPr>
        <w:t>注：1. 法定代表人必须在授权委托书上亲笔签字或者盖章，委托代理人必须在授权委托书上亲笔签字，</w:t>
      </w:r>
      <w:r>
        <w:rPr>
          <w:rFonts w:hint="eastAsia" w:ascii="宋体" w:hAnsi="宋体" w:cs="仿宋_GB2312"/>
          <w:b/>
          <w:bCs/>
          <w:sz w:val="24"/>
        </w:rPr>
        <w:t>否</w:t>
      </w:r>
      <w:r>
        <w:rPr>
          <w:rFonts w:hint="eastAsia" w:ascii="宋体" w:hAnsi="宋体" w:cs="仿宋_GB2312"/>
          <w:b/>
          <w:sz w:val="24"/>
        </w:rPr>
        <w:t>则其响应文件按无效响应处理。</w:t>
      </w:r>
    </w:p>
    <w:p w14:paraId="5ED97B39">
      <w:pPr>
        <w:spacing w:line="360" w:lineRule="auto"/>
        <w:ind w:firstLine="480" w:firstLineChars="200"/>
        <w:contextualSpacing/>
        <w:jc w:val="left"/>
        <w:rPr>
          <w:rFonts w:ascii="宋体" w:hAnsi="宋体" w:cs="仿宋_GB2312"/>
          <w:sz w:val="24"/>
        </w:rPr>
      </w:pPr>
      <w:r>
        <w:rPr>
          <w:rFonts w:hint="eastAsia" w:ascii="宋体" w:hAnsi="宋体" w:cs="仿宋_GB2312"/>
          <w:sz w:val="24"/>
        </w:rPr>
        <w:t>2.本授权委托书应由联合体牵头人的法定代表人按上述规定签署。</w:t>
      </w:r>
    </w:p>
    <w:p w14:paraId="7B19A94D">
      <w:pPr>
        <w:spacing w:line="360" w:lineRule="auto"/>
        <w:ind w:firstLine="480" w:firstLineChars="200"/>
        <w:contextualSpacing/>
        <w:jc w:val="left"/>
        <w:rPr>
          <w:rFonts w:ascii="仿宋_GB2312" w:hAnsi="仿宋_GB2312" w:eastAsia="仿宋_GB2312" w:cs="仿宋_GB2312"/>
          <w:szCs w:val="21"/>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法人、其他组织竞标时“我方”是指“我单位”，自然人竞标时“我方”是指“本人”。</w:t>
      </w:r>
    </w:p>
    <w:p w14:paraId="0C6E628B">
      <w:pPr>
        <w:spacing w:line="500" w:lineRule="exact"/>
        <w:jc w:val="center"/>
        <w:rPr>
          <w:rFonts w:ascii="方正小标宋简体" w:hAnsi="方正小标宋简体" w:eastAsia="方正小标宋简体" w:cs="方正小标宋简体"/>
          <w:bCs/>
          <w:sz w:val="44"/>
          <w:szCs w:val="44"/>
        </w:rPr>
      </w:pPr>
      <w:r>
        <w:rPr>
          <w:rFonts w:hint="eastAsia" w:ascii="仿宋_GB2312" w:hAnsi="仿宋_GB2312" w:eastAsia="仿宋_GB2312" w:cs="仿宋_GB2312"/>
          <w:sz w:val="32"/>
          <w:szCs w:val="32"/>
        </w:rPr>
        <w:br w:type="page"/>
      </w:r>
      <w:r>
        <w:rPr>
          <w:rFonts w:hint="eastAsia" w:ascii="方正小标宋简体" w:hAnsi="方正小标宋简体" w:eastAsia="方正小标宋简体" w:cs="方正小标宋简体"/>
          <w:bCs/>
          <w:sz w:val="44"/>
          <w:szCs w:val="44"/>
        </w:rPr>
        <w:t>商务要求偏离表格式</w:t>
      </w:r>
    </w:p>
    <w:p w14:paraId="7E902FFE">
      <w:pPr>
        <w:spacing w:line="500" w:lineRule="exact"/>
        <w:jc w:val="center"/>
        <w:rPr>
          <w:rFonts w:ascii="宋体" w:hAnsi="宋体"/>
          <w:b/>
          <w:sz w:val="28"/>
          <w:szCs w:val="28"/>
        </w:rPr>
      </w:pPr>
      <w:r>
        <w:rPr>
          <w:rFonts w:hint="eastAsia" w:ascii="方正小标宋简体" w:hAnsi="方正小标宋简体" w:eastAsia="方正小标宋简体" w:cs="方正小标宋简体"/>
          <w:bCs/>
          <w:sz w:val="28"/>
          <w:szCs w:val="28"/>
        </w:rPr>
        <w:t>（注：按采购需求具体条款修改）</w:t>
      </w:r>
    </w:p>
    <w:p w14:paraId="51B0283F">
      <w:pPr>
        <w:snapToGrid w:val="0"/>
        <w:spacing w:before="50"/>
        <w:jc w:val="left"/>
        <w:rPr>
          <w:rFonts w:ascii="宋体" w:hAnsi="宋体"/>
          <w:sz w:val="24"/>
        </w:rPr>
      </w:pPr>
    </w:p>
    <w:p w14:paraId="644CF98B">
      <w:pPr>
        <w:pStyle w:val="16"/>
        <w:spacing w:line="360" w:lineRule="auto"/>
        <w:rPr>
          <w:rFonts w:hAnsi="宋体" w:cs="仿宋_GB2312"/>
          <w:sz w:val="24"/>
          <w:szCs w:val="24"/>
        </w:rPr>
      </w:pPr>
      <w:r>
        <w:rPr>
          <w:rFonts w:hint="eastAsia" w:hAnsi="宋体" w:cs="仿宋_GB2312"/>
          <w:sz w:val="24"/>
          <w:szCs w:val="24"/>
        </w:rPr>
        <w:t>所竞分标：</w:t>
      </w:r>
      <w:r>
        <w:rPr>
          <w:rFonts w:hint="eastAsia" w:hAnsi="宋体" w:cs="仿宋_GB2312"/>
          <w:sz w:val="24"/>
          <w:szCs w:val="24"/>
          <w:u w:val="single"/>
        </w:rPr>
        <w:t xml:space="preserve">              </w:t>
      </w:r>
    </w:p>
    <w:tbl>
      <w:tblPr>
        <w:tblStyle w:val="27"/>
        <w:tblpPr w:leftFromText="180" w:rightFromText="180" w:vertAnchor="text" w:horzAnchor="margin" w:tblpY="311"/>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14:paraId="07D3A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3610CF8B">
            <w:pPr>
              <w:snapToGrid w:val="0"/>
              <w:spacing w:beforeLines="50" w:line="360" w:lineRule="auto"/>
              <w:jc w:val="center"/>
              <w:rPr>
                <w:rFonts w:ascii="宋体" w:hAnsi="宋体" w:cs="仿宋_GB2312"/>
                <w:sz w:val="24"/>
              </w:rPr>
            </w:pPr>
            <w:r>
              <w:rPr>
                <w:rFonts w:hint="eastAsia" w:ascii="宋体" w:hAnsi="宋体" w:cs="仿宋_GB2312"/>
                <w:sz w:val="24"/>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7F74F156">
            <w:pPr>
              <w:snapToGrid w:val="0"/>
              <w:spacing w:beforeLines="50" w:line="360" w:lineRule="auto"/>
              <w:jc w:val="center"/>
              <w:rPr>
                <w:rFonts w:ascii="宋体" w:hAnsi="宋体" w:cs="仿宋_GB2312"/>
                <w:sz w:val="24"/>
              </w:rPr>
            </w:pPr>
            <w:r>
              <w:rPr>
                <w:rFonts w:hint="eastAsia" w:ascii="宋体" w:hAnsi="宋体" w:cs="仿宋_GB2312"/>
                <w:sz w:val="24"/>
              </w:rPr>
              <w:t>谈判文件商务要求</w:t>
            </w:r>
          </w:p>
        </w:tc>
        <w:tc>
          <w:tcPr>
            <w:tcW w:w="2633" w:type="dxa"/>
            <w:tcBorders>
              <w:top w:val="single" w:color="auto" w:sz="4" w:space="0"/>
              <w:left w:val="single" w:color="auto" w:sz="4" w:space="0"/>
              <w:bottom w:val="single" w:color="auto" w:sz="4" w:space="0"/>
              <w:right w:val="single" w:color="auto" w:sz="4" w:space="0"/>
            </w:tcBorders>
            <w:vAlign w:val="center"/>
          </w:tcPr>
          <w:p w14:paraId="0991A6DE">
            <w:pPr>
              <w:snapToGrid w:val="0"/>
              <w:spacing w:beforeLines="50" w:line="360" w:lineRule="auto"/>
              <w:jc w:val="center"/>
              <w:rPr>
                <w:rFonts w:ascii="宋体" w:hAnsi="宋体" w:cs="仿宋_GB2312"/>
                <w:sz w:val="24"/>
              </w:rPr>
            </w:pPr>
            <w:r>
              <w:rPr>
                <w:rFonts w:hint="eastAsia" w:ascii="宋体" w:hAnsi="宋体" w:cs="仿宋_GB2312"/>
                <w:sz w:val="24"/>
              </w:rPr>
              <w:t>供应商的响应</w:t>
            </w:r>
          </w:p>
        </w:tc>
        <w:tc>
          <w:tcPr>
            <w:tcW w:w="1829" w:type="dxa"/>
            <w:tcBorders>
              <w:top w:val="single" w:color="auto" w:sz="4" w:space="0"/>
              <w:left w:val="single" w:color="auto" w:sz="4" w:space="0"/>
              <w:bottom w:val="single" w:color="auto" w:sz="4" w:space="0"/>
              <w:right w:val="single" w:color="auto" w:sz="4" w:space="0"/>
            </w:tcBorders>
            <w:vAlign w:val="center"/>
          </w:tcPr>
          <w:p w14:paraId="5ED219BB">
            <w:pPr>
              <w:snapToGrid w:val="0"/>
              <w:spacing w:beforeLines="50" w:line="360" w:lineRule="auto"/>
              <w:jc w:val="center"/>
              <w:rPr>
                <w:rFonts w:ascii="宋体" w:hAnsi="宋体" w:cs="仿宋_GB2312"/>
                <w:sz w:val="24"/>
              </w:rPr>
            </w:pPr>
            <w:r>
              <w:rPr>
                <w:rFonts w:hint="eastAsia" w:ascii="宋体" w:hAnsi="宋体" w:cs="仿宋_GB2312"/>
                <w:sz w:val="24"/>
              </w:rPr>
              <w:t>偏离说明</w:t>
            </w:r>
          </w:p>
        </w:tc>
      </w:tr>
      <w:tr w14:paraId="323CE0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178" w:type="dxa"/>
            <w:tcBorders>
              <w:top w:val="single" w:color="auto" w:sz="4" w:space="0"/>
              <w:left w:val="single" w:color="auto" w:sz="4" w:space="0"/>
              <w:bottom w:val="single" w:color="auto" w:sz="4" w:space="0"/>
              <w:right w:val="single" w:color="auto" w:sz="4" w:space="0"/>
            </w:tcBorders>
            <w:vAlign w:val="center"/>
          </w:tcPr>
          <w:p w14:paraId="7B0889B7">
            <w:pPr>
              <w:spacing w:line="360" w:lineRule="auto"/>
              <w:jc w:val="center"/>
              <w:rPr>
                <w:rFonts w:ascii="宋体" w:hAnsi="宋体"/>
                <w:sz w:val="24"/>
              </w:rPr>
            </w:pPr>
            <w:r>
              <w:rPr>
                <w:rFonts w:hint="eastAsia" w:ascii="宋体" w:hAnsi="宋体"/>
                <w:szCs w:val="21"/>
              </w:rPr>
              <w:t>合同签订时间</w:t>
            </w:r>
          </w:p>
        </w:tc>
        <w:tc>
          <w:tcPr>
            <w:tcW w:w="2668" w:type="dxa"/>
            <w:tcBorders>
              <w:top w:val="single" w:color="auto" w:sz="4" w:space="0"/>
              <w:left w:val="single" w:color="auto" w:sz="4" w:space="0"/>
              <w:bottom w:val="single" w:color="auto" w:sz="4" w:space="0"/>
              <w:right w:val="single" w:color="auto" w:sz="4" w:space="0"/>
            </w:tcBorders>
            <w:vAlign w:val="center"/>
          </w:tcPr>
          <w:p w14:paraId="01D95B58">
            <w:pPr>
              <w:jc w:val="center"/>
              <w:rPr>
                <w:rFonts w:ascii="宋体" w:hAnsi="宋体"/>
                <w:sz w:val="24"/>
              </w:rPr>
            </w:pPr>
          </w:p>
        </w:tc>
        <w:tc>
          <w:tcPr>
            <w:tcW w:w="2633" w:type="dxa"/>
            <w:tcBorders>
              <w:top w:val="single" w:color="auto" w:sz="4" w:space="0"/>
              <w:left w:val="single" w:color="auto" w:sz="4" w:space="0"/>
              <w:bottom w:val="single" w:color="auto" w:sz="4" w:space="0"/>
              <w:right w:val="single" w:color="auto" w:sz="4" w:space="0"/>
            </w:tcBorders>
            <w:vAlign w:val="center"/>
          </w:tcPr>
          <w:p w14:paraId="1C0EDE60">
            <w:pPr>
              <w:snapToGrid w:val="0"/>
              <w:spacing w:beforeLines="50" w:line="360" w:lineRule="auto"/>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vAlign w:val="center"/>
          </w:tcPr>
          <w:p w14:paraId="22709F03">
            <w:pPr>
              <w:snapToGrid w:val="0"/>
              <w:spacing w:beforeLines="50" w:line="360" w:lineRule="auto"/>
              <w:jc w:val="center"/>
              <w:rPr>
                <w:rFonts w:ascii="宋体" w:hAnsi="宋体" w:cs="仿宋_GB2312"/>
                <w:sz w:val="24"/>
              </w:rPr>
            </w:pPr>
          </w:p>
        </w:tc>
      </w:tr>
      <w:tr w14:paraId="29CAF1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14:paraId="235B7E43">
            <w:pPr>
              <w:spacing w:line="360" w:lineRule="auto"/>
              <w:jc w:val="center"/>
              <w:rPr>
                <w:rFonts w:ascii="宋体" w:hAnsi="宋体"/>
                <w:sz w:val="24"/>
              </w:rPr>
            </w:pPr>
            <w:r>
              <w:rPr>
                <w:rFonts w:hint="eastAsia" w:ascii="宋体" w:hAnsi="宋体"/>
                <w:sz w:val="24"/>
              </w:rPr>
              <w:t>合同履约期限</w:t>
            </w:r>
          </w:p>
        </w:tc>
        <w:tc>
          <w:tcPr>
            <w:tcW w:w="2668" w:type="dxa"/>
            <w:tcBorders>
              <w:top w:val="single" w:color="auto" w:sz="4" w:space="0"/>
              <w:left w:val="single" w:color="auto" w:sz="4" w:space="0"/>
              <w:bottom w:val="single" w:color="auto" w:sz="4" w:space="0"/>
              <w:right w:val="single" w:color="auto" w:sz="4" w:space="0"/>
            </w:tcBorders>
            <w:vAlign w:val="center"/>
          </w:tcPr>
          <w:p w14:paraId="0AB4FECC">
            <w:pPr>
              <w:jc w:val="center"/>
              <w:rPr>
                <w:rFonts w:ascii="宋体" w:hAnsi="宋体"/>
                <w:sz w:val="24"/>
              </w:rPr>
            </w:pPr>
          </w:p>
        </w:tc>
        <w:tc>
          <w:tcPr>
            <w:tcW w:w="2633" w:type="dxa"/>
            <w:tcBorders>
              <w:top w:val="single" w:color="auto" w:sz="4" w:space="0"/>
              <w:left w:val="single" w:color="auto" w:sz="4" w:space="0"/>
              <w:bottom w:val="single" w:color="auto" w:sz="4" w:space="0"/>
              <w:right w:val="single" w:color="auto" w:sz="4" w:space="0"/>
            </w:tcBorders>
            <w:vAlign w:val="center"/>
          </w:tcPr>
          <w:p w14:paraId="221AC557">
            <w:pPr>
              <w:snapToGrid w:val="0"/>
              <w:spacing w:beforeLines="50" w:line="360" w:lineRule="auto"/>
              <w:ind w:left="43"/>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vAlign w:val="center"/>
          </w:tcPr>
          <w:p w14:paraId="435015D0">
            <w:pPr>
              <w:snapToGrid w:val="0"/>
              <w:spacing w:beforeLines="50" w:line="360" w:lineRule="auto"/>
              <w:ind w:left="43"/>
              <w:jc w:val="center"/>
              <w:rPr>
                <w:rFonts w:ascii="宋体" w:hAnsi="宋体" w:cs="仿宋_GB2312"/>
                <w:sz w:val="24"/>
              </w:rPr>
            </w:pPr>
          </w:p>
        </w:tc>
      </w:tr>
      <w:tr w14:paraId="434DA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2120F46E">
            <w:pPr>
              <w:snapToGrid w:val="0"/>
              <w:spacing w:beforeLines="50" w:line="360" w:lineRule="auto"/>
              <w:jc w:val="center"/>
              <w:rPr>
                <w:rFonts w:ascii="宋体" w:hAnsi="宋体" w:cs="仿宋_GB2312"/>
                <w:sz w:val="24"/>
              </w:rPr>
            </w:pPr>
            <w:r>
              <w:rPr>
                <w:rFonts w:hint="eastAsia" w:ascii="宋体" w:hAnsi="宋体" w:cs="仿宋_GB2312"/>
                <w:sz w:val="24"/>
              </w:rPr>
              <w:t>…</w:t>
            </w:r>
            <w:r>
              <w:rPr>
                <w:rFonts w:hint="eastAsia" w:ascii="宋体" w:hAnsi="宋体" w:cs="宋体"/>
                <w:sz w:val="24"/>
              </w:rPr>
              <w:t>…</w:t>
            </w:r>
          </w:p>
        </w:tc>
        <w:tc>
          <w:tcPr>
            <w:tcW w:w="2668" w:type="dxa"/>
            <w:tcBorders>
              <w:top w:val="single" w:color="auto" w:sz="4" w:space="0"/>
              <w:left w:val="single" w:color="auto" w:sz="4" w:space="0"/>
              <w:bottom w:val="single" w:color="auto" w:sz="4" w:space="0"/>
              <w:right w:val="single" w:color="auto" w:sz="4" w:space="0"/>
            </w:tcBorders>
            <w:vAlign w:val="center"/>
          </w:tcPr>
          <w:p w14:paraId="6E00A907">
            <w:pPr>
              <w:snapToGrid w:val="0"/>
              <w:spacing w:beforeLines="50" w:line="360" w:lineRule="auto"/>
              <w:jc w:val="center"/>
              <w:rPr>
                <w:rFonts w:ascii="宋体" w:hAnsi="宋体" w:cs="仿宋_GB2312"/>
                <w:sz w:val="24"/>
              </w:rPr>
            </w:pPr>
            <w:r>
              <w:rPr>
                <w:rFonts w:hint="eastAsia" w:ascii="宋体" w:hAnsi="宋体" w:cs="仿宋_GB2312"/>
                <w:sz w:val="24"/>
              </w:rPr>
              <w:t>…</w:t>
            </w:r>
            <w:r>
              <w:rPr>
                <w:rFonts w:hint="eastAsia" w:ascii="宋体" w:hAnsi="宋体" w:cs="宋体"/>
                <w:sz w:val="24"/>
              </w:rPr>
              <w:t>…</w:t>
            </w:r>
          </w:p>
        </w:tc>
        <w:tc>
          <w:tcPr>
            <w:tcW w:w="2633" w:type="dxa"/>
            <w:tcBorders>
              <w:top w:val="single" w:color="auto" w:sz="4" w:space="0"/>
              <w:left w:val="single" w:color="auto" w:sz="4" w:space="0"/>
              <w:bottom w:val="single" w:color="auto" w:sz="4" w:space="0"/>
              <w:right w:val="single" w:color="auto" w:sz="4" w:space="0"/>
            </w:tcBorders>
            <w:vAlign w:val="center"/>
          </w:tcPr>
          <w:p w14:paraId="663088E7">
            <w:pPr>
              <w:snapToGrid w:val="0"/>
              <w:spacing w:beforeLines="50" w:line="360" w:lineRule="auto"/>
              <w:jc w:val="center"/>
              <w:rPr>
                <w:rFonts w:ascii="宋体" w:hAnsi="宋体" w:cs="仿宋_GB2312"/>
                <w:sz w:val="24"/>
              </w:rPr>
            </w:pPr>
            <w:r>
              <w:rPr>
                <w:rFonts w:hint="eastAsia" w:ascii="宋体" w:hAnsi="宋体" w:cs="仿宋_GB2312"/>
                <w:sz w:val="24"/>
              </w:rPr>
              <w:t>…</w:t>
            </w:r>
            <w:r>
              <w:rPr>
                <w:rFonts w:hint="eastAsia" w:ascii="宋体" w:hAnsi="宋体" w:cs="宋体"/>
                <w:sz w:val="24"/>
              </w:rPr>
              <w:t>…</w:t>
            </w:r>
          </w:p>
        </w:tc>
        <w:tc>
          <w:tcPr>
            <w:tcW w:w="1829" w:type="dxa"/>
            <w:tcBorders>
              <w:top w:val="single" w:color="auto" w:sz="4" w:space="0"/>
              <w:left w:val="single" w:color="auto" w:sz="4" w:space="0"/>
              <w:bottom w:val="single" w:color="auto" w:sz="4" w:space="0"/>
              <w:right w:val="single" w:color="auto" w:sz="4" w:space="0"/>
            </w:tcBorders>
            <w:vAlign w:val="center"/>
          </w:tcPr>
          <w:p w14:paraId="62F05C87">
            <w:pPr>
              <w:snapToGrid w:val="0"/>
              <w:spacing w:beforeLines="50" w:line="360" w:lineRule="auto"/>
              <w:jc w:val="center"/>
              <w:rPr>
                <w:rFonts w:ascii="宋体" w:hAnsi="宋体" w:cs="仿宋_GB2312"/>
                <w:sz w:val="24"/>
              </w:rPr>
            </w:pPr>
            <w:r>
              <w:rPr>
                <w:rFonts w:hint="eastAsia" w:ascii="宋体" w:hAnsi="宋体" w:cs="仿宋_GB2312"/>
                <w:sz w:val="24"/>
              </w:rPr>
              <w:t>…</w:t>
            </w:r>
            <w:r>
              <w:rPr>
                <w:rFonts w:hint="eastAsia" w:ascii="宋体" w:hAnsi="宋体" w:cs="宋体"/>
                <w:sz w:val="24"/>
              </w:rPr>
              <w:t>…</w:t>
            </w:r>
          </w:p>
        </w:tc>
      </w:tr>
    </w:tbl>
    <w:p w14:paraId="4DD2FA6C">
      <w:pPr>
        <w:pStyle w:val="12"/>
        <w:spacing w:after="0" w:line="360" w:lineRule="auto"/>
        <w:contextualSpacing/>
        <w:rPr>
          <w:rFonts w:ascii="宋体" w:hAnsi="宋体"/>
          <w:kern w:val="0"/>
          <w:sz w:val="24"/>
          <w:szCs w:val="24"/>
        </w:rPr>
      </w:pPr>
      <w:r>
        <w:rPr>
          <w:rFonts w:hint="eastAsia" w:ascii="宋体" w:hAnsi="宋体"/>
          <w:kern w:val="0"/>
          <w:sz w:val="24"/>
          <w:szCs w:val="24"/>
        </w:rPr>
        <w:t>注：</w:t>
      </w:r>
    </w:p>
    <w:p w14:paraId="00F385D2">
      <w:pPr>
        <w:pStyle w:val="12"/>
        <w:spacing w:after="0" w:line="360" w:lineRule="auto"/>
        <w:contextualSpacing/>
        <w:rPr>
          <w:rFonts w:ascii="宋体" w:hAnsi="宋体"/>
          <w:kern w:val="0"/>
          <w:sz w:val="24"/>
          <w:szCs w:val="24"/>
        </w:rPr>
      </w:pPr>
      <w:r>
        <w:rPr>
          <w:rFonts w:hint="eastAsia" w:ascii="宋体" w:hAnsi="宋体"/>
          <w:kern w:val="0"/>
          <w:sz w:val="24"/>
          <w:szCs w:val="24"/>
        </w:rPr>
        <w:t>1. 说明：应对照谈判文件“第三章 采购需求”中的商务要求逐条明确响应，并作出偏离说明。</w:t>
      </w:r>
    </w:p>
    <w:p w14:paraId="156D4448">
      <w:pPr>
        <w:pStyle w:val="12"/>
        <w:spacing w:after="0" w:line="360" w:lineRule="auto"/>
        <w:contextualSpacing/>
        <w:rPr>
          <w:rFonts w:ascii="宋体" w:hAnsi="宋体"/>
          <w:kern w:val="0"/>
          <w:sz w:val="24"/>
          <w:szCs w:val="24"/>
        </w:rPr>
      </w:pPr>
      <w:r>
        <w:rPr>
          <w:rFonts w:hint="eastAsia" w:ascii="宋体" w:hAnsi="宋体"/>
          <w:kern w:val="0"/>
          <w:sz w:val="24"/>
          <w:szCs w:val="24"/>
        </w:rPr>
        <w:t>2.供应商应根据自身的承诺，对照谈判文件要求在“偏离说明”中注明“正偏离”、“负偏离”或者“无偏离”。既不属于“正偏离”也不属于“负偏离”即为“无偏离”。</w:t>
      </w:r>
    </w:p>
    <w:p w14:paraId="02731D96">
      <w:pPr>
        <w:spacing w:line="360" w:lineRule="auto"/>
        <w:contextualSpacing/>
        <w:jc w:val="left"/>
        <w:rPr>
          <w:rFonts w:ascii="宋体" w:hAnsi="宋体" w:cs="仿宋_GB2312"/>
          <w:sz w:val="24"/>
          <w:u w:val="single"/>
        </w:rPr>
      </w:pPr>
    </w:p>
    <w:p w14:paraId="05600E15">
      <w:pPr>
        <w:spacing w:line="360" w:lineRule="auto"/>
        <w:contextualSpacing/>
        <w:jc w:val="left"/>
        <w:rPr>
          <w:rFonts w:ascii="宋体" w:hAnsi="宋体" w:cs="仿宋_GB2312"/>
          <w:sz w:val="24"/>
          <w:u w:val="single"/>
        </w:rPr>
      </w:pPr>
    </w:p>
    <w:p w14:paraId="65C66D3B">
      <w:pPr>
        <w:spacing w:line="360" w:lineRule="auto"/>
        <w:ind w:right="-817" w:rightChars="-389"/>
        <w:contextualSpacing/>
        <w:rPr>
          <w:rFonts w:ascii="宋体" w:hAnsi="宋体" w:cs="仿宋_GB2312"/>
          <w:sz w:val="24"/>
        </w:rPr>
      </w:pPr>
    </w:p>
    <w:p w14:paraId="458776E0">
      <w:pPr>
        <w:spacing w:line="360" w:lineRule="auto"/>
        <w:ind w:right="-817" w:rightChars="-389"/>
        <w:contextualSpacing/>
        <w:jc w:val="center"/>
        <w:rPr>
          <w:rFonts w:ascii="宋体" w:hAnsi="宋体" w:cs="仿宋_GB2312"/>
          <w:sz w:val="24"/>
        </w:rPr>
      </w:pPr>
      <w:r>
        <w:rPr>
          <w:rFonts w:hint="eastAsia" w:ascii="宋体" w:hAnsi="宋体" w:cs="仿宋_GB2312"/>
          <w:sz w:val="24"/>
        </w:rPr>
        <w:t>法定代表人或者委托代理人（签字）：</w:t>
      </w:r>
    </w:p>
    <w:p w14:paraId="51FDB8F7">
      <w:pPr>
        <w:spacing w:line="360" w:lineRule="auto"/>
        <w:ind w:right="-817" w:rightChars="-389" w:firstLine="3240" w:firstLineChars="1350"/>
        <w:contextualSpacing/>
        <w:rPr>
          <w:rFonts w:ascii="宋体" w:hAnsi="宋体" w:cs="仿宋_GB2312"/>
          <w:sz w:val="24"/>
        </w:rPr>
      </w:pPr>
      <w:r>
        <w:rPr>
          <w:rFonts w:hint="eastAsia" w:ascii="宋体" w:hAnsi="宋体" w:cs="仿宋_GB2312"/>
          <w:sz w:val="24"/>
        </w:rPr>
        <w:t xml:space="preserve">供应商（盖公章）：      </w:t>
      </w:r>
    </w:p>
    <w:p w14:paraId="59CA17C9">
      <w:pPr>
        <w:spacing w:line="360" w:lineRule="auto"/>
        <w:ind w:right="-817" w:rightChars="-389" w:firstLine="3240" w:firstLineChars="1350"/>
        <w:contextualSpacing/>
        <w:rPr>
          <w:rFonts w:ascii="宋体" w:hAnsi="宋体" w:cs="仿宋_GB2312"/>
          <w:sz w:val="24"/>
        </w:rPr>
      </w:pPr>
      <w:r>
        <w:rPr>
          <w:rFonts w:hint="eastAsia" w:ascii="宋体" w:hAnsi="宋体" w:cs="仿宋_GB2312"/>
          <w:sz w:val="24"/>
        </w:rPr>
        <w:t>日期：   年   月   日</w:t>
      </w:r>
    </w:p>
    <w:p w14:paraId="269C0139">
      <w:pPr>
        <w:adjustRightInd w:val="0"/>
        <w:snapToGrid w:val="0"/>
        <w:spacing w:line="520" w:lineRule="exact"/>
        <w:ind w:firstLine="7040" w:firstLineChars="1600"/>
        <w:jc w:val="center"/>
        <w:rPr>
          <w:rFonts w:ascii="方正小标宋简体" w:hAnsi="方正小标宋简体" w:eastAsia="方正小标宋简体" w:cs="方正小标宋简体"/>
          <w:bCs/>
          <w:sz w:val="44"/>
          <w:szCs w:val="44"/>
        </w:rPr>
      </w:pPr>
    </w:p>
    <w:p w14:paraId="1A6208D1">
      <w:pPr>
        <w:adjustRightInd w:val="0"/>
        <w:snapToGrid w:val="0"/>
        <w:spacing w:line="520" w:lineRule="exact"/>
        <w:jc w:val="center"/>
        <w:rPr>
          <w:rFonts w:ascii="宋体" w:hAnsi="宋体"/>
          <w:b/>
          <w:sz w:val="32"/>
          <w:szCs w:val="32"/>
        </w:rPr>
      </w:pPr>
      <w:r>
        <w:rPr>
          <w:rFonts w:ascii="方正小标宋简体" w:hAnsi="方正小标宋简体" w:eastAsia="方正小标宋简体" w:cs="方正小标宋简体"/>
          <w:bCs/>
          <w:sz w:val="44"/>
          <w:szCs w:val="44"/>
        </w:rPr>
        <w:br w:type="page"/>
      </w:r>
      <w:r>
        <w:rPr>
          <w:rFonts w:hint="eastAsia" w:ascii="方正小标宋简体" w:hAnsi="方正小标宋简体" w:eastAsia="方正小标宋简体" w:cs="方正小标宋简体"/>
          <w:bCs/>
          <w:sz w:val="44"/>
          <w:szCs w:val="44"/>
        </w:rPr>
        <w:t>货物配置清单</w:t>
      </w:r>
    </w:p>
    <w:p w14:paraId="3A6D66FC">
      <w:pPr>
        <w:spacing w:line="300" w:lineRule="auto"/>
        <w:rPr>
          <w:rFonts w:ascii="宋体" w:hAnsi="宋体"/>
          <w:szCs w:val="21"/>
        </w:rPr>
      </w:pPr>
    </w:p>
    <w:p w14:paraId="3B2C96F4">
      <w:pPr>
        <w:spacing w:line="360" w:lineRule="auto"/>
        <w:rPr>
          <w:rFonts w:ascii="宋体" w:hAnsi="宋体" w:cs="仿宋_GB2312"/>
          <w:sz w:val="24"/>
        </w:rPr>
      </w:pPr>
      <w:r>
        <w:rPr>
          <w:rFonts w:hint="eastAsia" w:ascii="宋体" w:hAnsi="宋体" w:cs="仿宋_GB2312"/>
          <w:sz w:val="24"/>
        </w:rPr>
        <w:t>项目编号：</w:t>
      </w:r>
      <w:r>
        <w:rPr>
          <w:rFonts w:hint="eastAsia" w:ascii="宋体" w:hAnsi="宋体" w:cs="仿宋_GB2312"/>
          <w:sz w:val="24"/>
          <w:u w:val="single"/>
        </w:rPr>
        <w:t xml:space="preserve">                 </w:t>
      </w:r>
      <w:r>
        <w:rPr>
          <w:rFonts w:hint="eastAsia" w:ascii="宋体" w:hAnsi="宋体" w:cs="仿宋_GB2312"/>
          <w:sz w:val="24"/>
        </w:rPr>
        <w:t xml:space="preserve"> </w:t>
      </w:r>
    </w:p>
    <w:p w14:paraId="3FE3DB73">
      <w:pPr>
        <w:spacing w:line="360" w:lineRule="auto"/>
        <w:rPr>
          <w:rFonts w:ascii="宋体" w:hAnsi="宋体" w:cs="仿宋_GB2312"/>
          <w:sz w:val="24"/>
        </w:rPr>
      </w:pPr>
      <w:r>
        <w:rPr>
          <w:rFonts w:hint="eastAsia" w:ascii="宋体" w:hAnsi="宋体" w:cs="仿宋_GB2312"/>
          <w:sz w:val="24"/>
        </w:rPr>
        <w:t>项目名称：</w:t>
      </w:r>
      <w:r>
        <w:rPr>
          <w:rFonts w:hint="eastAsia" w:ascii="宋体" w:hAnsi="宋体" w:cs="仿宋_GB2312"/>
          <w:sz w:val="24"/>
          <w:u w:val="single"/>
        </w:rPr>
        <w:t xml:space="preserve">                 </w:t>
      </w:r>
      <w:r>
        <w:rPr>
          <w:rFonts w:hint="eastAsia" w:ascii="宋体" w:hAnsi="宋体" w:cs="仿宋_GB2312"/>
          <w:sz w:val="24"/>
        </w:rPr>
        <w:t xml:space="preserve"> </w:t>
      </w:r>
    </w:p>
    <w:p w14:paraId="35E849BF">
      <w:pPr>
        <w:spacing w:line="360" w:lineRule="auto"/>
        <w:rPr>
          <w:rFonts w:ascii="宋体" w:hAnsi="宋体" w:cs="仿宋_GB2312"/>
          <w:sz w:val="24"/>
          <w:u w:val="single"/>
        </w:rPr>
      </w:pPr>
      <w:r>
        <w:rPr>
          <w:rFonts w:hint="eastAsia" w:ascii="宋体" w:hAnsi="宋体" w:cs="仿宋_GB2312"/>
          <w:sz w:val="24"/>
        </w:rPr>
        <w:t>所竞分标：</w:t>
      </w:r>
      <w:r>
        <w:rPr>
          <w:rFonts w:hint="eastAsia" w:ascii="宋体" w:hAnsi="宋体" w:cs="仿宋_GB2312"/>
          <w:sz w:val="24"/>
          <w:u w:val="single"/>
        </w:rPr>
        <w:t xml:space="preserve">                 </w:t>
      </w:r>
    </w:p>
    <w:tbl>
      <w:tblPr>
        <w:tblStyle w:val="2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4"/>
        <w:gridCol w:w="1372"/>
        <w:gridCol w:w="885"/>
        <w:gridCol w:w="986"/>
        <w:gridCol w:w="1968"/>
        <w:gridCol w:w="1372"/>
        <w:gridCol w:w="812"/>
        <w:gridCol w:w="1649"/>
      </w:tblGrid>
      <w:tr w14:paraId="0B887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51CB72C8">
            <w:pPr>
              <w:snapToGrid w:val="0"/>
              <w:spacing w:before="50" w:after="50"/>
              <w:jc w:val="center"/>
              <w:rPr>
                <w:rFonts w:ascii="宋体" w:hAnsi="宋体"/>
                <w:sz w:val="24"/>
              </w:rPr>
            </w:pPr>
            <w:r>
              <w:rPr>
                <w:rFonts w:hint="eastAsia" w:ascii="宋体" w:hAnsi="宋体"/>
                <w:sz w:val="24"/>
              </w:rPr>
              <w:t>序号</w:t>
            </w:r>
          </w:p>
        </w:tc>
        <w:tc>
          <w:tcPr>
            <w:tcW w:w="696" w:type="pct"/>
            <w:tcBorders>
              <w:top w:val="single" w:color="auto" w:sz="4" w:space="0"/>
              <w:left w:val="single" w:color="auto" w:sz="4" w:space="0"/>
              <w:bottom w:val="single" w:color="auto" w:sz="4" w:space="0"/>
              <w:right w:val="single" w:color="auto" w:sz="4" w:space="0"/>
            </w:tcBorders>
            <w:vAlign w:val="center"/>
          </w:tcPr>
          <w:p w14:paraId="3F1C5F0F">
            <w:pPr>
              <w:snapToGrid w:val="0"/>
              <w:spacing w:before="50" w:after="50"/>
              <w:jc w:val="center"/>
              <w:rPr>
                <w:rFonts w:ascii="宋体" w:hAnsi="宋体"/>
                <w:sz w:val="24"/>
              </w:rPr>
            </w:pPr>
            <w:r>
              <w:rPr>
                <w:rFonts w:hint="eastAsia" w:ascii="宋体" w:hAnsi="宋体"/>
                <w:sz w:val="24"/>
              </w:rPr>
              <w:t>货物名称</w:t>
            </w:r>
          </w:p>
        </w:tc>
        <w:tc>
          <w:tcPr>
            <w:tcW w:w="449" w:type="pct"/>
            <w:tcBorders>
              <w:top w:val="single" w:color="auto" w:sz="4" w:space="0"/>
              <w:left w:val="single" w:color="auto" w:sz="4" w:space="0"/>
              <w:bottom w:val="single" w:color="auto" w:sz="4" w:space="0"/>
              <w:right w:val="single" w:color="auto" w:sz="4" w:space="0"/>
            </w:tcBorders>
            <w:vAlign w:val="center"/>
          </w:tcPr>
          <w:p w14:paraId="25094668">
            <w:pPr>
              <w:snapToGrid w:val="0"/>
              <w:spacing w:before="50" w:after="50"/>
              <w:jc w:val="center"/>
              <w:rPr>
                <w:rFonts w:ascii="宋体" w:hAnsi="宋体"/>
                <w:sz w:val="24"/>
              </w:rPr>
            </w:pPr>
            <w:r>
              <w:rPr>
                <w:rFonts w:hint="eastAsia" w:ascii="宋体" w:hAnsi="宋体"/>
                <w:sz w:val="24"/>
              </w:rPr>
              <w:t>数量及单位</w:t>
            </w:r>
          </w:p>
        </w:tc>
        <w:tc>
          <w:tcPr>
            <w:tcW w:w="500" w:type="pct"/>
            <w:tcBorders>
              <w:top w:val="single" w:color="auto" w:sz="4" w:space="0"/>
              <w:left w:val="single" w:color="auto" w:sz="4" w:space="0"/>
              <w:bottom w:val="single" w:color="auto" w:sz="4" w:space="0"/>
              <w:right w:val="single" w:color="auto" w:sz="4" w:space="0"/>
            </w:tcBorders>
            <w:vAlign w:val="center"/>
          </w:tcPr>
          <w:p w14:paraId="770B90BF">
            <w:pPr>
              <w:snapToGrid w:val="0"/>
              <w:spacing w:before="50" w:after="50"/>
              <w:jc w:val="center"/>
              <w:rPr>
                <w:rFonts w:ascii="宋体" w:hAnsi="宋体"/>
                <w:sz w:val="24"/>
              </w:rPr>
            </w:pPr>
            <w:r>
              <w:rPr>
                <w:rFonts w:hint="eastAsia" w:ascii="宋体" w:hAnsi="宋体"/>
                <w:sz w:val="24"/>
              </w:rPr>
              <w:t>品牌</w:t>
            </w:r>
          </w:p>
        </w:tc>
        <w:tc>
          <w:tcPr>
            <w:tcW w:w="998" w:type="pct"/>
            <w:tcBorders>
              <w:top w:val="single" w:color="auto" w:sz="4" w:space="0"/>
              <w:left w:val="single" w:color="auto" w:sz="4" w:space="0"/>
              <w:bottom w:val="single" w:color="auto" w:sz="4" w:space="0"/>
              <w:right w:val="single" w:color="auto" w:sz="4" w:space="0"/>
            </w:tcBorders>
          </w:tcPr>
          <w:p w14:paraId="626FF215">
            <w:pPr>
              <w:snapToGrid w:val="0"/>
              <w:spacing w:before="50" w:after="50"/>
              <w:jc w:val="center"/>
              <w:rPr>
                <w:rFonts w:ascii="宋体" w:hAnsi="宋体"/>
                <w:sz w:val="24"/>
              </w:rPr>
            </w:pPr>
          </w:p>
          <w:p w14:paraId="67522009">
            <w:pPr>
              <w:snapToGrid w:val="0"/>
              <w:spacing w:before="50" w:after="50"/>
              <w:jc w:val="center"/>
              <w:rPr>
                <w:rFonts w:ascii="宋体" w:hAnsi="宋体"/>
                <w:sz w:val="24"/>
              </w:rPr>
            </w:pPr>
            <w:r>
              <w:rPr>
                <w:rFonts w:hint="eastAsia" w:ascii="宋体" w:hAnsi="宋体"/>
                <w:sz w:val="24"/>
              </w:rPr>
              <w:t>规格型号</w:t>
            </w:r>
          </w:p>
        </w:tc>
        <w:tc>
          <w:tcPr>
            <w:tcW w:w="696" w:type="pct"/>
            <w:tcBorders>
              <w:top w:val="single" w:color="auto" w:sz="4" w:space="0"/>
              <w:left w:val="single" w:color="auto" w:sz="4" w:space="0"/>
              <w:bottom w:val="single" w:color="auto" w:sz="4" w:space="0"/>
              <w:right w:val="single" w:color="auto" w:sz="4" w:space="0"/>
            </w:tcBorders>
            <w:vAlign w:val="center"/>
          </w:tcPr>
          <w:p w14:paraId="23B4FA1B">
            <w:pPr>
              <w:snapToGrid w:val="0"/>
              <w:spacing w:before="50" w:after="50"/>
              <w:jc w:val="center"/>
              <w:rPr>
                <w:rFonts w:ascii="宋体" w:hAnsi="宋体"/>
                <w:sz w:val="24"/>
              </w:rPr>
            </w:pPr>
            <w:r>
              <w:rPr>
                <w:rFonts w:hint="eastAsia" w:ascii="宋体" w:hAnsi="宋体"/>
                <w:sz w:val="24"/>
              </w:rPr>
              <w:t>制造商</w:t>
            </w:r>
          </w:p>
        </w:tc>
        <w:tc>
          <w:tcPr>
            <w:tcW w:w="412" w:type="pct"/>
            <w:tcBorders>
              <w:top w:val="single" w:color="auto" w:sz="4" w:space="0"/>
              <w:left w:val="single" w:color="auto" w:sz="4" w:space="0"/>
              <w:bottom w:val="single" w:color="auto" w:sz="4" w:space="0"/>
              <w:right w:val="single" w:color="auto" w:sz="4" w:space="0"/>
            </w:tcBorders>
            <w:vAlign w:val="center"/>
          </w:tcPr>
          <w:p w14:paraId="5221680E">
            <w:pPr>
              <w:snapToGrid w:val="0"/>
              <w:spacing w:before="50" w:after="50"/>
              <w:jc w:val="center"/>
              <w:rPr>
                <w:rFonts w:ascii="宋体" w:hAnsi="宋体"/>
                <w:sz w:val="24"/>
              </w:rPr>
            </w:pPr>
            <w:r>
              <w:rPr>
                <w:rFonts w:hint="eastAsia" w:ascii="宋体" w:hAnsi="宋体"/>
                <w:sz w:val="24"/>
              </w:rPr>
              <w:t>原产地</w:t>
            </w:r>
          </w:p>
        </w:tc>
        <w:tc>
          <w:tcPr>
            <w:tcW w:w="836" w:type="pct"/>
            <w:tcBorders>
              <w:top w:val="single" w:color="auto" w:sz="4" w:space="0"/>
              <w:left w:val="single" w:color="auto" w:sz="4" w:space="0"/>
              <w:bottom w:val="single" w:color="auto" w:sz="4" w:space="0"/>
              <w:right w:val="single" w:color="auto" w:sz="4" w:space="0"/>
            </w:tcBorders>
            <w:vAlign w:val="center"/>
          </w:tcPr>
          <w:p w14:paraId="0D7D5C7C">
            <w:pPr>
              <w:snapToGrid w:val="0"/>
              <w:spacing w:before="50" w:after="50"/>
              <w:jc w:val="center"/>
              <w:rPr>
                <w:rFonts w:ascii="宋体" w:hAnsi="宋体"/>
                <w:sz w:val="24"/>
              </w:rPr>
            </w:pPr>
            <w:r>
              <w:rPr>
                <w:rFonts w:hint="eastAsia" w:ascii="宋体" w:hAnsi="宋体"/>
                <w:sz w:val="24"/>
              </w:rPr>
              <w:t>参数性能、指标及配置</w:t>
            </w:r>
          </w:p>
        </w:tc>
      </w:tr>
      <w:tr w14:paraId="20BD50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754DA5E2">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57A882CD">
            <w:pPr>
              <w:snapToGrid w:val="0"/>
              <w:spacing w:before="50" w:after="50"/>
              <w:jc w:val="center"/>
              <w:rPr>
                <w:rFonts w:ascii="宋体" w:hAnsi="宋体"/>
                <w:sz w:val="24"/>
              </w:rPr>
            </w:pPr>
          </w:p>
        </w:tc>
        <w:tc>
          <w:tcPr>
            <w:tcW w:w="449" w:type="pct"/>
            <w:tcBorders>
              <w:top w:val="single" w:color="auto" w:sz="4" w:space="0"/>
              <w:left w:val="single" w:color="auto" w:sz="4" w:space="0"/>
              <w:bottom w:val="single" w:color="auto" w:sz="4" w:space="0"/>
              <w:right w:val="single" w:color="auto" w:sz="4" w:space="0"/>
            </w:tcBorders>
            <w:vAlign w:val="center"/>
          </w:tcPr>
          <w:p w14:paraId="5BA12A2C">
            <w:pPr>
              <w:snapToGrid w:val="0"/>
              <w:spacing w:before="50" w:after="50"/>
              <w:jc w:val="center"/>
              <w:rPr>
                <w:rFonts w:ascii="宋体" w:hAnsi="宋体"/>
                <w:sz w:val="24"/>
              </w:rPr>
            </w:pPr>
          </w:p>
        </w:tc>
        <w:tc>
          <w:tcPr>
            <w:tcW w:w="500" w:type="pct"/>
            <w:tcBorders>
              <w:top w:val="single" w:color="auto" w:sz="4" w:space="0"/>
              <w:left w:val="single" w:color="auto" w:sz="4" w:space="0"/>
              <w:bottom w:val="single" w:color="auto" w:sz="4" w:space="0"/>
              <w:right w:val="single" w:color="auto" w:sz="4" w:space="0"/>
            </w:tcBorders>
            <w:vAlign w:val="center"/>
          </w:tcPr>
          <w:p w14:paraId="46FDE3DF">
            <w:pPr>
              <w:snapToGrid w:val="0"/>
              <w:spacing w:before="50" w:after="50"/>
              <w:jc w:val="center"/>
              <w:rPr>
                <w:rFonts w:ascii="宋体" w:hAnsi="宋体"/>
                <w:sz w:val="24"/>
              </w:rPr>
            </w:pPr>
          </w:p>
        </w:tc>
        <w:tc>
          <w:tcPr>
            <w:tcW w:w="998" w:type="pct"/>
            <w:tcBorders>
              <w:top w:val="single" w:color="auto" w:sz="4" w:space="0"/>
              <w:left w:val="single" w:color="auto" w:sz="4" w:space="0"/>
              <w:bottom w:val="single" w:color="auto" w:sz="4" w:space="0"/>
              <w:right w:val="single" w:color="auto" w:sz="4" w:space="0"/>
            </w:tcBorders>
          </w:tcPr>
          <w:p w14:paraId="5A54DF98">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45CE9220">
            <w:pPr>
              <w:snapToGrid w:val="0"/>
              <w:spacing w:before="50" w:after="50"/>
              <w:jc w:val="center"/>
              <w:rPr>
                <w:rFonts w:ascii="宋体" w:hAnsi="宋体"/>
                <w:sz w:val="24"/>
              </w:rPr>
            </w:pPr>
          </w:p>
        </w:tc>
        <w:tc>
          <w:tcPr>
            <w:tcW w:w="412" w:type="pct"/>
            <w:tcBorders>
              <w:top w:val="single" w:color="auto" w:sz="4" w:space="0"/>
              <w:left w:val="single" w:color="auto" w:sz="4" w:space="0"/>
              <w:bottom w:val="single" w:color="auto" w:sz="4" w:space="0"/>
              <w:right w:val="single" w:color="auto" w:sz="4" w:space="0"/>
            </w:tcBorders>
            <w:vAlign w:val="center"/>
          </w:tcPr>
          <w:p w14:paraId="31457F68">
            <w:pPr>
              <w:snapToGrid w:val="0"/>
              <w:spacing w:before="50" w:after="50"/>
              <w:jc w:val="center"/>
              <w:rPr>
                <w:rFonts w:ascii="宋体" w:hAnsi="宋体"/>
                <w:sz w:val="24"/>
              </w:rPr>
            </w:pPr>
          </w:p>
        </w:tc>
        <w:tc>
          <w:tcPr>
            <w:tcW w:w="836" w:type="pct"/>
            <w:tcBorders>
              <w:top w:val="single" w:color="auto" w:sz="4" w:space="0"/>
              <w:left w:val="single" w:color="auto" w:sz="4" w:space="0"/>
              <w:bottom w:val="single" w:color="auto" w:sz="4" w:space="0"/>
              <w:right w:val="single" w:color="auto" w:sz="4" w:space="0"/>
            </w:tcBorders>
            <w:vAlign w:val="center"/>
          </w:tcPr>
          <w:p w14:paraId="030D2282">
            <w:pPr>
              <w:snapToGrid w:val="0"/>
              <w:spacing w:before="50" w:after="50"/>
              <w:jc w:val="center"/>
              <w:rPr>
                <w:rFonts w:ascii="宋体" w:hAnsi="宋体"/>
                <w:sz w:val="24"/>
              </w:rPr>
            </w:pPr>
          </w:p>
        </w:tc>
      </w:tr>
      <w:tr w14:paraId="4DB607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697F4098">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4C95DD9E">
            <w:pPr>
              <w:snapToGrid w:val="0"/>
              <w:spacing w:before="50" w:after="50"/>
              <w:jc w:val="center"/>
              <w:rPr>
                <w:rFonts w:ascii="宋体" w:hAnsi="宋体"/>
                <w:sz w:val="24"/>
              </w:rPr>
            </w:pPr>
          </w:p>
        </w:tc>
        <w:tc>
          <w:tcPr>
            <w:tcW w:w="449" w:type="pct"/>
            <w:tcBorders>
              <w:top w:val="single" w:color="auto" w:sz="4" w:space="0"/>
              <w:left w:val="single" w:color="auto" w:sz="4" w:space="0"/>
              <w:bottom w:val="single" w:color="auto" w:sz="4" w:space="0"/>
              <w:right w:val="single" w:color="auto" w:sz="4" w:space="0"/>
            </w:tcBorders>
            <w:vAlign w:val="center"/>
          </w:tcPr>
          <w:p w14:paraId="32A40841">
            <w:pPr>
              <w:snapToGrid w:val="0"/>
              <w:spacing w:before="50" w:after="50"/>
              <w:jc w:val="center"/>
              <w:rPr>
                <w:rFonts w:ascii="宋体" w:hAnsi="宋体"/>
                <w:sz w:val="24"/>
              </w:rPr>
            </w:pPr>
          </w:p>
        </w:tc>
        <w:tc>
          <w:tcPr>
            <w:tcW w:w="500" w:type="pct"/>
            <w:tcBorders>
              <w:top w:val="single" w:color="auto" w:sz="4" w:space="0"/>
              <w:left w:val="single" w:color="auto" w:sz="4" w:space="0"/>
              <w:bottom w:val="single" w:color="auto" w:sz="4" w:space="0"/>
              <w:right w:val="single" w:color="auto" w:sz="4" w:space="0"/>
            </w:tcBorders>
            <w:vAlign w:val="center"/>
          </w:tcPr>
          <w:p w14:paraId="230F3D81">
            <w:pPr>
              <w:snapToGrid w:val="0"/>
              <w:spacing w:before="50" w:after="50"/>
              <w:jc w:val="center"/>
              <w:rPr>
                <w:rFonts w:ascii="宋体" w:hAnsi="宋体"/>
                <w:sz w:val="24"/>
              </w:rPr>
            </w:pPr>
          </w:p>
        </w:tc>
        <w:tc>
          <w:tcPr>
            <w:tcW w:w="998" w:type="pct"/>
            <w:tcBorders>
              <w:top w:val="single" w:color="auto" w:sz="4" w:space="0"/>
              <w:left w:val="single" w:color="auto" w:sz="4" w:space="0"/>
              <w:bottom w:val="single" w:color="auto" w:sz="4" w:space="0"/>
              <w:right w:val="single" w:color="auto" w:sz="4" w:space="0"/>
            </w:tcBorders>
          </w:tcPr>
          <w:p w14:paraId="31553681">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7BE05690">
            <w:pPr>
              <w:snapToGrid w:val="0"/>
              <w:spacing w:before="50" w:after="50"/>
              <w:jc w:val="center"/>
              <w:rPr>
                <w:rFonts w:ascii="宋体" w:hAnsi="宋体"/>
                <w:sz w:val="24"/>
              </w:rPr>
            </w:pPr>
          </w:p>
        </w:tc>
        <w:tc>
          <w:tcPr>
            <w:tcW w:w="412" w:type="pct"/>
            <w:tcBorders>
              <w:top w:val="single" w:color="auto" w:sz="4" w:space="0"/>
              <w:left w:val="single" w:color="auto" w:sz="4" w:space="0"/>
              <w:bottom w:val="single" w:color="auto" w:sz="4" w:space="0"/>
              <w:right w:val="single" w:color="auto" w:sz="4" w:space="0"/>
            </w:tcBorders>
            <w:vAlign w:val="center"/>
          </w:tcPr>
          <w:p w14:paraId="2497F659">
            <w:pPr>
              <w:snapToGrid w:val="0"/>
              <w:spacing w:before="50" w:after="50"/>
              <w:jc w:val="center"/>
              <w:rPr>
                <w:rFonts w:ascii="宋体" w:hAnsi="宋体"/>
                <w:sz w:val="24"/>
              </w:rPr>
            </w:pPr>
          </w:p>
        </w:tc>
        <w:tc>
          <w:tcPr>
            <w:tcW w:w="836" w:type="pct"/>
            <w:tcBorders>
              <w:top w:val="single" w:color="auto" w:sz="4" w:space="0"/>
              <w:left w:val="single" w:color="auto" w:sz="4" w:space="0"/>
              <w:bottom w:val="single" w:color="auto" w:sz="4" w:space="0"/>
              <w:right w:val="single" w:color="auto" w:sz="4" w:space="0"/>
            </w:tcBorders>
            <w:vAlign w:val="center"/>
          </w:tcPr>
          <w:p w14:paraId="6AD807BB">
            <w:pPr>
              <w:snapToGrid w:val="0"/>
              <w:spacing w:before="50" w:after="50"/>
              <w:jc w:val="center"/>
              <w:rPr>
                <w:rFonts w:ascii="宋体" w:hAnsi="宋体"/>
                <w:sz w:val="24"/>
              </w:rPr>
            </w:pPr>
          </w:p>
        </w:tc>
      </w:tr>
      <w:tr w14:paraId="3E586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0A7812EF">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5099CFFD">
            <w:pPr>
              <w:snapToGrid w:val="0"/>
              <w:spacing w:before="50" w:after="50"/>
              <w:jc w:val="center"/>
              <w:rPr>
                <w:rFonts w:ascii="宋体" w:hAnsi="宋体"/>
                <w:sz w:val="24"/>
              </w:rPr>
            </w:pPr>
          </w:p>
        </w:tc>
        <w:tc>
          <w:tcPr>
            <w:tcW w:w="449" w:type="pct"/>
            <w:tcBorders>
              <w:top w:val="single" w:color="auto" w:sz="4" w:space="0"/>
              <w:left w:val="single" w:color="auto" w:sz="4" w:space="0"/>
              <w:bottom w:val="single" w:color="auto" w:sz="4" w:space="0"/>
              <w:right w:val="single" w:color="auto" w:sz="4" w:space="0"/>
            </w:tcBorders>
            <w:vAlign w:val="center"/>
          </w:tcPr>
          <w:p w14:paraId="22AC73B4">
            <w:pPr>
              <w:snapToGrid w:val="0"/>
              <w:spacing w:before="50" w:after="50"/>
              <w:jc w:val="center"/>
              <w:rPr>
                <w:rFonts w:ascii="宋体" w:hAnsi="宋体"/>
                <w:sz w:val="24"/>
              </w:rPr>
            </w:pPr>
          </w:p>
        </w:tc>
        <w:tc>
          <w:tcPr>
            <w:tcW w:w="500" w:type="pct"/>
            <w:tcBorders>
              <w:top w:val="single" w:color="auto" w:sz="4" w:space="0"/>
              <w:left w:val="single" w:color="auto" w:sz="4" w:space="0"/>
              <w:bottom w:val="single" w:color="auto" w:sz="4" w:space="0"/>
              <w:right w:val="single" w:color="auto" w:sz="4" w:space="0"/>
            </w:tcBorders>
            <w:vAlign w:val="center"/>
          </w:tcPr>
          <w:p w14:paraId="3073D36E">
            <w:pPr>
              <w:snapToGrid w:val="0"/>
              <w:spacing w:before="50" w:after="50"/>
              <w:jc w:val="center"/>
              <w:rPr>
                <w:rFonts w:ascii="宋体" w:hAnsi="宋体"/>
                <w:sz w:val="24"/>
              </w:rPr>
            </w:pPr>
          </w:p>
        </w:tc>
        <w:tc>
          <w:tcPr>
            <w:tcW w:w="998" w:type="pct"/>
            <w:tcBorders>
              <w:top w:val="single" w:color="auto" w:sz="4" w:space="0"/>
              <w:left w:val="single" w:color="auto" w:sz="4" w:space="0"/>
              <w:bottom w:val="single" w:color="auto" w:sz="4" w:space="0"/>
              <w:right w:val="single" w:color="auto" w:sz="4" w:space="0"/>
            </w:tcBorders>
          </w:tcPr>
          <w:p w14:paraId="43D8C321">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4B6FE5EA">
            <w:pPr>
              <w:snapToGrid w:val="0"/>
              <w:spacing w:before="50" w:after="50"/>
              <w:jc w:val="center"/>
              <w:rPr>
                <w:rFonts w:ascii="宋体" w:hAnsi="宋体"/>
                <w:sz w:val="24"/>
              </w:rPr>
            </w:pPr>
          </w:p>
        </w:tc>
        <w:tc>
          <w:tcPr>
            <w:tcW w:w="412" w:type="pct"/>
            <w:tcBorders>
              <w:top w:val="single" w:color="auto" w:sz="4" w:space="0"/>
              <w:left w:val="single" w:color="auto" w:sz="4" w:space="0"/>
              <w:bottom w:val="single" w:color="auto" w:sz="4" w:space="0"/>
              <w:right w:val="single" w:color="auto" w:sz="4" w:space="0"/>
            </w:tcBorders>
            <w:vAlign w:val="center"/>
          </w:tcPr>
          <w:p w14:paraId="4A6B7C4A">
            <w:pPr>
              <w:snapToGrid w:val="0"/>
              <w:spacing w:before="50" w:after="50"/>
              <w:jc w:val="center"/>
              <w:rPr>
                <w:rFonts w:ascii="宋体" w:hAnsi="宋体"/>
                <w:sz w:val="24"/>
              </w:rPr>
            </w:pPr>
          </w:p>
        </w:tc>
        <w:tc>
          <w:tcPr>
            <w:tcW w:w="836" w:type="pct"/>
            <w:tcBorders>
              <w:top w:val="single" w:color="auto" w:sz="4" w:space="0"/>
              <w:left w:val="single" w:color="auto" w:sz="4" w:space="0"/>
              <w:bottom w:val="single" w:color="auto" w:sz="4" w:space="0"/>
              <w:right w:val="single" w:color="auto" w:sz="4" w:space="0"/>
            </w:tcBorders>
            <w:vAlign w:val="center"/>
          </w:tcPr>
          <w:p w14:paraId="0AF69BBC">
            <w:pPr>
              <w:snapToGrid w:val="0"/>
              <w:spacing w:before="50" w:after="50"/>
              <w:jc w:val="center"/>
              <w:rPr>
                <w:rFonts w:ascii="宋体" w:hAnsi="宋体"/>
                <w:sz w:val="24"/>
              </w:rPr>
            </w:pPr>
          </w:p>
        </w:tc>
      </w:tr>
    </w:tbl>
    <w:p w14:paraId="08E4260C">
      <w:pPr>
        <w:spacing w:line="360" w:lineRule="auto"/>
        <w:contextualSpacing/>
        <w:rPr>
          <w:rFonts w:ascii="宋体" w:hAnsi="宋体"/>
          <w:sz w:val="24"/>
        </w:rPr>
      </w:pPr>
      <w:r>
        <w:rPr>
          <w:rFonts w:hint="eastAsia" w:ascii="宋体" w:hAnsi="宋体"/>
          <w:sz w:val="24"/>
        </w:rPr>
        <w:t>备注：</w:t>
      </w:r>
    </w:p>
    <w:p w14:paraId="38FAA752">
      <w:pPr>
        <w:tabs>
          <w:tab w:val="left" w:pos="1065"/>
        </w:tabs>
        <w:adjustRightInd w:val="0"/>
        <w:spacing w:line="360" w:lineRule="auto"/>
        <w:contextualSpacing/>
        <w:rPr>
          <w:rFonts w:ascii="宋体" w:hAnsi="宋体" w:cs="仿宋_GB2312"/>
          <w:sz w:val="24"/>
        </w:rPr>
      </w:pPr>
      <w:r>
        <w:rPr>
          <w:rFonts w:hint="eastAsia" w:ascii="宋体" w:hAnsi="宋体"/>
          <w:b/>
          <w:bCs/>
          <w:sz w:val="24"/>
        </w:rPr>
        <w:t>以上货物配置清单中“货物名称、数量及单位、品牌、规格型号、制造商、原产地、参数性能、指标及配置”必须如实填写完整，品牌、规格型号没有则填无，填写有缺漏的，响应文件按无效响应处理</w:t>
      </w:r>
      <w:r>
        <w:rPr>
          <w:rFonts w:hint="eastAsia" w:ascii="宋体" w:hAnsi="宋体"/>
          <w:b/>
          <w:sz w:val="24"/>
        </w:rPr>
        <w:t>。</w:t>
      </w:r>
      <w:r>
        <w:rPr>
          <w:rFonts w:hint="eastAsia" w:ascii="宋体" w:hAnsi="宋体"/>
          <w:sz w:val="24"/>
        </w:rPr>
        <w:t>货物名称、数量及单位、品牌必须与“竞标报价表”一致</w:t>
      </w:r>
      <w:r>
        <w:rPr>
          <w:rFonts w:hint="eastAsia" w:ascii="宋体" w:hAnsi="宋体"/>
          <w:b/>
          <w:sz w:val="24"/>
        </w:rPr>
        <w:t>。</w:t>
      </w:r>
      <w:r>
        <w:rPr>
          <w:rFonts w:hint="eastAsia" w:ascii="宋体" w:hAnsi="宋体" w:cs="仿宋_GB2312"/>
          <w:sz w:val="24"/>
        </w:rPr>
        <w:tab/>
      </w:r>
    </w:p>
    <w:p w14:paraId="6EB6AF48">
      <w:pPr>
        <w:adjustRightInd w:val="0"/>
        <w:spacing w:line="360" w:lineRule="auto"/>
        <w:contextualSpacing/>
        <w:jc w:val="left"/>
        <w:rPr>
          <w:rFonts w:ascii="宋体" w:hAnsi="宋体" w:cs="仿宋_GB2312"/>
          <w:sz w:val="24"/>
        </w:rPr>
      </w:pPr>
    </w:p>
    <w:p w14:paraId="719B3156">
      <w:pPr>
        <w:adjustRightInd w:val="0"/>
        <w:spacing w:line="360" w:lineRule="auto"/>
        <w:contextualSpacing/>
        <w:jc w:val="left"/>
        <w:rPr>
          <w:rFonts w:ascii="宋体" w:hAnsi="宋体" w:cs="仿宋_GB2312"/>
          <w:sz w:val="24"/>
        </w:rPr>
      </w:pPr>
    </w:p>
    <w:p w14:paraId="72F10A8D">
      <w:pPr>
        <w:adjustRightInd w:val="0"/>
        <w:spacing w:line="360" w:lineRule="auto"/>
        <w:contextualSpacing/>
        <w:jc w:val="left"/>
        <w:rPr>
          <w:rFonts w:ascii="宋体" w:hAnsi="宋体" w:cs="仿宋_GB2312"/>
          <w:sz w:val="24"/>
        </w:rPr>
      </w:pPr>
    </w:p>
    <w:p w14:paraId="1E96B0FC">
      <w:pPr>
        <w:spacing w:line="360" w:lineRule="auto"/>
        <w:ind w:right="-817" w:rightChars="-389"/>
        <w:contextualSpacing/>
        <w:jc w:val="center"/>
        <w:rPr>
          <w:rFonts w:ascii="宋体" w:hAnsi="宋体" w:cs="仿宋_GB2312"/>
          <w:sz w:val="24"/>
        </w:rPr>
      </w:pPr>
      <w:r>
        <w:rPr>
          <w:rFonts w:hint="eastAsia" w:ascii="宋体" w:hAnsi="宋体" w:cs="仿宋_GB2312"/>
          <w:sz w:val="24"/>
        </w:rPr>
        <w:t>法定代表人或者委托代理人（签字）：</w:t>
      </w:r>
    </w:p>
    <w:p w14:paraId="249FECA2">
      <w:pPr>
        <w:spacing w:line="360" w:lineRule="auto"/>
        <w:ind w:right="-817" w:rightChars="-389" w:firstLine="3240" w:firstLineChars="1350"/>
        <w:contextualSpacing/>
        <w:rPr>
          <w:rFonts w:ascii="宋体" w:hAnsi="宋体" w:cs="仿宋_GB2312"/>
          <w:sz w:val="24"/>
        </w:rPr>
      </w:pPr>
      <w:r>
        <w:rPr>
          <w:rFonts w:hint="eastAsia" w:ascii="宋体" w:hAnsi="宋体" w:cs="仿宋_GB2312"/>
          <w:sz w:val="24"/>
        </w:rPr>
        <w:t xml:space="preserve">供应商（盖公章）：      </w:t>
      </w:r>
    </w:p>
    <w:p w14:paraId="70F10C68">
      <w:pPr>
        <w:spacing w:line="360" w:lineRule="auto"/>
        <w:ind w:right="-817" w:rightChars="-389" w:firstLine="3240" w:firstLineChars="1350"/>
        <w:contextualSpacing/>
        <w:rPr>
          <w:rFonts w:ascii="仿宋_GB2312" w:hAnsi="仿宋_GB2312" w:eastAsia="仿宋_GB2312" w:cs="仿宋_GB2312"/>
          <w:b/>
          <w:sz w:val="32"/>
          <w:szCs w:val="32"/>
        </w:rPr>
      </w:pPr>
      <w:r>
        <w:rPr>
          <w:rFonts w:hint="eastAsia" w:ascii="宋体" w:hAnsi="宋体" w:cs="仿宋_GB2312"/>
          <w:sz w:val="24"/>
        </w:rPr>
        <w:t>日期：   年   月   日</w:t>
      </w:r>
    </w:p>
    <w:p w14:paraId="656FBC1A">
      <w:pPr>
        <w:adjustRightInd w:val="0"/>
        <w:snapToGrid w:val="0"/>
        <w:spacing w:line="300" w:lineRule="auto"/>
        <w:rPr>
          <w:rFonts w:ascii="宋体" w:hAnsi="宋体"/>
          <w:szCs w:val="21"/>
          <w:u w:val="single"/>
        </w:rPr>
      </w:pPr>
    </w:p>
    <w:p w14:paraId="03BA7026">
      <w:pPr>
        <w:adjustRightInd w:val="0"/>
        <w:snapToGrid w:val="0"/>
        <w:spacing w:line="300" w:lineRule="auto"/>
        <w:rPr>
          <w:rFonts w:ascii="宋体" w:hAnsi="宋体"/>
          <w:szCs w:val="21"/>
          <w:u w:val="single"/>
        </w:rPr>
      </w:pPr>
    </w:p>
    <w:p w14:paraId="16367D0D">
      <w:pPr>
        <w:adjustRightInd w:val="0"/>
        <w:snapToGrid w:val="0"/>
        <w:spacing w:line="300" w:lineRule="auto"/>
        <w:rPr>
          <w:rFonts w:ascii="宋体" w:hAnsi="宋体"/>
          <w:szCs w:val="21"/>
          <w:u w:val="single"/>
        </w:rPr>
      </w:pPr>
    </w:p>
    <w:p w14:paraId="5694EB02">
      <w:pPr>
        <w:adjustRightInd w:val="0"/>
        <w:snapToGrid w:val="0"/>
        <w:spacing w:line="300" w:lineRule="auto"/>
        <w:rPr>
          <w:rFonts w:ascii="宋体" w:hAnsi="宋体"/>
          <w:szCs w:val="21"/>
          <w:u w:val="single"/>
        </w:rPr>
      </w:pPr>
    </w:p>
    <w:p w14:paraId="251776E0">
      <w:pPr>
        <w:adjustRightInd w:val="0"/>
        <w:snapToGrid w:val="0"/>
        <w:spacing w:line="300" w:lineRule="auto"/>
        <w:rPr>
          <w:rFonts w:ascii="宋体" w:hAnsi="宋体"/>
          <w:szCs w:val="21"/>
          <w:u w:val="single"/>
        </w:rPr>
      </w:pPr>
    </w:p>
    <w:p w14:paraId="0F88ECD4">
      <w:pPr>
        <w:adjustRightInd w:val="0"/>
        <w:snapToGrid w:val="0"/>
        <w:spacing w:line="300" w:lineRule="auto"/>
        <w:rPr>
          <w:rFonts w:ascii="宋体" w:hAnsi="宋体"/>
          <w:szCs w:val="21"/>
          <w:u w:val="single"/>
        </w:rPr>
      </w:pPr>
    </w:p>
    <w:p w14:paraId="4E1BD764">
      <w:pPr>
        <w:adjustRightInd w:val="0"/>
        <w:snapToGrid w:val="0"/>
        <w:spacing w:line="300" w:lineRule="auto"/>
        <w:rPr>
          <w:rFonts w:ascii="宋体" w:hAnsi="宋体"/>
          <w:szCs w:val="21"/>
          <w:u w:val="single"/>
        </w:rPr>
      </w:pPr>
    </w:p>
    <w:p w14:paraId="4CF54477">
      <w:pPr>
        <w:adjustRightInd w:val="0"/>
        <w:snapToGrid w:val="0"/>
        <w:spacing w:line="300" w:lineRule="auto"/>
        <w:rPr>
          <w:rFonts w:ascii="宋体" w:hAnsi="宋体"/>
          <w:szCs w:val="21"/>
          <w:u w:val="single"/>
        </w:rPr>
      </w:pPr>
    </w:p>
    <w:p w14:paraId="28A3AA3D">
      <w:pPr>
        <w:adjustRightInd w:val="0"/>
        <w:snapToGrid w:val="0"/>
        <w:spacing w:line="300" w:lineRule="auto"/>
        <w:jc w:val="center"/>
        <w:rPr>
          <w:rFonts w:ascii="方正小标宋简体" w:hAnsi="方正小标宋简体" w:eastAsia="方正小标宋简体" w:cs="方正小标宋简体"/>
          <w:bCs/>
          <w:sz w:val="44"/>
          <w:szCs w:val="44"/>
        </w:rPr>
      </w:pPr>
      <w:r>
        <w:rPr>
          <w:rFonts w:ascii="方正小标宋简体" w:hAnsi="方正小标宋简体" w:eastAsia="方正小标宋简体" w:cs="方正小标宋简体"/>
          <w:bCs/>
          <w:sz w:val="44"/>
          <w:szCs w:val="44"/>
        </w:rPr>
        <w:br w:type="page"/>
      </w:r>
      <w:r>
        <w:rPr>
          <w:rFonts w:hint="eastAsia" w:ascii="方正小标宋简体" w:hAnsi="方正小标宋简体" w:eastAsia="方正小标宋简体" w:cs="方正小标宋简体"/>
          <w:bCs/>
          <w:sz w:val="44"/>
          <w:szCs w:val="44"/>
        </w:rPr>
        <w:t>技术要求偏离表</w:t>
      </w:r>
    </w:p>
    <w:p w14:paraId="0DE5A4DC">
      <w:pPr>
        <w:spacing w:line="520" w:lineRule="exact"/>
        <w:rPr>
          <w:rFonts w:ascii="仿宋_GB2312" w:hAnsi="仿宋_GB2312" w:eastAsia="仿宋_GB2312" w:cs="仿宋_GB2312"/>
          <w:sz w:val="32"/>
          <w:szCs w:val="32"/>
        </w:rPr>
      </w:pPr>
    </w:p>
    <w:p w14:paraId="77218D36">
      <w:pPr>
        <w:spacing w:line="360" w:lineRule="auto"/>
        <w:rPr>
          <w:rFonts w:ascii="宋体" w:hAnsi="宋体" w:cs="仿宋_GB2312"/>
          <w:sz w:val="24"/>
          <w:u w:val="single"/>
        </w:rPr>
      </w:pPr>
      <w:r>
        <w:rPr>
          <w:rFonts w:hint="eastAsia" w:ascii="宋体" w:hAnsi="宋体" w:cs="仿宋_GB2312"/>
          <w:sz w:val="24"/>
        </w:rPr>
        <w:t>采购项目编号：</w:t>
      </w:r>
      <w:r>
        <w:rPr>
          <w:rFonts w:hint="eastAsia" w:ascii="宋体" w:hAnsi="宋体" w:cs="仿宋_GB2312"/>
          <w:sz w:val="24"/>
          <w:u w:val="single"/>
        </w:rPr>
        <w:t xml:space="preserve">                 </w:t>
      </w:r>
    </w:p>
    <w:p w14:paraId="006BF87E">
      <w:pPr>
        <w:spacing w:line="360" w:lineRule="auto"/>
        <w:rPr>
          <w:rFonts w:ascii="宋体" w:hAnsi="宋体" w:cs="仿宋_GB2312"/>
          <w:sz w:val="24"/>
        </w:rPr>
      </w:pPr>
      <w:r>
        <w:rPr>
          <w:rFonts w:hint="eastAsia" w:ascii="宋体" w:hAnsi="宋体" w:cs="仿宋_GB2312"/>
          <w:sz w:val="24"/>
        </w:rPr>
        <w:t>采购项目名称：</w:t>
      </w:r>
      <w:r>
        <w:rPr>
          <w:rFonts w:hint="eastAsia" w:ascii="宋体" w:hAnsi="宋体" w:cs="仿宋_GB2312"/>
          <w:sz w:val="24"/>
          <w:u w:val="single"/>
        </w:rPr>
        <w:t xml:space="preserve">                 </w:t>
      </w:r>
    </w:p>
    <w:p w14:paraId="36568C9A">
      <w:pPr>
        <w:spacing w:line="360" w:lineRule="auto"/>
        <w:rPr>
          <w:rFonts w:ascii="宋体" w:hAnsi="宋体" w:cs="仿宋_GB2312"/>
          <w:sz w:val="24"/>
          <w:u w:val="single"/>
        </w:rPr>
      </w:pPr>
      <w:r>
        <w:rPr>
          <w:rFonts w:hint="eastAsia" w:ascii="宋体" w:hAnsi="宋体" w:cs="仿宋_GB2312"/>
          <w:sz w:val="24"/>
        </w:rPr>
        <w:t>分标号：</w:t>
      </w:r>
      <w:r>
        <w:rPr>
          <w:rFonts w:hint="eastAsia" w:ascii="宋体" w:hAnsi="宋体" w:cs="仿宋_GB2312"/>
          <w:sz w:val="24"/>
          <w:u w:val="single"/>
        </w:rPr>
        <w:t xml:space="preserve">                       </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92"/>
        <w:gridCol w:w="992"/>
        <w:gridCol w:w="3293"/>
        <w:gridCol w:w="2964"/>
        <w:gridCol w:w="1617"/>
      </w:tblGrid>
      <w:tr w14:paraId="0B8415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376C2F0A">
            <w:pPr>
              <w:pStyle w:val="14"/>
              <w:spacing w:line="360" w:lineRule="auto"/>
              <w:ind w:firstLine="0" w:firstLineChars="0"/>
              <w:jc w:val="center"/>
              <w:rPr>
                <w:rFonts w:ascii="宋体" w:hAnsi="宋体" w:eastAsia="宋体" w:cs="仿宋_GB2312"/>
                <w:kern w:val="2"/>
                <w:sz w:val="24"/>
                <w:szCs w:val="24"/>
              </w:rPr>
            </w:pPr>
            <w:r>
              <w:rPr>
                <w:rFonts w:hint="eastAsia" w:ascii="宋体" w:hAnsi="宋体" w:eastAsia="宋体" w:cs="仿宋_GB2312"/>
                <w:kern w:val="2"/>
                <w:sz w:val="24"/>
                <w:szCs w:val="24"/>
              </w:rPr>
              <w:t>序号</w:t>
            </w:r>
          </w:p>
        </w:tc>
        <w:tc>
          <w:tcPr>
            <w:tcW w:w="503" w:type="pct"/>
            <w:tcBorders>
              <w:right w:val="single" w:color="auto" w:sz="4" w:space="0"/>
            </w:tcBorders>
            <w:vAlign w:val="center"/>
          </w:tcPr>
          <w:p w14:paraId="072BFE2F">
            <w:pPr>
              <w:pStyle w:val="14"/>
              <w:spacing w:line="360" w:lineRule="auto"/>
              <w:ind w:firstLine="0" w:firstLineChars="0"/>
              <w:jc w:val="center"/>
              <w:rPr>
                <w:rFonts w:ascii="宋体" w:hAnsi="宋体" w:eastAsia="宋体" w:cs="仿宋_GB2312"/>
                <w:kern w:val="2"/>
                <w:sz w:val="24"/>
                <w:szCs w:val="24"/>
              </w:rPr>
            </w:pPr>
            <w:r>
              <w:rPr>
                <w:rFonts w:hint="eastAsia" w:ascii="宋体" w:hAnsi="宋体" w:eastAsia="宋体" w:cs="仿宋_GB2312"/>
                <w:kern w:val="2"/>
                <w:sz w:val="24"/>
                <w:szCs w:val="24"/>
              </w:rPr>
              <w:t>名称</w:t>
            </w:r>
          </w:p>
        </w:tc>
        <w:tc>
          <w:tcPr>
            <w:tcW w:w="1670" w:type="pct"/>
            <w:tcBorders>
              <w:left w:val="single" w:color="auto" w:sz="4" w:space="0"/>
            </w:tcBorders>
            <w:vAlign w:val="center"/>
          </w:tcPr>
          <w:p w14:paraId="5692FEAB">
            <w:pPr>
              <w:pStyle w:val="14"/>
              <w:spacing w:line="360" w:lineRule="auto"/>
              <w:ind w:firstLine="0" w:firstLineChars="0"/>
              <w:jc w:val="center"/>
              <w:rPr>
                <w:rFonts w:ascii="宋体" w:hAnsi="宋体" w:eastAsia="宋体" w:cs="仿宋_GB2312"/>
                <w:kern w:val="2"/>
                <w:sz w:val="24"/>
                <w:szCs w:val="24"/>
              </w:rPr>
            </w:pPr>
            <w:r>
              <w:rPr>
                <w:rFonts w:hint="eastAsia" w:ascii="宋体" w:hAnsi="宋体" w:eastAsia="宋体" w:cs="仿宋_GB2312"/>
                <w:kern w:val="2"/>
                <w:sz w:val="24"/>
                <w:szCs w:val="24"/>
              </w:rPr>
              <w:t>谈判文件要求</w:t>
            </w:r>
          </w:p>
        </w:tc>
        <w:tc>
          <w:tcPr>
            <w:tcW w:w="1503" w:type="pct"/>
            <w:vAlign w:val="center"/>
          </w:tcPr>
          <w:p w14:paraId="79023DA5">
            <w:pPr>
              <w:pStyle w:val="14"/>
              <w:spacing w:line="360" w:lineRule="auto"/>
              <w:ind w:firstLine="0" w:firstLineChars="0"/>
              <w:jc w:val="center"/>
              <w:rPr>
                <w:rFonts w:ascii="宋体" w:hAnsi="宋体" w:eastAsia="宋体" w:cs="仿宋_GB2312"/>
                <w:kern w:val="2"/>
                <w:sz w:val="24"/>
                <w:szCs w:val="24"/>
              </w:rPr>
            </w:pPr>
            <w:r>
              <w:rPr>
                <w:rFonts w:hint="eastAsia" w:ascii="宋体" w:hAnsi="宋体" w:eastAsia="宋体" w:cs="仿宋_GB2312"/>
                <w:kern w:val="2"/>
                <w:sz w:val="24"/>
                <w:szCs w:val="24"/>
              </w:rPr>
              <w:t>竞标响应</w:t>
            </w:r>
          </w:p>
        </w:tc>
        <w:tc>
          <w:tcPr>
            <w:tcW w:w="820" w:type="pct"/>
            <w:vAlign w:val="center"/>
          </w:tcPr>
          <w:p w14:paraId="16917C4C">
            <w:pPr>
              <w:pStyle w:val="14"/>
              <w:spacing w:line="360" w:lineRule="auto"/>
              <w:ind w:firstLine="0" w:firstLineChars="0"/>
              <w:jc w:val="center"/>
              <w:rPr>
                <w:rFonts w:ascii="宋体" w:hAnsi="宋体" w:eastAsia="宋体" w:cs="仿宋_GB2312"/>
                <w:kern w:val="2"/>
                <w:sz w:val="24"/>
                <w:szCs w:val="24"/>
              </w:rPr>
            </w:pPr>
            <w:r>
              <w:rPr>
                <w:rFonts w:hint="eastAsia" w:ascii="宋体" w:hAnsi="宋体" w:eastAsia="宋体" w:cs="仿宋_GB2312"/>
                <w:kern w:val="2"/>
                <w:sz w:val="24"/>
                <w:szCs w:val="24"/>
              </w:rPr>
              <w:t>偏离说明</w:t>
            </w:r>
          </w:p>
        </w:tc>
      </w:tr>
      <w:tr w14:paraId="1B6C80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299D135E">
            <w:pPr>
              <w:pStyle w:val="14"/>
              <w:spacing w:line="360" w:lineRule="auto"/>
              <w:ind w:firstLine="0" w:firstLineChars="0"/>
              <w:jc w:val="center"/>
              <w:rPr>
                <w:rFonts w:ascii="宋体" w:hAnsi="宋体" w:eastAsia="宋体" w:cs="仿宋_GB2312"/>
                <w:kern w:val="2"/>
                <w:sz w:val="24"/>
                <w:szCs w:val="24"/>
              </w:rPr>
            </w:pPr>
            <w:r>
              <w:rPr>
                <w:rFonts w:hint="eastAsia" w:ascii="宋体" w:hAnsi="宋体" w:eastAsia="宋体" w:cs="仿宋_GB2312"/>
                <w:kern w:val="2"/>
                <w:sz w:val="24"/>
                <w:szCs w:val="24"/>
              </w:rPr>
              <w:t>1</w:t>
            </w:r>
          </w:p>
        </w:tc>
        <w:tc>
          <w:tcPr>
            <w:tcW w:w="503" w:type="pct"/>
            <w:tcBorders>
              <w:right w:val="single" w:color="auto" w:sz="4" w:space="0"/>
            </w:tcBorders>
            <w:vAlign w:val="center"/>
          </w:tcPr>
          <w:p w14:paraId="3D097942">
            <w:pPr>
              <w:pStyle w:val="14"/>
              <w:spacing w:line="360" w:lineRule="auto"/>
              <w:ind w:firstLine="0" w:firstLineChars="0"/>
              <w:jc w:val="center"/>
              <w:rPr>
                <w:rFonts w:ascii="宋体" w:hAnsi="宋体" w:eastAsia="宋体" w:cs="仿宋_GB2312"/>
                <w:kern w:val="2"/>
                <w:sz w:val="24"/>
                <w:szCs w:val="24"/>
              </w:rPr>
            </w:pPr>
          </w:p>
        </w:tc>
        <w:tc>
          <w:tcPr>
            <w:tcW w:w="1670" w:type="pct"/>
            <w:tcBorders>
              <w:left w:val="single" w:color="auto" w:sz="4" w:space="0"/>
            </w:tcBorders>
            <w:vAlign w:val="center"/>
          </w:tcPr>
          <w:p w14:paraId="5D899EF6">
            <w:pPr>
              <w:pStyle w:val="14"/>
              <w:spacing w:line="360" w:lineRule="auto"/>
              <w:ind w:firstLine="0" w:firstLineChars="0"/>
              <w:jc w:val="center"/>
              <w:rPr>
                <w:rFonts w:ascii="宋体" w:hAnsi="宋体" w:eastAsia="宋体" w:cs="仿宋_GB2312"/>
                <w:kern w:val="2"/>
                <w:sz w:val="24"/>
                <w:szCs w:val="24"/>
              </w:rPr>
            </w:pPr>
          </w:p>
        </w:tc>
        <w:tc>
          <w:tcPr>
            <w:tcW w:w="1503" w:type="pct"/>
            <w:vAlign w:val="center"/>
          </w:tcPr>
          <w:p w14:paraId="254C4D0D">
            <w:pPr>
              <w:pStyle w:val="14"/>
              <w:spacing w:line="360" w:lineRule="auto"/>
              <w:ind w:firstLine="0" w:firstLineChars="0"/>
              <w:jc w:val="center"/>
              <w:rPr>
                <w:rFonts w:ascii="宋体" w:hAnsi="宋体" w:eastAsia="宋体" w:cs="仿宋_GB2312"/>
                <w:kern w:val="2"/>
                <w:sz w:val="24"/>
                <w:szCs w:val="24"/>
              </w:rPr>
            </w:pPr>
          </w:p>
        </w:tc>
        <w:tc>
          <w:tcPr>
            <w:tcW w:w="820" w:type="pct"/>
            <w:vAlign w:val="center"/>
          </w:tcPr>
          <w:p w14:paraId="7C2EC78C">
            <w:pPr>
              <w:pStyle w:val="14"/>
              <w:spacing w:line="360" w:lineRule="auto"/>
              <w:ind w:firstLine="0" w:firstLineChars="0"/>
              <w:jc w:val="center"/>
              <w:rPr>
                <w:rFonts w:ascii="宋体" w:hAnsi="宋体" w:eastAsia="宋体" w:cs="仿宋_GB2312"/>
                <w:kern w:val="2"/>
                <w:sz w:val="24"/>
                <w:szCs w:val="24"/>
              </w:rPr>
            </w:pPr>
          </w:p>
        </w:tc>
      </w:tr>
      <w:tr w14:paraId="675505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00DF1729">
            <w:pPr>
              <w:pStyle w:val="14"/>
              <w:spacing w:line="360" w:lineRule="auto"/>
              <w:ind w:firstLine="0" w:firstLineChars="0"/>
              <w:jc w:val="center"/>
              <w:rPr>
                <w:rFonts w:ascii="宋体" w:hAnsi="宋体" w:eastAsia="宋体" w:cs="仿宋_GB2312"/>
                <w:kern w:val="2"/>
                <w:sz w:val="24"/>
                <w:szCs w:val="24"/>
              </w:rPr>
            </w:pPr>
            <w:r>
              <w:rPr>
                <w:rFonts w:hint="eastAsia" w:ascii="宋体" w:hAnsi="宋体" w:eastAsia="宋体" w:cs="仿宋_GB2312"/>
                <w:kern w:val="2"/>
                <w:sz w:val="24"/>
                <w:szCs w:val="24"/>
              </w:rPr>
              <w:t>2</w:t>
            </w:r>
          </w:p>
        </w:tc>
        <w:tc>
          <w:tcPr>
            <w:tcW w:w="503" w:type="pct"/>
            <w:tcBorders>
              <w:right w:val="single" w:color="auto" w:sz="4" w:space="0"/>
            </w:tcBorders>
            <w:vAlign w:val="center"/>
          </w:tcPr>
          <w:p w14:paraId="306C4686">
            <w:pPr>
              <w:pStyle w:val="14"/>
              <w:spacing w:line="360" w:lineRule="auto"/>
              <w:ind w:firstLine="0" w:firstLineChars="0"/>
              <w:jc w:val="center"/>
              <w:rPr>
                <w:rFonts w:ascii="宋体" w:hAnsi="宋体" w:eastAsia="宋体" w:cs="仿宋_GB2312"/>
                <w:kern w:val="2"/>
                <w:sz w:val="24"/>
                <w:szCs w:val="24"/>
              </w:rPr>
            </w:pPr>
          </w:p>
        </w:tc>
        <w:tc>
          <w:tcPr>
            <w:tcW w:w="1670" w:type="pct"/>
            <w:tcBorders>
              <w:left w:val="single" w:color="auto" w:sz="4" w:space="0"/>
            </w:tcBorders>
            <w:vAlign w:val="center"/>
          </w:tcPr>
          <w:p w14:paraId="1CFB2CA6">
            <w:pPr>
              <w:pStyle w:val="14"/>
              <w:spacing w:line="360" w:lineRule="auto"/>
              <w:ind w:firstLine="0" w:firstLineChars="0"/>
              <w:jc w:val="center"/>
              <w:rPr>
                <w:rFonts w:ascii="宋体" w:hAnsi="宋体" w:eastAsia="宋体" w:cs="仿宋_GB2312"/>
                <w:kern w:val="2"/>
                <w:sz w:val="24"/>
                <w:szCs w:val="24"/>
              </w:rPr>
            </w:pPr>
          </w:p>
        </w:tc>
        <w:tc>
          <w:tcPr>
            <w:tcW w:w="1503" w:type="pct"/>
            <w:vAlign w:val="center"/>
          </w:tcPr>
          <w:p w14:paraId="306B1A6A">
            <w:pPr>
              <w:pStyle w:val="14"/>
              <w:spacing w:line="360" w:lineRule="auto"/>
              <w:ind w:firstLine="0" w:firstLineChars="0"/>
              <w:jc w:val="center"/>
              <w:rPr>
                <w:rFonts w:ascii="宋体" w:hAnsi="宋体" w:eastAsia="宋体" w:cs="仿宋_GB2312"/>
                <w:kern w:val="2"/>
                <w:sz w:val="24"/>
                <w:szCs w:val="24"/>
              </w:rPr>
            </w:pPr>
          </w:p>
        </w:tc>
        <w:tc>
          <w:tcPr>
            <w:tcW w:w="820" w:type="pct"/>
            <w:vAlign w:val="center"/>
          </w:tcPr>
          <w:p w14:paraId="58347E02">
            <w:pPr>
              <w:pStyle w:val="14"/>
              <w:spacing w:line="360" w:lineRule="auto"/>
              <w:ind w:firstLine="0" w:firstLineChars="0"/>
              <w:jc w:val="center"/>
              <w:rPr>
                <w:rFonts w:ascii="宋体" w:hAnsi="宋体" w:eastAsia="宋体" w:cs="仿宋_GB2312"/>
                <w:kern w:val="2"/>
                <w:sz w:val="24"/>
                <w:szCs w:val="24"/>
              </w:rPr>
            </w:pPr>
          </w:p>
        </w:tc>
      </w:tr>
      <w:tr w14:paraId="6B0E0D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388C824A">
            <w:pPr>
              <w:pStyle w:val="14"/>
              <w:spacing w:line="360" w:lineRule="auto"/>
              <w:ind w:firstLine="0" w:firstLineChars="0"/>
              <w:jc w:val="center"/>
              <w:rPr>
                <w:rFonts w:ascii="宋体" w:hAnsi="宋体" w:eastAsia="宋体" w:cs="仿宋_GB2312"/>
                <w:kern w:val="2"/>
                <w:sz w:val="24"/>
                <w:szCs w:val="24"/>
              </w:rPr>
            </w:pPr>
            <w:r>
              <w:rPr>
                <w:rFonts w:hint="eastAsia" w:ascii="宋体" w:hAnsi="宋体" w:eastAsia="宋体" w:cs="仿宋_GB2312"/>
                <w:kern w:val="2"/>
                <w:sz w:val="24"/>
                <w:szCs w:val="24"/>
              </w:rPr>
              <w:t>3</w:t>
            </w:r>
          </w:p>
        </w:tc>
        <w:tc>
          <w:tcPr>
            <w:tcW w:w="503" w:type="pct"/>
            <w:tcBorders>
              <w:right w:val="single" w:color="auto" w:sz="4" w:space="0"/>
            </w:tcBorders>
            <w:vAlign w:val="center"/>
          </w:tcPr>
          <w:p w14:paraId="2F86FD48">
            <w:pPr>
              <w:pStyle w:val="14"/>
              <w:spacing w:line="360" w:lineRule="auto"/>
              <w:ind w:firstLine="0" w:firstLineChars="0"/>
              <w:jc w:val="center"/>
              <w:rPr>
                <w:rFonts w:ascii="宋体" w:hAnsi="宋体" w:eastAsia="宋体" w:cs="仿宋_GB2312"/>
                <w:kern w:val="2"/>
                <w:sz w:val="24"/>
                <w:szCs w:val="24"/>
              </w:rPr>
            </w:pPr>
          </w:p>
        </w:tc>
        <w:tc>
          <w:tcPr>
            <w:tcW w:w="1670" w:type="pct"/>
            <w:tcBorders>
              <w:left w:val="single" w:color="auto" w:sz="4" w:space="0"/>
            </w:tcBorders>
            <w:vAlign w:val="center"/>
          </w:tcPr>
          <w:p w14:paraId="001A5B18">
            <w:pPr>
              <w:pStyle w:val="14"/>
              <w:spacing w:line="360" w:lineRule="auto"/>
              <w:ind w:firstLine="0" w:firstLineChars="0"/>
              <w:jc w:val="center"/>
              <w:rPr>
                <w:rFonts w:ascii="宋体" w:hAnsi="宋体" w:eastAsia="宋体" w:cs="仿宋_GB2312"/>
                <w:kern w:val="2"/>
                <w:sz w:val="24"/>
                <w:szCs w:val="24"/>
              </w:rPr>
            </w:pPr>
          </w:p>
        </w:tc>
        <w:tc>
          <w:tcPr>
            <w:tcW w:w="1503" w:type="pct"/>
            <w:vAlign w:val="center"/>
          </w:tcPr>
          <w:p w14:paraId="60381122">
            <w:pPr>
              <w:pStyle w:val="14"/>
              <w:spacing w:line="360" w:lineRule="auto"/>
              <w:ind w:firstLine="0" w:firstLineChars="0"/>
              <w:jc w:val="center"/>
              <w:rPr>
                <w:rFonts w:ascii="宋体" w:hAnsi="宋体" w:eastAsia="宋体" w:cs="仿宋_GB2312"/>
                <w:kern w:val="2"/>
                <w:sz w:val="24"/>
                <w:szCs w:val="24"/>
              </w:rPr>
            </w:pPr>
          </w:p>
        </w:tc>
        <w:tc>
          <w:tcPr>
            <w:tcW w:w="820" w:type="pct"/>
            <w:vAlign w:val="center"/>
          </w:tcPr>
          <w:p w14:paraId="23602A3A">
            <w:pPr>
              <w:pStyle w:val="14"/>
              <w:spacing w:line="360" w:lineRule="auto"/>
              <w:ind w:firstLine="0" w:firstLineChars="0"/>
              <w:jc w:val="center"/>
              <w:rPr>
                <w:rFonts w:ascii="宋体" w:hAnsi="宋体" w:eastAsia="宋体" w:cs="仿宋_GB2312"/>
                <w:kern w:val="2"/>
                <w:sz w:val="24"/>
                <w:szCs w:val="24"/>
              </w:rPr>
            </w:pPr>
          </w:p>
        </w:tc>
      </w:tr>
      <w:tr w14:paraId="1BC72F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4C03004F">
            <w:pPr>
              <w:pStyle w:val="14"/>
              <w:spacing w:line="360" w:lineRule="auto"/>
              <w:ind w:firstLine="0" w:firstLineChars="0"/>
              <w:jc w:val="center"/>
              <w:rPr>
                <w:rFonts w:ascii="宋体" w:hAnsi="宋体" w:eastAsia="宋体" w:cs="仿宋_GB2312"/>
                <w:kern w:val="2"/>
                <w:sz w:val="24"/>
                <w:szCs w:val="24"/>
              </w:rPr>
            </w:pPr>
            <w:r>
              <w:rPr>
                <w:rFonts w:hint="eastAsia" w:ascii="宋体" w:hAnsi="宋体" w:eastAsia="宋体" w:cs="仿宋_GB2312"/>
                <w:kern w:val="2"/>
                <w:sz w:val="24"/>
                <w:szCs w:val="24"/>
              </w:rPr>
              <w:t>4</w:t>
            </w:r>
          </w:p>
        </w:tc>
        <w:tc>
          <w:tcPr>
            <w:tcW w:w="503" w:type="pct"/>
            <w:tcBorders>
              <w:right w:val="single" w:color="auto" w:sz="4" w:space="0"/>
            </w:tcBorders>
            <w:vAlign w:val="center"/>
          </w:tcPr>
          <w:p w14:paraId="55FE29D6">
            <w:pPr>
              <w:pStyle w:val="14"/>
              <w:spacing w:line="360" w:lineRule="auto"/>
              <w:ind w:firstLine="0" w:firstLineChars="0"/>
              <w:jc w:val="center"/>
              <w:rPr>
                <w:rFonts w:ascii="宋体" w:hAnsi="宋体" w:eastAsia="宋体" w:cs="仿宋_GB2312"/>
                <w:kern w:val="2"/>
                <w:sz w:val="24"/>
                <w:szCs w:val="24"/>
              </w:rPr>
            </w:pPr>
          </w:p>
        </w:tc>
        <w:tc>
          <w:tcPr>
            <w:tcW w:w="1670" w:type="pct"/>
            <w:tcBorders>
              <w:left w:val="single" w:color="auto" w:sz="4" w:space="0"/>
            </w:tcBorders>
            <w:vAlign w:val="center"/>
          </w:tcPr>
          <w:p w14:paraId="438E8D16">
            <w:pPr>
              <w:pStyle w:val="14"/>
              <w:spacing w:line="360" w:lineRule="auto"/>
              <w:ind w:firstLine="0" w:firstLineChars="0"/>
              <w:jc w:val="center"/>
              <w:rPr>
                <w:rFonts w:ascii="宋体" w:hAnsi="宋体" w:eastAsia="宋体" w:cs="仿宋_GB2312"/>
                <w:kern w:val="2"/>
                <w:sz w:val="24"/>
                <w:szCs w:val="24"/>
              </w:rPr>
            </w:pPr>
          </w:p>
        </w:tc>
        <w:tc>
          <w:tcPr>
            <w:tcW w:w="1503" w:type="pct"/>
            <w:vAlign w:val="center"/>
          </w:tcPr>
          <w:p w14:paraId="16FDE2B6">
            <w:pPr>
              <w:pStyle w:val="14"/>
              <w:spacing w:line="360" w:lineRule="auto"/>
              <w:ind w:firstLine="0" w:firstLineChars="0"/>
              <w:jc w:val="center"/>
              <w:rPr>
                <w:rFonts w:ascii="宋体" w:hAnsi="宋体" w:eastAsia="宋体" w:cs="仿宋_GB2312"/>
                <w:kern w:val="2"/>
                <w:sz w:val="24"/>
                <w:szCs w:val="24"/>
              </w:rPr>
            </w:pPr>
          </w:p>
        </w:tc>
        <w:tc>
          <w:tcPr>
            <w:tcW w:w="820" w:type="pct"/>
            <w:vAlign w:val="center"/>
          </w:tcPr>
          <w:p w14:paraId="3E7FA54D">
            <w:pPr>
              <w:pStyle w:val="14"/>
              <w:spacing w:line="360" w:lineRule="auto"/>
              <w:ind w:firstLine="0" w:firstLineChars="0"/>
              <w:jc w:val="center"/>
              <w:rPr>
                <w:rFonts w:ascii="宋体" w:hAnsi="宋体" w:eastAsia="宋体" w:cs="仿宋_GB2312"/>
                <w:kern w:val="2"/>
                <w:sz w:val="24"/>
                <w:szCs w:val="24"/>
              </w:rPr>
            </w:pPr>
          </w:p>
        </w:tc>
      </w:tr>
      <w:tr w14:paraId="001301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3414E1C8">
            <w:pPr>
              <w:pStyle w:val="14"/>
              <w:spacing w:line="360" w:lineRule="auto"/>
              <w:ind w:firstLine="0" w:firstLineChars="0"/>
              <w:jc w:val="center"/>
              <w:rPr>
                <w:rFonts w:ascii="宋体" w:hAnsi="宋体" w:eastAsia="宋体" w:cs="仿宋_GB2312"/>
                <w:kern w:val="2"/>
                <w:sz w:val="24"/>
                <w:szCs w:val="24"/>
              </w:rPr>
            </w:pPr>
            <w:r>
              <w:rPr>
                <w:rFonts w:hint="eastAsia" w:ascii="宋体" w:hAnsi="宋体" w:eastAsia="宋体" w:cs="仿宋_GB2312"/>
                <w:kern w:val="2"/>
                <w:sz w:val="24"/>
                <w:szCs w:val="24"/>
              </w:rPr>
              <w:t>5</w:t>
            </w:r>
          </w:p>
        </w:tc>
        <w:tc>
          <w:tcPr>
            <w:tcW w:w="503" w:type="pct"/>
            <w:tcBorders>
              <w:right w:val="single" w:color="auto" w:sz="4" w:space="0"/>
            </w:tcBorders>
            <w:vAlign w:val="center"/>
          </w:tcPr>
          <w:p w14:paraId="159DF462">
            <w:pPr>
              <w:pStyle w:val="14"/>
              <w:spacing w:line="360" w:lineRule="auto"/>
              <w:ind w:firstLine="0" w:firstLineChars="0"/>
              <w:jc w:val="center"/>
              <w:rPr>
                <w:rFonts w:ascii="宋体" w:hAnsi="宋体" w:eastAsia="宋体" w:cs="仿宋_GB2312"/>
                <w:kern w:val="2"/>
                <w:sz w:val="24"/>
                <w:szCs w:val="24"/>
              </w:rPr>
            </w:pPr>
          </w:p>
        </w:tc>
        <w:tc>
          <w:tcPr>
            <w:tcW w:w="1670" w:type="pct"/>
            <w:tcBorders>
              <w:left w:val="single" w:color="auto" w:sz="4" w:space="0"/>
            </w:tcBorders>
            <w:vAlign w:val="center"/>
          </w:tcPr>
          <w:p w14:paraId="7C04DFD0">
            <w:pPr>
              <w:pStyle w:val="14"/>
              <w:spacing w:line="360" w:lineRule="auto"/>
              <w:ind w:firstLine="0" w:firstLineChars="0"/>
              <w:jc w:val="center"/>
              <w:rPr>
                <w:rFonts w:ascii="宋体" w:hAnsi="宋体" w:eastAsia="宋体" w:cs="仿宋_GB2312"/>
                <w:kern w:val="2"/>
                <w:sz w:val="24"/>
                <w:szCs w:val="24"/>
              </w:rPr>
            </w:pPr>
          </w:p>
        </w:tc>
        <w:tc>
          <w:tcPr>
            <w:tcW w:w="1503" w:type="pct"/>
            <w:vAlign w:val="center"/>
          </w:tcPr>
          <w:p w14:paraId="27463845">
            <w:pPr>
              <w:pStyle w:val="14"/>
              <w:spacing w:line="360" w:lineRule="auto"/>
              <w:ind w:firstLine="0" w:firstLineChars="0"/>
              <w:jc w:val="center"/>
              <w:rPr>
                <w:rFonts w:ascii="宋体" w:hAnsi="宋体" w:eastAsia="宋体" w:cs="仿宋_GB2312"/>
                <w:kern w:val="2"/>
                <w:sz w:val="24"/>
                <w:szCs w:val="24"/>
              </w:rPr>
            </w:pPr>
          </w:p>
        </w:tc>
        <w:tc>
          <w:tcPr>
            <w:tcW w:w="820" w:type="pct"/>
            <w:vAlign w:val="center"/>
          </w:tcPr>
          <w:p w14:paraId="787AE3A1">
            <w:pPr>
              <w:pStyle w:val="14"/>
              <w:spacing w:line="360" w:lineRule="auto"/>
              <w:ind w:firstLine="0" w:firstLineChars="0"/>
              <w:jc w:val="center"/>
              <w:rPr>
                <w:rFonts w:ascii="宋体" w:hAnsi="宋体" w:eastAsia="宋体" w:cs="仿宋_GB2312"/>
                <w:kern w:val="2"/>
                <w:sz w:val="24"/>
                <w:szCs w:val="24"/>
              </w:rPr>
            </w:pPr>
          </w:p>
        </w:tc>
      </w:tr>
      <w:tr w14:paraId="5D55E2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vAlign w:val="center"/>
          </w:tcPr>
          <w:p w14:paraId="16DCFD68">
            <w:pPr>
              <w:spacing w:line="360" w:lineRule="auto"/>
              <w:jc w:val="center"/>
              <w:rPr>
                <w:rFonts w:ascii="宋体" w:hAnsi="宋体" w:cs="仿宋_GB2312"/>
                <w:sz w:val="24"/>
              </w:rPr>
            </w:pPr>
            <w:r>
              <w:rPr>
                <w:rFonts w:hint="eastAsia" w:ascii="宋体" w:hAnsi="宋体" w:cs="仿宋_GB2312"/>
                <w:sz w:val="24"/>
              </w:rPr>
              <w:t>…</w:t>
            </w:r>
            <w:r>
              <w:rPr>
                <w:rFonts w:hint="eastAsia" w:ascii="宋体" w:hAnsi="宋体" w:cs="宋体"/>
                <w:sz w:val="24"/>
              </w:rPr>
              <w:t>…</w:t>
            </w:r>
          </w:p>
        </w:tc>
        <w:tc>
          <w:tcPr>
            <w:tcW w:w="503" w:type="pct"/>
            <w:tcBorders>
              <w:right w:val="single" w:color="auto" w:sz="4" w:space="0"/>
            </w:tcBorders>
            <w:vAlign w:val="center"/>
          </w:tcPr>
          <w:p w14:paraId="48672328">
            <w:pPr>
              <w:spacing w:line="360" w:lineRule="auto"/>
              <w:jc w:val="center"/>
              <w:rPr>
                <w:rFonts w:ascii="宋体" w:hAnsi="宋体" w:cs="仿宋_GB2312"/>
                <w:sz w:val="24"/>
              </w:rPr>
            </w:pPr>
            <w:r>
              <w:rPr>
                <w:rFonts w:hint="eastAsia" w:ascii="宋体" w:hAnsi="宋体" w:cs="仿宋_GB2312"/>
                <w:sz w:val="24"/>
              </w:rPr>
              <w:t>…</w:t>
            </w:r>
            <w:r>
              <w:rPr>
                <w:rFonts w:hint="eastAsia" w:ascii="宋体" w:hAnsi="宋体" w:cs="宋体"/>
                <w:sz w:val="24"/>
              </w:rPr>
              <w:t>…</w:t>
            </w:r>
          </w:p>
        </w:tc>
        <w:tc>
          <w:tcPr>
            <w:tcW w:w="1670" w:type="pct"/>
            <w:tcBorders>
              <w:left w:val="single" w:color="auto" w:sz="4" w:space="0"/>
            </w:tcBorders>
            <w:vAlign w:val="center"/>
          </w:tcPr>
          <w:p w14:paraId="25B06694">
            <w:pPr>
              <w:spacing w:line="360" w:lineRule="auto"/>
              <w:jc w:val="center"/>
              <w:rPr>
                <w:rFonts w:ascii="宋体" w:hAnsi="宋体" w:cs="仿宋_GB2312"/>
                <w:sz w:val="24"/>
              </w:rPr>
            </w:pPr>
            <w:r>
              <w:rPr>
                <w:rFonts w:hint="eastAsia" w:ascii="宋体" w:hAnsi="宋体" w:cs="仿宋_GB2312"/>
                <w:sz w:val="24"/>
              </w:rPr>
              <w:t>…</w:t>
            </w:r>
            <w:r>
              <w:rPr>
                <w:rFonts w:hint="eastAsia" w:ascii="宋体" w:hAnsi="宋体" w:cs="宋体"/>
                <w:sz w:val="24"/>
              </w:rPr>
              <w:t>…</w:t>
            </w:r>
          </w:p>
        </w:tc>
        <w:tc>
          <w:tcPr>
            <w:tcW w:w="1503" w:type="pct"/>
            <w:vAlign w:val="center"/>
          </w:tcPr>
          <w:p w14:paraId="6191383A">
            <w:pPr>
              <w:spacing w:line="360" w:lineRule="auto"/>
              <w:jc w:val="center"/>
              <w:rPr>
                <w:rFonts w:ascii="宋体" w:hAnsi="宋体" w:cs="仿宋_GB2312"/>
                <w:sz w:val="24"/>
              </w:rPr>
            </w:pPr>
            <w:r>
              <w:rPr>
                <w:rFonts w:hint="eastAsia" w:ascii="宋体" w:hAnsi="宋体" w:cs="仿宋_GB2312"/>
                <w:sz w:val="24"/>
              </w:rPr>
              <w:t>…</w:t>
            </w:r>
            <w:r>
              <w:rPr>
                <w:rFonts w:hint="eastAsia" w:ascii="宋体" w:hAnsi="宋体" w:cs="宋体"/>
                <w:sz w:val="24"/>
              </w:rPr>
              <w:t>…</w:t>
            </w:r>
          </w:p>
        </w:tc>
        <w:tc>
          <w:tcPr>
            <w:tcW w:w="820" w:type="pct"/>
            <w:tcBorders>
              <w:right w:val="single" w:color="auto" w:sz="4" w:space="0"/>
            </w:tcBorders>
            <w:vAlign w:val="center"/>
          </w:tcPr>
          <w:p w14:paraId="65019A0D">
            <w:pPr>
              <w:spacing w:line="360" w:lineRule="auto"/>
              <w:jc w:val="center"/>
              <w:rPr>
                <w:rFonts w:ascii="宋体" w:hAnsi="宋体" w:cs="仿宋_GB2312"/>
                <w:sz w:val="24"/>
              </w:rPr>
            </w:pPr>
            <w:r>
              <w:rPr>
                <w:rFonts w:hint="eastAsia" w:ascii="宋体" w:hAnsi="宋体" w:cs="仿宋_GB2312"/>
                <w:sz w:val="24"/>
              </w:rPr>
              <w:t>…</w:t>
            </w:r>
            <w:r>
              <w:rPr>
                <w:rFonts w:hint="eastAsia" w:ascii="宋体" w:hAnsi="宋体" w:cs="宋体"/>
                <w:sz w:val="24"/>
              </w:rPr>
              <w:t>…</w:t>
            </w:r>
          </w:p>
        </w:tc>
      </w:tr>
    </w:tbl>
    <w:p w14:paraId="294964B3">
      <w:pPr>
        <w:pStyle w:val="14"/>
        <w:spacing w:line="360" w:lineRule="auto"/>
        <w:ind w:firstLine="0" w:firstLineChars="0"/>
        <w:contextualSpacing/>
        <w:rPr>
          <w:rFonts w:ascii="宋体" w:hAnsi="宋体" w:eastAsia="宋体" w:cs="仿宋_GB2312"/>
          <w:sz w:val="24"/>
          <w:szCs w:val="24"/>
        </w:rPr>
      </w:pPr>
      <w:r>
        <w:rPr>
          <w:rFonts w:hint="eastAsia" w:ascii="宋体" w:hAnsi="宋体" w:eastAsia="宋体" w:cs="仿宋_GB2312"/>
          <w:sz w:val="24"/>
          <w:szCs w:val="24"/>
        </w:rPr>
        <w:t>注：</w:t>
      </w:r>
    </w:p>
    <w:p w14:paraId="35592BB9">
      <w:pPr>
        <w:pStyle w:val="14"/>
        <w:spacing w:line="360" w:lineRule="auto"/>
        <w:ind w:firstLine="0" w:firstLineChars="0"/>
        <w:contextualSpacing/>
        <w:rPr>
          <w:rFonts w:ascii="宋体" w:hAnsi="宋体" w:eastAsia="宋体" w:cs="仿宋_GB2312"/>
          <w:sz w:val="24"/>
          <w:szCs w:val="24"/>
        </w:rPr>
      </w:pPr>
      <w:r>
        <w:rPr>
          <w:rFonts w:hint="eastAsia" w:ascii="宋体" w:hAnsi="宋体" w:eastAsia="宋体" w:cs="仿宋_GB2312"/>
          <w:sz w:val="24"/>
          <w:szCs w:val="24"/>
        </w:rPr>
        <w:t>1. 说明：应对照谈判文件“第三章 采购需求”中的技术要求逐条实质性响应，并作出偏离说明。</w:t>
      </w:r>
    </w:p>
    <w:p w14:paraId="45624E77">
      <w:pPr>
        <w:pStyle w:val="14"/>
        <w:spacing w:line="360" w:lineRule="auto"/>
        <w:ind w:firstLine="0" w:firstLineChars="0"/>
        <w:contextualSpacing/>
        <w:rPr>
          <w:rFonts w:ascii="宋体" w:hAnsi="宋体" w:eastAsia="宋体" w:cs="仿宋_GB2312"/>
          <w:sz w:val="24"/>
          <w:szCs w:val="24"/>
        </w:rPr>
      </w:pPr>
      <w:r>
        <w:rPr>
          <w:rFonts w:hint="eastAsia" w:ascii="宋体" w:hAnsi="宋体" w:eastAsia="宋体" w:cs="仿宋_GB2312"/>
          <w:sz w:val="24"/>
          <w:szCs w:val="24"/>
        </w:rPr>
        <w:t>2.供应商应根据竞标设备的性能指标，对照谈判文件要求，在“偏离说明”中注明“正偏离”、“负偏离”或者“无偏离”。既不属于“正偏离”也不属于“负偏离”即为“无偏离”。</w:t>
      </w:r>
    </w:p>
    <w:p w14:paraId="1B608F81">
      <w:pPr>
        <w:pStyle w:val="14"/>
        <w:spacing w:line="360" w:lineRule="auto"/>
        <w:ind w:firstLine="0" w:firstLineChars="0"/>
        <w:rPr>
          <w:rFonts w:ascii="宋体" w:hAnsi="宋体" w:eastAsia="宋体"/>
          <w:sz w:val="24"/>
          <w:szCs w:val="24"/>
        </w:rPr>
      </w:pPr>
      <w:r>
        <w:rPr>
          <w:rFonts w:hint="eastAsia" w:ascii="宋体" w:hAnsi="宋体" w:eastAsia="宋体"/>
          <w:sz w:val="24"/>
          <w:szCs w:val="24"/>
        </w:rPr>
        <w:t>3.如果采购文件需求为小于等于或大于等于或小于或大于某个数值标准时，响应文件承诺不得直接复制采购文件需求，响应文件承诺内容应当写明竞标货物具体参数或商务响应承诺的具体数值，否则按竞标无效处理。</w:t>
      </w:r>
    </w:p>
    <w:p w14:paraId="2D7F5AC5">
      <w:pPr>
        <w:pStyle w:val="14"/>
        <w:spacing w:line="360" w:lineRule="auto"/>
        <w:ind w:firstLine="0" w:firstLineChars="0"/>
        <w:contextualSpacing/>
        <w:rPr>
          <w:rFonts w:ascii="宋体" w:hAnsi="宋体" w:eastAsia="宋体"/>
          <w:sz w:val="24"/>
          <w:szCs w:val="24"/>
        </w:rPr>
      </w:pPr>
      <w:r>
        <w:rPr>
          <w:rFonts w:hint="eastAsia" w:ascii="宋体" w:hAnsi="宋体" w:eastAsia="宋体"/>
          <w:sz w:val="24"/>
          <w:szCs w:val="24"/>
        </w:rPr>
        <w:t>4.供应商认为其竞标响应有正偏离的，请在技术偏离表中列明，且在响应文件中提供竞标产品的彩页或国家认可有资质的第三方检测机构出具的检测报告复印件或产品生产厂家出具的技术参数说明证明作为佐证，以上佐证材料均需加盖生产厂家或代理商（附生产厂家授权资料）公章。</w:t>
      </w:r>
    </w:p>
    <w:p w14:paraId="02FE0CD1">
      <w:pPr>
        <w:pStyle w:val="14"/>
        <w:spacing w:line="360" w:lineRule="auto"/>
        <w:ind w:firstLine="0" w:firstLineChars="0"/>
        <w:contextualSpacing/>
        <w:rPr>
          <w:rFonts w:ascii="宋体" w:hAnsi="宋体" w:eastAsia="宋体"/>
          <w:sz w:val="24"/>
          <w:szCs w:val="24"/>
        </w:rPr>
      </w:pPr>
      <w:r>
        <w:rPr>
          <w:rFonts w:hint="eastAsia" w:ascii="宋体" w:hAnsi="宋体" w:eastAsia="宋体"/>
          <w:sz w:val="24"/>
          <w:szCs w:val="24"/>
        </w:rPr>
        <w:t>5.如技术偏离表中的竞标响应与佐证材料不一致的，以佐证材料为准。</w:t>
      </w:r>
    </w:p>
    <w:p w14:paraId="62C9A8A8">
      <w:pPr>
        <w:pStyle w:val="14"/>
        <w:spacing w:line="360" w:lineRule="auto"/>
        <w:ind w:firstLine="0" w:firstLineChars="0"/>
        <w:contextualSpacing/>
        <w:rPr>
          <w:rFonts w:ascii="宋体" w:hAnsi="宋体" w:eastAsia="宋体" w:cs="仿宋_GB2312"/>
          <w:sz w:val="24"/>
          <w:szCs w:val="24"/>
        </w:rPr>
      </w:pPr>
    </w:p>
    <w:p w14:paraId="3EA245CE">
      <w:pPr>
        <w:spacing w:line="360" w:lineRule="auto"/>
        <w:ind w:right="-817" w:rightChars="-389"/>
        <w:contextualSpacing/>
        <w:rPr>
          <w:rFonts w:ascii="宋体" w:hAnsi="宋体" w:cs="仿宋_GB2312"/>
          <w:sz w:val="24"/>
        </w:rPr>
      </w:pPr>
    </w:p>
    <w:p w14:paraId="28CA48B5">
      <w:pPr>
        <w:spacing w:line="360" w:lineRule="auto"/>
        <w:ind w:right="-817" w:rightChars="-389"/>
        <w:contextualSpacing/>
        <w:jc w:val="center"/>
        <w:rPr>
          <w:rFonts w:ascii="宋体" w:hAnsi="宋体" w:cs="仿宋_GB2312"/>
          <w:sz w:val="24"/>
        </w:rPr>
      </w:pPr>
      <w:r>
        <w:rPr>
          <w:rFonts w:hint="eastAsia" w:ascii="宋体" w:hAnsi="宋体" w:cs="仿宋_GB2312"/>
          <w:sz w:val="24"/>
        </w:rPr>
        <w:t>法定代表人或者委托代理人（签字）：</w:t>
      </w:r>
    </w:p>
    <w:p w14:paraId="7E683121">
      <w:pPr>
        <w:spacing w:line="360" w:lineRule="auto"/>
        <w:ind w:right="-817" w:rightChars="-389" w:firstLine="3360" w:firstLineChars="1400"/>
        <w:contextualSpacing/>
        <w:rPr>
          <w:rFonts w:ascii="宋体" w:hAnsi="宋体" w:cs="仿宋_GB2312"/>
          <w:sz w:val="24"/>
        </w:rPr>
      </w:pPr>
      <w:r>
        <w:rPr>
          <w:rFonts w:hint="eastAsia" w:ascii="宋体" w:hAnsi="宋体" w:cs="仿宋_GB2312"/>
          <w:sz w:val="24"/>
        </w:rPr>
        <w:t xml:space="preserve">供应商（盖公章）：      </w:t>
      </w:r>
    </w:p>
    <w:p w14:paraId="22B19169">
      <w:pPr>
        <w:spacing w:line="360" w:lineRule="auto"/>
        <w:ind w:right="-817" w:rightChars="-389" w:firstLine="3360" w:firstLineChars="1400"/>
        <w:contextualSpacing/>
        <w:rPr>
          <w:rFonts w:ascii="宋体" w:hAnsi="宋体"/>
          <w:b/>
          <w:bCs/>
          <w:sz w:val="24"/>
        </w:rPr>
      </w:pPr>
      <w:r>
        <w:rPr>
          <w:rFonts w:hint="eastAsia" w:ascii="宋体" w:hAnsi="宋体" w:cs="仿宋_GB2312"/>
          <w:sz w:val="24"/>
        </w:rPr>
        <w:t>日期：   年   月   日</w:t>
      </w:r>
    </w:p>
    <w:p w14:paraId="753DEFD7">
      <w:pPr>
        <w:spacing w:line="300" w:lineRule="auto"/>
        <w:rPr>
          <w:rFonts w:ascii="宋体" w:hAnsi="宋体"/>
          <w:b/>
          <w:bCs/>
          <w:sz w:val="24"/>
        </w:rPr>
      </w:pPr>
      <w:r>
        <w:rPr>
          <w:rFonts w:hint="eastAsia" w:ascii="宋体" w:hAnsi="宋体"/>
          <w:b/>
          <w:bCs/>
          <w:sz w:val="24"/>
        </w:rPr>
        <w:t>其他文书、文件格式</w:t>
      </w:r>
    </w:p>
    <w:p w14:paraId="6B833E3C">
      <w:pPr>
        <w:adjustRightInd w:val="0"/>
        <w:snapToGrid w:val="0"/>
        <w:spacing w:line="300" w:lineRule="auto"/>
        <w:jc w:val="center"/>
        <w:rPr>
          <w:rFonts w:ascii="方正小标宋简体" w:hAnsi="方正小标宋简体" w:eastAsia="方正小标宋简体" w:cs="方正小标宋简体"/>
          <w:bCs/>
          <w:sz w:val="44"/>
          <w:szCs w:val="44"/>
        </w:rPr>
      </w:pPr>
      <w:bookmarkStart w:id="35" w:name="_Toc71366061"/>
      <w:bookmarkStart w:id="36" w:name="_Toc71365383"/>
      <w:r>
        <w:rPr>
          <w:rFonts w:hint="eastAsia" w:ascii="方正小标宋简体" w:hAnsi="方正小标宋简体" w:eastAsia="方正小标宋简体" w:cs="方正小标宋简体"/>
          <w:bCs/>
          <w:sz w:val="44"/>
          <w:szCs w:val="44"/>
        </w:rPr>
        <w:t>中小企业声明函（货物）</w:t>
      </w:r>
      <w:bookmarkEnd w:id="35"/>
      <w:bookmarkEnd w:id="36"/>
    </w:p>
    <w:p w14:paraId="16107251"/>
    <w:p w14:paraId="0FECCF36">
      <w:pPr>
        <w:pStyle w:val="13"/>
        <w:spacing w:after="0" w:line="360" w:lineRule="auto"/>
        <w:ind w:left="-426" w:right="142" w:firstLine="640"/>
        <w:contextualSpacing/>
        <w:rPr>
          <w:rFonts w:ascii="宋体" w:hAnsi="宋体"/>
          <w:sz w:val="24"/>
        </w:rPr>
      </w:pPr>
      <w:r>
        <w:rPr>
          <w:rFonts w:ascii="宋体" w:hAnsi="宋体"/>
          <w:sz w:val="24"/>
        </w:rPr>
        <w:t>本公司（联合体）郑重声明，根据《政府采购促进中小企业发展管理办法》（财库﹝2020﹞46号）的规定，本公司（联合体）参加</w:t>
      </w:r>
      <w:r>
        <w:rPr>
          <w:rFonts w:ascii="宋体" w:hAnsi="宋体"/>
          <w:sz w:val="24"/>
          <w:u w:val="single"/>
        </w:rPr>
        <w:t>（单位名称）</w:t>
      </w:r>
      <w:r>
        <w:rPr>
          <w:rFonts w:ascii="宋体" w:hAnsi="宋体"/>
          <w:sz w:val="24"/>
        </w:rPr>
        <w:t>的</w:t>
      </w:r>
      <w:r>
        <w:rPr>
          <w:rFonts w:ascii="宋体" w:hAnsi="宋体"/>
          <w:sz w:val="24"/>
          <w:u w:val="single"/>
        </w:rPr>
        <w:t>（项目名称）</w:t>
      </w:r>
      <w:r>
        <w:rPr>
          <w:rFonts w:ascii="宋体" w:hAnsi="宋体"/>
          <w:sz w:val="24"/>
        </w:rPr>
        <w:t>采购活动，提供的货物全部由符合政策要求的中小企业制造。相关企业（含联合体中的中小企业、签订分包意向协议的中小企业）的具体情况如下：</w:t>
      </w:r>
    </w:p>
    <w:p w14:paraId="3E0A4168">
      <w:pPr>
        <w:tabs>
          <w:tab w:val="left" w:pos="1384"/>
          <w:tab w:val="left" w:pos="4562"/>
          <w:tab w:val="left" w:pos="6803"/>
        </w:tabs>
        <w:spacing w:line="360" w:lineRule="auto"/>
        <w:ind w:left="-426" w:right="-58" w:firstLine="655"/>
        <w:contextualSpacing/>
        <w:rPr>
          <w:rFonts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hint="eastAsia" w:ascii="宋体" w:hAnsi="宋体"/>
          <w:sz w:val="24"/>
          <w:u w:val="single"/>
        </w:rPr>
        <w:t xml:space="preserve"> （采购文件中明确的所属行业） </w:t>
      </w:r>
      <w:r>
        <w:rPr>
          <w:rFonts w:ascii="宋体" w:hAnsi="宋体"/>
          <w:sz w:val="24"/>
        </w:rPr>
        <w:t>行业；制造商为</w:t>
      </w:r>
      <w:r>
        <w:rPr>
          <w:rFonts w:ascii="宋体" w:hAnsi="宋体"/>
          <w:sz w:val="24"/>
          <w:u w:val="single"/>
        </w:rPr>
        <w:t>（企业名称）</w:t>
      </w:r>
      <w:r>
        <w:rPr>
          <w:rFonts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ascii="宋体" w:hAnsi="宋体"/>
          <w:sz w:val="24"/>
        </w:rPr>
        <w:t>万元，属于</w:t>
      </w:r>
      <w:r>
        <w:rPr>
          <w:rFonts w:ascii="宋体" w:hAnsi="宋体"/>
          <w:sz w:val="24"/>
          <w:u w:val="single"/>
        </w:rPr>
        <w:t>（中型企业、小型企业、微型企业）</w:t>
      </w:r>
      <w:r>
        <w:rPr>
          <w:rFonts w:ascii="宋体" w:hAnsi="宋体"/>
          <w:sz w:val="24"/>
        </w:rPr>
        <w:t>；</w:t>
      </w:r>
    </w:p>
    <w:p w14:paraId="4D19A4C5">
      <w:pPr>
        <w:tabs>
          <w:tab w:val="left" w:pos="1065"/>
          <w:tab w:val="left" w:pos="6477"/>
        </w:tabs>
        <w:spacing w:line="360" w:lineRule="auto"/>
        <w:ind w:left="-426" w:right="-58" w:firstLine="655"/>
        <w:contextualSpacing/>
        <w:rPr>
          <w:rFonts w:ascii="宋体" w:hAnsi="宋体"/>
          <w:sz w:val="24"/>
        </w:rPr>
      </w:pPr>
      <w:r>
        <w:rPr>
          <w:rFonts w:ascii="宋体" w:hAnsi="宋体"/>
          <w:sz w:val="24"/>
        </w:rPr>
        <w:t>2.</w:t>
      </w:r>
      <w:r>
        <w:rPr>
          <w:rFonts w:ascii="宋体" w:hAnsi="宋体"/>
          <w:sz w:val="24"/>
          <w:u w:val="single"/>
        </w:rPr>
        <w:t>（标的名称）</w:t>
      </w:r>
      <w:r>
        <w:rPr>
          <w:rFonts w:ascii="宋体" w:hAnsi="宋体"/>
          <w:sz w:val="24"/>
        </w:rPr>
        <w:t>，属于</w:t>
      </w:r>
      <w:r>
        <w:rPr>
          <w:rFonts w:hint="eastAsia" w:ascii="宋体" w:hAnsi="宋体"/>
          <w:sz w:val="24"/>
          <w:u w:val="single"/>
        </w:rPr>
        <w:t xml:space="preserve"> （采购文件中明确的所属行业）  </w:t>
      </w:r>
      <w:r>
        <w:rPr>
          <w:rFonts w:ascii="宋体" w:hAnsi="宋体"/>
          <w:sz w:val="24"/>
        </w:rPr>
        <w:t>行业；制造商为</w:t>
      </w:r>
      <w:r>
        <w:rPr>
          <w:rFonts w:ascii="宋体" w:hAnsi="宋体"/>
          <w:sz w:val="24"/>
          <w:u w:val="single"/>
        </w:rPr>
        <w:t>（企业名称）</w:t>
      </w:r>
      <w:r>
        <w:rPr>
          <w:rFonts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ascii="宋体" w:hAnsi="宋体"/>
          <w:sz w:val="24"/>
        </w:rPr>
        <w:t>万元，属于</w:t>
      </w:r>
      <w:r>
        <w:rPr>
          <w:rFonts w:ascii="宋体" w:hAnsi="宋体"/>
          <w:sz w:val="24"/>
          <w:u w:val="single"/>
        </w:rPr>
        <w:t>（中型企业、小型企业、微型企业）</w:t>
      </w:r>
      <w:r>
        <w:rPr>
          <w:rFonts w:ascii="宋体" w:hAnsi="宋体"/>
          <w:sz w:val="24"/>
        </w:rPr>
        <w:t>；</w:t>
      </w:r>
    </w:p>
    <w:p w14:paraId="6CBA95A2">
      <w:pPr>
        <w:pStyle w:val="13"/>
        <w:spacing w:after="0" w:line="360" w:lineRule="auto"/>
        <w:ind w:left="142" w:right="142"/>
        <w:contextualSpacing/>
        <w:rPr>
          <w:rFonts w:ascii="宋体" w:hAnsi="宋体"/>
          <w:sz w:val="24"/>
        </w:rPr>
      </w:pPr>
      <w:r>
        <w:rPr>
          <w:rFonts w:ascii="宋体" w:hAnsi="宋体"/>
          <w:sz w:val="24"/>
        </w:rPr>
        <w:t xml:space="preserve">…… </w:t>
      </w:r>
    </w:p>
    <w:p w14:paraId="00BBA631">
      <w:pPr>
        <w:pStyle w:val="13"/>
        <w:spacing w:after="0" w:line="360" w:lineRule="auto"/>
        <w:ind w:left="-405" w:leftChars="-193" w:right="142" w:firstLine="453" w:firstLineChars="189"/>
        <w:contextualSpacing/>
        <w:rPr>
          <w:rFonts w:ascii="宋体" w:hAnsi="宋体"/>
          <w:sz w:val="24"/>
        </w:rPr>
      </w:pPr>
      <w:r>
        <w:rPr>
          <w:rFonts w:ascii="宋体" w:hAnsi="宋体"/>
          <w:sz w:val="24"/>
        </w:rPr>
        <w:t>以上企业，不属于大企业的分支机构，不存在控股股东为大企业的情形，也不存在与大企业的负责人为同一人的情形。</w:t>
      </w:r>
    </w:p>
    <w:p w14:paraId="6F318EF8">
      <w:pPr>
        <w:pStyle w:val="13"/>
        <w:spacing w:after="0" w:line="360" w:lineRule="auto"/>
        <w:ind w:left="-426" w:right="142" w:firstLine="567"/>
        <w:contextualSpacing/>
        <w:rPr>
          <w:rFonts w:ascii="宋体" w:hAnsi="宋体"/>
          <w:sz w:val="24"/>
        </w:rPr>
      </w:pPr>
      <w:r>
        <w:rPr>
          <w:rFonts w:ascii="宋体" w:hAnsi="宋体"/>
          <w:sz w:val="24"/>
        </w:rPr>
        <w:t>本企业对上述声明内容的真实性负责。如有虚假，将依法承担相应责任。</w:t>
      </w:r>
    </w:p>
    <w:p w14:paraId="2F8C225D">
      <w:pPr>
        <w:pStyle w:val="13"/>
        <w:spacing w:after="0" w:line="360" w:lineRule="auto"/>
        <w:ind w:left="3960" w:right="1808"/>
        <w:contextualSpacing/>
        <w:rPr>
          <w:rFonts w:ascii="宋体" w:hAnsi="宋体"/>
          <w:sz w:val="24"/>
        </w:rPr>
      </w:pPr>
    </w:p>
    <w:p w14:paraId="08B095E6">
      <w:pPr>
        <w:pStyle w:val="13"/>
        <w:spacing w:after="0" w:line="360" w:lineRule="auto"/>
        <w:ind w:right="1808" w:firstLine="5760" w:firstLineChars="2400"/>
        <w:contextualSpacing/>
        <w:rPr>
          <w:rFonts w:ascii="宋体" w:hAnsi="宋体"/>
          <w:sz w:val="24"/>
        </w:rPr>
      </w:pPr>
      <w:r>
        <w:rPr>
          <w:rFonts w:ascii="宋体" w:hAnsi="宋体"/>
          <w:sz w:val="24"/>
        </w:rPr>
        <w:t xml:space="preserve">企业名称（章）： </w:t>
      </w:r>
    </w:p>
    <w:p w14:paraId="01C779A8">
      <w:pPr>
        <w:pStyle w:val="13"/>
        <w:spacing w:after="0" w:line="360" w:lineRule="auto"/>
        <w:ind w:right="1808" w:firstLine="6720" w:firstLineChars="2800"/>
        <w:contextualSpacing/>
        <w:rPr>
          <w:rFonts w:ascii="宋体" w:hAnsi="宋体"/>
          <w:sz w:val="24"/>
        </w:rPr>
      </w:pPr>
      <w:r>
        <w:rPr>
          <w:rFonts w:ascii="宋体" w:hAnsi="宋体"/>
          <w:sz w:val="24"/>
        </w:rPr>
        <w:t>日</w:t>
      </w:r>
      <w:r>
        <w:rPr>
          <w:rFonts w:hint="eastAsia" w:ascii="宋体" w:hAnsi="宋体"/>
          <w:sz w:val="24"/>
        </w:rPr>
        <w:t xml:space="preserve"> </w:t>
      </w:r>
      <w:r>
        <w:rPr>
          <w:rFonts w:ascii="宋体" w:hAnsi="宋体"/>
          <w:sz w:val="24"/>
        </w:rPr>
        <w:t>期：</w:t>
      </w:r>
    </w:p>
    <w:p w14:paraId="191162DF">
      <w:pPr>
        <w:pStyle w:val="13"/>
        <w:spacing w:after="0" w:line="360" w:lineRule="auto"/>
        <w:ind w:left="3960" w:right="1808"/>
        <w:contextualSpacing/>
      </w:pPr>
    </w:p>
    <w:p w14:paraId="6FA59BF4">
      <w:pPr>
        <w:spacing w:line="360" w:lineRule="auto"/>
        <w:contextualSpacing/>
        <w:jc w:val="left"/>
        <w:rPr>
          <w:rFonts w:ascii="宋体" w:hAnsi="宋体" w:cs="仿宋_GB2312"/>
          <w:sz w:val="24"/>
        </w:rPr>
      </w:pPr>
      <w:r>
        <w:rPr>
          <w:rFonts w:hint="eastAsia" w:ascii="宋体" w:hAnsi="宋体" w:cs="仿宋_GB2312"/>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7ED095C">
      <w:pPr>
        <w:spacing w:line="360" w:lineRule="auto"/>
        <w:contextualSpacing/>
        <w:jc w:val="center"/>
        <w:rPr>
          <w:rFonts w:ascii="宋体" w:hAnsi="宋体"/>
          <w:sz w:val="24"/>
        </w:rPr>
      </w:pPr>
    </w:p>
    <w:p w14:paraId="7648FB25">
      <w:pPr>
        <w:spacing w:line="360" w:lineRule="auto"/>
        <w:contextualSpacing/>
        <w:jc w:val="center"/>
        <w:rPr>
          <w:rFonts w:ascii="宋体" w:hAnsi="宋体"/>
          <w:sz w:val="24"/>
        </w:rPr>
      </w:pPr>
    </w:p>
    <w:p w14:paraId="48421D4F">
      <w:pPr>
        <w:pStyle w:val="16"/>
        <w:jc w:val="left"/>
        <w:rPr>
          <w:rFonts w:ascii="Arial Unicode MS" w:hAnsi="Arial Unicode MS" w:eastAsia="Arial Unicode MS" w:cs="Arial Unicode MS"/>
          <w:sz w:val="32"/>
          <w:szCs w:val="32"/>
        </w:rPr>
      </w:pPr>
      <w:r>
        <w:rPr>
          <w:rFonts w:ascii="Arial Unicode MS" w:hAnsi="Arial Unicode MS" w:eastAsia="Arial Unicode MS" w:cs="Arial Unicode MS"/>
          <w:sz w:val="32"/>
          <w:szCs w:val="32"/>
        </w:rPr>
        <w:br w:type="page"/>
      </w:r>
      <w:r>
        <w:rPr>
          <w:rFonts w:hint="eastAsia" w:ascii="Arial Unicode MS" w:hAnsi="Arial Unicode MS" w:eastAsia="Arial Unicode MS" w:cs="Arial Unicode MS"/>
          <w:sz w:val="32"/>
          <w:szCs w:val="32"/>
        </w:rPr>
        <w:t>附：</w:t>
      </w:r>
    </w:p>
    <w:p w14:paraId="474B7DE1">
      <w:pPr>
        <w:jc w:val="center"/>
        <w:rPr>
          <w:rFonts w:ascii="宋体" w:hAnsi="宋体" w:cs="Arial Unicode MS"/>
          <w:sz w:val="44"/>
          <w:szCs w:val="44"/>
        </w:rPr>
      </w:pPr>
      <w:r>
        <w:rPr>
          <w:rFonts w:hint="eastAsia" w:ascii="宋体" w:hAnsi="宋体" w:cs="Arial Unicode MS"/>
          <w:sz w:val="44"/>
          <w:szCs w:val="44"/>
        </w:rPr>
        <w:t>中小微企业划型标准</w:t>
      </w:r>
    </w:p>
    <w:p w14:paraId="5B65C402">
      <w:pPr>
        <w:ind w:left="1871"/>
        <w:rPr>
          <w:rFonts w:ascii="宋体" w:hAnsi="宋体" w:cs="Arial Unicode MS"/>
          <w:szCs w:val="21"/>
        </w:rPr>
      </w:pPr>
    </w:p>
    <w:tbl>
      <w:tblPr>
        <w:tblStyle w:val="27"/>
        <w:tblW w:w="8918" w:type="dxa"/>
        <w:jc w:val="center"/>
        <w:tblLayout w:type="fixed"/>
        <w:tblCellMar>
          <w:top w:w="0" w:type="dxa"/>
          <w:left w:w="108" w:type="dxa"/>
          <w:bottom w:w="0" w:type="dxa"/>
          <w:right w:w="108" w:type="dxa"/>
        </w:tblCellMar>
      </w:tblPr>
      <w:tblGrid>
        <w:gridCol w:w="1900"/>
        <w:gridCol w:w="1546"/>
        <w:gridCol w:w="1020"/>
        <w:gridCol w:w="1810"/>
        <w:gridCol w:w="1609"/>
        <w:gridCol w:w="1033"/>
      </w:tblGrid>
      <w:tr w14:paraId="36638D3A">
        <w:tblPrEx>
          <w:tblCellMar>
            <w:top w:w="0" w:type="dxa"/>
            <w:left w:w="108" w:type="dxa"/>
            <w:bottom w:w="0" w:type="dxa"/>
            <w:right w:w="108" w:type="dxa"/>
          </w:tblCellMar>
        </w:tblPrEx>
        <w:trPr>
          <w:trHeight w:val="285" w:hRule="atLeast"/>
          <w:jc w:val="center"/>
        </w:trPr>
        <w:tc>
          <w:tcPr>
            <w:tcW w:w="1900" w:type="dxa"/>
            <w:tcBorders>
              <w:top w:val="single" w:color="auto" w:sz="4" w:space="0"/>
              <w:left w:val="single" w:color="auto" w:sz="4" w:space="0"/>
              <w:bottom w:val="single" w:color="auto" w:sz="4" w:space="0"/>
              <w:right w:val="single" w:color="auto" w:sz="4" w:space="0"/>
            </w:tcBorders>
            <w:vAlign w:val="center"/>
          </w:tcPr>
          <w:p w14:paraId="496FBED0">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546" w:type="dxa"/>
            <w:tcBorders>
              <w:top w:val="single" w:color="auto" w:sz="4" w:space="0"/>
              <w:left w:val="nil"/>
              <w:bottom w:val="single" w:color="auto" w:sz="4" w:space="0"/>
              <w:right w:val="single" w:color="auto" w:sz="4" w:space="0"/>
            </w:tcBorders>
            <w:vAlign w:val="center"/>
          </w:tcPr>
          <w:p w14:paraId="736AF9B8">
            <w:pPr>
              <w:widowControl/>
              <w:jc w:val="left"/>
              <w:rPr>
                <w:rFonts w:ascii="仿宋_GB2312" w:hAnsi="仿宋" w:eastAsia="仿宋_GB2312" w:cs="宋体"/>
                <w:b/>
                <w:kern w:val="0"/>
                <w:sz w:val="24"/>
              </w:rPr>
            </w:pPr>
            <w:r>
              <w:rPr>
                <w:rFonts w:hint="eastAsia" w:ascii="仿宋_GB2312" w:hAnsi="仿宋" w:eastAsia="仿宋_GB2312" w:cs="宋体"/>
                <w:b/>
                <w:kern w:val="0"/>
                <w:sz w:val="24"/>
              </w:rPr>
              <w:t>指标名称</w:t>
            </w:r>
          </w:p>
        </w:tc>
        <w:tc>
          <w:tcPr>
            <w:tcW w:w="1020" w:type="dxa"/>
            <w:tcBorders>
              <w:top w:val="single" w:color="auto" w:sz="4" w:space="0"/>
              <w:left w:val="nil"/>
              <w:bottom w:val="single" w:color="auto" w:sz="4" w:space="0"/>
              <w:right w:val="single" w:color="auto" w:sz="4" w:space="0"/>
            </w:tcBorders>
            <w:vAlign w:val="center"/>
          </w:tcPr>
          <w:p w14:paraId="52F35070">
            <w:pPr>
              <w:widowControl/>
              <w:jc w:val="left"/>
              <w:rPr>
                <w:rFonts w:ascii="仿宋_GB2312" w:hAnsi="仿宋" w:eastAsia="仿宋_GB2312" w:cs="宋体"/>
                <w:b/>
                <w:kern w:val="0"/>
                <w:sz w:val="24"/>
              </w:rPr>
            </w:pPr>
            <w:r>
              <w:rPr>
                <w:rFonts w:hint="eastAsia" w:ascii="仿宋_GB2312" w:hAnsi="仿宋" w:eastAsia="仿宋_GB2312" w:cs="宋体"/>
                <w:b/>
                <w:kern w:val="0"/>
                <w:sz w:val="24"/>
              </w:rPr>
              <w:t>计量单位</w:t>
            </w:r>
          </w:p>
        </w:tc>
        <w:tc>
          <w:tcPr>
            <w:tcW w:w="1810" w:type="dxa"/>
            <w:tcBorders>
              <w:top w:val="single" w:color="auto" w:sz="4" w:space="0"/>
              <w:left w:val="nil"/>
              <w:bottom w:val="single" w:color="auto" w:sz="4" w:space="0"/>
              <w:right w:val="single" w:color="auto" w:sz="4" w:space="0"/>
            </w:tcBorders>
            <w:vAlign w:val="center"/>
          </w:tcPr>
          <w:p w14:paraId="2BC81BF4">
            <w:pPr>
              <w:widowControl/>
              <w:jc w:val="left"/>
              <w:rPr>
                <w:rFonts w:ascii="仿宋_GB2312" w:hAnsi="仿宋" w:eastAsia="仿宋_GB2312" w:cs="宋体"/>
                <w:b/>
                <w:kern w:val="0"/>
                <w:sz w:val="24"/>
              </w:rPr>
            </w:pPr>
            <w:r>
              <w:rPr>
                <w:rFonts w:hint="eastAsia" w:ascii="仿宋_GB2312" w:hAnsi="仿宋" w:eastAsia="仿宋_GB2312" w:cs="宋体"/>
                <w:b/>
                <w:kern w:val="0"/>
                <w:sz w:val="24"/>
              </w:rPr>
              <w:t>中型</w:t>
            </w:r>
          </w:p>
        </w:tc>
        <w:tc>
          <w:tcPr>
            <w:tcW w:w="1609" w:type="dxa"/>
            <w:tcBorders>
              <w:top w:val="single" w:color="auto" w:sz="4" w:space="0"/>
              <w:left w:val="nil"/>
              <w:bottom w:val="single" w:color="auto" w:sz="4" w:space="0"/>
              <w:right w:val="single" w:color="auto" w:sz="4" w:space="0"/>
            </w:tcBorders>
            <w:vAlign w:val="center"/>
          </w:tcPr>
          <w:p w14:paraId="69F57360">
            <w:pPr>
              <w:widowControl/>
              <w:jc w:val="left"/>
              <w:rPr>
                <w:rFonts w:ascii="仿宋_GB2312" w:hAnsi="仿宋" w:eastAsia="仿宋_GB2312" w:cs="宋体"/>
                <w:b/>
                <w:kern w:val="0"/>
                <w:sz w:val="24"/>
              </w:rPr>
            </w:pPr>
            <w:r>
              <w:rPr>
                <w:rFonts w:hint="eastAsia" w:ascii="仿宋_GB2312" w:hAnsi="仿宋" w:eastAsia="仿宋_GB2312" w:cs="宋体"/>
                <w:b/>
                <w:kern w:val="0"/>
                <w:sz w:val="24"/>
              </w:rPr>
              <w:t>小型</w:t>
            </w:r>
          </w:p>
        </w:tc>
        <w:tc>
          <w:tcPr>
            <w:tcW w:w="1033" w:type="dxa"/>
            <w:tcBorders>
              <w:top w:val="single" w:color="auto" w:sz="4" w:space="0"/>
              <w:left w:val="nil"/>
              <w:bottom w:val="single" w:color="auto" w:sz="4" w:space="0"/>
              <w:right w:val="single" w:color="auto" w:sz="4" w:space="0"/>
            </w:tcBorders>
            <w:vAlign w:val="center"/>
          </w:tcPr>
          <w:p w14:paraId="47D8D7C2">
            <w:pPr>
              <w:widowControl/>
              <w:jc w:val="left"/>
              <w:rPr>
                <w:rFonts w:ascii="仿宋_GB2312" w:hAnsi="仿宋" w:eastAsia="仿宋_GB2312" w:cs="宋体"/>
                <w:b/>
                <w:kern w:val="0"/>
                <w:sz w:val="24"/>
              </w:rPr>
            </w:pPr>
            <w:r>
              <w:rPr>
                <w:rFonts w:hint="eastAsia" w:ascii="仿宋_GB2312" w:hAnsi="仿宋" w:eastAsia="仿宋_GB2312" w:cs="宋体"/>
                <w:b/>
                <w:kern w:val="0"/>
                <w:sz w:val="24"/>
              </w:rPr>
              <w:t>微型</w:t>
            </w:r>
          </w:p>
        </w:tc>
      </w:tr>
      <w:tr w14:paraId="28ABB315">
        <w:tblPrEx>
          <w:tblCellMar>
            <w:top w:w="0" w:type="dxa"/>
            <w:left w:w="108" w:type="dxa"/>
            <w:bottom w:w="0" w:type="dxa"/>
            <w:right w:w="108" w:type="dxa"/>
          </w:tblCellMar>
        </w:tblPrEx>
        <w:trPr>
          <w:trHeight w:val="225" w:hRule="atLeast"/>
          <w:jc w:val="center"/>
        </w:trPr>
        <w:tc>
          <w:tcPr>
            <w:tcW w:w="1900" w:type="dxa"/>
            <w:tcBorders>
              <w:top w:val="nil"/>
              <w:left w:val="single" w:color="auto" w:sz="4" w:space="0"/>
              <w:bottom w:val="single" w:color="auto" w:sz="4" w:space="0"/>
              <w:right w:val="single" w:color="auto" w:sz="4" w:space="0"/>
            </w:tcBorders>
            <w:vAlign w:val="bottom"/>
          </w:tcPr>
          <w:p w14:paraId="2012D0D6">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546" w:type="dxa"/>
            <w:tcBorders>
              <w:top w:val="nil"/>
              <w:left w:val="nil"/>
              <w:bottom w:val="single" w:color="auto" w:sz="4" w:space="0"/>
              <w:right w:val="single" w:color="auto" w:sz="4" w:space="0"/>
            </w:tcBorders>
            <w:vAlign w:val="center"/>
          </w:tcPr>
          <w:p w14:paraId="5373653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020" w:type="dxa"/>
            <w:tcBorders>
              <w:top w:val="nil"/>
              <w:left w:val="nil"/>
              <w:bottom w:val="single" w:color="auto" w:sz="4" w:space="0"/>
              <w:right w:val="single" w:color="auto" w:sz="4" w:space="0"/>
            </w:tcBorders>
            <w:vAlign w:val="center"/>
          </w:tcPr>
          <w:p w14:paraId="02E62DE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10" w:type="dxa"/>
            <w:tcBorders>
              <w:top w:val="nil"/>
              <w:left w:val="nil"/>
              <w:bottom w:val="single" w:color="auto" w:sz="4" w:space="0"/>
              <w:right w:val="single" w:color="auto" w:sz="4" w:space="0"/>
            </w:tcBorders>
            <w:vAlign w:val="center"/>
          </w:tcPr>
          <w:p w14:paraId="6F9E541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609" w:type="dxa"/>
            <w:tcBorders>
              <w:top w:val="nil"/>
              <w:left w:val="nil"/>
              <w:bottom w:val="single" w:color="auto" w:sz="4" w:space="0"/>
              <w:right w:val="single" w:color="auto" w:sz="4" w:space="0"/>
            </w:tcBorders>
            <w:vAlign w:val="center"/>
          </w:tcPr>
          <w:p w14:paraId="35A665A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1033" w:type="dxa"/>
            <w:tcBorders>
              <w:top w:val="nil"/>
              <w:left w:val="nil"/>
              <w:bottom w:val="single" w:color="auto" w:sz="4" w:space="0"/>
              <w:right w:val="single" w:color="auto" w:sz="4" w:space="0"/>
            </w:tcBorders>
            <w:vAlign w:val="center"/>
          </w:tcPr>
          <w:p w14:paraId="3D728F3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2C965421">
        <w:tblPrEx>
          <w:tblCellMar>
            <w:top w:w="0" w:type="dxa"/>
            <w:left w:w="108" w:type="dxa"/>
            <w:bottom w:w="0" w:type="dxa"/>
            <w:right w:w="108" w:type="dxa"/>
          </w:tblCellMar>
        </w:tblPrEx>
        <w:trPr>
          <w:trHeight w:val="225" w:hRule="atLeast"/>
          <w:jc w:val="center"/>
        </w:trPr>
        <w:tc>
          <w:tcPr>
            <w:tcW w:w="1900" w:type="dxa"/>
            <w:vMerge w:val="restart"/>
            <w:tcBorders>
              <w:top w:val="nil"/>
              <w:left w:val="single" w:color="auto" w:sz="4" w:space="0"/>
              <w:bottom w:val="single" w:color="auto" w:sz="4" w:space="0"/>
              <w:right w:val="single" w:color="auto" w:sz="4" w:space="0"/>
            </w:tcBorders>
            <w:vAlign w:val="bottom"/>
          </w:tcPr>
          <w:p w14:paraId="13610632">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546" w:type="dxa"/>
            <w:tcBorders>
              <w:top w:val="nil"/>
              <w:left w:val="nil"/>
              <w:bottom w:val="single" w:color="auto" w:sz="4" w:space="0"/>
              <w:right w:val="single" w:color="auto" w:sz="4" w:space="0"/>
            </w:tcBorders>
            <w:vAlign w:val="center"/>
          </w:tcPr>
          <w:p w14:paraId="20609E8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020" w:type="dxa"/>
            <w:tcBorders>
              <w:top w:val="nil"/>
              <w:left w:val="nil"/>
              <w:bottom w:val="single" w:color="auto" w:sz="4" w:space="0"/>
              <w:right w:val="single" w:color="auto" w:sz="4" w:space="0"/>
            </w:tcBorders>
            <w:vAlign w:val="center"/>
          </w:tcPr>
          <w:p w14:paraId="79BF355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10" w:type="dxa"/>
            <w:tcBorders>
              <w:top w:val="nil"/>
              <w:left w:val="nil"/>
              <w:bottom w:val="single" w:color="auto" w:sz="4" w:space="0"/>
              <w:right w:val="single" w:color="auto" w:sz="4" w:space="0"/>
            </w:tcBorders>
            <w:vAlign w:val="center"/>
          </w:tcPr>
          <w:p w14:paraId="24FB670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609" w:type="dxa"/>
            <w:tcBorders>
              <w:top w:val="nil"/>
              <w:left w:val="nil"/>
              <w:bottom w:val="single" w:color="auto" w:sz="4" w:space="0"/>
              <w:right w:val="single" w:color="auto" w:sz="4" w:space="0"/>
            </w:tcBorders>
            <w:vAlign w:val="center"/>
          </w:tcPr>
          <w:p w14:paraId="3B715FC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033" w:type="dxa"/>
            <w:tcBorders>
              <w:top w:val="nil"/>
              <w:left w:val="nil"/>
              <w:bottom w:val="single" w:color="auto" w:sz="4" w:space="0"/>
              <w:right w:val="single" w:color="auto" w:sz="4" w:space="0"/>
            </w:tcBorders>
            <w:vAlign w:val="center"/>
          </w:tcPr>
          <w:p w14:paraId="2BA011B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6C3AB4ED">
        <w:tblPrEx>
          <w:tblCellMar>
            <w:top w:w="0" w:type="dxa"/>
            <w:left w:w="108" w:type="dxa"/>
            <w:bottom w:w="0" w:type="dxa"/>
            <w:right w:w="108" w:type="dxa"/>
          </w:tblCellMar>
        </w:tblPrEx>
        <w:trPr>
          <w:trHeight w:val="225" w:hRule="atLeast"/>
          <w:jc w:val="center"/>
        </w:trPr>
        <w:tc>
          <w:tcPr>
            <w:tcW w:w="1900" w:type="dxa"/>
            <w:vMerge w:val="continue"/>
            <w:tcBorders>
              <w:top w:val="nil"/>
              <w:left w:val="single" w:color="auto" w:sz="4" w:space="0"/>
              <w:bottom w:val="single" w:color="auto" w:sz="4" w:space="0"/>
              <w:right w:val="single" w:color="auto" w:sz="4" w:space="0"/>
            </w:tcBorders>
            <w:vAlign w:val="center"/>
          </w:tcPr>
          <w:p w14:paraId="72D0B2E2">
            <w:pPr>
              <w:widowControl/>
              <w:jc w:val="left"/>
              <w:rPr>
                <w:rFonts w:ascii="仿宋_GB2312" w:hAnsi="仿宋" w:eastAsia="仿宋_GB2312" w:cs="宋体"/>
                <w:b/>
                <w:bCs/>
                <w:kern w:val="0"/>
                <w:sz w:val="18"/>
                <w:szCs w:val="18"/>
              </w:rPr>
            </w:pPr>
          </w:p>
        </w:tc>
        <w:tc>
          <w:tcPr>
            <w:tcW w:w="1546" w:type="dxa"/>
            <w:tcBorders>
              <w:top w:val="nil"/>
              <w:left w:val="nil"/>
              <w:bottom w:val="single" w:color="auto" w:sz="4" w:space="0"/>
              <w:right w:val="single" w:color="auto" w:sz="4" w:space="0"/>
            </w:tcBorders>
            <w:vAlign w:val="center"/>
          </w:tcPr>
          <w:p w14:paraId="5FB674E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020" w:type="dxa"/>
            <w:tcBorders>
              <w:top w:val="nil"/>
              <w:left w:val="nil"/>
              <w:bottom w:val="single" w:color="auto" w:sz="4" w:space="0"/>
              <w:right w:val="single" w:color="auto" w:sz="4" w:space="0"/>
            </w:tcBorders>
            <w:vAlign w:val="center"/>
          </w:tcPr>
          <w:p w14:paraId="337C6B0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10" w:type="dxa"/>
            <w:tcBorders>
              <w:top w:val="nil"/>
              <w:left w:val="nil"/>
              <w:bottom w:val="single" w:color="auto" w:sz="4" w:space="0"/>
              <w:right w:val="single" w:color="auto" w:sz="4" w:space="0"/>
            </w:tcBorders>
            <w:vAlign w:val="center"/>
          </w:tcPr>
          <w:p w14:paraId="30CEDF6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609" w:type="dxa"/>
            <w:tcBorders>
              <w:top w:val="nil"/>
              <w:left w:val="nil"/>
              <w:bottom w:val="single" w:color="auto" w:sz="4" w:space="0"/>
              <w:right w:val="single" w:color="auto" w:sz="4" w:space="0"/>
            </w:tcBorders>
            <w:vAlign w:val="center"/>
          </w:tcPr>
          <w:p w14:paraId="37E388E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1033" w:type="dxa"/>
            <w:tcBorders>
              <w:top w:val="nil"/>
              <w:left w:val="nil"/>
              <w:bottom w:val="single" w:color="auto" w:sz="4" w:space="0"/>
              <w:right w:val="single" w:color="auto" w:sz="4" w:space="0"/>
            </w:tcBorders>
            <w:vAlign w:val="center"/>
          </w:tcPr>
          <w:p w14:paraId="694EEA3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7CF27D99">
        <w:tblPrEx>
          <w:tblCellMar>
            <w:top w:w="0" w:type="dxa"/>
            <w:left w:w="108" w:type="dxa"/>
            <w:bottom w:w="0" w:type="dxa"/>
            <w:right w:w="108" w:type="dxa"/>
          </w:tblCellMar>
        </w:tblPrEx>
        <w:trPr>
          <w:trHeight w:val="225" w:hRule="atLeast"/>
          <w:jc w:val="center"/>
        </w:trPr>
        <w:tc>
          <w:tcPr>
            <w:tcW w:w="1900" w:type="dxa"/>
            <w:vMerge w:val="restart"/>
            <w:tcBorders>
              <w:top w:val="nil"/>
              <w:left w:val="single" w:color="auto" w:sz="4" w:space="0"/>
              <w:bottom w:val="single" w:color="auto" w:sz="4" w:space="0"/>
              <w:right w:val="single" w:color="auto" w:sz="4" w:space="0"/>
            </w:tcBorders>
            <w:vAlign w:val="bottom"/>
          </w:tcPr>
          <w:p w14:paraId="6D567EFA">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546" w:type="dxa"/>
            <w:tcBorders>
              <w:top w:val="nil"/>
              <w:left w:val="nil"/>
              <w:bottom w:val="single" w:color="auto" w:sz="4" w:space="0"/>
              <w:right w:val="single" w:color="auto" w:sz="4" w:space="0"/>
            </w:tcBorders>
            <w:vAlign w:val="center"/>
          </w:tcPr>
          <w:p w14:paraId="2B04AA8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020" w:type="dxa"/>
            <w:tcBorders>
              <w:top w:val="nil"/>
              <w:left w:val="nil"/>
              <w:bottom w:val="single" w:color="auto" w:sz="4" w:space="0"/>
              <w:right w:val="single" w:color="auto" w:sz="4" w:space="0"/>
            </w:tcBorders>
            <w:vAlign w:val="center"/>
          </w:tcPr>
          <w:p w14:paraId="587BBC8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10" w:type="dxa"/>
            <w:tcBorders>
              <w:top w:val="nil"/>
              <w:left w:val="nil"/>
              <w:bottom w:val="single" w:color="auto" w:sz="4" w:space="0"/>
              <w:right w:val="single" w:color="auto" w:sz="4" w:space="0"/>
            </w:tcBorders>
            <w:vAlign w:val="center"/>
          </w:tcPr>
          <w:p w14:paraId="1D31519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609" w:type="dxa"/>
            <w:tcBorders>
              <w:top w:val="nil"/>
              <w:left w:val="nil"/>
              <w:bottom w:val="single" w:color="auto" w:sz="4" w:space="0"/>
              <w:right w:val="single" w:color="auto" w:sz="4" w:space="0"/>
            </w:tcBorders>
            <w:vAlign w:val="center"/>
          </w:tcPr>
          <w:p w14:paraId="4144D5A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1033" w:type="dxa"/>
            <w:tcBorders>
              <w:top w:val="nil"/>
              <w:left w:val="nil"/>
              <w:bottom w:val="single" w:color="auto" w:sz="4" w:space="0"/>
              <w:right w:val="single" w:color="auto" w:sz="4" w:space="0"/>
            </w:tcBorders>
            <w:vAlign w:val="center"/>
          </w:tcPr>
          <w:p w14:paraId="2B9A3D4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437FC782">
        <w:tblPrEx>
          <w:tblCellMar>
            <w:top w:w="0" w:type="dxa"/>
            <w:left w:w="108" w:type="dxa"/>
            <w:bottom w:w="0" w:type="dxa"/>
            <w:right w:w="108" w:type="dxa"/>
          </w:tblCellMar>
        </w:tblPrEx>
        <w:trPr>
          <w:trHeight w:val="225" w:hRule="atLeast"/>
          <w:jc w:val="center"/>
        </w:trPr>
        <w:tc>
          <w:tcPr>
            <w:tcW w:w="1900" w:type="dxa"/>
            <w:vMerge w:val="continue"/>
            <w:tcBorders>
              <w:top w:val="nil"/>
              <w:left w:val="single" w:color="auto" w:sz="4" w:space="0"/>
              <w:bottom w:val="single" w:color="auto" w:sz="4" w:space="0"/>
              <w:right w:val="single" w:color="auto" w:sz="4" w:space="0"/>
            </w:tcBorders>
            <w:vAlign w:val="center"/>
          </w:tcPr>
          <w:p w14:paraId="4A6615EA">
            <w:pPr>
              <w:widowControl/>
              <w:jc w:val="left"/>
              <w:rPr>
                <w:rFonts w:ascii="仿宋_GB2312" w:hAnsi="仿宋" w:eastAsia="仿宋_GB2312" w:cs="宋体"/>
                <w:b/>
                <w:bCs/>
                <w:kern w:val="0"/>
                <w:sz w:val="18"/>
                <w:szCs w:val="18"/>
              </w:rPr>
            </w:pPr>
          </w:p>
        </w:tc>
        <w:tc>
          <w:tcPr>
            <w:tcW w:w="1546" w:type="dxa"/>
            <w:tcBorders>
              <w:top w:val="nil"/>
              <w:left w:val="nil"/>
              <w:bottom w:val="single" w:color="auto" w:sz="4" w:space="0"/>
              <w:right w:val="single" w:color="auto" w:sz="4" w:space="0"/>
            </w:tcBorders>
            <w:vAlign w:val="center"/>
          </w:tcPr>
          <w:p w14:paraId="5A95A3C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1020" w:type="dxa"/>
            <w:tcBorders>
              <w:top w:val="nil"/>
              <w:left w:val="nil"/>
              <w:bottom w:val="single" w:color="auto" w:sz="4" w:space="0"/>
              <w:right w:val="single" w:color="auto" w:sz="4" w:space="0"/>
            </w:tcBorders>
            <w:vAlign w:val="center"/>
          </w:tcPr>
          <w:p w14:paraId="059126B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10" w:type="dxa"/>
            <w:tcBorders>
              <w:top w:val="nil"/>
              <w:left w:val="nil"/>
              <w:bottom w:val="single" w:color="auto" w:sz="4" w:space="0"/>
              <w:right w:val="single" w:color="auto" w:sz="4" w:space="0"/>
            </w:tcBorders>
            <w:vAlign w:val="center"/>
          </w:tcPr>
          <w:p w14:paraId="5D6DEC8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609" w:type="dxa"/>
            <w:tcBorders>
              <w:top w:val="nil"/>
              <w:left w:val="nil"/>
              <w:bottom w:val="single" w:color="auto" w:sz="4" w:space="0"/>
              <w:right w:val="single" w:color="auto" w:sz="4" w:space="0"/>
            </w:tcBorders>
            <w:vAlign w:val="center"/>
          </w:tcPr>
          <w:p w14:paraId="6BAF58B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1033" w:type="dxa"/>
            <w:tcBorders>
              <w:top w:val="nil"/>
              <w:left w:val="nil"/>
              <w:bottom w:val="single" w:color="auto" w:sz="4" w:space="0"/>
              <w:right w:val="single" w:color="auto" w:sz="4" w:space="0"/>
            </w:tcBorders>
            <w:vAlign w:val="center"/>
          </w:tcPr>
          <w:p w14:paraId="40E797C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Z＜300</w:t>
            </w:r>
          </w:p>
        </w:tc>
      </w:tr>
      <w:tr w14:paraId="30684952">
        <w:tblPrEx>
          <w:tblCellMar>
            <w:top w:w="0" w:type="dxa"/>
            <w:left w:w="108" w:type="dxa"/>
            <w:bottom w:w="0" w:type="dxa"/>
            <w:right w:w="108" w:type="dxa"/>
          </w:tblCellMar>
        </w:tblPrEx>
        <w:trPr>
          <w:trHeight w:val="225" w:hRule="atLeast"/>
          <w:jc w:val="center"/>
        </w:trPr>
        <w:tc>
          <w:tcPr>
            <w:tcW w:w="1900" w:type="dxa"/>
            <w:vMerge w:val="restart"/>
            <w:tcBorders>
              <w:top w:val="nil"/>
              <w:left w:val="single" w:color="auto" w:sz="4" w:space="0"/>
              <w:bottom w:val="single" w:color="auto" w:sz="4" w:space="0"/>
              <w:right w:val="single" w:color="auto" w:sz="4" w:space="0"/>
            </w:tcBorders>
            <w:vAlign w:val="bottom"/>
          </w:tcPr>
          <w:p w14:paraId="793CC348">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546" w:type="dxa"/>
            <w:tcBorders>
              <w:top w:val="nil"/>
              <w:left w:val="nil"/>
              <w:bottom w:val="single" w:color="auto" w:sz="4" w:space="0"/>
              <w:right w:val="single" w:color="auto" w:sz="4" w:space="0"/>
            </w:tcBorders>
            <w:vAlign w:val="center"/>
          </w:tcPr>
          <w:p w14:paraId="2765EB5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020" w:type="dxa"/>
            <w:tcBorders>
              <w:top w:val="nil"/>
              <w:left w:val="nil"/>
              <w:bottom w:val="single" w:color="auto" w:sz="4" w:space="0"/>
              <w:right w:val="single" w:color="auto" w:sz="4" w:space="0"/>
            </w:tcBorders>
            <w:vAlign w:val="center"/>
          </w:tcPr>
          <w:p w14:paraId="4EF7680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10" w:type="dxa"/>
            <w:tcBorders>
              <w:top w:val="nil"/>
              <w:left w:val="nil"/>
              <w:bottom w:val="single" w:color="auto" w:sz="4" w:space="0"/>
              <w:right w:val="single" w:color="auto" w:sz="4" w:space="0"/>
            </w:tcBorders>
            <w:vAlign w:val="center"/>
          </w:tcPr>
          <w:p w14:paraId="5BF1C9C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609" w:type="dxa"/>
            <w:tcBorders>
              <w:top w:val="nil"/>
              <w:left w:val="nil"/>
              <w:bottom w:val="single" w:color="auto" w:sz="4" w:space="0"/>
              <w:right w:val="single" w:color="auto" w:sz="4" w:space="0"/>
            </w:tcBorders>
            <w:vAlign w:val="center"/>
          </w:tcPr>
          <w:p w14:paraId="52DBC7F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1033" w:type="dxa"/>
            <w:tcBorders>
              <w:top w:val="nil"/>
              <w:left w:val="nil"/>
              <w:bottom w:val="single" w:color="auto" w:sz="4" w:space="0"/>
              <w:right w:val="single" w:color="auto" w:sz="4" w:space="0"/>
            </w:tcBorders>
            <w:vAlign w:val="center"/>
          </w:tcPr>
          <w:p w14:paraId="7D84866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X＜5</w:t>
            </w:r>
          </w:p>
        </w:tc>
      </w:tr>
      <w:tr w14:paraId="3952BE1B">
        <w:tblPrEx>
          <w:tblCellMar>
            <w:top w:w="0" w:type="dxa"/>
            <w:left w:w="108" w:type="dxa"/>
            <w:bottom w:w="0" w:type="dxa"/>
            <w:right w:w="108" w:type="dxa"/>
          </w:tblCellMar>
        </w:tblPrEx>
        <w:trPr>
          <w:trHeight w:val="225" w:hRule="atLeast"/>
          <w:jc w:val="center"/>
        </w:trPr>
        <w:tc>
          <w:tcPr>
            <w:tcW w:w="1900" w:type="dxa"/>
            <w:vMerge w:val="continue"/>
            <w:tcBorders>
              <w:top w:val="nil"/>
              <w:left w:val="single" w:color="auto" w:sz="4" w:space="0"/>
              <w:bottom w:val="single" w:color="auto" w:sz="4" w:space="0"/>
              <w:right w:val="single" w:color="auto" w:sz="4" w:space="0"/>
            </w:tcBorders>
            <w:vAlign w:val="center"/>
          </w:tcPr>
          <w:p w14:paraId="342DC7B5">
            <w:pPr>
              <w:widowControl/>
              <w:jc w:val="left"/>
              <w:rPr>
                <w:rFonts w:ascii="仿宋_GB2312" w:hAnsi="仿宋" w:eastAsia="仿宋_GB2312" w:cs="宋体"/>
                <w:b/>
                <w:bCs/>
                <w:kern w:val="0"/>
                <w:sz w:val="18"/>
                <w:szCs w:val="18"/>
              </w:rPr>
            </w:pPr>
          </w:p>
        </w:tc>
        <w:tc>
          <w:tcPr>
            <w:tcW w:w="1546" w:type="dxa"/>
            <w:tcBorders>
              <w:top w:val="nil"/>
              <w:left w:val="nil"/>
              <w:bottom w:val="single" w:color="auto" w:sz="4" w:space="0"/>
              <w:right w:val="single" w:color="auto" w:sz="4" w:space="0"/>
            </w:tcBorders>
            <w:vAlign w:val="center"/>
          </w:tcPr>
          <w:p w14:paraId="1DF0FE9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020" w:type="dxa"/>
            <w:tcBorders>
              <w:top w:val="nil"/>
              <w:left w:val="nil"/>
              <w:bottom w:val="single" w:color="auto" w:sz="4" w:space="0"/>
              <w:right w:val="single" w:color="auto" w:sz="4" w:space="0"/>
            </w:tcBorders>
            <w:vAlign w:val="center"/>
          </w:tcPr>
          <w:p w14:paraId="6320251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10" w:type="dxa"/>
            <w:tcBorders>
              <w:top w:val="nil"/>
              <w:left w:val="nil"/>
              <w:bottom w:val="single" w:color="auto" w:sz="4" w:space="0"/>
              <w:right w:val="single" w:color="auto" w:sz="4" w:space="0"/>
            </w:tcBorders>
            <w:vAlign w:val="center"/>
          </w:tcPr>
          <w:p w14:paraId="72946A8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609" w:type="dxa"/>
            <w:tcBorders>
              <w:top w:val="nil"/>
              <w:left w:val="nil"/>
              <w:bottom w:val="single" w:color="auto" w:sz="4" w:space="0"/>
              <w:right w:val="single" w:color="auto" w:sz="4" w:space="0"/>
            </w:tcBorders>
            <w:vAlign w:val="center"/>
          </w:tcPr>
          <w:p w14:paraId="20ED5DF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033" w:type="dxa"/>
            <w:tcBorders>
              <w:top w:val="nil"/>
              <w:left w:val="nil"/>
              <w:bottom w:val="single" w:color="auto" w:sz="4" w:space="0"/>
              <w:right w:val="single" w:color="auto" w:sz="4" w:space="0"/>
            </w:tcBorders>
            <w:vAlign w:val="center"/>
          </w:tcPr>
          <w:p w14:paraId="2085989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Y＜1000</w:t>
            </w:r>
          </w:p>
        </w:tc>
      </w:tr>
      <w:tr w14:paraId="1605FB34">
        <w:tblPrEx>
          <w:tblCellMar>
            <w:top w:w="0" w:type="dxa"/>
            <w:left w:w="108" w:type="dxa"/>
            <w:bottom w:w="0" w:type="dxa"/>
            <w:right w:w="108" w:type="dxa"/>
          </w:tblCellMar>
        </w:tblPrEx>
        <w:trPr>
          <w:trHeight w:val="225" w:hRule="atLeast"/>
          <w:jc w:val="center"/>
        </w:trPr>
        <w:tc>
          <w:tcPr>
            <w:tcW w:w="1900" w:type="dxa"/>
            <w:vMerge w:val="restart"/>
            <w:tcBorders>
              <w:top w:val="nil"/>
              <w:left w:val="single" w:color="auto" w:sz="4" w:space="0"/>
              <w:bottom w:val="single" w:color="auto" w:sz="4" w:space="0"/>
              <w:right w:val="single" w:color="auto" w:sz="4" w:space="0"/>
            </w:tcBorders>
            <w:vAlign w:val="bottom"/>
          </w:tcPr>
          <w:p w14:paraId="214722BA">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546" w:type="dxa"/>
            <w:tcBorders>
              <w:top w:val="nil"/>
              <w:left w:val="nil"/>
              <w:bottom w:val="single" w:color="auto" w:sz="4" w:space="0"/>
              <w:right w:val="single" w:color="auto" w:sz="4" w:space="0"/>
            </w:tcBorders>
            <w:vAlign w:val="center"/>
          </w:tcPr>
          <w:p w14:paraId="365CD6A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020" w:type="dxa"/>
            <w:tcBorders>
              <w:top w:val="nil"/>
              <w:left w:val="nil"/>
              <w:bottom w:val="single" w:color="auto" w:sz="4" w:space="0"/>
              <w:right w:val="single" w:color="auto" w:sz="4" w:space="0"/>
            </w:tcBorders>
            <w:vAlign w:val="center"/>
          </w:tcPr>
          <w:p w14:paraId="5BBA509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10" w:type="dxa"/>
            <w:tcBorders>
              <w:top w:val="nil"/>
              <w:left w:val="nil"/>
              <w:bottom w:val="single" w:color="auto" w:sz="4" w:space="0"/>
              <w:right w:val="single" w:color="auto" w:sz="4" w:space="0"/>
            </w:tcBorders>
            <w:vAlign w:val="center"/>
          </w:tcPr>
          <w:p w14:paraId="6DDAC0E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609" w:type="dxa"/>
            <w:tcBorders>
              <w:top w:val="nil"/>
              <w:left w:val="nil"/>
              <w:bottom w:val="single" w:color="auto" w:sz="4" w:space="0"/>
              <w:right w:val="single" w:color="auto" w:sz="4" w:space="0"/>
            </w:tcBorders>
            <w:vAlign w:val="center"/>
          </w:tcPr>
          <w:p w14:paraId="554A78C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1033" w:type="dxa"/>
            <w:tcBorders>
              <w:top w:val="nil"/>
              <w:left w:val="nil"/>
              <w:bottom w:val="single" w:color="auto" w:sz="4" w:space="0"/>
              <w:right w:val="single" w:color="auto" w:sz="4" w:space="0"/>
            </w:tcBorders>
            <w:vAlign w:val="center"/>
          </w:tcPr>
          <w:p w14:paraId="7222FD6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45A2E837">
        <w:tblPrEx>
          <w:tblCellMar>
            <w:top w:w="0" w:type="dxa"/>
            <w:left w:w="108" w:type="dxa"/>
            <w:bottom w:w="0" w:type="dxa"/>
            <w:right w:w="108" w:type="dxa"/>
          </w:tblCellMar>
        </w:tblPrEx>
        <w:trPr>
          <w:trHeight w:val="225" w:hRule="atLeast"/>
          <w:jc w:val="center"/>
        </w:trPr>
        <w:tc>
          <w:tcPr>
            <w:tcW w:w="1900" w:type="dxa"/>
            <w:vMerge w:val="continue"/>
            <w:tcBorders>
              <w:top w:val="nil"/>
              <w:left w:val="single" w:color="auto" w:sz="4" w:space="0"/>
              <w:bottom w:val="single" w:color="auto" w:sz="4" w:space="0"/>
              <w:right w:val="single" w:color="auto" w:sz="4" w:space="0"/>
            </w:tcBorders>
            <w:vAlign w:val="center"/>
          </w:tcPr>
          <w:p w14:paraId="6D47B002">
            <w:pPr>
              <w:widowControl/>
              <w:jc w:val="left"/>
              <w:rPr>
                <w:rFonts w:ascii="仿宋_GB2312" w:hAnsi="仿宋" w:eastAsia="仿宋_GB2312" w:cs="宋体"/>
                <w:b/>
                <w:bCs/>
                <w:kern w:val="0"/>
                <w:sz w:val="18"/>
                <w:szCs w:val="18"/>
              </w:rPr>
            </w:pPr>
          </w:p>
        </w:tc>
        <w:tc>
          <w:tcPr>
            <w:tcW w:w="1546" w:type="dxa"/>
            <w:tcBorders>
              <w:top w:val="nil"/>
              <w:left w:val="nil"/>
              <w:bottom w:val="single" w:color="auto" w:sz="4" w:space="0"/>
              <w:right w:val="single" w:color="auto" w:sz="4" w:space="0"/>
            </w:tcBorders>
            <w:vAlign w:val="center"/>
          </w:tcPr>
          <w:p w14:paraId="124244B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020" w:type="dxa"/>
            <w:tcBorders>
              <w:top w:val="nil"/>
              <w:left w:val="nil"/>
              <w:bottom w:val="single" w:color="auto" w:sz="4" w:space="0"/>
              <w:right w:val="single" w:color="auto" w:sz="4" w:space="0"/>
            </w:tcBorders>
            <w:vAlign w:val="center"/>
          </w:tcPr>
          <w:p w14:paraId="2339182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10" w:type="dxa"/>
            <w:tcBorders>
              <w:top w:val="nil"/>
              <w:left w:val="nil"/>
              <w:bottom w:val="single" w:color="auto" w:sz="4" w:space="0"/>
              <w:right w:val="single" w:color="auto" w:sz="4" w:space="0"/>
            </w:tcBorders>
            <w:vAlign w:val="center"/>
          </w:tcPr>
          <w:p w14:paraId="12F0E30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609" w:type="dxa"/>
            <w:tcBorders>
              <w:top w:val="nil"/>
              <w:left w:val="nil"/>
              <w:bottom w:val="single" w:color="auto" w:sz="4" w:space="0"/>
              <w:right w:val="single" w:color="auto" w:sz="4" w:space="0"/>
            </w:tcBorders>
            <w:vAlign w:val="center"/>
          </w:tcPr>
          <w:p w14:paraId="3DEEA1D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1033" w:type="dxa"/>
            <w:tcBorders>
              <w:top w:val="nil"/>
              <w:left w:val="nil"/>
              <w:bottom w:val="single" w:color="auto" w:sz="4" w:space="0"/>
              <w:right w:val="single" w:color="auto" w:sz="4" w:space="0"/>
            </w:tcBorders>
            <w:vAlign w:val="center"/>
          </w:tcPr>
          <w:p w14:paraId="510C2DF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968B36A">
        <w:tblPrEx>
          <w:tblCellMar>
            <w:top w:w="0" w:type="dxa"/>
            <w:left w:w="108" w:type="dxa"/>
            <w:bottom w:w="0" w:type="dxa"/>
            <w:right w:w="108" w:type="dxa"/>
          </w:tblCellMar>
        </w:tblPrEx>
        <w:trPr>
          <w:trHeight w:val="225" w:hRule="atLeast"/>
          <w:jc w:val="center"/>
        </w:trPr>
        <w:tc>
          <w:tcPr>
            <w:tcW w:w="1900" w:type="dxa"/>
            <w:vMerge w:val="restart"/>
            <w:tcBorders>
              <w:top w:val="nil"/>
              <w:left w:val="single" w:color="auto" w:sz="4" w:space="0"/>
              <w:bottom w:val="single" w:color="auto" w:sz="4" w:space="0"/>
              <w:right w:val="single" w:color="auto" w:sz="4" w:space="0"/>
            </w:tcBorders>
            <w:vAlign w:val="bottom"/>
          </w:tcPr>
          <w:p w14:paraId="608332EA">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546" w:type="dxa"/>
            <w:tcBorders>
              <w:top w:val="nil"/>
              <w:left w:val="nil"/>
              <w:bottom w:val="single" w:color="auto" w:sz="4" w:space="0"/>
              <w:right w:val="single" w:color="auto" w:sz="4" w:space="0"/>
            </w:tcBorders>
            <w:vAlign w:val="center"/>
          </w:tcPr>
          <w:p w14:paraId="2E8205C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020" w:type="dxa"/>
            <w:tcBorders>
              <w:top w:val="nil"/>
              <w:left w:val="nil"/>
              <w:bottom w:val="single" w:color="auto" w:sz="4" w:space="0"/>
              <w:right w:val="single" w:color="auto" w:sz="4" w:space="0"/>
            </w:tcBorders>
            <w:vAlign w:val="center"/>
          </w:tcPr>
          <w:p w14:paraId="525A45A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10" w:type="dxa"/>
            <w:tcBorders>
              <w:top w:val="nil"/>
              <w:left w:val="nil"/>
              <w:bottom w:val="single" w:color="auto" w:sz="4" w:space="0"/>
              <w:right w:val="single" w:color="auto" w:sz="4" w:space="0"/>
            </w:tcBorders>
            <w:vAlign w:val="center"/>
          </w:tcPr>
          <w:p w14:paraId="65EE64C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609" w:type="dxa"/>
            <w:tcBorders>
              <w:top w:val="nil"/>
              <w:left w:val="nil"/>
              <w:bottom w:val="single" w:color="auto" w:sz="4" w:space="0"/>
              <w:right w:val="single" w:color="auto" w:sz="4" w:space="0"/>
            </w:tcBorders>
            <w:vAlign w:val="center"/>
          </w:tcPr>
          <w:p w14:paraId="55E0620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033" w:type="dxa"/>
            <w:tcBorders>
              <w:top w:val="nil"/>
              <w:left w:val="nil"/>
              <w:bottom w:val="single" w:color="auto" w:sz="4" w:space="0"/>
              <w:right w:val="single" w:color="auto" w:sz="4" w:space="0"/>
            </w:tcBorders>
            <w:vAlign w:val="center"/>
          </w:tcPr>
          <w:p w14:paraId="06A7066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1CED0CCE">
        <w:tblPrEx>
          <w:tblCellMar>
            <w:top w:w="0" w:type="dxa"/>
            <w:left w:w="108" w:type="dxa"/>
            <w:bottom w:w="0" w:type="dxa"/>
            <w:right w:w="108" w:type="dxa"/>
          </w:tblCellMar>
        </w:tblPrEx>
        <w:trPr>
          <w:trHeight w:val="225" w:hRule="atLeast"/>
          <w:jc w:val="center"/>
        </w:trPr>
        <w:tc>
          <w:tcPr>
            <w:tcW w:w="1900" w:type="dxa"/>
            <w:vMerge w:val="continue"/>
            <w:tcBorders>
              <w:top w:val="nil"/>
              <w:left w:val="single" w:color="auto" w:sz="4" w:space="0"/>
              <w:bottom w:val="single" w:color="auto" w:sz="4" w:space="0"/>
              <w:right w:val="single" w:color="auto" w:sz="4" w:space="0"/>
            </w:tcBorders>
            <w:vAlign w:val="center"/>
          </w:tcPr>
          <w:p w14:paraId="508DFCE5">
            <w:pPr>
              <w:widowControl/>
              <w:jc w:val="left"/>
              <w:rPr>
                <w:rFonts w:ascii="仿宋_GB2312" w:hAnsi="仿宋" w:eastAsia="仿宋_GB2312" w:cs="宋体"/>
                <w:b/>
                <w:bCs/>
                <w:kern w:val="0"/>
                <w:sz w:val="18"/>
                <w:szCs w:val="18"/>
              </w:rPr>
            </w:pPr>
          </w:p>
        </w:tc>
        <w:tc>
          <w:tcPr>
            <w:tcW w:w="1546" w:type="dxa"/>
            <w:tcBorders>
              <w:top w:val="nil"/>
              <w:left w:val="nil"/>
              <w:bottom w:val="single" w:color="auto" w:sz="4" w:space="0"/>
              <w:right w:val="single" w:color="auto" w:sz="4" w:space="0"/>
            </w:tcBorders>
            <w:vAlign w:val="center"/>
          </w:tcPr>
          <w:p w14:paraId="6D88731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020" w:type="dxa"/>
            <w:tcBorders>
              <w:top w:val="nil"/>
              <w:left w:val="nil"/>
              <w:bottom w:val="single" w:color="auto" w:sz="4" w:space="0"/>
              <w:right w:val="single" w:color="auto" w:sz="4" w:space="0"/>
            </w:tcBorders>
            <w:vAlign w:val="center"/>
          </w:tcPr>
          <w:p w14:paraId="38C4485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10" w:type="dxa"/>
            <w:tcBorders>
              <w:top w:val="nil"/>
              <w:left w:val="nil"/>
              <w:bottom w:val="single" w:color="auto" w:sz="4" w:space="0"/>
              <w:right w:val="single" w:color="auto" w:sz="4" w:space="0"/>
            </w:tcBorders>
            <w:vAlign w:val="center"/>
          </w:tcPr>
          <w:p w14:paraId="54A098D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609" w:type="dxa"/>
            <w:tcBorders>
              <w:top w:val="nil"/>
              <w:left w:val="nil"/>
              <w:bottom w:val="single" w:color="auto" w:sz="4" w:space="0"/>
              <w:right w:val="single" w:color="auto" w:sz="4" w:space="0"/>
            </w:tcBorders>
            <w:vAlign w:val="center"/>
          </w:tcPr>
          <w:p w14:paraId="04638A3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1033" w:type="dxa"/>
            <w:tcBorders>
              <w:top w:val="nil"/>
              <w:left w:val="nil"/>
              <w:bottom w:val="single" w:color="auto" w:sz="4" w:space="0"/>
              <w:right w:val="single" w:color="auto" w:sz="4" w:space="0"/>
            </w:tcBorders>
            <w:vAlign w:val="center"/>
          </w:tcPr>
          <w:p w14:paraId="62E57C4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w:t>
            </w:r>
          </w:p>
        </w:tc>
      </w:tr>
      <w:tr w14:paraId="00100670">
        <w:tblPrEx>
          <w:tblCellMar>
            <w:top w:w="0" w:type="dxa"/>
            <w:left w:w="108" w:type="dxa"/>
            <w:bottom w:w="0" w:type="dxa"/>
            <w:right w:w="108" w:type="dxa"/>
          </w:tblCellMar>
        </w:tblPrEx>
        <w:trPr>
          <w:trHeight w:val="225" w:hRule="atLeast"/>
          <w:jc w:val="center"/>
        </w:trPr>
        <w:tc>
          <w:tcPr>
            <w:tcW w:w="1900" w:type="dxa"/>
            <w:vMerge w:val="restart"/>
            <w:tcBorders>
              <w:top w:val="nil"/>
              <w:left w:val="single" w:color="auto" w:sz="4" w:space="0"/>
              <w:bottom w:val="single" w:color="auto" w:sz="4" w:space="0"/>
              <w:right w:val="single" w:color="auto" w:sz="4" w:space="0"/>
            </w:tcBorders>
            <w:vAlign w:val="bottom"/>
          </w:tcPr>
          <w:p w14:paraId="1FDBD942">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546" w:type="dxa"/>
            <w:tcBorders>
              <w:top w:val="nil"/>
              <w:left w:val="nil"/>
              <w:bottom w:val="single" w:color="auto" w:sz="4" w:space="0"/>
              <w:right w:val="single" w:color="auto" w:sz="4" w:space="0"/>
            </w:tcBorders>
            <w:vAlign w:val="center"/>
          </w:tcPr>
          <w:p w14:paraId="6969FE3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020" w:type="dxa"/>
            <w:tcBorders>
              <w:top w:val="nil"/>
              <w:left w:val="nil"/>
              <w:bottom w:val="single" w:color="auto" w:sz="4" w:space="0"/>
              <w:right w:val="single" w:color="auto" w:sz="4" w:space="0"/>
            </w:tcBorders>
            <w:vAlign w:val="center"/>
          </w:tcPr>
          <w:p w14:paraId="2C2B34F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10" w:type="dxa"/>
            <w:tcBorders>
              <w:top w:val="nil"/>
              <w:left w:val="nil"/>
              <w:bottom w:val="single" w:color="auto" w:sz="4" w:space="0"/>
              <w:right w:val="single" w:color="auto" w:sz="4" w:space="0"/>
            </w:tcBorders>
            <w:vAlign w:val="center"/>
          </w:tcPr>
          <w:p w14:paraId="456CF67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609" w:type="dxa"/>
            <w:tcBorders>
              <w:top w:val="nil"/>
              <w:left w:val="nil"/>
              <w:bottom w:val="single" w:color="auto" w:sz="4" w:space="0"/>
              <w:right w:val="single" w:color="auto" w:sz="4" w:space="0"/>
            </w:tcBorders>
            <w:vAlign w:val="center"/>
          </w:tcPr>
          <w:p w14:paraId="07BBF5C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1033" w:type="dxa"/>
            <w:tcBorders>
              <w:top w:val="nil"/>
              <w:left w:val="nil"/>
              <w:bottom w:val="single" w:color="auto" w:sz="4" w:space="0"/>
              <w:right w:val="single" w:color="auto" w:sz="4" w:space="0"/>
            </w:tcBorders>
            <w:vAlign w:val="center"/>
          </w:tcPr>
          <w:p w14:paraId="35AEF89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3D502842">
        <w:tblPrEx>
          <w:tblCellMar>
            <w:top w:w="0" w:type="dxa"/>
            <w:left w:w="108" w:type="dxa"/>
            <w:bottom w:w="0" w:type="dxa"/>
            <w:right w:w="108" w:type="dxa"/>
          </w:tblCellMar>
        </w:tblPrEx>
        <w:trPr>
          <w:trHeight w:val="225" w:hRule="atLeast"/>
          <w:jc w:val="center"/>
        </w:trPr>
        <w:tc>
          <w:tcPr>
            <w:tcW w:w="1900" w:type="dxa"/>
            <w:vMerge w:val="continue"/>
            <w:tcBorders>
              <w:top w:val="nil"/>
              <w:left w:val="single" w:color="auto" w:sz="4" w:space="0"/>
              <w:bottom w:val="single" w:color="auto" w:sz="4" w:space="0"/>
              <w:right w:val="single" w:color="auto" w:sz="4" w:space="0"/>
            </w:tcBorders>
            <w:vAlign w:val="center"/>
          </w:tcPr>
          <w:p w14:paraId="7A3CEFC7">
            <w:pPr>
              <w:widowControl/>
              <w:jc w:val="left"/>
              <w:rPr>
                <w:rFonts w:ascii="仿宋_GB2312" w:hAnsi="仿宋" w:eastAsia="仿宋_GB2312" w:cs="宋体"/>
                <w:b/>
                <w:bCs/>
                <w:kern w:val="0"/>
                <w:sz w:val="18"/>
                <w:szCs w:val="18"/>
              </w:rPr>
            </w:pPr>
          </w:p>
        </w:tc>
        <w:tc>
          <w:tcPr>
            <w:tcW w:w="1546" w:type="dxa"/>
            <w:tcBorders>
              <w:top w:val="nil"/>
              <w:left w:val="nil"/>
              <w:bottom w:val="single" w:color="auto" w:sz="4" w:space="0"/>
              <w:right w:val="single" w:color="auto" w:sz="4" w:space="0"/>
            </w:tcBorders>
            <w:vAlign w:val="center"/>
          </w:tcPr>
          <w:p w14:paraId="020F20B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020" w:type="dxa"/>
            <w:tcBorders>
              <w:top w:val="nil"/>
              <w:left w:val="nil"/>
              <w:bottom w:val="single" w:color="auto" w:sz="4" w:space="0"/>
              <w:right w:val="single" w:color="auto" w:sz="4" w:space="0"/>
            </w:tcBorders>
            <w:vAlign w:val="center"/>
          </w:tcPr>
          <w:p w14:paraId="3E23963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10" w:type="dxa"/>
            <w:tcBorders>
              <w:top w:val="nil"/>
              <w:left w:val="nil"/>
              <w:bottom w:val="single" w:color="auto" w:sz="4" w:space="0"/>
              <w:right w:val="single" w:color="auto" w:sz="4" w:space="0"/>
            </w:tcBorders>
            <w:vAlign w:val="center"/>
          </w:tcPr>
          <w:p w14:paraId="05788FB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609" w:type="dxa"/>
            <w:tcBorders>
              <w:top w:val="nil"/>
              <w:left w:val="nil"/>
              <w:bottom w:val="single" w:color="auto" w:sz="4" w:space="0"/>
              <w:right w:val="single" w:color="auto" w:sz="4" w:space="0"/>
            </w:tcBorders>
            <w:vAlign w:val="center"/>
          </w:tcPr>
          <w:p w14:paraId="42968F0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033" w:type="dxa"/>
            <w:tcBorders>
              <w:top w:val="nil"/>
              <w:left w:val="nil"/>
              <w:bottom w:val="single" w:color="auto" w:sz="4" w:space="0"/>
              <w:right w:val="single" w:color="auto" w:sz="4" w:space="0"/>
            </w:tcBorders>
            <w:vAlign w:val="center"/>
          </w:tcPr>
          <w:p w14:paraId="2F91E4B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1EC75548">
        <w:tblPrEx>
          <w:tblCellMar>
            <w:top w:w="0" w:type="dxa"/>
            <w:left w:w="108" w:type="dxa"/>
            <w:bottom w:w="0" w:type="dxa"/>
            <w:right w:w="108" w:type="dxa"/>
          </w:tblCellMar>
        </w:tblPrEx>
        <w:trPr>
          <w:trHeight w:val="225" w:hRule="atLeast"/>
          <w:jc w:val="center"/>
        </w:trPr>
        <w:tc>
          <w:tcPr>
            <w:tcW w:w="1900" w:type="dxa"/>
            <w:vMerge w:val="restart"/>
            <w:tcBorders>
              <w:top w:val="nil"/>
              <w:left w:val="single" w:color="auto" w:sz="4" w:space="0"/>
              <w:bottom w:val="single" w:color="auto" w:sz="4" w:space="0"/>
              <w:right w:val="single" w:color="auto" w:sz="4" w:space="0"/>
            </w:tcBorders>
            <w:vAlign w:val="bottom"/>
          </w:tcPr>
          <w:p w14:paraId="0F991ACB">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546" w:type="dxa"/>
            <w:tcBorders>
              <w:top w:val="nil"/>
              <w:left w:val="nil"/>
              <w:bottom w:val="single" w:color="auto" w:sz="4" w:space="0"/>
              <w:right w:val="single" w:color="auto" w:sz="4" w:space="0"/>
            </w:tcBorders>
            <w:vAlign w:val="center"/>
          </w:tcPr>
          <w:p w14:paraId="4864283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020" w:type="dxa"/>
            <w:tcBorders>
              <w:top w:val="nil"/>
              <w:left w:val="nil"/>
              <w:bottom w:val="single" w:color="auto" w:sz="4" w:space="0"/>
              <w:right w:val="single" w:color="auto" w:sz="4" w:space="0"/>
            </w:tcBorders>
            <w:vAlign w:val="center"/>
          </w:tcPr>
          <w:p w14:paraId="0A89F91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10" w:type="dxa"/>
            <w:tcBorders>
              <w:top w:val="nil"/>
              <w:left w:val="nil"/>
              <w:bottom w:val="single" w:color="auto" w:sz="4" w:space="0"/>
              <w:right w:val="single" w:color="auto" w:sz="4" w:space="0"/>
            </w:tcBorders>
            <w:vAlign w:val="center"/>
          </w:tcPr>
          <w:p w14:paraId="0DD566C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609" w:type="dxa"/>
            <w:tcBorders>
              <w:top w:val="nil"/>
              <w:left w:val="nil"/>
              <w:bottom w:val="single" w:color="auto" w:sz="4" w:space="0"/>
              <w:right w:val="single" w:color="auto" w:sz="4" w:space="0"/>
            </w:tcBorders>
            <w:vAlign w:val="center"/>
          </w:tcPr>
          <w:p w14:paraId="4C000BA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033" w:type="dxa"/>
            <w:tcBorders>
              <w:top w:val="nil"/>
              <w:left w:val="nil"/>
              <w:bottom w:val="single" w:color="auto" w:sz="4" w:space="0"/>
              <w:right w:val="single" w:color="auto" w:sz="4" w:space="0"/>
            </w:tcBorders>
            <w:vAlign w:val="center"/>
          </w:tcPr>
          <w:p w14:paraId="02A7021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6C2DE607">
        <w:tblPrEx>
          <w:tblCellMar>
            <w:top w:w="0" w:type="dxa"/>
            <w:left w:w="108" w:type="dxa"/>
            <w:bottom w:w="0" w:type="dxa"/>
            <w:right w:w="108" w:type="dxa"/>
          </w:tblCellMar>
        </w:tblPrEx>
        <w:trPr>
          <w:trHeight w:val="225" w:hRule="atLeast"/>
          <w:jc w:val="center"/>
        </w:trPr>
        <w:tc>
          <w:tcPr>
            <w:tcW w:w="1900" w:type="dxa"/>
            <w:vMerge w:val="continue"/>
            <w:tcBorders>
              <w:top w:val="nil"/>
              <w:left w:val="single" w:color="auto" w:sz="4" w:space="0"/>
              <w:bottom w:val="single" w:color="auto" w:sz="4" w:space="0"/>
              <w:right w:val="single" w:color="auto" w:sz="4" w:space="0"/>
            </w:tcBorders>
            <w:vAlign w:val="center"/>
          </w:tcPr>
          <w:p w14:paraId="5AC73BFB">
            <w:pPr>
              <w:widowControl/>
              <w:jc w:val="left"/>
              <w:rPr>
                <w:rFonts w:ascii="仿宋_GB2312" w:hAnsi="仿宋" w:eastAsia="仿宋_GB2312" w:cs="宋体"/>
                <w:b/>
                <w:bCs/>
                <w:kern w:val="0"/>
                <w:sz w:val="18"/>
                <w:szCs w:val="18"/>
              </w:rPr>
            </w:pPr>
          </w:p>
        </w:tc>
        <w:tc>
          <w:tcPr>
            <w:tcW w:w="1546" w:type="dxa"/>
            <w:tcBorders>
              <w:top w:val="nil"/>
              <w:left w:val="nil"/>
              <w:bottom w:val="single" w:color="auto" w:sz="4" w:space="0"/>
              <w:right w:val="single" w:color="auto" w:sz="4" w:space="0"/>
            </w:tcBorders>
            <w:vAlign w:val="center"/>
          </w:tcPr>
          <w:p w14:paraId="5637368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020" w:type="dxa"/>
            <w:tcBorders>
              <w:top w:val="nil"/>
              <w:left w:val="nil"/>
              <w:bottom w:val="single" w:color="auto" w:sz="4" w:space="0"/>
              <w:right w:val="single" w:color="auto" w:sz="4" w:space="0"/>
            </w:tcBorders>
            <w:vAlign w:val="center"/>
          </w:tcPr>
          <w:p w14:paraId="05577A1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10" w:type="dxa"/>
            <w:tcBorders>
              <w:top w:val="nil"/>
              <w:left w:val="nil"/>
              <w:bottom w:val="single" w:color="auto" w:sz="4" w:space="0"/>
              <w:right w:val="single" w:color="auto" w:sz="4" w:space="0"/>
            </w:tcBorders>
            <w:vAlign w:val="center"/>
          </w:tcPr>
          <w:p w14:paraId="1B1DAC7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609" w:type="dxa"/>
            <w:tcBorders>
              <w:top w:val="nil"/>
              <w:left w:val="nil"/>
              <w:bottom w:val="single" w:color="auto" w:sz="4" w:space="0"/>
              <w:right w:val="single" w:color="auto" w:sz="4" w:space="0"/>
            </w:tcBorders>
            <w:vAlign w:val="center"/>
          </w:tcPr>
          <w:p w14:paraId="2F9A1EE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033" w:type="dxa"/>
            <w:tcBorders>
              <w:top w:val="nil"/>
              <w:left w:val="nil"/>
              <w:bottom w:val="single" w:color="auto" w:sz="4" w:space="0"/>
              <w:right w:val="single" w:color="auto" w:sz="4" w:space="0"/>
            </w:tcBorders>
            <w:vAlign w:val="center"/>
          </w:tcPr>
          <w:p w14:paraId="655DC36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36B754D8">
        <w:tblPrEx>
          <w:tblCellMar>
            <w:top w:w="0" w:type="dxa"/>
            <w:left w:w="108" w:type="dxa"/>
            <w:bottom w:w="0" w:type="dxa"/>
            <w:right w:w="108" w:type="dxa"/>
          </w:tblCellMar>
        </w:tblPrEx>
        <w:trPr>
          <w:trHeight w:val="225" w:hRule="atLeast"/>
          <w:jc w:val="center"/>
        </w:trPr>
        <w:tc>
          <w:tcPr>
            <w:tcW w:w="1900" w:type="dxa"/>
            <w:vMerge w:val="restart"/>
            <w:tcBorders>
              <w:top w:val="nil"/>
              <w:left w:val="single" w:color="auto" w:sz="4" w:space="0"/>
              <w:bottom w:val="single" w:color="auto" w:sz="4" w:space="0"/>
              <w:right w:val="single" w:color="auto" w:sz="4" w:space="0"/>
            </w:tcBorders>
            <w:vAlign w:val="bottom"/>
          </w:tcPr>
          <w:p w14:paraId="30A554A9">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546" w:type="dxa"/>
            <w:tcBorders>
              <w:top w:val="nil"/>
              <w:left w:val="nil"/>
              <w:bottom w:val="single" w:color="auto" w:sz="4" w:space="0"/>
              <w:right w:val="single" w:color="auto" w:sz="4" w:space="0"/>
            </w:tcBorders>
            <w:vAlign w:val="center"/>
          </w:tcPr>
          <w:p w14:paraId="2787411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020" w:type="dxa"/>
            <w:tcBorders>
              <w:top w:val="nil"/>
              <w:left w:val="nil"/>
              <w:bottom w:val="single" w:color="auto" w:sz="4" w:space="0"/>
              <w:right w:val="single" w:color="auto" w:sz="4" w:space="0"/>
            </w:tcBorders>
            <w:vAlign w:val="center"/>
          </w:tcPr>
          <w:p w14:paraId="6E52931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10" w:type="dxa"/>
            <w:tcBorders>
              <w:top w:val="nil"/>
              <w:left w:val="nil"/>
              <w:bottom w:val="single" w:color="auto" w:sz="4" w:space="0"/>
              <w:right w:val="single" w:color="auto" w:sz="4" w:space="0"/>
            </w:tcBorders>
            <w:vAlign w:val="center"/>
          </w:tcPr>
          <w:p w14:paraId="4C6B34A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609" w:type="dxa"/>
            <w:tcBorders>
              <w:top w:val="nil"/>
              <w:left w:val="nil"/>
              <w:bottom w:val="single" w:color="auto" w:sz="4" w:space="0"/>
              <w:right w:val="single" w:color="auto" w:sz="4" w:space="0"/>
            </w:tcBorders>
            <w:vAlign w:val="center"/>
          </w:tcPr>
          <w:p w14:paraId="31D249B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033" w:type="dxa"/>
            <w:tcBorders>
              <w:top w:val="nil"/>
              <w:left w:val="nil"/>
              <w:bottom w:val="single" w:color="auto" w:sz="4" w:space="0"/>
              <w:right w:val="single" w:color="auto" w:sz="4" w:space="0"/>
            </w:tcBorders>
            <w:vAlign w:val="center"/>
          </w:tcPr>
          <w:p w14:paraId="0B2ECF6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1566D71D">
        <w:tblPrEx>
          <w:tblCellMar>
            <w:top w:w="0" w:type="dxa"/>
            <w:left w:w="108" w:type="dxa"/>
            <w:bottom w:w="0" w:type="dxa"/>
            <w:right w:w="108" w:type="dxa"/>
          </w:tblCellMar>
        </w:tblPrEx>
        <w:trPr>
          <w:trHeight w:val="225" w:hRule="atLeast"/>
          <w:jc w:val="center"/>
        </w:trPr>
        <w:tc>
          <w:tcPr>
            <w:tcW w:w="1900" w:type="dxa"/>
            <w:vMerge w:val="continue"/>
            <w:tcBorders>
              <w:top w:val="nil"/>
              <w:left w:val="single" w:color="auto" w:sz="4" w:space="0"/>
              <w:bottom w:val="single" w:color="auto" w:sz="4" w:space="0"/>
              <w:right w:val="single" w:color="auto" w:sz="4" w:space="0"/>
            </w:tcBorders>
            <w:vAlign w:val="center"/>
          </w:tcPr>
          <w:p w14:paraId="0544383A">
            <w:pPr>
              <w:widowControl/>
              <w:jc w:val="left"/>
              <w:rPr>
                <w:rFonts w:ascii="仿宋_GB2312" w:hAnsi="仿宋" w:eastAsia="仿宋_GB2312" w:cs="宋体"/>
                <w:b/>
                <w:bCs/>
                <w:kern w:val="0"/>
                <w:sz w:val="18"/>
                <w:szCs w:val="18"/>
              </w:rPr>
            </w:pPr>
          </w:p>
        </w:tc>
        <w:tc>
          <w:tcPr>
            <w:tcW w:w="1546" w:type="dxa"/>
            <w:tcBorders>
              <w:top w:val="nil"/>
              <w:left w:val="nil"/>
              <w:bottom w:val="single" w:color="auto" w:sz="4" w:space="0"/>
              <w:right w:val="single" w:color="auto" w:sz="4" w:space="0"/>
            </w:tcBorders>
            <w:vAlign w:val="center"/>
          </w:tcPr>
          <w:p w14:paraId="080BE4C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020" w:type="dxa"/>
            <w:tcBorders>
              <w:top w:val="nil"/>
              <w:left w:val="nil"/>
              <w:bottom w:val="single" w:color="auto" w:sz="4" w:space="0"/>
              <w:right w:val="single" w:color="auto" w:sz="4" w:space="0"/>
            </w:tcBorders>
            <w:vAlign w:val="center"/>
          </w:tcPr>
          <w:p w14:paraId="6671DCD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10" w:type="dxa"/>
            <w:tcBorders>
              <w:top w:val="nil"/>
              <w:left w:val="nil"/>
              <w:bottom w:val="single" w:color="auto" w:sz="4" w:space="0"/>
              <w:right w:val="single" w:color="auto" w:sz="4" w:space="0"/>
            </w:tcBorders>
            <w:vAlign w:val="center"/>
          </w:tcPr>
          <w:p w14:paraId="38F276C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609" w:type="dxa"/>
            <w:tcBorders>
              <w:top w:val="nil"/>
              <w:left w:val="nil"/>
              <w:bottom w:val="single" w:color="auto" w:sz="4" w:space="0"/>
              <w:right w:val="single" w:color="auto" w:sz="4" w:space="0"/>
            </w:tcBorders>
            <w:vAlign w:val="center"/>
          </w:tcPr>
          <w:p w14:paraId="70595D2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033" w:type="dxa"/>
            <w:tcBorders>
              <w:top w:val="nil"/>
              <w:left w:val="nil"/>
              <w:bottom w:val="single" w:color="auto" w:sz="4" w:space="0"/>
              <w:right w:val="single" w:color="auto" w:sz="4" w:space="0"/>
            </w:tcBorders>
            <w:vAlign w:val="center"/>
          </w:tcPr>
          <w:p w14:paraId="7CD9881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36B62E2">
        <w:tblPrEx>
          <w:tblCellMar>
            <w:top w:w="0" w:type="dxa"/>
            <w:left w:w="108" w:type="dxa"/>
            <w:bottom w:w="0" w:type="dxa"/>
            <w:right w:w="108" w:type="dxa"/>
          </w:tblCellMar>
        </w:tblPrEx>
        <w:trPr>
          <w:trHeight w:val="225" w:hRule="atLeast"/>
          <w:jc w:val="center"/>
        </w:trPr>
        <w:tc>
          <w:tcPr>
            <w:tcW w:w="1900" w:type="dxa"/>
            <w:vMerge w:val="restart"/>
            <w:tcBorders>
              <w:top w:val="nil"/>
              <w:left w:val="single" w:color="auto" w:sz="4" w:space="0"/>
              <w:bottom w:val="single" w:color="auto" w:sz="4" w:space="0"/>
              <w:right w:val="single" w:color="auto" w:sz="4" w:space="0"/>
            </w:tcBorders>
            <w:vAlign w:val="bottom"/>
          </w:tcPr>
          <w:p w14:paraId="4F3D98ED">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546" w:type="dxa"/>
            <w:tcBorders>
              <w:top w:val="nil"/>
              <w:left w:val="nil"/>
              <w:bottom w:val="single" w:color="auto" w:sz="4" w:space="0"/>
              <w:right w:val="single" w:color="auto" w:sz="4" w:space="0"/>
            </w:tcBorders>
            <w:vAlign w:val="center"/>
          </w:tcPr>
          <w:p w14:paraId="7EE421E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020" w:type="dxa"/>
            <w:tcBorders>
              <w:top w:val="nil"/>
              <w:left w:val="nil"/>
              <w:bottom w:val="single" w:color="auto" w:sz="4" w:space="0"/>
              <w:right w:val="single" w:color="auto" w:sz="4" w:space="0"/>
            </w:tcBorders>
            <w:vAlign w:val="center"/>
          </w:tcPr>
          <w:p w14:paraId="3F04E27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10" w:type="dxa"/>
            <w:tcBorders>
              <w:top w:val="nil"/>
              <w:left w:val="nil"/>
              <w:bottom w:val="single" w:color="auto" w:sz="4" w:space="0"/>
              <w:right w:val="single" w:color="auto" w:sz="4" w:space="0"/>
            </w:tcBorders>
            <w:vAlign w:val="center"/>
          </w:tcPr>
          <w:p w14:paraId="21F1883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609" w:type="dxa"/>
            <w:tcBorders>
              <w:top w:val="nil"/>
              <w:left w:val="nil"/>
              <w:bottom w:val="single" w:color="auto" w:sz="4" w:space="0"/>
              <w:right w:val="single" w:color="auto" w:sz="4" w:space="0"/>
            </w:tcBorders>
            <w:vAlign w:val="center"/>
          </w:tcPr>
          <w:p w14:paraId="69D94D8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033" w:type="dxa"/>
            <w:tcBorders>
              <w:top w:val="nil"/>
              <w:left w:val="nil"/>
              <w:bottom w:val="single" w:color="auto" w:sz="4" w:space="0"/>
              <w:right w:val="single" w:color="auto" w:sz="4" w:space="0"/>
            </w:tcBorders>
            <w:vAlign w:val="center"/>
          </w:tcPr>
          <w:p w14:paraId="181DFAF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6349F607">
        <w:tblPrEx>
          <w:tblCellMar>
            <w:top w:w="0" w:type="dxa"/>
            <w:left w:w="108" w:type="dxa"/>
            <w:bottom w:w="0" w:type="dxa"/>
            <w:right w:w="108" w:type="dxa"/>
          </w:tblCellMar>
        </w:tblPrEx>
        <w:trPr>
          <w:trHeight w:val="225" w:hRule="atLeast"/>
          <w:jc w:val="center"/>
        </w:trPr>
        <w:tc>
          <w:tcPr>
            <w:tcW w:w="1900" w:type="dxa"/>
            <w:vMerge w:val="continue"/>
            <w:tcBorders>
              <w:top w:val="nil"/>
              <w:left w:val="single" w:color="auto" w:sz="4" w:space="0"/>
              <w:bottom w:val="single" w:color="auto" w:sz="4" w:space="0"/>
              <w:right w:val="single" w:color="auto" w:sz="4" w:space="0"/>
            </w:tcBorders>
            <w:vAlign w:val="center"/>
          </w:tcPr>
          <w:p w14:paraId="0A8EF42A">
            <w:pPr>
              <w:widowControl/>
              <w:jc w:val="left"/>
              <w:rPr>
                <w:rFonts w:ascii="仿宋_GB2312" w:hAnsi="仿宋" w:eastAsia="仿宋_GB2312" w:cs="宋体"/>
                <w:b/>
                <w:bCs/>
                <w:kern w:val="0"/>
                <w:sz w:val="18"/>
                <w:szCs w:val="18"/>
              </w:rPr>
            </w:pPr>
          </w:p>
        </w:tc>
        <w:tc>
          <w:tcPr>
            <w:tcW w:w="1546" w:type="dxa"/>
            <w:tcBorders>
              <w:top w:val="nil"/>
              <w:left w:val="nil"/>
              <w:bottom w:val="single" w:color="auto" w:sz="4" w:space="0"/>
              <w:right w:val="single" w:color="auto" w:sz="4" w:space="0"/>
            </w:tcBorders>
            <w:vAlign w:val="center"/>
          </w:tcPr>
          <w:p w14:paraId="0EE6E27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020" w:type="dxa"/>
            <w:tcBorders>
              <w:top w:val="nil"/>
              <w:left w:val="nil"/>
              <w:bottom w:val="single" w:color="auto" w:sz="4" w:space="0"/>
              <w:right w:val="single" w:color="auto" w:sz="4" w:space="0"/>
            </w:tcBorders>
            <w:vAlign w:val="center"/>
          </w:tcPr>
          <w:p w14:paraId="76773EF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10" w:type="dxa"/>
            <w:tcBorders>
              <w:top w:val="nil"/>
              <w:left w:val="nil"/>
              <w:bottom w:val="single" w:color="auto" w:sz="4" w:space="0"/>
              <w:right w:val="single" w:color="auto" w:sz="4" w:space="0"/>
            </w:tcBorders>
            <w:vAlign w:val="center"/>
          </w:tcPr>
          <w:p w14:paraId="0BDFA7A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609" w:type="dxa"/>
            <w:tcBorders>
              <w:top w:val="nil"/>
              <w:left w:val="nil"/>
              <w:bottom w:val="single" w:color="auto" w:sz="4" w:space="0"/>
              <w:right w:val="single" w:color="auto" w:sz="4" w:space="0"/>
            </w:tcBorders>
            <w:vAlign w:val="center"/>
          </w:tcPr>
          <w:p w14:paraId="38675F8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033" w:type="dxa"/>
            <w:tcBorders>
              <w:top w:val="nil"/>
              <w:left w:val="nil"/>
              <w:bottom w:val="single" w:color="auto" w:sz="4" w:space="0"/>
              <w:right w:val="single" w:color="auto" w:sz="4" w:space="0"/>
            </w:tcBorders>
            <w:vAlign w:val="center"/>
          </w:tcPr>
          <w:p w14:paraId="74F0DAE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B8AEEFF">
        <w:tblPrEx>
          <w:tblCellMar>
            <w:top w:w="0" w:type="dxa"/>
            <w:left w:w="108" w:type="dxa"/>
            <w:bottom w:w="0" w:type="dxa"/>
            <w:right w:w="108" w:type="dxa"/>
          </w:tblCellMar>
        </w:tblPrEx>
        <w:trPr>
          <w:trHeight w:val="225" w:hRule="atLeast"/>
          <w:jc w:val="center"/>
        </w:trPr>
        <w:tc>
          <w:tcPr>
            <w:tcW w:w="1900" w:type="dxa"/>
            <w:vMerge w:val="restart"/>
            <w:tcBorders>
              <w:top w:val="nil"/>
              <w:left w:val="single" w:color="auto" w:sz="4" w:space="0"/>
              <w:bottom w:val="single" w:color="auto" w:sz="4" w:space="0"/>
              <w:right w:val="single" w:color="auto" w:sz="4" w:space="0"/>
            </w:tcBorders>
            <w:vAlign w:val="bottom"/>
          </w:tcPr>
          <w:p w14:paraId="7F76EC17">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546" w:type="dxa"/>
            <w:tcBorders>
              <w:top w:val="nil"/>
              <w:left w:val="nil"/>
              <w:bottom w:val="single" w:color="auto" w:sz="4" w:space="0"/>
              <w:right w:val="single" w:color="auto" w:sz="4" w:space="0"/>
            </w:tcBorders>
            <w:vAlign w:val="center"/>
          </w:tcPr>
          <w:p w14:paraId="73A51CF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020" w:type="dxa"/>
            <w:tcBorders>
              <w:top w:val="nil"/>
              <w:left w:val="nil"/>
              <w:bottom w:val="single" w:color="auto" w:sz="4" w:space="0"/>
              <w:right w:val="single" w:color="auto" w:sz="4" w:space="0"/>
            </w:tcBorders>
            <w:vAlign w:val="center"/>
          </w:tcPr>
          <w:p w14:paraId="4613CC1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10" w:type="dxa"/>
            <w:tcBorders>
              <w:top w:val="nil"/>
              <w:left w:val="nil"/>
              <w:bottom w:val="single" w:color="auto" w:sz="4" w:space="0"/>
              <w:right w:val="single" w:color="auto" w:sz="4" w:space="0"/>
            </w:tcBorders>
            <w:vAlign w:val="center"/>
          </w:tcPr>
          <w:p w14:paraId="1907C0F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609" w:type="dxa"/>
            <w:tcBorders>
              <w:top w:val="nil"/>
              <w:left w:val="nil"/>
              <w:bottom w:val="single" w:color="auto" w:sz="4" w:space="0"/>
              <w:right w:val="single" w:color="auto" w:sz="4" w:space="0"/>
            </w:tcBorders>
            <w:vAlign w:val="center"/>
          </w:tcPr>
          <w:p w14:paraId="36250C7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033" w:type="dxa"/>
            <w:tcBorders>
              <w:top w:val="nil"/>
              <w:left w:val="nil"/>
              <w:bottom w:val="single" w:color="auto" w:sz="4" w:space="0"/>
              <w:right w:val="single" w:color="auto" w:sz="4" w:space="0"/>
            </w:tcBorders>
            <w:vAlign w:val="center"/>
          </w:tcPr>
          <w:p w14:paraId="575EA7A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169643B9">
        <w:tblPrEx>
          <w:tblCellMar>
            <w:top w:w="0" w:type="dxa"/>
            <w:left w:w="108" w:type="dxa"/>
            <w:bottom w:w="0" w:type="dxa"/>
            <w:right w:w="108" w:type="dxa"/>
          </w:tblCellMar>
        </w:tblPrEx>
        <w:trPr>
          <w:trHeight w:val="225" w:hRule="atLeast"/>
          <w:jc w:val="center"/>
        </w:trPr>
        <w:tc>
          <w:tcPr>
            <w:tcW w:w="1900" w:type="dxa"/>
            <w:vMerge w:val="continue"/>
            <w:tcBorders>
              <w:top w:val="nil"/>
              <w:left w:val="single" w:color="auto" w:sz="4" w:space="0"/>
              <w:bottom w:val="single" w:color="auto" w:sz="4" w:space="0"/>
              <w:right w:val="single" w:color="auto" w:sz="4" w:space="0"/>
            </w:tcBorders>
            <w:vAlign w:val="center"/>
          </w:tcPr>
          <w:p w14:paraId="54033D46">
            <w:pPr>
              <w:widowControl/>
              <w:jc w:val="left"/>
              <w:rPr>
                <w:rFonts w:ascii="仿宋_GB2312" w:hAnsi="仿宋" w:eastAsia="仿宋_GB2312" w:cs="宋体"/>
                <w:b/>
                <w:bCs/>
                <w:kern w:val="0"/>
                <w:sz w:val="18"/>
                <w:szCs w:val="18"/>
              </w:rPr>
            </w:pPr>
          </w:p>
        </w:tc>
        <w:tc>
          <w:tcPr>
            <w:tcW w:w="1546" w:type="dxa"/>
            <w:tcBorders>
              <w:top w:val="nil"/>
              <w:left w:val="nil"/>
              <w:bottom w:val="single" w:color="auto" w:sz="4" w:space="0"/>
              <w:right w:val="single" w:color="auto" w:sz="4" w:space="0"/>
            </w:tcBorders>
            <w:vAlign w:val="center"/>
          </w:tcPr>
          <w:p w14:paraId="279138E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020" w:type="dxa"/>
            <w:tcBorders>
              <w:top w:val="nil"/>
              <w:left w:val="nil"/>
              <w:bottom w:val="single" w:color="auto" w:sz="4" w:space="0"/>
              <w:right w:val="single" w:color="auto" w:sz="4" w:space="0"/>
            </w:tcBorders>
            <w:vAlign w:val="center"/>
          </w:tcPr>
          <w:p w14:paraId="252A9AE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10" w:type="dxa"/>
            <w:tcBorders>
              <w:top w:val="nil"/>
              <w:left w:val="nil"/>
              <w:bottom w:val="single" w:color="auto" w:sz="4" w:space="0"/>
              <w:right w:val="single" w:color="auto" w:sz="4" w:space="0"/>
            </w:tcBorders>
            <w:vAlign w:val="center"/>
          </w:tcPr>
          <w:p w14:paraId="0FFB8D0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609" w:type="dxa"/>
            <w:tcBorders>
              <w:top w:val="nil"/>
              <w:left w:val="nil"/>
              <w:bottom w:val="single" w:color="auto" w:sz="4" w:space="0"/>
              <w:right w:val="single" w:color="auto" w:sz="4" w:space="0"/>
            </w:tcBorders>
            <w:vAlign w:val="center"/>
          </w:tcPr>
          <w:p w14:paraId="0304D8B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033" w:type="dxa"/>
            <w:tcBorders>
              <w:top w:val="nil"/>
              <w:left w:val="nil"/>
              <w:bottom w:val="single" w:color="auto" w:sz="4" w:space="0"/>
              <w:right w:val="single" w:color="auto" w:sz="4" w:space="0"/>
            </w:tcBorders>
            <w:vAlign w:val="center"/>
          </w:tcPr>
          <w:p w14:paraId="78EEFE4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9FCFAD4">
        <w:tblPrEx>
          <w:tblCellMar>
            <w:top w:w="0" w:type="dxa"/>
            <w:left w:w="108" w:type="dxa"/>
            <w:bottom w:w="0" w:type="dxa"/>
            <w:right w:w="108" w:type="dxa"/>
          </w:tblCellMar>
        </w:tblPrEx>
        <w:trPr>
          <w:trHeight w:val="225" w:hRule="atLeast"/>
          <w:jc w:val="center"/>
        </w:trPr>
        <w:tc>
          <w:tcPr>
            <w:tcW w:w="1900" w:type="dxa"/>
            <w:vMerge w:val="restart"/>
            <w:tcBorders>
              <w:top w:val="nil"/>
              <w:left w:val="single" w:color="auto" w:sz="4" w:space="0"/>
              <w:bottom w:val="single" w:color="auto" w:sz="4" w:space="0"/>
              <w:right w:val="single" w:color="auto" w:sz="4" w:space="0"/>
            </w:tcBorders>
            <w:vAlign w:val="bottom"/>
          </w:tcPr>
          <w:p w14:paraId="5F6E176C">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546" w:type="dxa"/>
            <w:tcBorders>
              <w:top w:val="nil"/>
              <w:left w:val="nil"/>
              <w:bottom w:val="single" w:color="auto" w:sz="4" w:space="0"/>
              <w:right w:val="single" w:color="auto" w:sz="4" w:space="0"/>
            </w:tcBorders>
            <w:vAlign w:val="center"/>
          </w:tcPr>
          <w:p w14:paraId="51D6B1C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020" w:type="dxa"/>
            <w:tcBorders>
              <w:top w:val="nil"/>
              <w:left w:val="nil"/>
              <w:bottom w:val="single" w:color="auto" w:sz="4" w:space="0"/>
              <w:right w:val="single" w:color="auto" w:sz="4" w:space="0"/>
            </w:tcBorders>
            <w:vAlign w:val="center"/>
          </w:tcPr>
          <w:p w14:paraId="7D05419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10" w:type="dxa"/>
            <w:tcBorders>
              <w:top w:val="nil"/>
              <w:left w:val="nil"/>
              <w:bottom w:val="single" w:color="auto" w:sz="4" w:space="0"/>
              <w:right w:val="single" w:color="auto" w:sz="4" w:space="0"/>
            </w:tcBorders>
            <w:vAlign w:val="center"/>
          </w:tcPr>
          <w:p w14:paraId="6A2D531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609" w:type="dxa"/>
            <w:tcBorders>
              <w:top w:val="nil"/>
              <w:left w:val="nil"/>
              <w:bottom w:val="single" w:color="auto" w:sz="4" w:space="0"/>
              <w:right w:val="single" w:color="auto" w:sz="4" w:space="0"/>
            </w:tcBorders>
            <w:vAlign w:val="center"/>
          </w:tcPr>
          <w:p w14:paraId="35CA2F4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033" w:type="dxa"/>
            <w:tcBorders>
              <w:top w:val="nil"/>
              <w:left w:val="nil"/>
              <w:bottom w:val="single" w:color="auto" w:sz="4" w:space="0"/>
              <w:right w:val="single" w:color="auto" w:sz="4" w:space="0"/>
            </w:tcBorders>
            <w:vAlign w:val="center"/>
          </w:tcPr>
          <w:p w14:paraId="24EB45B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10EDBDE5">
        <w:tblPrEx>
          <w:tblCellMar>
            <w:top w:w="0" w:type="dxa"/>
            <w:left w:w="108" w:type="dxa"/>
            <w:bottom w:w="0" w:type="dxa"/>
            <w:right w:w="108" w:type="dxa"/>
          </w:tblCellMar>
        </w:tblPrEx>
        <w:trPr>
          <w:trHeight w:val="225" w:hRule="atLeast"/>
          <w:jc w:val="center"/>
        </w:trPr>
        <w:tc>
          <w:tcPr>
            <w:tcW w:w="1900" w:type="dxa"/>
            <w:vMerge w:val="continue"/>
            <w:tcBorders>
              <w:top w:val="nil"/>
              <w:left w:val="single" w:color="auto" w:sz="4" w:space="0"/>
              <w:bottom w:val="single" w:color="auto" w:sz="4" w:space="0"/>
              <w:right w:val="single" w:color="auto" w:sz="4" w:space="0"/>
            </w:tcBorders>
            <w:vAlign w:val="center"/>
          </w:tcPr>
          <w:p w14:paraId="072A2A5B">
            <w:pPr>
              <w:widowControl/>
              <w:jc w:val="left"/>
              <w:rPr>
                <w:rFonts w:ascii="仿宋_GB2312" w:hAnsi="仿宋" w:eastAsia="仿宋_GB2312" w:cs="宋体"/>
                <w:b/>
                <w:bCs/>
                <w:kern w:val="0"/>
                <w:sz w:val="18"/>
                <w:szCs w:val="18"/>
              </w:rPr>
            </w:pPr>
          </w:p>
        </w:tc>
        <w:tc>
          <w:tcPr>
            <w:tcW w:w="1546" w:type="dxa"/>
            <w:tcBorders>
              <w:top w:val="nil"/>
              <w:left w:val="nil"/>
              <w:bottom w:val="single" w:color="auto" w:sz="4" w:space="0"/>
              <w:right w:val="single" w:color="auto" w:sz="4" w:space="0"/>
            </w:tcBorders>
            <w:vAlign w:val="center"/>
          </w:tcPr>
          <w:p w14:paraId="3DBE093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020" w:type="dxa"/>
            <w:tcBorders>
              <w:top w:val="nil"/>
              <w:left w:val="nil"/>
              <w:bottom w:val="single" w:color="auto" w:sz="4" w:space="0"/>
              <w:right w:val="single" w:color="auto" w:sz="4" w:space="0"/>
            </w:tcBorders>
            <w:vAlign w:val="center"/>
          </w:tcPr>
          <w:p w14:paraId="75A6EEB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10" w:type="dxa"/>
            <w:tcBorders>
              <w:top w:val="nil"/>
              <w:left w:val="nil"/>
              <w:bottom w:val="single" w:color="auto" w:sz="4" w:space="0"/>
              <w:right w:val="single" w:color="auto" w:sz="4" w:space="0"/>
            </w:tcBorders>
            <w:vAlign w:val="center"/>
          </w:tcPr>
          <w:p w14:paraId="37E995C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609" w:type="dxa"/>
            <w:tcBorders>
              <w:top w:val="nil"/>
              <w:left w:val="nil"/>
              <w:bottom w:val="single" w:color="auto" w:sz="4" w:space="0"/>
              <w:right w:val="single" w:color="auto" w:sz="4" w:space="0"/>
            </w:tcBorders>
            <w:vAlign w:val="center"/>
          </w:tcPr>
          <w:p w14:paraId="2F8BED6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1033" w:type="dxa"/>
            <w:tcBorders>
              <w:top w:val="nil"/>
              <w:left w:val="nil"/>
              <w:bottom w:val="single" w:color="auto" w:sz="4" w:space="0"/>
              <w:right w:val="single" w:color="auto" w:sz="4" w:space="0"/>
            </w:tcBorders>
            <w:vAlign w:val="center"/>
          </w:tcPr>
          <w:p w14:paraId="011BCC0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07A0EF9D">
        <w:tblPrEx>
          <w:tblCellMar>
            <w:top w:w="0" w:type="dxa"/>
            <w:left w:w="108" w:type="dxa"/>
            <w:bottom w:w="0" w:type="dxa"/>
            <w:right w:w="108" w:type="dxa"/>
          </w:tblCellMar>
        </w:tblPrEx>
        <w:trPr>
          <w:trHeight w:val="225" w:hRule="atLeast"/>
          <w:jc w:val="center"/>
        </w:trPr>
        <w:tc>
          <w:tcPr>
            <w:tcW w:w="1900" w:type="dxa"/>
            <w:vMerge w:val="restart"/>
            <w:tcBorders>
              <w:top w:val="nil"/>
              <w:left w:val="single" w:color="auto" w:sz="4" w:space="0"/>
              <w:bottom w:val="single" w:color="auto" w:sz="4" w:space="0"/>
              <w:right w:val="single" w:color="auto" w:sz="4" w:space="0"/>
            </w:tcBorders>
            <w:vAlign w:val="bottom"/>
          </w:tcPr>
          <w:p w14:paraId="165082D5">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546" w:type="dxa"/>
            <w:tcBorders>
              <w:top w:val="nil"/>
              <w:left w:val="nil"/>
              <w:bottom w:val="single" w:color="auto" w:sz="4" w:space="0"/>
              <w:right w:val="single" w:color="auto" w:sz="4" w:space="0"/>
            </w:tcBorders>
            <w:vAlign w:val="center"/>
          </w:tcPr>
          <w:p w14:paraId="0A0BCCA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020" w:type="dxa"/>
            <w:tcBorders>
              <w:top w:val="nil"/>
              <w:left w:val="nil"/>
              <w:bottom w:val="single" w:color="auto" w:sz="4" w:space="0"/>
              <w:right w:val="single" w:color="auto" w:sz="4" w:space="0"/>
            </w:tcBorders>
            <w:vAlign w:val="center"/>
          </w:tcPr>
          <w:p w14:paraId="796A0C5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10" w:type="dxa"/>
            <w:tcBorders>
              <w:top w:val="nil"/>
              <w:left w:val="nil"/>
              <w:bottom w:val="single" w:color="auto" w:sz="4" w:space="0"/>
              <w:right w:val="single" w:color="auto" w:sz="4" w:space="0"/>
            </w:tcBorders>
            <w:vAlign w:val="center"/>
          </w:tcPr>
          <w:p w14:paraId="6858DEA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609" w:type="dxa"/>
            <w:tcBorders>
              <w:top w:val="nil"/>
              <w:left w:val="nil"/>
              <w:bottom w:val="single" w:color="auto" w:sz="4" w:space="0"/>
              <w:right w:val="single" w:color="auto" w:sz="4" w:space="0"/>
            </w:tcBorders>
            <w:vAlign w:val="center"/>
          </w:tcPr>
          <w:p w14:paraId="524FC08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1033" w:type="dxa"/>
            <w:tcBorders>
              <w:top w:val="nil"/>
              <w:left w:val="nil"/>
              <w:bottom w:val="single" w:color="auto" w:sz="4" w:space="0"/>
              <w:right w:val="single" w:color="auto" w:sz="4" w:space="0"/>
            </w:tcBorders>
            <w:vAlign w:val="center"/>
          </w:tcPr>
          <w:p w14:paraId="71F7516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1D4947D6">
        <w:tblPrEx>
          <w:tblCellMar>
            <w:top w:w="0" w:type="dxa"/>
            <w:left w:w="108" w:type="dxa"/>
            <w:bottom w:w="0" w:type="dxa"/>
            <w:right w:w="108" w:type="dxa"/>
          </w:tblCellMar>
        </w:tblPrEx>
        <w:trPr>
          <w:trHeight w:val="225" w:hRule="atLeast"/>
          <w:jc w:val="center"/>
        </w:trPr>
        <w:tc>
          <w:tcPr>
            <w:tcW w:w="1900" w:type="dxa"/>
            <w:vMerge w:val="continue"/>
            <w:tcBorders>
              <w:top w:val="nil"/>
              <w:left w:val="single" w:color="auto" w:sz="4" w:space="0"/>
              <w:bottom w:val="single" w:color="auto" w:sz="4" w:space="0"/>
              <w:right w:val="single" w:color="auto" w:sz="4" w:space="0"/>
            </w:tcBorders>
            <w:vAlign w:val="center"/>
          </w:tcPr>
          <w:p w14:paraId="25E55431">
            <w:pPr>
              <w:widowControl/>
              <w:jc w:val="left"/>
              <w:rPr>
                <w:rFonts w:ascii="仿宋_GB2312" w:hAnsi="仿宋" w:eastAsia="仿宋_GB2312" w:cs="宋体"/>
                <w:b/>
                <w:bCs/>
                <w:kern w:val="0"/>
                <w:sz w:val="18"/>
                <w:szCs w:val="18"/>
              </w:rPr>
            </w:pPr>
          </w:p>
        </w:tc>
        <w:tc>
          <w:tcPr>
            <w:tcW w:w="1546" w:type="dxa"/>
            <w:tcBorders>
              <w:top w:val="nil"/>
              <w:left w:val="nil"/>
              <w:bottom w:val="single" w:color="auto" w:sz="4" w:space="0"/>
              <w:right w:val="single" w:color="auto" w:sz="4" w:space="0"/>
            </w:tcBorders>
            <w:vAlign w:val="center"/>
          </w:tcPr>
          <w:p w14:paraId="43112A9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1020" w:type="dxa"/>
            <w:tcBorders>
              <w:top w:val="nil"/>
              <w:left w:val="nil"/>
              <w:bottom w:val="single" w:color="auto" w:sz="4" w:space="0"/>
              <w:right w:val="single" w:color="auto" w:sz="4" w:space="0"/>
            </w:tcBorders>
            <w:vAlign w:val="center"/>
          </w:tcPr>
          <w:p w14:paraId="6D7661C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10" w:type="dxa"/>
            <w:tcBorders>
              <w:top w:val="nil"/>
              <w:left w:val="nil"/>
              <w:bottom w:val="single" w:color="auto" w:sz="4" w:space="0"/>
              <w:right w:val="single" w:color="auto" w:sz="4" w:space="0"/>
            </w:tcBorders>
            <w:vAlign w:val="center"/>
          </w:tcPr>
          <w:p w14:paraId="79DD2B6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609" w:type="dxa"/>
            <w:tcBorders>
              <w:top w:val="nil"/>
              <w:left w:val="nil"/>
              <w:bottom w:val="single" w:color="auto" w:sz="4" w:space="0"/>
              <w:right w:val="single" w:color="auto" w:sz="4" w:space="0"/>
            </w:tcBorders>
            <w:vAlign w:val="center"/>
          </w:tcPr>
          <w:p w14:paraId="5E72021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1033" w:type="dxa"/>
            <w:tcBorders>
              <w:top w:val="nil"/>
              <w:left w:val="nil"/>
              <w:bottom w:val="single" w:color="auto" w:sz="4" w:space="0"/>
              <w:right w:val="single" w:color="auto" w:sz="4" w:space="0"/>
            </w:tcBorders>
            <w:vAlign w:val="center"/>
          </w:tcPr>
          <w:p w14:paraId="54BFCC3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Y＜2000</w:t>
            </w:r>
          </w:p>
        </w:tc>
      </w:tr>
      <w:tr w14:paraId="58D112B4">
        <w:tblPrEx>
          <w:tblCellMar>
            <w:top w:w="0" w:type="dxa"/>
            <w:left w:w="108" w:type="dxa"/>
            <w:bottom w:w="0" w:type="dxa"/>
            <w:right w:w="108" w:type="dxa"/>
          </w:tblCellMar>
        </w:tblPrEx>
        <w:trPr>
          <w:trHeight w:val="225" w:hRule="atLeast"/>
          <w:jc w:val="center"/>
        </w:trPr>
        <w:tc>
          <w:tcPr>
            <w:tcW w:w="1900" w:type="dxa"/>
            <w:vMerge w:val="restart"/>
            <w:tcBorders>
              <w:top w:val="nil"/>
              <w:left w:val="single" w:color="auto" w:sz="4" w:space="0"/>
              <w:bottom w:val="single" w:color="auto" w:sz="4" w:space="0"/>
              <w:right w:val="single" w:color="auto" w:sz="4" w:space="0"/>
            </w:tcBorders>
            <w:vAlign w:val="bottom"/>
          </w:tcPr>
          <w:p w14:paraId="3AEF1FA1">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546" w:type="dxa"/>
            <w:tcBorders>
              <w:top w:val="nil"/>
              <w:left w:val="nil"/>
              <w:bottom w:val="single" w:color="auto" w:sz="4" w:space="0"/>
              <w:right w:val="single" w:color="auto" w:sz="4" w:space="0"/>
            </w:tcBorders>
            <w:vAlign w:val="center"/>
          </w:tcPr>
          <w:p w14:paraId="3E5E938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020" w:type="dxa"/>
            <w:tcBorders>
              <w:top w:val="nil"/>
              <w:left w:val="nil"/>
              <w:bottom w:val="single" w:color="auto" w:sz="4" w:space="0"/>
              <w:right w:val="single" w:color="auto" w:sz="4" w:space="0"/>
            </w:tcBorders>
            <w:vAlign w:val="center"/>
          </w:tcPr>
          <w:p w14:paraId="4757BD1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10" w:type="dxa"/>
            <w:tcBorders>
              <w:top w:val="nil"/>
              <w:left w:val="nil"/>
              <w:bottom w:val="single" w:color="auto" w:sz="4" w:space="0"/>
              <w:right w:val="single" w:color="auto" w:sz="4" w:space="0"/>
            </w:tcBorders>
            <w:vAlign w:val="center"/>
          </w:tcPr>
          <w:p w14:paraId="668FD2A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609" w:type="dxa"/>
            <w:tcBorders>
              <w:top w:val="nil"/>
              <w:left w:val="nil"/>
              <w:bottom w:val="single" w:color="auto" w:sz="4" w:space="0"/>
              <w:right w:val="single" w:color="auto" w:sz="4" w:space="0"/>
            </w:tcBorders>
            <w:vAlign w:val="center"/>
          </w:tcPr>
          <w:p w14:paraId="4F6329A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033" w:type="dxa"/>
            <w:tcBorders>
              <w:top w:val="nil"/>
              <w:left w:val="nil"/>
              <w:bottom w:val="single" w:color="auto" w:sz="4" w:space="0"/>
              <w:right w:val="single" w:color="auto" w:sz="4" w:space="0"/>
            </w:tcBorders>
            <w:vAlign w:val="center"/>
          </w:tcPr>
          <w:p w14:paraId="388410D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5599EF75">
        <w:tblPrEx>
          <w:tblCellMar>
            <w:top w:w="0" w:type="dxa"/>
            <w:left w:w="108" w:type="dxa"/>
            <w:bottom w:w="0" w:type="dxa"/>
            <w:right w:w="108" w:type="dxa"/>
          </w:tblCellMar>
        </w:tblPrEx>
        <w:trPr>
          <w:trHeight w:val="225" w:hRule="atLeast"/>
          <w:jc w:val="center"/>
        </w:trPr>
        <w:tc>
          <w:tcPr>
            <w:tcW w:w="1900" w:type="dxa"/>
            <w:vMerge w:val="continue"/>
            <w:tcBorders>
              <w:top w:val="nil"/>
              <w:left w:val="single" w:color="auto" w:sz="4" w:space="0"/>
              <w:bottom w:val="single" w:color="auto" w:sz="4" w:space="0"/>
              <w:right w:val="single" w:color="auto" w:sz="4" w:space="0"/>
            </w:tcBorders>
            <w:vAlign w:val="center"/>
          </w:tcPr>
          <w:p w14:paraId="5B0D60CA">
            <w:pPr>
              <w:widowControl/>
              <w:jc w:val="left"/>
              <w:rPr>
                <w:rFonts w:ascii="仿宋_GB2312" w:hAnsi="仿宋" w:eastAsia="仿宋_GB2312" w:cs="宋体"/>
                <w:b/>
                <w:bCs/>
                <w:kern w:val="0"/>
                <w:sz w:val="18"/>
                <w:szCs w:val="18"/>
              </w:rPr>
            </w:pPr>
          </w:p>
        </w:tc>
        <w:tc>
          <w:tcPr>
            <w:tcW w:w="1546" w:type="dxa"/>
            <w:tcBorders>
              <w:top w:val="nil"/>
              <w:left w:val="nil"/>
              <w:bottom w:val="single" w:color="auto" w:sz="4" w:space="0"/>
              <w:right w:val="single" w:color="auto" w:sz="4" w:space="0"/>
            </w:tcBorders>
            <w:vAlign w:val="center"/>
          </w:tcPr>
          <w:p w14:paraId="554A4F6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020" w:type="dxa"/>
            <w:tcBorders>
              <w:top w:val="nil"/>
              <w:left w:val="nil"/>
              <w:bottom w:val="single" w:color="auto" w:sz="4" w:space="0"/>
              <w:right w:val="single" w:color="auto" w:sz="4" w:space="0"/>
            </w:tcBorders>
            <w:vAlign w:val="center"/>
          </w:tcPr>
          <w:p w14:paraId="508C40C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10" w:type="dxa"/>
            <w:tcBorders>
              <w:top w:val="nil"/>
              <w:left w:val="nil"/>
              <w:bottom w:val="single" w:color="auto" w:sz="4" w:space="0"/>
              <w:right w:val="single" w:color="auto" w:sz="4" w:space="0"/>
            </w:tcBorders>
            <w:vAlign w:val="center"/>
          </w:tcPr>
          <w:p w14:paraId="127393B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609" w:type="dxa"/>
            <w:tcBorders>
              <w:top w:val="nil"/>
              <w:left w:val="nil"/>
              <w:bottom w:val="single" w:color="auto" w:sz="4" w:space="0"/>
              <w:right w:val="single" w:color="auto" w:sz="4" w:space="0"/>
            </w:tcBorders>
            <w:vAlign w:val="center"/>
          </w:tcPr>
          <w:p w14:paraId="484021D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1033" w:type="dxa"/>
            <w:tcBorders>
              <w:top w:val="nil"/>
              <w:left w:val="nil"/>
              <w:bottom w:val="single" w:color="auto" w:sz="4" w:space="0"/>
              <w:right w:val="single" w:color="auto" w:sz="4" w:space="0"/>
            </w:tcBorders>
            <w:vAlign w:val="center"/>
          </w:tcPr>
          <w:p w14:paraId="7AD128D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Y＜500</w:t>
            </w:r>
          </w:p>
        </w:tc>
      </w:tr>
      <w:tr w14:paraId="1FFC8F42">
        <w:tblPrEx>
          <w:tblCellMar>
            <w:top w:w="0" w:type="dxa"/>
            <w:left w:w="108" w:type="dxa"/>
            <w:bottom w:w="0" w:type="dxa"/>
            <w:right w:w="108" w:type="dxa"/>
          </w:tblCellMar>
        </w:tblPrEx>
        <w:trPr>
          <w:trHeight w:val="225" w:hRule="atLeast"/>
          <w:jc w:val="center"/>
        </w:trPr>
        <w:tc>
          <w:tcPr>
            <w:tcW w:w="1900" w:type="dxa"/>
            <w:vMerge w:val="restart"/>
            <w:tcBorders>
              <w:top w:val="nil"/>
              <w:left w:val="single" w:color="auto" w:sz="4" w:space="0"/>
              <w:bottom w:val="single" w:color="auto" w:sz="4" w:space="0"/>
              <w:right w:val="single" w:color="auto" w:sz="4" w:space="0"/>
            </w:tcBorders>
            <w:vAlign w:val="bottom"/>
          </w:tcPr>
          <w:p w14:paraId="283AD074">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546" w:type="dxa"/>
            <w:tcBorders>
              <w:top w:val="nil"/>
              <w:left w:val="nil"/>
              <w:bottom w:val="single" w:color="auto" w:sz="4" w:space="0"/>
              <w:right w:val="single" w:color="auto" w:sz="4" w:space="0"/>
            </w:tcBorders>
            <w:vAlign w:val="center"/>
          </w:tcPr>
          <w:p w14:paraId="68EAB51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020" w:type="dxa"/>
            <w:tcBorders>
              <w:top w:val="nil"/>
              <w:left w:val="nil"/>
              <w:bottom w:val="single" w:color="auto" w:sz="4" w:space="0"/>
              <w:right w:val="single" w:color="auto" w:sz="4" w:space="0"/>
            </w:tcBorders>
            <w:vAlign w:val="center"/>
          </w:tcPr>
          <w:p w14:paraId="30EC1CE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10" w:type="dxa"/>
            <w:tcBorders>
              <w:top w:val="nil"/>
              <w:left w:val="nil"/>
              <w:bottom w:val="single" w:color="auto" w:sz="4" w:space="0"/>
              <w:right w:val="single" w:color="auto" w:sz="4" w:space="0"/>
            </w:tcBorders>
            <w:vAlign w:val="center"/>
          </w:tcPr>
          <w:p w14:paraId="3AB781E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609" w:type="dxa"/>
            <w:tcBorders>
              <w:top w:val="nil"/>
              <w:left w:val="nil"/>
              <w:bottom w:val="single" w:color="auto" w:sz="4" w:space="0"/>
              <w:right w:val="single" w:color="auto" w:sz="4" w:space="0"/>
            </w:tcBorders>
            <w:vAlign w:val="center"/>
          </w:tcPr>
          <w:p w14:paraId="0D86831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033" w:type="dxa"/>
            <w:tcBorders>
              <w:top w:val="nil"/>
              <w:left w:val="nil"/>
              <w:bottom w:val="single" w:color="auto" w:sz="4" w:space="0"/>
              <w:right w:val="single" w:color="auto" w:sz="4" w:space="0"/>
            </w:tcBorders>
            <w:vAlign w:val="center"/>
          </w:tcPr>
          <w:p w14:paraId="5B4B60B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0CBC0B57">
        <w:tblPrEx>
          <w:tblCellMar>
            <w:top w:w="0" w:type="dxa"/>
            <w:left w:w="108" w:type="dxa"/>
            <w:bottom w:w="0" w:type="dxa"/>
            <w:right w:w="108" w:type="dxa"/>
          </w:tblCellMar>
        </w:tblPrEx>
        <w:trPr>
          <w:trHeight w:val="225" w:hRule="atLeast"/>
          <w:jc w:val="center"/>
        </w:trPr>
        <w:tc>
          <w:tcPr>
            <w:tcW w:w="1900" w:type="dxa"/>
            <w:vMerge w:val="continue"/>
            <w:tcBorders>
              <w:top w:val="nil"/>
              <w:left w:val="single" w:color="auto" w:sz="4" w:space="0"/>
              <w:bottom w:val="single" w:color="auto" w:sz="4" w:space="0"/>
              <w:right w:val="single" w:color="auto" w:sz="4" w:space="0"/>
            </w:tcBorders>
            <w:vAlign w:val="center"/>
          </w:tcPr>
          <w:p w14:paraId="61E17695">
            <w:pPr>
              <w:widowControl/>
              <w:jc w:val="left"/>
              <w:rPr>
                <w:rFonts w:ascii="仿宋_GB2312" w:hAnsi="仿宋" w:eastAsia="仿宋_GB2312" w:cs="宋体"/>
                <w:b/>
                <w:bCs/>
                <w:kern w:val="0"/>
                <w:sz w:val="18"/>
                <w:szCs w:val="18"/>
              </w:rPr>
            </w:pPr>
          </w:p>
        </w:tc>
        <w:tc>
          <w:tcPr>
            <w:tcW w:w="1546" w:type="dxa"/>
            <w:tcBorders>
              <w:top w:val="nil"/>
              <w:left w:val="nil"/>
              <w:bottom w:val="single" w:color="auto" w:sz="4" w:space="0"/>
              <w:right w:val="single" w:color="auto" w:sz="4" w:space="0"/>
            </w:tcBorders>
            <w:vAlign w:val="center"/>
          </w:tcPr>
          <w:p w14:paraId="6C71674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1020" w:type="dxa"/>
            <w:tcBorders>
              <w:top w:val="nil"/>
              <w:left w:val="nil"/>
              <w:bottom w:val="single" w:color="auto" w:sz="4" w:space="0"/>
              <w:right w:val="single" w:color="auto" w:sz="4" w:space="0"/>
            </w:tcBorders>
            <w:vAlign w:val="center"/>
          </w:tcPr>
          <w:p w14:paraId="149CA82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10" w:type="dxa"/>
            <w:tcBorders>
              <w:top w:val="nil"/>
              <w:left w:val="nil"/>
              <w:bottom w:val="single" w:color="auto" w:sz="4" w:space="0"/>
              <w:right w:val="single" w:color="auto" w:sz="4" w:space="0"/>
            </w:tcBorders>
            <w:vAlign w:val="center"/>
          </w:tcPr>
          <w:p w14:paraId="3A10E86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609" w:type="dxa"/>
            <w:tcBorders>
              <w:top w:val="nil"/>
              <w:left w:val="nil"/>
              <w:bottom w:val="single" w:color="auto" w:sz="4" w:space="0"/>
              <w:right w:val="single" w:color="auto" w:sz="4" w:space="0"/>
            </w:tcBorders>
            <w:vAlign w:val="center"/>
          </w:tcPr>
          <w:p w14:paraId="1D2814F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1033" w:type="dxa"/>
            <w:tcBorders>
              <w:top w:val="nil"/>
              <w:left w:val="nil"/>
              <w:bottom w:val="single" w:color="auto" w:sz="4" w:space="0"/>
              <w:right w:val="single" w:color="auto" w:sz="4" w:space="0"/>
            </w:tcBorders>
            <w:vAlign w:val="center"/>
          </w:tcPr>
          <w:p w14:paraId="4B0CFC2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548D32B1">
        <w:tblPrEx>
          <w:tblCellMar>
            <w:top w:w="0" w:type="dxa"/>
            <w:left w:w="108" w:type="dxa"/>
            <w:bottom w:w="0" w:type="dxa"/>
            <w:right w:w="108" w:type="dxa"/>
          </w:tblCellMar>
        </w:tblPrEx>
        <w:trPr>
          <w:trHeight w:val="225" w:hRule="atLeast"/>
          <w:jc w:val="center"/>
        </w:trPr>
        <w:tc>
          <w:tcPr>
            <w:tcW w:w="1900" w:type="dxa"/>
            <w:tcBorders>
              <w:top w:val="nil"/>
              <w:left w:val="single" w:color="auto" w:sz="4" w:space="0"/>
              <w:bottom w:val="single" w:color="auto" w:sz="4" w:space="0"/>
              <w:right w:val="single" w:color="auto" w:sz="4" w:space="0"/>
            </w:tcBorders>
            <w:vAlign w:val="bottom"/>
          </w:tcPr>
          <w:p w14:paraId="662988FE">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546" w:type="dxa"/>
            <w:tcBorders>
              <w:top w:val="nil"/>
              <w:left w:val="nil"/>
              <w:bottom w:val="single" w:color="auto" w:sz="4" w:space="0"/>
              <w:right w:val="single" w:color="auto" w:sz="4" w:space="0"/>
            </w:tcBorders>
            <w:vAlign w:val="center"/>
          </w:tcPr>
          <w:p w14:paraId="70DF194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020" w:type="dxa"/>
            <w:tcBorders>
              <w:top w:val="nil"/>
              <w:left w:val="nil"/>
              <w:bottom w:val="single" w:color="auto" w:sz="4" w:space="0"/>
              <w:right w:val="single" w:color="auto" w:sz="4" w:space="0"/>
            </w:tcBorders>
            <w:vAlign w:val="center"/>
          </w:tcPr>
          <w:p w14:paraId="2E54A0C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10" w:type="dxa"/>
            <w:tcBorders>
              <w:top w:val="nil"/>
              <w:left w:val="nil"/>
              <w:bottom w:val="single" w:color="auto" w:sz="4" w:space="0"/>
              <w:right w:val="single" w:color="auto" w:sz="4" w:space="0"/>
            </w:tcBorders>
            <w:vAlign w:val="center"/>
          </w:tcPr>
          <w:p w14:paraId="0AFC25F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609" w:type="dxa"/>
            <w:tcBorders>
              <w:top w:val="nil"/>
              <w:left w:val="nil"/>
              <w:bottom w:val="single" w:color="auto" w:sz="4" w:space="0"/>
              <w:right w:val="single" w:color="auto" w:sz="4" w:space="0"/>
            </w:tcBorders>
            <w:vAlign w:val="center"/>
          </w:tcPr>
          <w:p w14:paraId="5BD3E97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033" w:type="dxa"/>
            <w:tcBorders>
              <w:top w:val="nil"/>
              <w:left w:val="nil"/>
              <w:bottom w:val="single" w:color="auto" w:sz="4" w:space="0"/>
              <w:right w:val="single" w:color="auto" w:sz="4" w:space="0"/>
            </w:tcBorders>
            <w:vAlign w:val="center"/>
          </w:tcPr>
          <w:p w14:paraId="38C2E40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14:paraId="64799F6E">
      <w:pPr>
        <w:spacing w:line="360" w:lineRule="auto"/>
        <w:ind w:firstLine="525" w:firstLineChars="250"/>
        <w:rPr>
          <w:rFonts w:ascii="仿宋_GB2312" w:hAnsi="仿宋" w:eastAsia="仿宋_GB2312"/>
          <w:szCs w:val="21"/>
        </w:rPr>
      </w:pPr>
    </w:p>
    <w:p w14:paraId="63F8394C">
      <w:pPr>
        <w:spacing w:line="360" w:lineRule="auto"/>
        <w:ind w:firstLine="525" w:firstLineChars="250"/>
        <w:rPr>
          <w:rFonts w:ascii="仿宋_GB2312" w:hAnsi="仿宋" w:eastAsia="仿宋_GB2312"/>
          <w:szCs w:val="21"/>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3516823A">
      <w:pPr>
        <w:spacing w:line="360" w:lineRule="auto"/>
        <w:contextualSpacing/>
        <w:jc w:val="center"/>
        <w:rPr>
          <w:rFonts w:ascii="仿宋_GB2312" w:hAnsi="仿宋_GB2312" w:eastAsia="仿宋_GB2312" w:cs="仿宋_GB2312"/>
          <w:sz w:val="32"/>
          <w:szCs w:val="32"/>
        </w:rPr>
      </w:pPr>
      <w:r>
        <w:rPr>
          <w:rFonts w:ascii="宋体" w:hAnsi="宋体"/>
          <w:sz w:val="24"/>
        </w:rPr>
        <w:br w:type="page"/>
      </w:r>
      <w:r>
        <w:rPr>
          <w:rFonts w:hint="eastAsia" w:ascii="方正小标宋简体" w:hAnsi="方正小标宋简体" w:eastAsia="方正小标宋简体" w:cs="方正小标宋简体"/>
          <w:sz w:val="44"/>
          <w:szCs w:val="44"/>
        </w:rPr>
        <w:t>残疾人福利性单位声明函</w:t>
      </w:r>
    </w:p>
    <w:p w14:paraId="6E13E0B9">
      <w:pPr>
        <w:spacing w:line="520" w:lineRule="exact"/>
        <w:rPr>
          <w:rFonts w:ascii="仿宋_GB2312" w:hAnsi="仿宋_GB2312" w:eastAsia="仿宋_GB2312" w:cs="仿宋_GB2312"/>
          <w:sz w:val="32"/>
          <w:szCs w:val="32"/>
        </w:rPr>
      </w:pPr>
    </w:p>
    <w:p w14:paraId="77247BB2">
      <w:pPr>
        <w:spacing w:line="360" w:lineRule="auto"/>
        <w:ind w:firstLine="480" w:firstLineChars="200"/>
        <w:contextualSpacing/>
        <w:rPr>
          <w:rFonts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sz w:val="24"/>
          <w:u w:val="single"/>
        </w:rPr>
        <w:t xml:space="preserve">       </w:t>
      </w:r>
      <w:r>
        <w:rPr>
          <w:rFonts w:hint="eastAsia" w:ascii="宋体" w:hAnsi="宋体" w:cs="仿宋_GB2312"/>
          <w:sz w:val="24"/>
        </w:rPr>
        <w:t>单位的</w:t>
      </w:r>
      <w:r>
        <w:rPr>
          <w:rFonts w:hint="eastAsia" w:ascii="宋体" w:hAnsi="宋体" w:cs="仿宋_GB2312"/>
          <w:sz w:val="24"/>
          <w:u w:val="single"/>
        </w:rPr>
        <w:t xml:space="preserve">        </w:t>
      </w:r>
      <w:r>
        <w:rPr>
          <w:rFonts w:hint="eastAsia" w:ascii="宋体" w:hAnsi="宋体" w:cs="仿宋_GB2312"/>
          <w:sz w:val="24"/>
        </w:rPr>
        <w:t>项目采购活动提供本单位制造的货物（由本单位承担工程/提供服务），或者提供其他残疾人福利性单位制造的货物（不包括使用非残疾人福利性单位注册商标的货物）。</w:t>
      </w:r>
    </w:p>
    <w:p w14:paraId="6C2A5B70">
      <w:pPr>
        <w:spacing w:line="360" w:lineRule="auto"/>
        <w:ind w:firstLine="480" w:firstLineChars="200"/>
        <w:contextualSpacing/>
        <w:rPr>
          <w:rFonts w:ascii="宋体" w:hAnsi="宋体" w:cs="仿宋_GB2312"/>
          <w:sz w:val="24"/>
        </w:rPr>
      </w:pPr>
      <w:r>
        <w:rPr>
          <w:rFonts w:hint="eastAsia" w:ascii="宋体" w:hAnsi="宋体" w:cs="仿宋_GB2312"/>
          <w:sz w:val="24"/>
        </w:rPr>
        <w:t>本单位对上述声明的真实性负责。如有虚假，将依法承担相应责任。</w:t>
      </w:r>
    </w:p>
    <w:p w14:paraId="605ABCE7">
      <w:pPr>
        <w:spacing w:line="360" w:lineRule="auto"/>
        <w:contextualSpacing/>
        <w:rPr>
          <w:rFonts w:ascii="宋体" w:hAnsi="宋体" w:cs="仿宋_GB2312"/>
          <w:sz w:val="24"/>
        </w:rPr>
      </w:pPr>
    </w:p>
    <w:p w14:paraId="59CC4F51">
      <w:pPr>
        <w:spacing w:line="360" w:lineRule="auto"/>
        <w:contextualSpacing/>
        <w:rPr>
          <w:rFonts w:ascii="宋体" w:hAnsi="宋体" w:cs="仿宋_GB2312"/>
          <w:sz w:val="24"/>
        </w:rPr>
      </w:pPr>
    </w:p>
    <w:p w14:paraId="399901F7">
      <w:pPr>
        <w:spacing w:line="360" w:lineRule="auto"/>
        <w:contextualSpacing/>
        <w:rPr>
          <w:rFonts w:ascii="宋体" w:hAnsi="宋体" w:cs="仿宋_GB2312"/>
          <w:sz w:val="24"/>
        </w:rPr>
      </w:pPr>
    </w:p>
    <w:p w14:paraId="1DBFAC3B">
      <w:pPr>
        <w:spacing w:line="360" w:lineRule="auto"/>
        <w:ind w:firstLine="2400" w:firstLineChars="1000"/>
        <w:contextualSpacing/>
        <w:rPr>
          <w:rFonts w:ascii="宋体" w:hAnsi="宋体" w:cs="仿宋_GB2312"/>
          <w:sz w:val="24"/>
        </w:rPr>
      </w:pPr>
      <w:r>
        <w:rPr>
          <w:rFonts w:hint="eastAsia" w:ascii="宋体" w:hAnsi="宋体" w:cs="仿宋_GB2312"/>
          <w:sz w:val="24"/>
        </w:rPr>
        <w:t>单位名称（盖章）：</w:t>
      </w:r>
    </w:p>
    <w:p w14:paraId="3E7C4A88">
      <w:pPr>
        <w:spacing w:line="360" w:lineRule="auto"/>
        <w:ind w:firstLine="3600" w:firstLineChars="1500"/>
        <w:contextualSpacing/>
        <w:rPr>
          <w:rFonts w:ascii="宋体" w:hAnsi="宋体" w:cs="仿宋_GB2312"/>
          <w:sz w:val="24"/>
        </w:rPr>
      </w:pPr>
      <w:r>
        <w:rPr>
          <w:rFonts w:hint="eastAsia" w:ascii="宋体" w:hAnsi="宋体" w:cs="仿宋_GB2312"/>
          <w:sz w:val="24"/>
        </w:rPr>
        <w:t>日  期：</w:t>
      </w:r>
    </w:p>
    <w:p w14:paraId="76C10DCB">
      <w:pPr>
        <w:spacing w:line="360" w:lineRule="auto"/>
        <w:contextualSpacing/>
        <w:rPr>
          <w:rFonts w:ascii="宋体" w:hAnsi="宋体" w:cs="仿宋_GB2312"/>
          <w:sz w:val="24"/>
        </w:rPr>
      </w:pPr>
    </w:p>
    <w:p w14:paraId="25B1873D">
      <w:pPr>
        <w:spacing w:line="360" w:lineRule="auto"/>
        <w:contextualSpacing/>
        <w:rPr>
          <w:rFonts w:ascii="宋体" w:hAnsi="宋体" w:cs="仿宋_GB2312"/>
          <w:sz w:val="24"/>
        </w:rPr>
      </w:pPr>
    </w:p>
    <w:p w14:paraId="0F994E59">
      <w:pPr>
        <w:spacing w:line="360" w:lineRule="auto"/>
        <w:contextualSpacing/>
        <w:rPr>
          <w:rFonts w:ascii="宋体" w:hAnsi="宋体" w:cs="仿宋_GB2312"/>
          <w:sz w:val="24"/>
        </w:rPr>
      </w:pPr>
    </w:p>
    <w:p w14:paraId="33638B4B">
      <w:pPr>
        <w:spacing w:line="360" w:lineRule="auto"/>
        <w:contextualSpacing/>
        <w:rPr>
          <w:rFonts w:ascii="宋体" w:hAnsi="宋体" w:cs="仿宋_GB2312"/>
          <w:sz w:val="24"/>
        </w:rPr>
      </w:pPr>
      <w:r>
        <w:rPr>
          <w:rFonts w:hint="eastAsia" w:ascii="宋体" w:hAnsi="宋体" w:cs="仿宋_GB2312"/>
          <w:sz w:val="24"/>
        </w:rPr>
        <w:t>注：请根据自己的真实情况出具《残疾人福利性单位声明函》。依法享受中小企业优惠政策的，采购人或者采购代理机构在公告成交结果时，同时公告其《残疾人福利性单位声明函》，接受社会监督。</w:t>
      </w:r>
    </w:p>
    <w:p w14:paraId="4DB85A3F">
      <w:pPr>
        <w:spacing w:line="360" w:lineRule="auto"/>
        <w:jc w:val="center"/>
        <w:rPr>
          <w:rFonts w:ascii="宋体" w:hAnsi="宋体"/>
          <w:b/>
          <w:bCs/>
          <w:sz w:val="32"/>
          <w:szCs w:val="32"/>
        </w:rPr>
      </w:pPr>
      <w:r>
        <w:rPr>
          <w:rFonts w:ascii="宋体" w:hAnsi="宋体" w:cs="仿宋_GB2312"/>
          <w:sz w:val="24"/>
        </w:rPr>
        <w:br w:type="page"/>
      </w:r>
      <w:r>
        <w:rPr>
          <w:rFonts w:hint="eastAsia" w:ascii="方正小标宋简体" w:hAnsi="方正小标宋简体" w:eastAsia="方正小标宋简体" w:cs="方正小标宋简体"/>
          <w:sz w:val="44"/>
          <w:szCs w:val="44"/>
        </w:rPr>
        <w:t>质疑函</w:t>
      </w:r>
      <w:r>
        <w:rPr>
          <w:rFonts w:hint="eastAsia" w:ascii="方正小标宋简体" w:hAnsi="方正小标宋简体" w:eastAsia="方正小标宋简体" w:cs="方正小标宋简体"/>
          <w:sz w:val="28"/>
          <w:szCs w:val="28"/>
        </w:rPr>
        <w:t>（格式）</w:t>
      </w:r>
    </w:p>
    <w:p w14:paraId="6CAB414A">
      <w:pPr>
        <w:spacing w:line="360" w:lineRule="auto"/>
        <w:jc w:val="center"/>
        <w:rPr>
          <w:rFonts w:ascii="宋体" w:hAnsi="宋体"/>
          <w:b/>
          <w:bCs/>
          <w:sz w:val="32"/>
          <w:szCs w:val="32"/>
        </w:rPr>
      </w:pPr>
    </w:p>
    <w:p w14:paraId="5900FFB9">
      <w:pPr>
        <w:pStyle w:val="16"/>
        <w:spacing w:line="360" w:lineRule="auto"/>
        <w:ind w:firstLine="482" w:firstLineChars="200"/>
        <w:contextualSpacing/>
        <w:rPr>
          <w:rFonts w:hAnsi="宋体"/>
          <w:b/>
          <w:bCs/>
          <w:sz w:val="24"/>
          <w:szCs w:val="24"/>
        </w:rPr>
      </w:pPr>
      <w:r>
        <w:rPr>
          <w:rFonts w:hint="eastAsia" w:hAnsi="宋体"/>
          <w:b/>
          <w:bCs/>
          <w:sz w:val="24"/>
          <w:szCs w:val="24"/>
        </w:rPr>
        <w:t>一、质疑供应商基本信息：</w:t>
      </w:r>
    </w:p>
    <w:p w14:paraId="436465DA">
      <w:pPr>
        <w:pStyle w:val="16"/>
        <w:spacing w:line="360" w:lineRule="auto"/>
        <w:ind w:firstLine="480" w:firstLineChars="200"/>
        <w:contextualSpacing/>
        <w:rPr>
          <w:rFonts w:hAnsi="宋体"/>
          <w:bCs/>
          <w:sz w:val="24"/>
          <w:szCs w:val="24"/>
          <w:u w:val="single"/>
        </w:rPr>
      </w:pPr>
      <w:r>
        <w:rPr>
          <w:rFonts w:hint="eastAsia" w:hAnsi="宋体"/>
          <w:bCs/>
          <w:sz w:val="24"/>
          <w:szCs w:val="24"/>
        </w:rPr>
        <w:t>质疑供应商：</w:t>
      </w:r>
      <w:r>
        <w:rPr>
          <w:rFonts w:hint="eastAsia" w:hAnsi="宋体"/>
          <w:bCs/>
          <w:sz w:val="24"/>
          <w:szCs w:val="24"/>
          <w:u w:val="single"/>
        </w:rPr>
        <w:t xml:space="preserve">                                       </w:t>
      </w:r>
      <w:r>
        <w:rPr>
          <w:rFonts w:hint="eastAsia" w:hAnsi="宋体"/>
          <w:bCs/>
          <w:sz w:val="24"/>
          <w:szCs w:val="24"/>
        </w:rPr>
        <w:t xml:space="preserve">                 </w:t>
      </w:r>
    </w:p>
    <w:p w14:paraId="3F563F92">
      <w:pPr>
        <w:pStyle w:val="16"/>
        <w:spacing w:line="360" w:lineRule="auto"/>
        <w:ind w:firstLine="480" w:firstLineChars="200"/>
        <w:contextualSpacing/>
        <w:rPr>
          <w:rFonts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4C39704B">
      <w:pPr>
        <w:pStyle w:val="16"/>
        <w:spacing w:line="360" w:lineRule="auto"/>
        <w:ind w:firstLine="480" w:firstLineChars="200"/>
        <w:contextualSpacing/>
        <w:rPr>
          <w:rFonts w:hAnsi="宋体"/>
          <w:bCs/>
          <w:sz w:val="24"/>
          <w:szCs w:val="24"/>
        </w:rPr>
      </w:pPr>
      <w:r>
        <w:rPr>
          <w:rFonts w:hAnsi="宋体"/>
          <w:bCs/>
          <w:sz w:val="24"/>
          <w:szCs w:val="24"/>
        </w:rPr>
        <w:t>联系人</w:t>
      </w:r>
      <w:r>
        <w:rPr>
          <w:rFonts w:hint="eastAsia" w:hAnsi="宋体"/>
          <w:bCs/>
          <w:sz w:val="24"/>
          <w:szCs w:val="24"/>
        </w:rPr>
        <w:t>：</w:t>
      </w:r>
      <w:r>
        <w:rPr>
          <w:rFonts w:hint="eastAsia" w:hAnsi="宋体"/>
          <w:bCs/>
          <w:sz w:val="24"/>
          <w:szCs w:val="24"/>
          <w:u w:val="single"/>
        </w:rPr>
        <w:t xml:space="preserve">                     </w:t>
      </w: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14:paraId="72E18E1B">
      <w:pPr>
        <w:pStyle w:val="16"/>
        <w:spacing w:line="360" w:lineRule="auto"/>
        <w:ind w:firstLine="480" w:firstLineChars="200"/>
        <w:contextualSpacing/>
        <w:rPr>
          <w:rFonts w:hAnsi="宋体"/>
          <w:bCs/>
          <w:sz w:val="24"/>
          <w:szCs w:val="24"/>
        </w:rPr>
      </w:pPr>
      <w:r>
        <w:rPr>
          <w:rFonts w:hint="eastAsia" w:hAnsi="宋体"/>
          <w:bCs/>
          <w:sz w:val="24"/>
          <w:szCs w:val="24"/>
        </w:rPr>
        <w:t>授权代表：</w:t>
      </w:r>
      <w:r>
        <w:rPr>
          <w:rFonts w:hint="eastAsia" w:hAnsi="宋体"/>
          <w:bCs/>
          <w:sz w:val="24"/>
          <w:szCs w:val="24"/>
          <w:u w:val="single"/>
        </w:rPr>
        <w:t xml:space="preserve">                      </w:t>
      </w:r>
    </w:p>
    <w:p w14:paraId="34821F84">
      <w:pPr>
        <w:pStyle w:val="16"/>
        <w:spacing w:line="360" w:lineRule="auto"/>
        <w:ind w:firstLine="480" w:firstLineChars="200"/>
        <w:contextualSpacing/>
        <w:rPr>
          <w:rFonts w:hAnsi="宋体"/>
          <w:bCs/>
          <w:sz w:val="24"/>
          <w:szCs w:val="24"/>
          <w:u w:val="single"/>
        </w:rPr>
      </w:pP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15C43F16">
      <w:pPr>
        <w:pStyle w:val="16"/>
        <w:spacing w:line="360" w:lineRule="auto"/>
        <w:ind w:firstLine="480" w:firstLineChars="200"/>
        <w:contextualSpacing/>
        <w:rPr>
          <w:rFonts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51CC6B50">
      <w:pPr>
        <w:pStyle w:val="16"/>
        <w:spacing w:line="360" w:lineRule="auto"/>
        <w:ind w:firstLine="482" w:firstLineChars="200"/>
        <w:contextualSpacing/>
        <w:rPr>
          <w:rFonts w:hAnsi="宋体"/>
          <w:b/>
          <w:bCs/>
          <w:sz w:val="24"/>
          <w:szCs w:val="24"/>
        </w:rPr>
      </w:pPr>
      <w:r>
        <w:rPr>
          <w:rFonts w:hint="eastAsia" w:hAnsi="宋体"/>
          <w:b/>
          <w:bCs/>
          <w:sz w:val="24"/>
          <w:szCs w:val="24"/>
        </w:rPr>
        <w:t>二、质疑项目基本情况：</w:t>
      </w:r>
    </w:p>
    <w:p w14:paraId="3A22892A">
      <w:pPr>
        <w:pStyle w:val="16"/>
        <w:spacing w:line="360" w:lineRule="auto"/>
        <w:ind w:left="25" w:leftChars="12" w:firstLine="472" w:firstLineChars="197"/>
        <w:contextualSpacing/>
        <w:rPr>
          <w:rFonts w:hAnsi="宋体"/>
          <w:sz w:val="24"/>
          <w:szCs w:val="24"/>
        </w:rPr>
      </w:pPr>
      <w:r>
        <w:rPr>
          <w:rFonts w:hint="eastAsia" w:hAnsi="宋体"/>
          <w:bCs/>
          <w:sz w:val="24"/>
          <w:szCs w:val="24"/>
        </w:rPr>
        <w:t>质疑</w:t>
      </w:r>
      <w:r>
        <w:rPr>
          <w:rFonts w:hint="eastAsia" w:hAnsi="宋体"/>
          <w:sz w:val="24"/>
          <w:szCs w:val="24"/>
        </w:rPr>
        <w:t>项目的名称：</w:t>
      </w:r>
      <w:r>
        <w:rPr>
          <w:rFonts w:hint="eastAsia" w:hAnsi="宋体"/>
          <w:bCs/>
          <w:sz w:val="24"/>
          <w:szCs w:val="24"/>
          <w:u w:val="single"/>
        </w:rPr>
        <w:t xml:space="preserve">                                     </w:t>
      </w:r>
    </w:p>
    <w:p w14:paraId="02466F5F">
      <w:pPr>
        <w:pStyle w:val="16"/>
        <w:spacing w:line="360" w:lineRule="auto"/>
        <w:ind w:left="25" w:leftChars="12" w:firstLine="472" w:firstLineChars="197"/>
        <w:contextualSpacing/>
        <w:rPr>
          <w:rFonts w:hAnsi="宋体"/>
          <w:sz w:val="24"/>
          <w:szCs w:val="24"/>
        </w:rPr>
      </w:pPr>
      <w:r>
        <w:rPr>
          <w:rFonts w:hint="eastAsia" w:hAnsi="宋体"/>
          <w:bCs/>
          <w:sz w:val="24"/>
          <w:szCs w:val="24"/>
        </w:rPr>
        <w:t>质疑</w:t>
      </w:r>
      <w:r>
        <w:rPr>
          <w:rFonts w:hint="eastAsia" w:hAnsi="宋体"/>
          <w:sz w:val="24"/>
          <w:szCs w:val="24"/>
        </w:rPr>
        <w:t>项目的编号：</w:t>
      </w:r>
      <w:r>
        <w:rPr>
          <w:rFonts w:hint="eastAsia" w:hAnsi="宋体"/>
          <w:bCs/>
          <w:sz w:val="24"/>
          <w:szCs w:val="24"/>
          <w:u w:val="single"/>
        </w:rPr>
        <w:t xml:space="preserve">                                     </w:t>
      </w:r>
    </w:p>
    <w:p w14:paraId="504B7960">
      <w:pPr>
        <w:pStyle w:val="16"/>
        <w:spacing w:line="360" w:lineRule="auto"/>
        <w:ind w:left="25" w:leftChars="12" w:firstLine="472" w:firstLineChars="197"/>
        <w:contextualSpacing/>
        <w:rPr>
          <w:rFonts w:hAnsi="宋体"/>
          <w:sz w:val="24"/>
          <w:szCs w:val="24"/>
        </w:rPr>
      </w:pPr>
      <w:r>
        <w:rPr>
          <w:rFonts w:hint="eastAsia" w:hAnsi="宋体"/>
          <w:sz w:val="24"/>
          <w:szCs w:val="24"/>
        </w:rPr>
        <w:t>采购人名称：</w:t>
      </w:r>
      <w:r>
        <w:rPr>
          <w:rFonts w:hint="eastAsia" w:hAnsi="宋体"/>
          <w:bCs/>
          <w:sz w:val="24"/>
          <w:szCs w:val="24"/>
          <w:u w:val="single"/>
        </w:rPr>
        <w:t xml:space="preserve">                                         </w:t>
      </w:r>
    </w:p>
    <w:p w14:paraId="564AA263">
      <w:pPr>
        <w:pStyle w:val="16"/>
        <w:spacing w:line="360" w:lineRule="auto"/>
        <w:ind w:left="25" w:leftChars="12" w:firstLine="472" w:firstLineChars="197"/>
        <w:contextualSpacing/>
        <w:rPr>
          <w:rFonts w:hAnsi="宋体"/>
          <w:sz w:val="24"/>
          <w:szCs w:val="24"/>
        </w:rPr>
      </w:pPr>
      <w:r>
        <w:rPr>
          <w:rFonts w:hint="eastAsia" w:hAnsi="宋体"/>
          <w:sz w:val="24"/>
          <w:szCs w:val="24"/>
        </w:rPr>
        <w:t>质疑事项：</w:t>
      </w:r>
    </w:p>
    <w:p w14:paraId="7311B89B">
      <w:pPr>
        <w:pStyle w:val="16"/>
        <w:spacing w:line="360" w:lineRule="auto"/>
        <w:ind w:left="25" w:leftChars="12" w:firstLine="352" w:firstLineChars="147"/>
        <w:contextualSpacing/>
        <w:rPr>
          <w:rFonts w:hAnsi="宋体"/>
          <w:sz w:val="24"/>
          <w:szCs w:val="24"/>
        </w:rPr>
      </w:pPr>
      <w:r>
        <w:rPr>
          <w:rFonts w:hint="eastAsia" w:hAnsi="宋体"/>
          <w:sz w:val="24"/>
          <w:szCs w:val="24"/>
        </w:rPr>
        <w:t>□采购文件   采购文件获取日期：</w:t>
      </w:r>
      <w:r>
        <w:rPr>
          <w:rFonts w:hint="eastAsia" w:hAnsi="宋体"/>
          <w:bCs/>
          <w:sz w:val="24"/>
          <w:szCs w:val="24"/>
          <w:u w:val="single"/>
        </w:rPr>
        <w:t xml:space="preserve">                                   </w:t>
      </w:r>
    </w:p>
    <w:p w14:paraId="0FB4C166">
      <w:pPr>
        <w:pStyle w:val="16"/>
        <w:spacing w:line="360" w:lineRule="auto"/>
        <w:ind w:left="25" w:leftChars="12" w:firstLine="352" w:firstLineChars="147"/>
        <w:contextualSpacing/>
        <w:rPr>
          <w:rFonts w:hAnsi="宋体"/>
          <w:sz w:val="24"/>
          <w:szCs w:val="24"/>
        </w:rPr>
      </w:pPr>
      <w:r>
        <w:rPr>
          <w:rFonts w:hint="eastAsia" w:hAnsi="宋体"/>
          <w:sz w:val="24"/>
          <w:szCs w:val="24"/>
        </w:rPr>
        <w:t xml:space="preserve">□采购过程   </w:t>
      </w:r>
    </w:p>
    <w:p w14:paraId="7B7B377B">
      <w:pPr>
        <w:pStyle w:val="16"/>
        <w:spacing w:line="360" w:lineRule="auto"/>
        <w:ind w:left="25" w:leftChars="12" w:firstLine="352" w:firstLineChars="147"/>
        <w:contextualSpacing/>
        <w:rPr>
          <w:rFonts w:hAnsi="宋体"/>
          <w:bCs/>
          <w:sz w:val="24"/>
          <w:szCs w:val="24"/>
          <w:u w:val="single"/>
        </w:rPr>
      </w:pPr>
      <w:r>
        <w:rPr>
          <w:rFonts w:hint="eastAsia" w:hAnsi="宋体"/>
          <w:sz w:val="24"/>
          <w:szCs w:val="24"/>
        </w:rPr>
        <w:t xml:space="preserve">□成交结果   </w:t>
      </w:r>
    </w:p>
    <w:p w14:paraId="000072A8">
      <w:pPr>
        <w:pStyle w:val="16"/>
        <w:spacing w:line="360" w:lineRule="auto"/>
        <w:ind w:left="25" w:leftChars="12" w:firstLine="472" w:firstLineChars="196"/>
        <w:contextualSpacing/>
        <w:rPr>
          <w:rFonts w:hAnsi="宋体"/>
          <w:b/>
          <w:sz w:val="24"/>
          <w:szCs w:val="24"/>
        </w:rPr>
      </w:pPr>
      <w:r>
        <w:rPr>
          <w:rFonts w:hint="eastAsia" w:hAnsi="宋体"/>
          <w:b/>
          <w:sz w:val="24"/>
          <w:szCs w:val="24"/>
        </w:rPr>
        <w:t>三、质疑事项具体内容</w:t>
      </w:r>
    </w:p>
    <w:p w14:paraId="6885F219">
      <w:pPr>
        <w:pStyle w:val="16"/>
        <w:spacing w:line="360" w:lineRule="auto"/>
        <w:ind w:left="25" w:leftChars="12" w:firstLine="472" w:firstLineChars="197"/>
        <w:contextualSpacing/>
        <w:rPr>
          <w:rFonts w:hAnsi="宋体"/>
          <w:sz w:val="24"/>
          <w:szCs w:val="24"/>
        </w:rPr>
      </w:pPr>
      <w:r>
        <w:rPr>
          <w:rFonts w:hint="eastAsia" w:hAnsi="宋体"/>
          <w:sz w:val="24"/>
          <w:szCs w:val="24"/>
        </w:rPr>
        <w:t>质疑事项1：</w:t>
      </w:r>
      <w:r>
        <w:rPr>
          <w:rFonts w:hint="eastAsia" w:hAnsi="宋体"/>
          <w:bCs/>
          <w:sz w:val="24"/>
          <w:szCs w:val="24"/>
          <w:u w:val="single"/>
        </w:rPr>
        <w:t xml:space="preserve">                                                                    </w:t>
      </w:r>
    </w:p>
    <w:p w14:paraId="6337A6A1">
      <w:pPr>
        <w:pStyle w:val="16"/>
        <w:spacing w:line="360" w:lineRule="auto"/>
        <w:ind w:left="25" w:leftChars="12" w:firstLine="472" w:firstLineChars="197"/>
        <w:contextualSpacing/>
        <w:rPr>
          <w:rFonts w:hAnsi="宋体"/>
          <w:sz w:val="24"/>
          <w:szCs w:val="24"/>
        </w:rPr>
      </w:pPr>
      <w:r>
        <w:rPr>
          <w:rFonts w:hint="eastAsia" w:hAnsi="宋体"/>
          <w:sz w:val="24"/>
          <w:szCs w:val="24"/>
        </w:rPr>
        <w:t>事实依据：</w:t>
      </w:r>
      <w:r>
        <w:rPr>
          <w:rFonts w:hint="eastAsia" w:hAnsi="宋体"/>
          <w:bCs/>
          <w:sz w:val="24"/>
          <w:szCs w:val="24"/>
          <w:u w:val="single"/>
        </w:rPr>
        <w:t xml:space="preserve">                                                                      </w:t>
      </w:r>
    </w:p>
    <w:p w14:paraId="60059CCD">
      <w:pPr>
        <w:pStyle w:val="16"/>
        <w:spacing w:line="360" w:lineRule="auto"/>
        <w:ind w:left="25" w:leftChars="12" w:firstLine="472" w:firstLineChars="197"/>
        <w:contextualSpacing/>
        <w:rPr>
          <w:rFonts w:hAnsi="宋体"/>
          <w:sz w:val="24"/>
          <w:szCs w:val="24"/>
        </w:rPr>
      </w:pPr>
      <w:r>
        <w:rPr>
          <w:rFonts w:hint="eastAsia" w:hAnsi="宋体"/>
          <w:sz w:val="24"/>
          <w:szCs w:val="24"/>
        </w:rPr>
        <w:t>法律依据：</w:t>
      </w:r>
      <w:r>
        <w:rPr>
          <w:rFonts w:hint="eastAsia" w:hAnsi="宋体"/>
          <w:sz w:val="24"/>
          <w:szCs w:val="24"/>
          <w:u w:val="single"/>
        </w:rPr>
        <w:t xml:space="preserve">                                                        </w:t>
      </w:r>
      <w:r>
        <w:rPr>
          <w:rFonts w:hint="eastAsia" w:hAnsi="宋体"/>
          <w:bCs/>
          <w:sz w:val="24"/>
          <w:szCs w:val="24"/>
          <w:u w:val="single"/>
        </w:rPr>
        <w:t xml:space="preserve">               </w:t>
      </w:r>
    </w:p>
    <w:p w14:paraId="3EA13CB9">
      <w:pPr>
        <w:pStyle w:val="16"/>
        <w:spacing w:line="360" w:lineRule="auto"/>
        <w:ind w:left="25" w:leftChars="12" w:firstLine="472" w:firstLineChars="197"/>
        <w:contextualSpacing/>
        <w:rPr>
          <w:rFonts w:hAnsi="宋体"/>
          <w:sz w:val="24"/>
          <w:szCs w:val="24"/>
        </w:rPr>
      </w:pPr>
      <w:r>
        <w:rPr>
          <w:rFonts w:hint="eastAsia" w:hAnsi="宋体"/>
          <w:sz w:val="24"/>
          <w:szCs w:val="24"/>
        </w:rPr>
        <w:t>质疑事项2</w:t>
      </w:r>
    </w:p>
    <w:p w14:paraId="1FEA054A">
      <w:pPr>
        <w:pStyle w:val="16"/>
        <w:spacing w:line="360" w:lineRule="auto"/>
        <w:ind w:left="25" w:leftChars="12" w:firstLine="472" w:firstLineChars="197"/>
        <w:contextualSpacing/>
        <w:rPr>
          <w:rFonts w:hAnsi="宋体"/>
          <w:sz w:val="24"/>
          <w:szCs w:val="24"/>
        </w:rPr>
      </w:pPr>
      <w:r>
        <w:rPr>
          <w:rFonts w:hAnsi="宋体"/>
          <w:sz w:val="24"/>
          <w:szCs w:val="24"/>
        </w:rPr>
        <w:t>……</w:t>
      </w:r>
    </w:p>
    <w:p w14:paraId="604786F0">
      <w:pPr>
        <w:pStyle w:val="16"/>
        <w:spacing w:line="360" w:lineRule="auto"/>
        <w:ind w:left="25" w:leftChars="12" w:firstLine="472" w:firstLineChars="197"/>
        <w:contextualSpacing/>
        <w:rPr>
          <w:rFonts w:hAnsi="宋体"/>
          <w:sz w:val="24"/>
          <w:szCs w:val="24"/>
        </w:rPr>
      </w:pPr>
      <w:r>
        <w:rPr>
          <w:rFonts w:hint="eastAsia" w:hAnsi="宋体"/>
          <w:sz w:val="24"/>
          <w:szCs w:val="24"/>
        </w:rPr>
        <w:t>四、与质疑事项相关的质疑请求：</w:t>
      </w:r>
    </w:p>
    <w:p w14:paraId="3F3AE84C">
      <w:pPr>
        <w:pStyle w:val="16"/>
        <w:spacing w:line="360" w:lineRule="auto"/>
        <w:ind w:left="25" w:leftChars="12" w:firstLine="472" w:firstLineChars="197"/>
        <w:contextualSpacing/>
        <w:rPr>
          <w:rFonts w:hAnsi="宋体"/>
          <w:sz w:val="24"/>
          <w:szCs w:val="24"/>
        </w:rPr>
      </w:pPr>
      <w:r>
        <w:rPr>
          <w:rFonts w:hint="eastAsia" w:hAnsi="宋体"/>
          <w:sz w:val="24"/>
          <w:szCs w:val="24"/>
        </w:rPr>
        <w:t>请求：</w:t>
      </w:r>
      <w:r>
        <w:rPr>
          <w:rFonts w:hint="eastAsia" w:hAnsi="宋体"/>
          <w:bCs/>
          <w:sz w:val="24"/>
          <w:szCs w:val="24"/>
          <w:u w:val="single"/>
        </w:rPr>
        <w:t xml:space="preserve">                                                                </w:t>
      </w:r>
    </w:p>
    <w:p w14:paraId="24AE8523">
      <w:pPr>
        <w:pStyle w:val="16"/>
        <w:spacing w:line="360" w:lineRule="auto"/>
        <w:ind w:left="25" w:leftChars="12" w:firstLine="352" w:firstLineChars="147"/>
        <w:contextualSpacing/>
        <w:rPr>
          <w:rFonts w:hAnsi="宋体"/>
          <w:sz w:val="24"/>
          <w:szCs w:val="24"/>
        </w:rPr>
      </w:pPr>
    </w:p>
    <w:p w14:paraId="6A2FE083">
      <w:pPr>
        <w:pStyle w:val="16"/>
        <w:spacing w:line="360" w:lineRule="auto"/>
        <w:ind w:left="25" w:leftChars="12" w:firstLine="472" w:firstLineChars="197"/>
        <w:contextualSpacing/>
        <w:rPr>
          <w:rFonts w:hAnsi="宋体"/>
          <w:sz w:val="24"/>
          <w:szCs w:val="24"/>
        </w:rPr>
      </w:pPr>
      <w:r>
        <w:rPr>
          <w:rFonts w:hint="eastAsia" w:hAnsi="宋体"/>
          <w:sz w:val="24"/>
          <w:szCs w:val="24"/>
        </w:rPr>
        <w:t>签字（签章）：                                       公章：</w:t>
      </w:r>
    </w:p>
    <w:p w14:paraId="259E017E">
      <w:pPr>
        <w:pStyle w:val="16"/>
        <w:spacing w:line="360" w:lineRule="auto"/>
        <w:ind w:left="25" w:leftChars="12" w:firstLine="352" w:firstLineChars="147"/>
        <w:contextualSpacing/>
        <w:rPr>
          <w:rFonts w:hAnsi="宋体"/>
          <w:sz w:val="24"/>
          <w:szCs w:val="24"/>
        </w:rPr>
      </w:pPr>
    </w:p>
    <w:p w14:paraId="436AE9F4">
      <w:pPr>
        <w:pStyle w:val="16"/>
        <w:spacing w:line="360" w:lineRule="auto"/>
        <w:ind w:left="25" w:leftChars="12" w:firstLine="472" w:firstLineChars="197"/>
        <w:contextualSpacing/>
        <w:rPr>
          <w:rFonts w:hAnsi="宋体"/>
          <w:sz w:val="24"/>
          <w:szCs w:val="24"/>
        </w:rPr>
      </w:pPr>
      <w:r>
        <w:rPr>
          <w:rFonts w:hint="eastAsia" w:hAnsi="宋体"/>
          <w:sz w:val="24"/>
          <w:szCs w:val="24"/>
        </w:rPr>
        <w:t>日期：</w:t>
      </w:r>
    </w:p>
    <w:p w14:paraId="05EC7148">
      <w:pPr>
        <w:pStyle w:val="16"/>
        <w:spacing w:line="360" w:lineRule="auto"/>
        <w:contextualSpacing/>
        <w:rPr>
          <w:rFonts w:hAnsi="宋体"/>
          <w:b/>
          <w:sz w:val="24"/>
          <w:szCs w:val="24"/>
        </w:rPr>
      </w:pPr>
    </w:p>
    <w:p w14:paraId="08023875">
      <w:pPr>
        <w:pStyle w:val="16"/>
        <w:spacing w:line="360" w:lineRule="auto"/>
        <w:contextualSpacing/>
        <w:rPr>
          <w:rFonts w:hAnsi="宋体"/>
          <w:b/>
          <w:sz w:val="24"/>
          <w:szCs w:val="24"/>
        </w:rPr>
      </w:pPr>
      <w:r>
        <w:rPr>
          <w:rFonts w:hint="eastAsia" w:hAnsi="宋体"/>
          <w:b/>
          <w:sz w:val="24"/>
          <w:szCs w:val="24"/>
        </w:rPr>
        <w:t>说明：</w:t>
      </w:r>
    </w:p>
    <w:p w14:paraId="46709A7A">
      <w:pPr>
        <w:pStyle w:val="16"/>
        <w:spacing w:line="360" w:lineRule="auto"/>
        <w:ind w:left="25" w:leftChars="12" w:firstLine="354" w:firstLineChars="147"/>
        <w:contextualSpacing/>
        <w:rPr>
          <w:rFonts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14:paraId="51623CDC">
      <w:pPr>
        <w:pStyle w:val="16"/>
        <w:spacing w:line="360" w:lineRule="auto"/>
        <w:ind w:left="25" w:leftChars="12" w:firstLine="354" w:firstLineChars="147"/>
        <w:contextualSpacing/>
        <w:rPr>
          <w:rFonts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E100D28">
      <w:pPr>
        <w:pStyle w:val="16"/>
        <w:spacing w:line="360" w:lineRule="auto"/>
        <w:ind w:left="25" w:leftChars="12" w:firstLine="354" w:firstLineChars="147"/>
        <w:contextualSpacing/>
        <w:rPr>
          <w:rFonts w:hAnsi="宋体"/>
          <w:b/>
          <w:sz w:val="24"/>
          <w:szCs w:val="24"/>
        </w:rPr>
      </w:pPr>
      <w:r>
        <w:rPr>
          <w:rFonts w:hint="eastAsia" w:hAnsi="宋体"/>
          <w:b/>
          <w:sz w:val="24"/>
          <w:szCs w:val="24"/>
        </w:rPr>
        <w:t>3.质疑函的质疑事项应具体、明确，并有必要的事实依据和法律依据。</w:t>
      </w:r>
    </w:p>
    <w:p w14:paraId="52AF44AA">
      <w:pPr>
        <w:pStyle w:val="16"/>
        <w:spacing w:line="360" w:lineRule="auto"/>
        <w:ind w:left="25" w:leftChars="12" w:firstLine="354" w:firstLineChars="147"/>
        <w:contextualSpacing/>
        <w:rPr>
          <w:rFonts w:hAnsi="宋体"/>
          <w:b/>
          <w:sz w:val="24"/>
          <w:szCs w:val="24"/>
        </w:rPr>
      </w:pPr>
      <w:r>
        <w:rPr>
          <w:rFonts w:hint="eastAsia" w:hAnsi="宋体"/>
          <w:b/>
          <w:sz w:val="24"/>
          <w:szCs w:val="24"/>
        </w:rPr>
        <w:t>4.质疑函的质疑请求应与质疑事项相关。</w:t>
      </w:r>
    </w:p>
    <w:p w14:paraId="64A8753A">
      <w:pPr>
        <w:pStyle w:val="16"/>
        <w:spacing w:line="360" w:lineRule="auto"/>
        <w:ind w:left="25" w:leftChars="12" w:firstLine="354" w:firstLineChars="147"/>
        <w:contextualSpacing/>
        <w:rPr>
          <w:rFonts w:hAnsi="宋体"/>
          <w:b/>
        </w:rPr>
      </w:pPr>
      <w:r>
        <w:rPr>
          <w:rFonts w:hint="eastAsia" w:hAnsi="宋体"/>
          <w:b/>
          <w:sz w:val="24"/>
          <w:szCs w:val="24"/>
        </w:rPr>
        <w:t>5.质疑供应商为法人或者其他组织的，质疑函应由法定代表人、主要负责人，或者其授权代表签字或者盖章，并加盖公章。</w:t>
      </w:r>
    </w:p>
    <w:p w14:paraId="77B6489D">
      <w:pPr>
        <w:pStyle w:val="16"/>
        <w:snapToGrid w:val="0"/>
        <w:rPr>
          <w:b/>
          <w:sz w:val="24"/>
          <w:szCs w:val="24"/>
        </w:rPr>
      </w:pPr>
    </w:p>
    <w:p w14:paraId="431B3C06">
      <w:r>
        <w:br w:type="page"/>
      </w:r>
    </w:p>
    <w:p w14:paraId="52F2D2BB">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投诉书</w:t>
      </w:r>
      <w:r>
        <w:rPr>
          <w:rFonts w:hint="eastAsia" w:ascii="方正小标宋简体" w:hAnsi="方正小标宋简体" w:eastAsia="方正小标宋简体" w:cs="方正小标宋简体"/>
          <w:sz w:val="28"/>
          <w:szCs w:val="28"/>
        </w:rPr>
        <w:t>（格式）</w:t>
      </w:r>
    </w:p>
    <w:p w14:paraId="4FA099AD">
      <w:pPr>
        <w:pStyle w:val="16"/>
        <w:snapToGrid w:val="0"/>
        <w:spacing w:line="360" w:lineRule="auto"/>
        <w:ind w:firstLine="482" w:firstLineChars="200"/>
        <w:rPr>
          <w:rFonts w:hAnsi="宋体"/>
          <w:b/>
          <w:bCs/>
          <w:sz w:val="24"/>
          <w:szCs w:val="24"/>
        </w:rPr>
      </w:pPr>
      <w:r>
        <w:rPr>
          <w:rFonts w:hint="eastAsia" w:hAnsi="宋体"/>
          <w:b/>
          <w:bCs/>
          <w:sz w:val="24"/>
          <w:szCs w:val="24"/>
        </w:rPr>
        <w:t>一、投诉相关主体基本情况：</w:t>
      </w:r>
    </w:p>
    <w:p w14:paraId="0CD92566">
      <w:pPr>
        <w:pStyle w:val="16"/>
        <w:snapToGrid w:val="0"/>
        <w:spacing w:line="360" w:lineRule="auto"/>
        <w:ind w:firstLine="480" w:firstLineChars="200"/>
        <w:rPr>
          <w:rFonts w:hAnsi="宋体"/>
          <w:bCs/>
          <w:sz w:val="24"/>
          <w:szCs w:val="24"/>
          <w:u w:val="single"/>
        </w:rPr>
      </w:pPr>
      <w:r>
        <w:rPr>
          <w:rFonts w:hint="eastAsia" w:hAnsi="宋体"/>
          <w:bCs/>
          <w:sz w:val="24"/>
          <w:szCs w:val="24"/>
        </w:rPr>
        <w:t>供应商：</w:t>
      </w:r>
      <w:r>
        <w:rPr>
          <w:rFonts w:hint="eastAsia" w:hAnsi="宋体"/>
          <w:bCs/>
          <w:sz w:val="24"/>
          <w:szCs w:val="24"/>
          <w:u w:val="single"/>
        </w:rPr>
        <w:t xml:space="preserve">                                                                        </w:t>
      </w:r>
      <w:r>
        <w:rPr>
          <w:rFonts w:hint="eastAsia" w:hAnsi="宋体"/>
          <w:bCs/>
          <w:sz w:val="24"/>
          <w:szCs w:val="24"/>
        </w:rPr>
        <w:t xml:space="preserve">                 </w:t>
      </w:r>
    </w:p>
    <w:p w14:paraId="6CF0DB17">
      <w:pPr>
        <w:pStyle w:val="16"/>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4AB9D21A">
      <w:pPr>
        <w:pStyle w:val="16"/>
        <w:snapToGrid w:val="0"/>
        <w:spacing w:line="360" w:lineRule="auto"/>
        <w:ind w:firstLine="480" w:firstLineChars="200"/>
        <w:rPr>
          <w:rFonts w:hAnsi="宋体"/>
          <w:bCs/>
          <w:sz w:val="24"/>
          <w:szCs w:val="24"/>
          <w:u w:val="single"/>
        </w:rPr>
      </w:pPr>
      <w:r>
        <w:rPr>
          <w:rFonts w:hint="eastAsia" w:hAnsi="宋体"/>
          <w:bCs/>
          <w:sz w:val="24"/>
          <w:szCs w:val="24"/>
        </w:rPr>
        <w:t>法定代表人/主要负责人：</w:t>
      </w:r>
      <w:r>
        <w:rPr>
          <w:rFonts w:hint="eastAsia" w:hAnsi="宋体"/>
          <w:bCs/>
          <w:sz w:val="24"/>
          <w:szCs w:val="24"/>
          <w:u w:val="single"/>
        </w:rPr>
        <w:t xml:space="preserve">                                                         </w:t>
      </w:r>
    </w:p>
    <w:p w14:paraId="12BC663C">
      <w:pPr>
        <w:pStyle w:val="16"/>
        <w:snapToGrid w:val="0"/>
        <w:spacing w:line="360" w:lineRule="auto"/>
        <w:ind w:firstLine="480" w:firstLineChars="200"/>
        <w:rPr>
          <w:rFonts w:hAnsi="宋体"/>
          <w:bCs/>
          <w:sz w:val="24"/>
          <w:szCs w:val="24"/>
        </w:rPr>
      </w:pP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14:paraId="17070A25">
      <w:pPr>
        <w:pStyle w:val="16"/>
        <w:snapToGrid w:val="0"/>
        <w:spacing w:line="360" w:lineRule="auto"/>
        <w:ind w:firstLine="480" w:firstLineChars="200"/>
        <w:rPr>
          <w:rFonts w:hAnsi="宋体"/>
          <w:bCs/>
          <w:sz w:val="24"/>
          <w:szCs w:val="24"/>
          <w:u w:val="single"/>
        </w:rPr>
      </w:pPr>
      <w:r>
        <w:rPr>
          <w:rFonts w:hint="eastAsia" w:hAnsi="宋体"/>
          <w:bCs/>
          <w:sz w:val="24"/>
          <w:szCs w:val="24"/>
        </w:rPr>
        <w:t>授权代表：</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5D46E53F">
      <w:pPr>
        <w:pStyle w:val="16"/>
        <w:snapToGrid w:val="0"/>
        <w:spacing w:line="360" w:lineRule="auto"/>
        <w:ind w:firstLine="480" w:firstLineChars="200"/>
        <w:rPr>
          <w:rFonts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p>
    <w:p w14:paraId="5EBF1F29">
      <w:pPr>
        <w:pStyle w:val="16"/>
        <w:snapToGrid w:val="0"/>
        <w:spacing w:line="360" w:lineRule="auto"/>
        <w:ind w:firstLine="480" w:firstLineChars="200"/>
        <w:rPr>
          <w:rFonts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0E8C1AA9">
      <w:pPr>
        <w:pStyle w:val="16"/>
        <w:snapToGrid w:val="0"/>
        <w:spacing w:line="360" w:lineRule="auto"/>
        <w:ind w:firstLine="480" w:firstLineChars="200"/>
        <w:rPr>
          <w:rFonts w:hAnsi="宋体"/>
          <w:bCs/>
          <w:sz w:val="24"/>
          <w:szCs w:val="24"/>
        </w:rPr>
      </w:pPr>
      <w:r>
        <w:rPr>
          <w:rFonts w:hint="eastAsia" w:hAnsi="宋体"/>
          <w:bCs/>
          <w:sz w:val="24"/>
          <w:szCs w:val="24"/>
        </w:rPr>
        <w:t>被投诉人1：</w:t>
      </w:r>
    </w:p>
    <w:p w14:paraId="0A149CB9">
      <w:pPr>
        <w:pStyle w:val="16"/>
        <w:snapToGrid w:val="0"/>
        <w:spacing w:line="360" w:lineRule="auto"/>
        <w:ind w:firstLine="480" w:firstLineChars="200"/>
        <w:rPr>
          <w:rFonts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14:paraId="27C43A29">
      <w:pPr>
        <w:pStyle w:val="16"/>
        <w:snapToGrid w:val="0"/>
        <w:spacing w:line="360" w:lineRule="auto"/>
        <w:ind w:firstLine="480" w:firstLineChars="200"/>
        <w:rPr>
          <w:rFonts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0C6208CE">
      <w:pPr>
        <w:pStyle w:val="16"/>
        <w:snapToGrid w:val="0"/>
        <w:spacing w:line="360" w:lineRule="auto"/>
        <w:ind w:firstLine="480" w:firstLineChars="200"/>
        <w:rPr>
          <w:rFonts w:hAnsi="宋体"/>
          <w:bCs/>
          <w:sz w:val="24"/>
          <w:szCs w:val="24"/>
          <w:u w:val="single"/>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0E3FF28B">
      <w:pPr>
        <w:pStyle w:val="16"/>
        <w:snapToGrid w:val="0"/>
        <w:spacing w:line="360" w:lineRule="auto"/>
        <w:ind w:firstLine="480" w:firstLineChars="200"/>
        <w:rPr>
          <w:rFonts w:hAnsi="宋体"/>
          <w:bCs/>
          <w:sz w:val="24"/>
          <w:szCs w:val="24"/>
        </w:rPr>
      </w:pPr>
      <w:r>
        <w:rPr>
          <w:rFonts w:hint="eastAsia" w:hAnsi="宋体"/>
          <w:bCs/>
          <w:sz w:val="24"/>
          <w:szCs w:val="24"/>
        </w:rPr>
        <w:t>被投诉人2：</w:t>
      </w:r>
    </w:p>
    <w:p w14:paraId="3BEE9C79">
      <w:pPr>
        <w:pStyle w:val="16"/>
        <w:snapToGrid w:val="0"/>
        <w:spacing w:line="360" w:lineRule="auto"/>
        <w:ind w:firstLine="480" w:firstLineChars="200"/>
        <w:rPr>
          <w:rFonts w:hAnsi="宋体"/>
          <w:bCs/>
          <w:sz w:val="24"/>
          <w:szCs w:val="24"/>
        </w:rPr>
      </w:pPr>
      <w:r>
        <w:rPr>
          <w:rFonts w:hAnsi="宋体"/>
          <w:bCs/>
          <w:sz w:val="24"/>
          <w:szCs w:val="24"/>
        </w:rPr>
        <w:t>……</w:t>
      </w:r>
    </w:p>
    <w:p w14:paraId="106952FC">
      <w:pPr>
        <w:pStyle w:val="16"/>
        <w:snapToGrid w:val="0"/>
        <w:spacing w:line="360" w:lineRule="auto"/>
        <w:ind w:firstLine="480" w:firstLineChars="200"/>
        <w:rPr>
          <w:rFonts w:hAnsi="宋体"/>
          <w:bCs/>
          <w:sz w:val="24"/>
          <w:szCs w:val="24"/>
          <w:u w:val="single"/>
        </w:rPr>
      </w:pPr>
      <w:r>
        <w:rPr>
          <w:rFonts w:hint="eastAsia" w:hAnsi="宋体"/>
          <w:bCs/>
          <w:sz w:val="24"/>
          <w:szCs w:val="24"/>
        </w:rPr>
        <w:t>相关供应商：</w:t>
      </w:r>
      <w:r>
        <w:rPr>
          <w:rFonts w:hint="eastAsia" w:hAnsi="宋体"/>
          <w:bCs/>
          <w:sz w:val="24"/>
          <w:szCs w:val="24"/>
          <w:u w:val="single"/>
        </w:rPr>
        <w:t xml:space="preserve">                                                                       </w:t>
      </w:r>
    </w:p>
    <w:p w14:paraId="6C952971">
      <w:pPr>
        <w:pStyle w:val="16"/>
        <w:snapToGrid w:val="0"/>
        <w:spacing w:line="360" w:lineRule="auto"/>
        <w:ind w:firstLine="480" w:firstLineChars="200"/>
        <w:rPr>
          <w:rFonts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p>
    <w:p w14:paraId="40CDEAC5">
      <w:pPr>
        <w:pStyle w:val="16"/>
        <w:snapToGrid w:val="0"/>
        <w:spacing w:line="360" w:lineRule="auto"/>
        <w:ind w:firstLine="480" w:firstLineChars="200"/>
        <w:rPr>
          <w:rFonts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r>
        <w:rPr>
          <w:rFonts w:hint="eastAsia" w:hAnsi="宋体"/>
          <w:bCs/>
          <w:sz w:val="24"/>
          <w:szCs w:val="24"/>
        </w:rPr>
        <w:t xml:space="preserve">                </w:t>
      </w:r>
    </w:p>
    <w:p w14:paraId="740D23D1">
      <w:pPr>
        <w:pStyle w:val="16"/>
        <w:snapToGrid w:val="0"/>
        <w:spacing w:line="360" w:lineRule="auto"/>
        <w:ind w:firstLine="482" w:firstLineChars="200"/>
        <w:rPr>
          <w:rFonts w:hAnsi="宋体"/>
          <w:b/>
          <w:bCs/>
          <w:sz w:val="24"/>
          <w:szCs w:val="24"/>
        </w:rPr>
      </w:pPr>
      <w:r>
        <w:rPr>
          <w:rFonts w:hint="eastAsia" w:hAnsi="宋体"/>
          <w:b/>
          <w:bCs/>
          <w:sz w:val="24"/>
          <w:szCs w:val="24"/>
        </w:rPr>
        <w:t>二、投诉项目基本情况：</w:t>
      </w:r>
    </w:p>
    <w:p w14:paraId="489DE821">
      <w:pPr>
        <w:pStyle w:val="16"/>
        <w:spacing w:line="360" w:lineRule="auto"/>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项目的名称：</w:t>
      </w:r>
      <w:r>
        <w:rPr>
          <w:rFonts w:hint="eastAsia" w:hAnsi="宋体"/>
          <w:bCs/>
          <w:sz w:val="24"/>
          <w:szCs w:val="24"/>
          <w:u w:val="single"/>
        </w:rPr>
        <w:t xml:space="preserve">                                                                   </w:t>
      </w:r>
    </w:p>
    <w:p w14:paraId="4838698A">
      <w:pPr>
        <w:pStyle w:val="16"/>
        <w:spacing w:line="360" w:lineRule="auto"/>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项目的编号：</w:t>
      </w:r>
      <w:r>
        <w:rPr>
          <w:rFonts w:hint="eastAsia" w:hAnsi="宋体"/>
          <w:bCs/>
          <w:sz w:val="24"/>
          <w:szCs w:val="24"/>
          <w:u w:val="single"/>
        </w:rPr>
        <w:t xml:space="preserve">                                          </w:t>
      </w:r>
    </w:p>
    <w:p w14:paraId="46CEBD16">
      <w:pPr>
        <w:pStyle w:val="16"/>
        <w:spacing w:line="360" w:lineRule="auto"/>
        <w:ind w:left="25" w:leftChars="12" w:firstLine="472" w:firstLineChars="197"/>
        <w:rPr>
          <w:rFonts w:hAnsi="宋体"/>
          <w:bCs/>
          <w:sz w:val="24"/>
          <w:szCs w:val="24"/>
          <w:u w:val="single"/>
        </w:rPr>
      </w:pPr>
      <w:r>
        <w:rPr>
          <w:rFonts w:hint="eastAsia" w:hAnsi="宋体"/>
          <w:sz w:val="24"/>
          <w:szCs w:val="24"/>
        </w:rPr>
        <w:t>采购人名称：</w:t>
      </w:r>
      <w:r>
        <w:rPr>
          <w:rFonts w:hint="eastAsia" w:hAnsi="宋体"/>
          <w:bCs/>
          <w:sz w:val="24"/>
          <w:szCs w:val="24"/>
          <w:u w:val="single"/>
        </w:rPr>
        <w:t xml:space="preserve">                                                                        </w:t>
      </w:r>
    </w:p>
    <w:p w14:paraId="7F77D0AD">
      <w:pPr>
        <w:pStyle w:val="16"/>
        <w:spacing w:line="360" w:lineRule="auto"/>
        <w:ind w:left="25" w:leftChars="12" w:firstLine="472" w:firstLineChars="197"/>
        <w:rPr>
          <w:rFonts w:hAnsi="宋体"/>
          <w:bCs/>
          <w:sz w:val="24"/>
          <w:szCs w:val="24"/>
          <w:u w:val="single"/>
        </w:rPr>
      </w:pPr>
      <w:r>
        <w:rPr>
          <w:rFonts w:hint="eastAsia" w:hAnsi="宋体"/>
          <w:sz w:val="24"/>
          <w:szCs w:val="24"/>
        </w:rPr>
        <w:t>代理机构名称：</w:t>
      </w:r>
      <w:r>
        <w:rPr>
          <w:rFonts w:hint="eastAsia" w:hAnsi="宋体"/>
          <w:bCs/>
          <w:sz w:val="24"/>
          <w:szCs w:val="24"/>
          <w:u w:val="single"/>
        </w:rPr>
        <w:t xml:space="preserve">                                                                      </w:t>
      </w:r>
    </w:p>
    <w:p w14:paraId="6C6D39CF">
      <w:pPr>
        <w:pStyle w:val="16"/>
        <w:spacing w:line="360" w:lineRule="auto"/>
        <w:ind w:left="25" w:leftChars="12" w:firstLine="472" w:firstLineChars="197"/>
        <w:rPr>
          <w:rFonts w:hAnsi="宋体"/>
          <w:bCs/>
          <w:sz w:val="24"/>
          <w:szCs w:val="24"/>
          <w:u w:val="single"/>
        </w:rPr>
      </w:pPr>
      <w:r>
        <w:rPr>
          <w:rFonts w:hint="eastAsia" w:hAnsi="宋体"/>
          <w:bCs/>
          <w:sz w:val="24"/>
          <w:szCs w:val="24"/>
        </w:rPr>
        <w:t>采购文件公告：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361B96B3">
      <w:pPr>
        <w:pStyle w:val="16"/>
        <w:spacing w:line="360" w:lineRule="auto"/>
        <w:ind w:left="25" w:leftChars="12" w:firstLine="472" w:firstLineChars="197"/>
        <w:rPr>
          <w:rFonts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50E1AD60">
      <w:pPr>
        <w:pStyle w:val="16"/>
        <w:spacing w:line="360" w:lineRule="auto"/>
        <w:ind w:left="25" w:leftChars="12" w:firstLine="472" w:firstLineChars="196"/>
        <w:rPr>
          <w:rFonts w:hAnsi="宋体"/>
          <w:b/>
          <w:sz w:val="24"/>
          <w:szCs w:val="24"/>
        </w:rPr>
      </w:pPr>
      <w:r>
        <w:rPr>
          <w:rFonts w:hint="eastAsia" w:hAnsi="宋体"/>
          <w:b/>
          <w:sz w:val="24"/>
          <w:szCs w:val="24"/>
        </w:rPr>
        <w:t>三、质疑基本情况</w:t>
      </w:r>
    </w:p>
    <w:p w14:paraId="100F5970">
      <w:pPr>
        <w:pStyle w:val="16"/>
        <w:spacing w:line="360" w:lineRule="auto"/>
        <w:ind w:left="23" w:leftChars="11" w:firstLine="540" w:firstLineChars="225"/>
        <w:rPr>
          <w:rFonts w:hAnsi="宋体"/>
          <w:sz w:val="24"/>
          <w:szCs w:val="24"/>
        </w:rPr>
      </w:pPr>
      <w:r>
        <w:rPr>
          <w:rFonts w:hint="eastAsia" w:hAnsi="宋体"/>
          <w:sz w:val="24"/>
          <w:szCs w:val="24"/>
        </w:rPr>
        <w:t>投诉人于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日，向</w:t>
      </w:r>
      <w:r>
        <w:rPr>
          <w:rFonts w:hint="eastAsia" w:hAnsi="宋体"/>
          <w:sz w:val="24"/>
          <w:szCs w:val="24"/>
          <w:u w:val="single"/>
        </w:rPr>
        <w:t xml:space="preserve">                                </w:t>
      </w:r>
      <w:r>
        <w:rPr>
          <w:rFonts w:hint="eastAsia" w:hAnsi="宋体"/>
          <w:sz w:val="24"/>
          <w:szCs w:val="24"/>
        </w:rPr>
        <w:t>提出质疑，质疑事项为：</w:t>
      </w:r>
    </w:p>
    <w:p w14:paraId="729130FA">
      <w:pPr>
        <w:pStyle w:val="16"/>
        <w:spacing w:line="360" w:lineRule="auto"/>
        <w:ind w:left="23" w:leftChars="11" w:firstLine="540" w:firstLineChars="225"/>
        <w:rPr>
          <w:rFonts w:hAnsi="宋体"/>
          <w:bCs/>
          <w:sz w:val="24"/>
          <w:szCs w:val="24"/>
          <w:u w:val="single"/>
        </w:rPr>
      </w:pPr>
      <w:r>
        <w:rPr>
          <w:rFonts w:hint="eastAsia" w:hAnsi="宋体"/>
          <w:sz w:val="24"/>
          <w:szCs w:val="24"/>
        </w:rPr>
        <w:t xml:space="preserve">    </w:t>
      </w:r>
      <w:r>
        <w:rPr>
          <w:rFonts w:hint="eastAsia" w:hAnsi="宋体"/>
          <w:bCs/>
          <w:sz w:val="24"/>
          <w:szCs w:val="24"/>
          <w:u w:val="single"/>
        </w:rPr>
        <w:t xml:space="preserve">                                                                                      </w:t>
      </w:r>
    </w:p>
    <w:p w14:paraId="40BB548C">
      <w:pPr>
        <w:pStyle w:val="16"/>
        <w:spacing w:line="360" w:lineRule="auto"/>
        <w:ind w:left="23" w:leftChars="11" w:firstLine="540" w:firstLineChars="225"/>
        <w:rPr>
          <w:rFonts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50A29DF3">
      <w:pPr>
        <w:pStyle w:val="16"/>
        <w:spacing w:line="360" w:lineRule="auto"/>
        <w:ind w:left="23" w:leftChars="11" w:firstLine="540" w:firstLineChars="225"/>
        <w:rPr>
          <w:rFonts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14:paraId="45E59D98">
      <w:pPr>
        <w:pStyle w:val="16"/>
        <w:spacing w:line="360" w:lineRule="auto"/>
        <w:ind w:left="25" w:leftChars="12" w:firstLine="472" w:firstLineChars="196"/>
        <w:rPr>
          <w:rFonts w:hAnsi="宋体"/>
          <w:b/>
          <w:sz w:val="24"/>
          <w:szCs w:val="24"/>
        </w:rPr>
      </w:pPr>
      <w:r>
        <w:rPr>
          <w:rFonts w:hint="eastAsia" w:hAnsi="宋体"/>
          <w:b/>
          <w:sz w:val="24"/>
          <w:szCs w:val="24"/>
        </w:rPr>
        <w:t>四、投诉事项具体内容</w:t>
      </w:r>
    </w:p>
    <w:p w14:paraId="302B35F3">
      <w:pPr>
        <w:pStyle w:val="16"/>
        <w:spacing w:line="360" w:lineRule="auto"/>
        <w:ind w:left="25" w:leftChars="12" w:firstLine="472" w:firstLineChars="197"/>
        <w:rPr>
          <w:rFonts w:hAnsi="宋体"/>
          <w:bCs/>
          <w:sz w:val="24"/>
          <w:szCs w:val="24"/>
          <w:u w:val="single"/>
        </w:rPr>
      </w:pPr>
      <w:r>
        <w:rPr>
          <w:rFonts w:hint="eastAsia" w:hAnsi="宋体"/>
          <w:sz w:val="24"/>
          <w:szCs w:val="24"/>
        </w:rPr>
        <w:t>投诉事项1：</w:t>
      </w:r>
      <w:r>
        <w:rPr>
          <w:rFonts w:hint="eastAsia" w:hAnsi="宋体"/>
          <w:bCs/>
          <w:sz w:val="24"/>
          <w:szCs w:val="24"/>
          <w:u w:val="single"/>
        </w:rPr>
        <w:t xml:space="preserve">                                                                           </w:t>
      </w:r>
    </w:p>
    <w:p w14:paraId="77540CD8">
      <w:pPr>
        <w:pStyle w:val="16"/>
        <w:spacing w:line="360" w:lineRule="auto"/>
        <w:ind w:firstLine="480" w:firstLineChars="200"/>
        <w:rPr>
          <w:rFonts w:hAnsi="宋体"/>
          <w:bCs/>
          <w:sz w:val="24"/>
          <w:szCs w:val="24"/>
          <w:u w:val="single"/>
        </w:rPr>
      </w:pPr>
      <w:r>
        <w:rPr>
          <w:rFonts w:hint="eastAsia" w:hAnsi="宋体"/>
          <w:bCs/>
          <w:sz w:val="24"/>
          <w:szCs w:val="24"/>
        </w:rPr>
        <w:t>事实依据：</w:t>
      </w:r>
      <w:r>
        <w:rPr>
          <w:rFonts w:hint="eastAsia" w:hAnsi="宋体"/>
          <w:sz w:val="24"/>
          <w:szCs w:val="24"/>
        </w:rPr>
        <w:t xml:space="preserve"> </w:t>
      </w:r>
      <w:r>
        <w:rPr>
          <w:rFonts w:hint="eastAsia" w:hAnsi="宋体"/>
          <w:bCs/>
          <w:sz w:val="24"/>
          <w:szCs w:val="24"/>
          <w:u w:val="single"/>
        </w:rPr>
        <w:t xml:space="preserve">                                                                                      </w:t>
      </w:r>
    </w:p>
    <w:p w14:paraId="586F7125">
      <w:pPr>
        <w:pStyle w:val="16"/>
        <w:spacing w:line="360" w:lineRule="auto"/>
        <w:ind w:left="25" w:leftChars="12" w:firstLine="472" w:firstLineChars="197"/>
        <w:rPr>
          <w:rFonts w:hAnsi="宋体"/>
          <w:sz w:val="24"/>
          <w:szCs w:val="24"/>
        </w:rPr>
      </w:pPr>
      <w:r>
        <w:rPr>
          <w:rFonts w:hint="eastAsia" w:hAnsi="宋体"/>
          <w:bCs/>
          <w:sz w:val="24"/>
          <w:szCs w:val="24"/>
          <w:u w:val="single"/>
        </w:rPr>
        <w:t xml:space="preserve">                                                                                        </w:t>
      </w:r>
    </w:p>
    <w:p w14:paraId="52847319">
      <w:pPr>
        <w:pStyle w:val="16"/>
        <w:spacing w:line="360" w:lineRule="auto"/>
        <w:ind w:firstLine="480" w:firstLineChars="200"/>
        <w:rPr>
          <w:rFonts w:hAnsi="宋体"/>
          <w:bCs/>
          <w:sz w:val="24"/>
          <w:szCs w:val="24"/>
          <w:u w:val="single"/>
        </w:rPr>
      </w:pPr>
      <w:r>
        <w:rPr>
          <w:rFonts w:hint="eastAsia" w:hAnsi="宋体"/>
          <w:bCs/>
          <w:sz w:val="24"/>
          <w:szCs w:val="24"/>
        </w:rPr>
        <w:t>法律依据：</w:t>
      </w:r>
      <w:r>
        <w:rPr>
          <w:rFonts w:hint="eastAsia" w:hAnsi="宋体"/>
          <w:sz w:val="24"/>
          <w:szCs w:val="24"/>
        </w:rPr>
        <w:t xml:space="preserve"> </w:t>
      </w:r>
      <w:r>
        <w:rPr>
          <w:rFonts w:hint="eastAsia" w:hAnsi="宋体"/>
          <w:bCs/>
          <w:sz w:val="24"/>
          <w:szCs w:val="24"/>
          <w:u w:val="single"/>
        </w:rPr>
        <w:t xml:space="preserve">                                                                                      </w:t>
      </w:r>
    </w:p>
    <w:p w14:paraId="6A53CC68">
      <w:pPr>
        <w:pStyle w:val="16"/>
        <w:spacing w:line="360" w:lineRule="auto"/>
        <w:ind w:left="25" w:leftChars="12" w:firstLine="352" w:firstLineChars="147"/>
        <w:rPr>
          <w:rFonts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40E8C092">
      <w:pPr>
        <w:pStyle w:val="16"/>
        <w:spacing w:line="360" w:lineRule="auto"/>
        <w:ind w:left="25" w:leftChars="12" w:firstLine="472" w:firstLineChars="197"/>
        <w:rPr>
          <w:rFonts w:hAnsi="宋体"/>
          <w:bCs/>
          <w:sz w:val="24"/>
          <w:szCs w:val="24"/>
        </w:rPr>
      </w:pPr>
      <w:r>
        <w:rPr>
          <w:rFonts w:hint="eastAsia" w:hAnsi="宋体"/>
          <w:sz w:val="24"/>
          <w:szCs w:val="24"/>
        </w:rPr>
        <w:t xml:space="preserve">投诉事项2  </w:t>
      </w:r>
      <w:r>
        <w:rPr>
          <w:rFonts w:hint="eastAsia" w:hAnsi="宋体"/>
          <w:bCs/>
          <w:sz w:val="24"/>
          <w:szCs w:val="24"/>
        </w:rPr>
        <w:t xml:space="preserve">   </w:t>
      </w:r>
    </w:p>
    <w:p w14:paraId="7F2604AC">
      <w:pPr>
        <w:pStyle w:val="16"/>
        <w:spacing w:line="360" w:lineRule="auto"/>
        <w:ind w:left="25" w:leftChars="12" w:firstLine="472" w:firstLineChars="197"/>
        <w:rPr>
          <w:rFonts w:hAnsi="宋体"/>
          <w:bCs/>
          <w:sz w:val="24"/>
          <w:szCs w:val="24"/>
        </w:rPr>
      </w:pPr>
      <w:r>
        <w:rPr>
          <w:rFonts w:hAnsi="宋体"/>
          <w:bCs/>
          <w:sz w:val="24"/>
          <w:szCs w:val="24"/>
        </w:rPr>
        <w:t>……</w:t>
      </w:r>
    </w:p>
    <w:p w14:paraId="5713B3E3">
      <w:pPr>
        <w:pStyle w:val="16"/>
        <w:spacing w:line="360" w:lineRule="auto"/>
        <w:ind w:left="25" w:leftChars="12" w:firstLine="472" w:firstLineChars="196"/>
        <w:rPr>
          <w:rFonts w:hAnsi="宋体"/>
          <w:b/>
          <w:sz w:val="24"/>
          <w:szCs w:val="24"/>
        </w:rPr>
      </w:pPr>
      <w:r>
        <w:rPr>
          <w:rFonts w:hint="eastAsia" w:hAnsi="宋体"/>
          <w:b/>
          <w:sz w:val="24"/>
          <w:szCs w:val="24"/>
        </w:rPr>
        <w:t>五、与投诉事项相关的投诉请求：</w:t>
      </w:r>
    </w:p>
    <w:p w14:paraId="436EBA45">
      <w:pPr>
        <w:pStyle w:val="16"/>
        <w:spacing w:line="360" w:lineRule="auto"/>
        <w:ind w:left="25" w:leftChars="12" w:firstLine="472" w:firstLineChars="197"/>
        <w:rPr>
          <w:rFonts w:hAnsi="宋体"/>
          <w:sz w:val="24"/>
          <w:szCs w:val="24"/>
        </w:rPr>
      </w:pPr>
      <w:r>
        <w:rPr>
          <w:rFonts w:hint="eastAsia" w:hAnsi="宋体"/>
          <w:sz w:val="24"/>
          <w:szCs w:val="24"/>
        </w:rPr>
        <w:t>请求：</w:t>
      </w:r>
      <w:r>
        <w:rPr>
          <w:rFonts w:hint="eastAsia" w:hAnsi="宋体"/>
          <w:bCs/>
          <w:sz w:val="24"/>
          <w:szCs w:val="24"/>
          <w:u w:val="single"/>
        </w:rPr>
        <w:t xml:space="preserve">                                                                                 </w:t>
      </w:r>
    </w:p>
    <w:p w14:paraId="63803F53">
      <w:pPr>
        <w:pStyle w:val="16"/>
        <w:spacing w:line="360" w:lineRule="auto"/>
        <w:ind w:left="25" w:leftChars="12" w:firstLine="352" w:firstLineChars="147"/>
        <w:rPr>
          <w:rFonts w:hAnsi="宋体"/>
          <w:sz w:val="24"/>
          <w:szCs w:val="24"/>
        </w:rPr>
      </w:pPr>
    </w:p>
    <w:p w14:paraId="103ACF6E">
      <w:pPr>
        <w:pStyle w:val="16"/>
        <w:spacing w:line="360" w:lineRule="auto"/>
        <w:ind w:left="25" w:leftChars="12" w:firstLine="472" w:firstLineChars="197"/>
        <w:rPr>
          <w:rFonts w:hAnsi="宋体"/>
          <w:sz w:val="24"/>
          <w:szCs w:val="24"/>
        </w:rPr>
      </w:pPr>
      <w:r>
        <w:rPr>
          <w:rFonts w:hint="eastAsia" w:hAnsi="宋体"/>
          <w:sz w:val="24"/>
          <w:szCs w:val="24"/>
        </w:rPr>
        <w:t>签字（签章）：                                       公章：</w:t>
      </w:r>
    </w:p>
    <w:p w14:paraId="3B8589B8">
      <w:pPr>
        <w:pStyle w:val="16"/>
        <w:spacing w:line="360" w:lineRule="auto"/>
        <w:ind w:left="25" w:leftChars="12" w:firstLine="352" w:firstLineChars="147"/>
        <w:rPr>
          <w:rFonts w:hAnsi="宋体"/>
          <w:sz w:val="24"/>
          <w:szCs w:val="24"/>
        </w:rPr>
      </w:pPr>
    </w:p>
    <w:p w14:paraId="752032BA">
      <w:pPr>
        <w:pStyle w:val="16"/>
        <w:spacing w:line="360" w:lineRule="auto"/>
        <w:ind w:left="25" w:leftChars="12" w:firstLine="472" w:firstLineChars="197"/>
        <w:rPr>
          <w:rFonts w:hAnsi="宋体"/>
          <w:sz w:val="24"/>
          <w:szCs w:val="24"/>
        </w:rPr>
      </w:pPr>
      <w:r>
        <w:rPr>
          <w:rFonts w:hint="eastAsia" w:hAnsi="宋体"/>
          <w:sz w:val="24"/>
          <w:szCs w:val="24"/>
        </w:rPr>
        <w:t>日期：</w:t>
      </w:r>
    </w:p>
    <w:p w14:paraId="5F0D1083">
      <w:pPr>
        <w:pStyle w:val="16"/>
        <w:spacing w:line="360" w:lineRule="auto"/>
        <w:ind w:left="25" w:leftChars="12" w:firstLine="472" w:firstLineChars="197"/>
        <w:rPr>
          <w:rFonts w:hAnsi="宋体"/>
          <w:sz w:val="24"/>
          <w:szCs w:val="24"/>
        </w:rPr>
      </w:pPr>
      <w:r>
        <w:rPr>
          <w:rFonts w:hint="eastAsia" w:hAnsi="宋体"/>
          <w:bCs/>
          <w:sz w:val="24"/>
          <w:szCs w:val="24"/>
        </w:rPr>
        <w:t xml:space="preserve">                                                                                 </w:t>
      </w:r>
    </w:p>
    <w:p w14:paraId="501B3546">
      <w:pPr>
        <w:pStyle w:val="16"/>
        <w:snapToGrid w:val="0"/>
        <w:spacing w:line="360" w:lineRule="auto"/>
        <w:rPr>
          <w:rFonts w:hAnsi="宋体"/>
          <w:b/>
          <w:sz w:val="24"/>
          <w:szCs w:val="24"/>
        </w:rPr>
      </w:pPr>
    </w:p>
    <w:p w14:paraId="2286BA9D">
      <w:pPr>
        <w:pStyle w:val="16"/>
        <w:snapToGrid w:val="0"/>
        <w:spacing w:line="360" w:lineRule="auto"/>
        <w:rPr>
          <w:rFonts w:hAnsi="宋体"/>
          <w:b/>
          <w:sz w:val="24"/>
          <w:szCs w:val="24"/>
        </w:rPr>
      </w:pPr>
      <w:r>
        <w:rPr>
          <w:rFonts w:hint="eastAsia" w:hAnsi="宋体"/>
          <w:b/>
          <w:sz w:val="24"/>
          <w:szCs w:val="24"/>
        </w:rPr>
        <w:t>说明：</w:t>
      </w:r>
    </w:p>
    <w:p w14:paraId="7554F3FB">
      <w:pPr>
        <w:pStyle w:val="16"/>
        <w:spacing w:line="360" w:lineRule="auto"/>
        <w:ind w:left="25" w:leftChars="12" w:firstLine="354" w:firstLineChars="147"/>
        <w:rPr>
          <w:rFonts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11955283">
      <w:pPr>
        <w:pStyle w:val="16"/>
        <w:spacing w:line="360" w:lineRule="auto"/>
        <w:ind w:left="25" w:leftChars="12" w:firstLine="354" w:firstLineChars="147"/>
        <w:rPr>
          <w:rFonts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002249B">
      <w:pPr>
        <w:pStyle w:val="16"/>
        <w:spacing w:line="360" w:lineRule="auto"/>
        <w:ind w:left="25" w:leftChars="12" w:firstLine="354" w:firstLineChars="147"/>
        <w:rPr>
          <w:rFonts w:hAnsi="宋体"/>
          <w:b/>
          <w:sz w:val="24"/>
          <w:szCs w:val="24"/>
        </w:rPr>
      </w:pPr>
      <w:r>
        <w:rPr>
          <w:rFonts w:hint="eastAsia" w:hAnsi="宋体"/>
          <w:b/>
          <w:sz w:val="24"/>
          <w:szCs w:val="24"/>
        </w:rPr>
        <w:t>3.投诉书应简要列明质疑事项，质疑函、质疑答复等作为附件材料提供。</w:t>
      </w:r>
    </w:p>
    <w:p w14:paraId="3647EA88">
      <w:pPr>
        <w:pStyle w:val="16"/>
        <w:spacing w:line="360" w:lineRule="auto"/>
        <w:ind w:left="25" w:leftChars="12" w:firstLine="354" w:firstLineChars="147"/>
        <w:rPr>
          <w:rFonts w:hAnsi="宋体"/>
          <w:b/>
          <w:sz w:val="24"/>
          <w:szCs w:val="24"/>
        </w:rPr>
      </w:pPr>
      <w:r>
        <w:rPr>
          <w:rFonts w:hint="eastAsia" w:hAnsi="宋体"/>
          <w:b/>
          <w:sz w:val="24"/>
          <w:szCs w:val="24"/>
        </w:rPr>
        <w:t>4.投诉书的投诉事项应具体、明确，并有必要的事实依据和法律依据。</w:t>
      </w:r>
    </w:p>
    <w:p w14:paraId="5D1A2BA2">
      <w:pPr>
        <w:pStyle w:val="16"/>
        <w:spacing w:line="360" w:lineRule="auto"/>
        <w:ind w:left="25" w:leftChars="12" w:firstLine="354" w:firstLineChars="147"/>
        <w:rPr>
          <w:rFonts w:hAnsi="宋体"/>
          <w:b/>
          <w:sz w:val="24"/>
          <w:szCs w:val="24"/>
        </w:rPr>
      </w:pPr>
      <w:r>
        <w:rPr>
          <w:rFonts w:hint="eastAsia" w:hAnsi="宋体"/>
          <w:b/>
          <w:sz w:val="24"/>
          <w:szCs w:val="24"/>
        </w:rPr>
        <w:t>5.投诉书的投诉请求应与投诉事项相关。</w:t>
      </w:r>
    </w:p>
    <w:p w14:paraId="04EC51C3">
      <w:pPr>
        <w:pStyle w:val="16"/>
        <w:spacing w:line="360" w:lineRule="auto"/>
        <w:ind w:left="25" w:leftChars="12" w:firstLine="354" w:firstLineChars="147"/>
        <w:rPr>
          <w:rFonts w:hAnsi="宋体"/>
          <w:b/>
          <w:sz w:val="24"/>
          <w:szCs w:val="24"/>
        </w:rPr>
      </w:pPr>
      <w:r>
        <w:rPr>
          <w:rFonts w:hint="eastAsia" w:hAnsi="宋体"/>
          <w:b/>
          <w:sz w:val="24"/>
          <w:szCs w:val="24"/>
        </w:rPr>
        <w:t>6.投诉人为法人或者其他组织的，投诉书应由法定代表人、主要负责人，或者其授权代表签字或者盖章，并加盖公章。</w:t>
      </w:r>
    </w:p>
    <w:p w14:paraId="4855F368">
      <w:pPr>
        <w:pStyle w:val="3"/>
        <w:spacing w:line="320" w:lineRule="atLeast"/>
        <w:jc w:val="center"/>
      </w:pPr>
      <w:r>
        <w:br w:type="page"/>
      </w:r>
      <w:bookmarkStart w:id="37" w:name="_Toc74322013"/>
      <w:r>
        <w:rPr>
          <w:rFonts w:hint="eastAsia"/>
        </w:rPr>
        <w:t>第六章 合同文本</w:t>
      </w:r>
      <w:bookmarkEnd w:id="37"/>
    </w:p>
    <w:p w14:paraId="7A176F0F">
      <w:pPr>
        <w:snapToGrid w:val="0"/>
        <w:spacing w:line="320" w:lineRule="atLeast"/>
        <w:jc w:val="center"/>
        <w:rPr>
          <w:rFonts w:ascii="宋体" w:hAnsi="宋体"/>
          <w:szCs w:val="21"/>
        </w:rPr>
      </w:pPr>
      <w:r>
        <w:rPr>
          <w:rFonts w:hint="eastAsia" w:ascii="宋体" w:hAnsi="宋体"/>
          <w:b/>
          <w:szCs w:val="21"/>
        </w:rPr>
        <w:t>广西壮族自治区政府采购合同使用说明</w:t>
      </w:r>
    </w:p>
    <w:p w14:paraId="6D65FFCD">
      <w:pPr>
        <w:snapToGrid w:val="0"/>
        <w:spacing w:line="360" w:lineRule="auto"/>
        <w:jc w:val="center"/>
        <w:rPr>
          <w:rFonts w:ascii="宋体" w:hAnsi="宋体"/>
          <w:szCs w:val="21"/>
        </w:rPr>
      </w:pPr>
      <w:r>
        <w:rPr>
          <w:rFonts w:hint="eastAsia" w:ascii="宋体" w:hAnsi="宋体"/>
          <w:szCs w:val="21"/>
        </w:rPr>
        <w:t>（一般货物类）</w:t>
      </w:r>
    </w:p>
    <w:p w14:paraId="1E715B67">
      <w:pPr>
        <w:snapToGrid w:val="0"/>
        <w:spacing w:line="380" w:lineRule="exact"/>
        <w:ind w:firstLine="420" w:firstLineChars="200"/>
        <w:rPr>
          <w:rFonts w:ascii="宋体" w:hAnsi="宋体"/>
          <w:szCs w:val="21"/>
        </w:rPr>
      </w:pPr>
      <w:r>
        <w:rPr>
          <w:rFonts w:hint="eastAsia" w:ascii="宋体" w:hAnsi="宋体"/>
          <w:szCs w:val="21"/>
        </w:rPr>
        <w:t>《政府采购合同》是对竞争性谈判文件规定或者响应文件承诺中的货物和服务要约事项的细化和补充，所签订的合同不得对竞争性谈判文件和成交供应商响应文件作实质性修改；采购活动过程中有关项目标的性状的重要澄清和承诺事项必须在合同相应条款中予以明确表达。采购人和成交供应商不得提出任何不合理的要求作为签订合同的条件；不得私下订立背离竞争性谈判文件实质性内容的协议。</w:t>
      </w:r>
    </w:p>
    <w:p w14:paraId="306C619F">
      <w:pPr>
        <w:snapToGrid w:val="0"/>
        <w:spacing w:line="380" w:lineRule="exact"/>
        <w:ind w:firstLine="413" w:firstLineChars="196"/>
        <w:rPr>
          <w:rFonts w:ascii="宋体" w:hAnsi="宋体"/>
          <w:b/>
          <w:szCs w:val="21"/>
        </w:rPr>
      </w:pPr>
      <w:r>
        <w:rPr>
          <w:rFonts w:hint="eastAsia" w:ascii="宋体" w:hAnsi="宋体"/>
          <w:b/>
          <w:szCs w:val="21"/>
        </w:rPr>
        <w:t>一、本合同适用范围</w:t>
      </w:r>
    </w:p>
    <w:p w14:paraId="10CE3D39">
      <w:pPr>
        <w:snapToGrid w:val="0"/>
        <w:spacing w:line="380" w:lineRule="exact"/>
        <w:ind w:firstLine="420" w:firstLineChars="200"/>
        <w:rPr>
          <w:rFonts w:ascii="宋体" w:hAnsi="宋体"/>
          <w:szCs w:val="21"/>
        </w:rPr>
      </w:pPr>
      <w:r>
        <w:rPr>
          <w:rFonts w:hint="eastAsia" w:ascii="宋体" w:hAnsi="宋体"/>
          <w:szCs w:val="21"/>
        </w:rPr>
        <w:t>家用电器、电子产品、教学仪器设备、医疗仪器设备、广播电视仪器设备、体育器材、音响乐器、药品、服装、印刷设备和印刷品等政府采购项目（协议供货除外）适用于本合同。</w:t>
      </w:r>
    </w:p>
    <w:p w14:paraId="5E596F07">
      <w:pPr>
        <w:snapToGrid w:val="0"/>
        <w:spacing w:line="380" w:lineRule="exact"/>
        <w:ind w:firstLine="422" w:firstLineChars="200"/>
        <w:rPr>
          <w:rFonts w:ascii="宋体" w:hAnsi="宋体"/>
          <w:b/>
          <w:szCs w:val="21"/>
        </w:rPr>
      </w:pPr>
      <w:r>
        <w:rPr>
          <w:rFonts w:hint="eastAsia" w:ascii="宋体" w:hAnsi="宋体"/>
          <w:b/>
          <w:szCs w:val="21"/>
        </w:rPr>
        <w:t>二、填写说明</w:t>
      </w:r>
    </w:p>
    <w:p w14:paraId="0BA13D2E">
      <w:pPr>
        <w:snapToGrid w:val="0"/>
        <w:spacing w:line="380" w:lineRule="exact"/>
        <w:ind w:firstLine="420" w:firstLineChars="200"/>
        <w:rPr>
          <w:rFonts w:ascii="宋体" w:hAnsi="宋体"/>
          <w:szCs w:val="21"/>
        </w:rPr>
      </w:pPr>
      <w:r>
        <w:rPr>
          <w:rFonts w:hint="eastAsia" w:ascii="宋体" w:hAnsi="宋体"/>
          <w:szCs w:val="21"/>
        </w:rPr>
        <w:t>（一）合同标题：地市县使用时可在“广西壮族自治区”后再加所在地名称或者将“广西壮族自治区”删除加所在地名称。</w:t>
      </w:r>
    </w:p>
    <w:p w14:paraId="1A666BF7">
      <w:pPr>
        <w:snapToGrid w:val="0"/>
        <w:spacing w:line="380" w:lineRule="exact"/>
        <w:ind w:firstLine="420" w:firstLineChars="200"/>
        <w:rPr>
          <w:rFonts w:ascii="宋体" w:hAnsi="宋体"/>
          <w:szCs w:val="21"/>
        </w:rPr>
      </w:pPr>
      <w:r>
        <w:rPr>
          <w:rFonts w:hint="eastAsia" w:ascii="宋体" w:hAnsi="宋体"/>
          <w:szCs w:val="21"/>
        </w:rPr>
        <w:t>（二）本合同划线部分所需填写内容，除以下条款特殊要求外，按竞争性谈判文件规定或者响应文件承诺的要求填写，如竞争性谈判文件规定或者响应文件承诺的没有明确，按甲乙双方商定意见填写。</w:t>
      </w:r>
    </w:p>
    <w:p w14:paraId="0176638A">
      <w:pPr>
        <w:snapToGrid w:val="0"/>
        <w:spacing w:line="380" w:lineRule="exact"/>
        <w:ind w:firstLine="420" w:firstLineChars="200"/>
        <w:rPr>
          <w:rFonts w:ascii="宋体" w:hAnsi="宋体"/>
          <w:szCs w:val="21"/>
        </w:rPr>
      </w:pPr>
      <w:r>
        <w:rPr>
          <w:rFonts w:hint="eastAsia" w:ascii="宋体" w:hAnsi="宋体"/>
          <w:szCs w:val="21"/>
        </w:rPr>
        <w:t>（三）第一条合同标的：按表中各项目要求填写，内容填写不下时可另加附页。</w:t>
      </w:r>
    </w:p>
    <w:p w14:paraId="28F8FD82">
      <w:pPr>
        <w:adjustRightInd w:val="0"/>
        <w:snapToGrid w:val="0"/>
        <w:spacing w:line="380" w:lineRule="exact"/>
        <w:ind w:firstLine="420" w:firstLineChars="200"/>
        <w:rPr>
          <w:rFonts w:ascii="宋体" w:hAnsi="宋体"/>
          <w:szCs w:val="21"/>
        </w:rPr>
      </w:pPr>
      <w:r>
        <w:rPr>
          <w:rFonts w:hint="eastAsia" w:ascii="宋体" w:hAnsi="宋体"/>
          <w:szCs w:val="21"/>
        </w:rPr>
        <w:t>（四）第四条包装和运输：货物运输方式包括；汽车、火车、轮船等。</w:t>
      </w:r>
    </w:p>
    <w:p w14:paraId="02920497">
      <w:pPr>
        <w:adjustRightInd w:val="0"/>
        <w:snapToGrid w:val="0"/>
        <w:spacing w:line="380" w:lineRule="exact"/>
        <w:ind w:firstLine="420" w:firstLineChars="200"/>
        <w:rPr>
          <w:rFonts w:ascii="宋体" w:hAnsi="宋体"/>
          <w:szCs w:val="21"/>
        </w:rPr>
      </w:pPr>
      <w:r>
        <w:rPr>
          <w:rFonts w:hint="eastAsia" w:ascii="宋体" w:hAnsi="宋体"/>
          <w:szCs w:val="21"/>
        </w:rPr>
        <w:t>（五）货物交付和验收：时间按合同签订（或者生效）后多少日（或者工作日）或者直接填X年X月X日前交货。</w:t>
      </w:r>
    </w:p>
    <w:p w14:paraId="5A3E0E0B">
      <w:pPr>
        <w:adjustRightInd w:val="0"/>
        <w:snapToGrid w:val="0"/>
        <w:spacing w:line="380" w:lineRule="exact"/>
        <w:ind w:firstLine="420" w:firstLineChars="200"/>
        <w:rPr>
          <w:rFonts w:ascii="宋体" w:hAnsi="宋体"/>
          <w:szCs w:val="21"/>
        </w:rPr>
      </w:pPr>
      <w:r>
        <w:rPr>
          <w:rFonts w:hint="eastAsia" w:ascii="宋体" w:hAnsi="宋体"/>
          <w:szCs w:val="21"/>
        </w:rPr>
        <w:t>（六）第八条付款方式：资金性质按一般预算拨款、财政性基金拨款、纳入财政专户管理的收入安排的资金、未纳入财政专户管理的收入安排的资金、上年结余填写。</w:t>
      </w:r>
    </w:p>
    <w:p w14:paraId="38D1CE05">
      <w:pPr>
        <w:adjustRightInd w:val="0"/>
        <w:snapToGrid w:val="0"/>
        <w:spacing w:line="380" w:lineRule="exact"/>
        <w:ind w:firstLine="413" w:firstLineChars="196"/>
        <w:rPr>
          <w:rFonts w:ascii="宋体" w:hAnsi="宋体"/>
          <w:b/>
          <w:szCs w:val="21"/>
        </w:rPr>
      </w:pPr>
      <w:r>
        <w:rPr>
          <w:rFonts w:hint="eastAsia" w:ascii="宋体" w:hAnsi="宋体"/>
          <w:b/>
          <w:szCs w:val="21"/>
        </w:rPr>
        <w:t>三、有关要求</w:t>
      </w:r>
    </w:p>
    <w:p w14:paraId="540BBB94">
      <w:pPr>
        <w:adjustRightInd w:val="0"/>
        <w:snapToGrid w:val="0"/>
        <w:spacing w:line="380" w:lineRule="exact"/>
        <w:ind w:firstLine="315" w:firstLineChars="150"/>
        <w:rPr>
          <w:rFonts w:ascii="宋体" w:hAnsi="宋体"/>
          <w:szCs w:val="21"/>
        </w:rPr>
      </w:pPr>
      <w:r>
        <w:rPr>
          <w:rFonts w:hint="eastAsia" w:ascii="宋体" w:hAnsi="宋体"/>
          <w:szCs w:val="21"/>
        </w:rPr>
        <w:t>（一）各单位现使用的专业合同可作为本合同附件，但专业合同各条款必须符合竞争性谈判文件规定或者响应文件承诺的和本合同各条款要求，如发生矛盾以本合同为准。</w:t>
      </w:r>
    </w:p>
    <w:p w14:paraId="6FAFDF65">
      <w:pPr>
        <w:adjustRightInd w:val="0"/>
        <w:snapToGrid w:val="0"/>
        <w:spacing w:line="380" w:lineRule="exact"/>
        <w:ind w:firstLine="315" w:firstLineChars="150"/>
        <w:rPr>
          <w:rFonts w:ascii="宋体" w:hAnsi="宋体"/>
          <w:szCs w:val="21"/>
        </w:rPr>
      </w:pPr>
      <w:r>
        <w:rPr>
          <w:rFonts w:hint="eastAsia" w:ascii="宋体" w:hAnsi="宋体"/>
          <w:szCs w:val="21"/>
        </w:rPr>
        <w:t>（二）协议供货合同应使用原文本。</w:t>
      </w:r>
    </w:p>
    <w:p w14:paraId="00CB4F92">
      <w:pPr>
        <w:adjustRightInd w:val="0"/>
        <w:snapToGrid w:val="0"/>
        <w:spacing w:line="380" w:lineRule="exact"/>
        <w:ind w:firstLine="315" w:firstLineChars="150"/>
        <w:rPr>
          <w:rFonts w:ascii="宋体" w:hAnsi="宋体"/>
          <w:szCs w:val="21"/>
        </w:rPr>
      </w:pPr>
      <w:r>
        <w:rPr>
          <w:rFonts w:hint="eastAsia" w:ascii="宋体" w:hAnsi="宋体"/>
          <w:szCs w:val="21"/>
        </w:rPr>
        <w:t>（三）甲乙双方对本合同各条款均不能改动，只能在划线位置填写，如有改动视同无效合同。</w:t>
      </w:r>
    </w:p>
    <w:p w14:paraId="0CF42B3F">
      <w:pPr>
        <w:adjustRightInd w:val="0"/>
        <w:snapToGrid w:val="0"/>
        <w:spacing w:line="380" w:lineRule="exact"/>
        <w:ind w:firstLine="315" w:firstLineChars="150"/>
        <w:rPr>
          <w:rFonts w:ascii="宋体" w:hAnsi="宋体"/>
          <w:szCs w:val="21"/>
        </w:rPr>
      </w:pPr>
      <w:r>
        <w:rPr>
          <w:rFonts w:hint="eastAsia" w:ascii="宋体" w:hAnsi="宋体"/>
          <w:szCs w:val="21"/>
        </w:rPr>
        <w:t>（四）本合同统一用A4纸打印。</w:t>
      </w:r>
    </w:p>
    <w:p w14:paraId="24347714">
      <w:pPr>
        <w:adjustRightInd w:val="0"/>
        <w:snapToGrid w:val="0"/>
        <w:spacing w:line="380" w:lineRule="exact"/>
        <w:ind w:firstLine="315" w:firstLineChars="150"/>
        <w:rPr>
          <w:rFonts w:ascii="宋体" w:hAnsi="宋体"/>
          <w:szCs w:val="21"/>
        </w:rPr>
      </w:pPr>
      <w:r>
        <w:rPr>
          <w:rFonts w:hint="eastAsia" w:ascii="宋体" w:hAnsi="宋体"/>
          <w:szCs w:val="21"/>
        </w:rPr>
        <w:t>（五）本合同为试行文本，采购人和成交供应商在使用过程中如发现不当之处，请及时提出建议，以便修正。</w:t>
      </w:r>
    </w:p>
    <w:p w14:paraId="632B22E2">
      <w:pPr>
        <w:adjustRightInd w:val="0"/>
        <w:snapToGrid w:val="0"/>
        <w:spacing w:line="380" w:lineRule="exact"/>
        <w:ind w:firstLine="420" w:firstLineChars="200"/>
        <w:rPr>
          <w:rFonts w:ascii="宋体" w:hAnsi="宋体"/>
          <w:szCs w:val="21"/>
        </w:rPr>
      </w:pPr>
      <w:r>
        <w:rPr>
          <w:rFonts w:hint="eastAsia" w:ascii="宋体" w:hAnsi="宋体"/>
          <w:szCs w:val="21"/>
        </w:rPr>
        <w:t>本合同各条款由广西壮族自治区财政厅政府采购监督管理处负责解释。</w:t>
      </w:r>
    </w:p>
    <w:p w14:paraId="22F3D3C2">
      <w:pPr>
        <w:adjustRightInd w:val="0"/>
        <w:snapToGrid w:val="0"/>
        <w:spacing w:line="380" w:lineRule="exact"/>
        <w:ind w:firstLine="420" w:firstLineChars="200"/>
        <w:rPr>
          <w:rFonts w:ascii="宋体" w:hAnsi="宋体"/>
          <w:szCs w:val="21"/>
        </w:rPr>
      </w:pPr>
    </w:p>
    <w:p w14:paraId="4B6A8538">
      <w:pPr>
        <w:spacing w:line="360" w:lineRule="exact"/>
        <w:rPr>
          <w:rFonts w:ascii="宋体" w:hAnsi="宋体" w:cs="Courier New"/>
          <w:b/>
          <w:sz w:val="32"/>
          <w:szCs w:val="32"/>
        </w:rPr>
      </w:pPr>
    </w:p>
    <w:p w14:paraId="403E1028">
      <w:pPr>
        <w:spacing w:line="360" w:lineRule="exact"/>
        <w:rPr>
          <w:rFonts w:ascii="宋体" w:hAnsi="宋体" w:cs="Courier New"/>
          <w:b/>
          <w:sz w:val="32"/>
          <w:szCs w:val="32"/>
        </w:rPr>
      </w:pPr>
    </w:p>
    <w:p w14:paraId="0A320FBE">
      <w:pPr>
        <w:spacing w:line="360" w:lineRule="exact"/>
        <w:rPr>
          <w:rFonts w:ascii="宋体" w:hAnsi="宋体" w:cs="Courier New"/>
          <w:b/>
          <w:sz w:val="32"/>
          <w:szCs w:val="32"/>
        </w:rPr>
      </w:pPr>
    </w:p>
    <w:p w14:paraId="546DDA35">
      <w:pPr>
        <w:spacing w:line="360" w:lineRule="exact"/>
        <w:rPr>
          <w:rFonts w:ascii="宋体" w:hAnsi="宋体" w:cs="Courier New"/>
          <w:b/>
          <w:sz w:val="32"/>
          <w:szCs w:val="32"/>
        </w:rPr>
      </w:pPr>
    </w:p>
    <w:p w14:paraId="3C64FE33">
      <w:pPr>
        <w:spacing w:line="360" w:lineRule="exact"/>
        <w:rPr>
          <w:rFonts w:ascii="宋体" w:hAnsi="宋体" w:cs="Courier New"/>
          <w:b/>
          <w:sz w:val="32"/>
          <w:szCs w:val="32"/>
        </w:rPr>
      </w:pPr>
    </w:p>
    <w:p w14:paraId="2772CB71">
      <w:pPr>
        <w:spacing w:line="360" w:lineRule="exact"/>
        <w:rPr>
          <w:rFonts w:ascii="宋体" w:hAnsi="宋体" w:cs="Courier New"/>
          <w:b/>
          <w:sz w:val="32"/>
          <w:szCs w:val="32"/>
        </w:rPr>
      </w:pPr>
      <w:r>
        <w:rPr>
          <w:rFonts w:hint="eastAsia" w:ascii="宋体" w:hAnsi="宋体" w:cs="Courier New"/>
          <w:b/>
          <w:sz w:val="32"/>
          <w:szCs w:val="32"/>
        </w:rPr>
        <w:t>一般货物类</w:t>
      </w:r>
    </w:p>
    <w:p w14:paraId="50812088">
      <w:pPr>
        <w:snapToGrid w:val="0"/>
        <w:spacing w:line="400" w:lineRule="exact"/>
        <w:jc w:val="center"/>
        <w:rPr>
          <w:rFonts w:ascii="宋体" w:hAnsi="宋体"/>
          <w:b/>
          <w:bCs/>
          <w:sz w:val="32"/>
          <w:szCs w:val="32"/>
        </w:rPr>
      </w:pPr>
    </w:p>
    <w:p w14:paraId="22B51C69">
      <w:pPr>
        <w:snapToGrid w:val="0"/>
        <w:spacing w:line="400" w:lineRule="exact"/>
        <w:jc w:val="center"/>
        <w:rPr>
          <w:rFonts w:ascii="宋体" w:hAnsi="宋体"/>
          <w:b/>
          <w:bCs/>
          <w:sz w:val="32"/>
          <w:szCs w:val="32"/>
        </w:rPr>
      </w:pPr>
      <w:r>
        <w:rPr>
          <w:rFonts w:hint="eastAsia" w:ascii="宋体" w:hAnsi="宋体"/>
          <w:b/>
          <w:bCs/>
          <w:sz w:val="32"/>
          <w:szCs w:val="32"/>
        </w:rPr>
        <w:t>《广西壮族自治区政府采购合同》</w:t>
      </w:r>
      <w:r>
        <w:rPr>
          <w:rFonts w:hint="eastAsia" w:ascii="宋体" w:hAnsi="宋体"/>
          <w:b/>
          <w:sz w:val="32"/>
          <w:szCs w:val="32"/>
        </w:rPr>
        <w:t>文本</w:t>
      </w:r>
    </w:p>
    <w:p w14:paraId="02E12AF2">
      <w:pPr>
        <w:snapToGrid w:val="0"/>
        <w:spacing w:line="400" w:lineRule="exact"/>
        <w:ind w:right="480" w:firstLine="5250" w:firstLineChars="2500"/>
        <w:rPr>
          <w:rFonts w:ascii="宋体" w:hAnsi="宋体"/>
          <w:bCs/>
          <w:szCs w:val="21"/>
        </w:rPr>
      </w:pPr>
    </w:p>
    <w:p w14:paraId="37220A34">
      <w:pPr>
        <w:snapToGrid w:val="0"/>
        <w:spacing w:line="400" w:lineRule="exact"/>
        <w:ind w:right="480" w:firstLine="5250" w:firstLineChars="2500"/>
        <w:rPr>
          <w:rFonts w:ascii="宋体" w:hAnsi="宋体" w:cs="宋体"/>
          <w:bCs/>
          <w:szCs w:val="21"/>
          <w:u w:val="single"/>
        </w:rPr>
      </w:pPr>
      <w:r>
        <w:rPr>
          <w:rFonts w:hint="eastAsia" w:ascii="宋体" w:hAnsi="宋体" w:cs="宋体"/>
          <w:bCs/>
          <w:szCs w:val="21"/>
        </w:rPr>
        <w:t>合同编号：</w:t>
      </w:r>
    </w:p>
    <w:p w14:paraId="5DD68EAE">
      <w:pPr>
        <w:snapToGrid w:val="0"/>
        <w:spacing w:line="400" w:lineRule="exact"/>
        <w:rPr>
          <w:rFonts w:ascii="宋体" w:hAnsi="宋体" w:cs="宋体"/>
          <w:szCs w:val="21"/>
        </w:rPr>
      </w:pPr>
    </w:p>
    <w:p w14:paraId="6C16FFE1">
      <w:pPr>
        <w:snapToGrid w:val="0"/>
        <w:spacing w:line="360" w:lineRule="auto"/>
        <w:rPr>
          <w:rFonts w:ascii="宋体" w:hAnsi="宋体" w:cs="宋体"/>
          <w:sz w:val="24"/>
          <w:u w:val="single"/>
        </w:rPr>
      </w:pPr>
      <w:r>
        <w:rPr>
          <w:rFonts w:hint="eastAsia" w:ascii="宋体" w:hAnsi="宋体" w:cs="宋体"/>
          <w:sz w:val="24"/>
        </w:rPr>
        <w:t>采购人（甲方）：</w:t>
      </w:r>
      <w:r>
        <w:rPr>
          <w:rFonts w:hint="eastAsia" w:ascii="宋体" w:hAnsi="宋体" w:cs="宋体"/>
          <w:sz w:val="24"/>
          <w:u w:val="single"/>
        </w:rPr>
        <w:t xml:space="preserve">                          </w:t>
      </w:r>
      <w:r>
        <w:rPr>
          <w:rFonts w:hint="eastAsia" w:ascii="宋体" w:hAnsi="宋体" w:cs="宋体"/>
          <w:sz w:val="24"/>
        </w:rPr>
        <w:t xml:space="preserve">  采购计划号：</w:t>
      </w:r>
      <w:r>
        <w:rPr>
          <w:rFonts w:hint="eastAsia" w:ascii="宋体" w:hAnsi="宋体" w:cs="宋体"/>
          <w:sz w:val="24"/>
          <w:u w:val="single"/>
        </w:rPr>
        <w:t xml:space="preserve">                        </w:t>
      </w:r>
    </w:p>
    <w:p w14:paraId="174D46EB">
      <w:pPr>
        <w:snapToGrid w:val="0"/>
        <w:spacing w:line="360" w:lineRule="auto"/>
        <w:rPr>
          <w:rFonts w:ascii="宋体" w:hAnsi="宋体" w:cs="宋体"/>
          <w:sz w:val="24"/>
        </w:rPr>
      </w:pPr>
      <w:r>
        <w:rPr>
          <w:rFonts w:hint="eastAsia" w:ascii="宋体" w:hAnsi="宋体" w:cs="宋体"/>
          <w:sz w:val="24"/>
        </w:rPr>
        <w:t>供应商（乙方）：</w:t>
      </w:r>
      <w:r>
        <w:rPr>
          <w:rFonts w:hint="eastAsia" w:ascii="宋体" w:hAnsi="宋体" w:cs="宋体"/>
          <w:sz w:val="24"/>
          <w:u w:val="single"/>
        </w:rPr>
        <w:t xml:space="preserve">                          </w:t>
      </w:r>
      <w:r>
        <w:rPr>
          <w:rFonts w:hint="eastAsia" w:ascii="宋体" w:hAnsi="宋体" w:cs="宋体"/>
          <w:sz w:val="24"/>
        </w:rPr>
        <w:t xml:space="preserve">  </w:t>
      </w:r>
    </w:p>
    <w:p w14:paraId="29A06A74">
      <w:pPr>
        <w:snapToGrid w:val="0"/>
        <w:spacing w:line="360" w:lineRule="auto"/>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p>
    <w:p w14:paraId="3E7FBE90">
      <w:pPr>
        <w:snapToGrid w:val="0"/>
        <w:spacing w:line="360" w:lineRule="auto"/>
        <w:rPr>
          <w:rFonts w:ascii="宋体" w:hAnsi="宋体" w:cs="宋体"/>
          <w:sz w:val="24"/>
          <w:u w:val="single"/>
        </w:rPr>
      </w:pPr>
      <w:r>
        <w:rPr>
          <w:rFonts w:hint="eastAsia" w:ascii="宋体" w:hAnsi="宋体" w:cs="宋体"/>
          <w:sz w:val="24"/>
        </w:rPr>
        <w:t>签订地点：</w:t>
      </w:r>
      <w:r>
        <w:rPr>
          <w:rFonts w:hint="eastAsia" w:ascii="宋体" w:hAnsi="宋体" w:cs="宋体"/>
          <w:sz w:val="24"/>
          <w:u w:val="single"/>
        </w:rPr>
        <w:t xml:space="preserve">                                </w:t>
      </w:r>
      <w:r>
        <w:rPr>
          <w:rFonts w:hint="eastAsia" w:ascii="宋体" w:hAnsi="宋体" w:cs="宋体"/>
          <w:sz w:val="24"/>
        </w:rPr>
        <w:t xml:space="preserve">  签订时间：</w:t>
      </w:r>
      <w:r>
        <w:rPr>
          <w:rFonts w:hint="eastAsia" w:ascii="宋体" w:hAnsi="宋体" w:cs="宋体"/>
          <w:sz w:val="24"/>
          <w:u w:val="single"/>
        </w:rPr>
        <w:t xml:space="preserve">                          </w:t>
      </w:r>
    </w:p>
    <w:p w14:paraId="5B804861">
      <w:pPr>
        <w:snapToGrid w:val="0"/>
        <w:spacing w:line="360" w:lineRule="auto"/>
        <w:rPr>
          <w:rFonts w:ascii="宋体" w:hAnsi="宋体" w:cs="宋体"/>
          <w:sz w:val="24"/>
        </w:rPr>
      </w:pPr>
      <w:r>
        <w:rPr>
          <w:rFonts w:hint="eastAsia" w:ascii="宋体" w:hAnsi="宋体" w:cs="宋体"/>
          <w:sz w:val="24"/>
        </w:rPr>
        <w:t>本合同为中小企业预留合同：（是/否）</w:t>
      </w:r>
    </w:p>
    <w:p w14:paraId="625FD0EA">
      <w:pPr>
        <w:snapToGrid w:val="0"/>
        <w:spacing w:line="360" w:lineRule="auto"/>
        <w:rPr>
          <w:rFonts w:ascii="宋体" w:hAnsi="宋体" w:cs="宋体"/>
          <w:sz w:val="24"/>
        </w:rPr>
      </w:pPr>
    </w:p>
    <w:p w14:paraId="352367E8">
      <w:pPr>
        <w:snapToGrid w:val="0"/>
        <w:spacing w:line="360" w:lineRule="auto"/>
        <w:ind w:firstLine="480" w:firstLineChars="200"/>
        <w:rPr>
          <w:rFonts w:ascii="宋体" w:hAnsi="宋体" w:cs="宋体"/>
          <w:sz w:val="24"/>
        </w:rPr>
      </w:pPr>
      <w:r>
        <w:rPr>
          <w:rFonts w:hint="eastAsia" w:ascii="宋体" w:hAnsi="宋体" w:cs="宋体"/>
          <w:sz w:val="24"/>
        </w:rPr>
        <w:t>根据《中华人民共和国政府采购法》、《中华人民共和国民法典》等法律、法规规定，按照竞争性谈判文件规定条款和成交供应商承诺，甲乙双方签订本合同。</w:t>
      </w:r>
    </w:p>
    <w:p w14:paraId="071FDD3F">
      <w:pPr>
        <w:snapToGrid w:val="0"/>
        <w:spacing w:line="360" w:lineRule="auto"/>
        <w:ind w:firstLine="482" w:firstLineChars="200"/>
        <w:rPr>
          <w:rFonts w:ascii="宋体" w:hAnsi="宋体" w:cs="宋体"/>
          <w:b/>
          <w:sz w:val="24"/>
        </w:rPr>
      </w:pPr>
      <w:r>
        <w:rPr>
          <w:rFonts w:hint="eastAsia" w:ascii="宋体" w:hAnsi="宋体" w:cs="宋体"/>
          <w:b/>
          <w:sz w:val="24"/>
        </w:rPr>
        <w:t>第一条　合同标的</w:t>
      </w:r>
    </w:p>
    <w:p w14:paraId="15D9E68F">
      <w:pPr>
        <w:snapToGrid w:val="0"/>
        <w:spacing w:line="360" w:lineRule="auto"/>
        <w:ind w:firstLine="480" w:firstLineChars="200"/>
        <w:rPr>
          <w:rFonts w:ascii="宋体" w:hAnsi="宋体" w:cs="宋体"/>
          <w:sz w:val="24"/>
        </w:rPr>
      </w:pPr>
      <w:r>
        <w:rPr>
          <w:rFonts w:hint="eastAsia" w:ascii="宋体" w:hAnsi="宋体" w:cs="宋体"/>
          <w:sz w:val="24"/>
        </w:rPr>
        <w:t>1.供货一览表</w:t>
      </w:r>
    </w:p>
    <w:tbl>
      <w:tblPr>
        <w:tblStyle w:val="27"/>
        <w:tblW w:w="970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10"/>
        <w:gridCol w:w="939"/>
        <w:gridCol w:w="892"/>
        <w:gridCol w:w="1767"/>
        <w:gridCol w:w="506"/>
        <w:gridCol w:w="875"/>
        <w:gridCol w:w="920"/>
        <w:gridCol w:w="1031"/>
        <w:gridCol w:w="1152"/>
      </w:tblGrid>
      <w:tr w14:paraId="438B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14:paraId="4922AE7C">
            <w:pPr>
              <w:snapToGrid w:val="0"/>
              <w:spacing w:line="360" w:lineRule="auto"/>
              <w:jc w:val="center"/>
              <w:rPr>
                <w:rFonts w:ascii="宋体" w:hAnsi="宋体" w:cs="宋体"/>
                <w:sz w:val="24"/>
              </w:rPr>
            </w:pPr>
            <w:r>
              <w:rPr>
                <w:rFonts w:hint="eastAsia" w:ascii="宋体" w:hAnsi="宋体" w:cs="宋体"/>
                <w:sz w:val="24"/>
              </w:rPr>
              <w:t>序号</w:t>
            </w:r>
          </w:p>
        </w:tc>
        <w:tc>
          <w:tcPr>
            <w:tcW w:w="910" w:type="dxa"/>
            <w:vAlign w:val="center"/>
          </w:tcPr>
          <w:p w14:paraId="08C9732C">
            <w:pPr>
              <w:snapToGrid w:val="0"/>
              <w:spacing w:line="360" w:lineRule="auto"/>
              <w:jc w:val="center"/>
              <w:rPr>
                <w:rFonts w:ascii="宋体" w:hAnsi="宋体" w:cs="宋体"/>
                <w:sz w:val="24"/>
              </w:rPr>
            </w:pPr>
            <w:r>
              <w:rPr>
                <w:rFonts w:hint="eastAsia" w:ascii="宋体" w:hAnsi="宋体" w:cs="宋体"/>
                <w:sz w:val="24"/>
              </w:rPr>
              <w:t>标的名称</w:t>
            </w:r>
          </w:p>
        </w:tc>
        <w:tc>
          <w:tcPr>
            <w:tcW w:w="939" w:type="dxa"/>
            <w:vAlign w:val="center"/>
          </w:tcPr>
          <w:p w14:paraId="263D9D9D">
            <w:pPr>
              <w:snapToGrid w:val="0"/>
              <w:spacing w:line="360" w:lineRule="auto"/>
              <w:jc w:val="center"/>
              <w:rPr>
                <w:rFonts w:ascii="宋体" w:hAnsi="宋体" w:cs="宋体"/>
                <w:szCs w:val="21"/>
              </w:rPr>
            </w:pPr>
            <w:r>
              <w:rPr>
                <w:rFonts w:hint="eastAsia" w:ascii="宋体" w:hAnsi="宋体" w:cs="宋体"/>
                <w:szCs w:val="21"/>
              </w:rPr>
              <w:t>品牌</w:t>
            </w:r>
          </w:p>
          <w:p w14:paraId="5E4BA0B3">
            <w:pPr>
              <w:snapToGrid w:val="0"/>
              <w:spacing w:line="360" w:lineRule="auto"/>
              <w:jc w:val="center"/>
              <w:rPr>
                <w:rFonts w:ascii="宋体" w:hAnsi="宋体" w:cs="宋体"/>
                <w:sz w:val="24"/>
              </w:rPr>
            </w:pPr>
            <w:r>
              <w:rPr>
                <w:rFonts w:hint="eastAsia" w:ascii="宋体" w:hAnsi="宋体" w:cs="宋体"/>
                <w:szCs w:val="21"/>
              </w:rPr>
              <w:t>（如有）</w:t>
            </w:r>
          </w:p>
        </w:tc>
        <w:tc>
          <w:tcPr>
            <w:tcW w:w="892" w:type="dxa"/>
            <w:vAlign w:val="center"/>
          </w:tcPr>
          <w:p w14:paraId="79847C49">
            <w:pPr>
              <w:snapToGrid w:val="0"/>
              <w:spacing w:line="360" w:lineRule="auto"/>
              <w:jc w:val="center"/>
              <w:rPr>
                <w:rFonts w:ascii="宋体" w:hAnsi="宋体" w:cs="宋体"/>
                <w:sz w:val="24"/>
              </w:rPr>
            </w:pPr>
            <w:r>
              <w:rPr>
                <w:rFonts w:hint="eastAsia" w:ascii="宋体" w:hAnsi="宋体" w:cs="宋体"/>
                <w:sz w:val="24"/>
              </w:rPr>
              <w:t>规格型号</w:t>
            </w:r>
          </w:p>
        </w:tc>
        <w:tc>
          <w:tcPr>
            <w:tcW w:w="1767" w:type="dxa"/>
            <w:vAlign w:val="center"/>
          </w:tcPr>
          <w:p w14:paraId="5CD53152">
            <w:pPr>
              <w:snapToGrid w:val="0"/>
              <w:spacing w:line="360" w:lineRule="auto"/>
              <w:jc w:val="center"/>
              <w:rPr>
                <w:rFonts w:ascii="宋体" w:hAnsi="宋体" w:cs="宋体"/>
                <w:sz w:val="24"/>
              </w:rPr>
            </w:pPr>
            <w:r>
              <w:rPr>
                <w:rFonts w:hint="eastAsia" w:ascii="宋体" w:hAnsi="宋体" w:cs="宋体"/>
                <w:sz w:val="24"/>
              </w:rPr>
              <w:t>生产厂家</w:t>
            </w:r>
          </w:p>
        </w:tc>
        <w:tc>
          <w:tcPr>
            <w:tcW w:w="506" w:type="dxa"/>
            <w:vAlign w:val="center"/>
          </w:tcPr>
          <w:p w14:paraId="4E8AB338">
            <w:pPr>
              <w:snapToGrid w:val="0"/>
              <w:spacing w:line="360" w:lineRule="auto"/>
              <w:jc w:val="center"/>
              <w:rPr>
                <w:rFonts w:ascii="宋体" w:hAnsi="宋体" w:cs="宋体"/>
                <w:sz w:val="24"/>
              </w:rPr>
            </w:pPr>
            <w:r>
              <w:rPr>
                <w:rFonts w:hint="eastAsia" w:ascii="宋体" w:hAnsi="宋体" w:cs="宋体"/>
                <w:sz w:val="24"/>
              </w:rPr>
              <w:t>单位</w:t>
            </w:r>
          </w:p>
        </w:tc>
        <w:tc>
          <w:tcPr>
            <w:tcW w:w="875" w:type="dxa"/>
            <w:vAlign w:val="center"/>
          </w:tcPr>
          <w:p w14:paraId="523BF87D">
            <w:pPr>
              <w:snapToGrid w:val="0"/>
              <w:spacing w:line="360" w:lineRule="auto"/>
              <w:jc w:val="center"/>
              <w:rPr>
                <w:rFonts w:ascii="宋体" w:hAnsi="宋体" w:cs="宋体"/>
                <w:sz w:val="24"/>
              </w:rPr>
            </w:pPr>
            <w:r>
              <w:rPr>
                <w:rFonts w:hint="eastAsia" w:ascii="宋体" w:hAnsi="宋体" w:cs="宋体"/>
                <w:sz w:val="24"/>
              </w:rPr>
              <w:t>数量</w:t>
            </w:r>
            <w:r>
              <w:rPr>
                <w:rFonts w:hint="eastAsia" w:ascii="宋体" w:hAnsi="宋体" w:cs="宋体"/>
              </w:rPr>
              <w:t>①</w:t>
            </w:r>
          </w:p>
        </w:tc>
        <w:tc>
          <w:tcPr>
            <w:tcW w:w="920" w:type="dxa"/>
            <w:vAlign w:val="center"/>
          </w:tcPr>
          <w:p w14:paraId="6AC9E5F2">
            <w:pPr>
              <w:snapToGrid w:val="0"/>
              <w:spacing w:line="360" w:lineRule="auto"/>
              <w:jc w:val="center"/>
              <w:rPr>
                <w:rFonts w:ascii="宋体" w:hAnsi="宋体" w:cs="宋体" w:eastAsiaTheme="minorEastAsia"/>
                <w:sz w:val="24"/>
              </w:rPr>
            </w:pPr>
            <w:r>
              <w:rPr>
                <w:rFonts w:hint="eastAsia" w:ascii="宋体" w:hAnsi="宋体" w:cs="宋体"/>
                <w:sz w:val="24"/>
              </w:rPr>
              <w:t>单价（元）</w:t>
            </w:r>
            <w:r>
              <w:rPr>
                <w:rFonts w:ascii="宋体" w:hAnsi="宋体" w:cs="宋体"/>
              </w:rPr>
              <w:t>②</w:t>
            </w:r>
          </w:p>
        </w:tc>
        <w:tc>
          <w:tcPr>
            <w:tcW w:w="1031" w:type="dxa"/>
            <w:vAlign w:val="center"/>
          </w:tcPr>
          <w:p w14:paraId="23C5C4F0">
            <w:pPr>
              <w:snapToGrid w:val="0"/>
              <w:spacing w:line="360" w:lineRule="auto"/>
              <w:jc w:val="center"/>
              <w:rPr>
                <w:rFonts w:ascii="宋体" w:hAnsi="宋体" w:cs="宋体"/>
                <w:sz w:val="24"/>
              </w:rPr>
            </w:pPr>
            <w:r>
              <w:rPr>
                <w:rFonts w:hint="eastAsia" w:ascii="宋体" w:hAnsi="宋体" w:cs="宋体"/>
                <w:sz w:val="24"/>
              </w:rPr>
              <w:t>下浮系数③</w:t>
            </w:r>
          </w:p>
        </w:tc>
        <w:tc>
          <w:tcPr>
            <w:tcW w:w="1152" w:type="dxa"/>
            <w:vAlign w:val="center"/>
          </w:tcPr>
          <w:p w14:paraId="057F3C5C">
            <w:pPr>
              <w:snapToGrid w:val="0"/>
              <w:spacing w:line="360" w:lineRule="auto"/>
              <w:jc w:val="center"/>
              <w:rPr>
                <w:rFonts w:ascii="宋体" w:hAnsi="宋体" w:cs="宋体"/>
                <w:szCs w:val="21"/>
              </w:rPr>
            </w:pPr>
            <w:r>
              <w:rPr>
                <w:rFonts w:hint="eastAsia" w:ascii="宋体" w:hAnsi="宋体" w:cs="宋体"/>
                <w:szCs w:val="21"/>
              </w:rPr>
              <w:t>单价合计（元）</w:t>
            </w:r>
          </w:p>
          <w:p w14:paraId="2AF91DFE">
            <w:pPr>
              <w:snapToGrid w:val="0"/>
              <w:spacing w:line="360" w:lineRule="auto"/>
              <w:jc w:val="center"/>
              <w:rPr>
                <w:rFonts w:ascii="宋体" w:hAnsi="宋体" w:cs="宋体"/>
                <w:sz w:val="24"/>
              </w:rPr>
            </w:pPr>
            <w:r>
              <w:rPr>
                <w:rFonts w:hint="eastAsia" w:ascii="宋体" w:hAnsi="宋体" w:cs="宋体"/>
              </w:rPr>
              <w:t>④</w:t>
            </w:r>
            <w:r>
              <w:rPr>
                <w:rFonts w:hint="eastAsia" w:ascii="宋体" w:hAnsi="宋体" w:cs="宋体"/>
                <w:szCs w:val="21"/>
              </w:rPr>
              <w:t>＝</w:t>
            </w:r>
            <w:r>
              <w:rPr>
                <w:rFonts w:hint="eastAsia" w:ascii="宋体" w:hAnsi="宋体" w:cs="宋体"/>
              </w:rPr>
              <w:t>①</w:t>
            </w:r>
            <w:r>
              <w:rPr>
                <w:rFonts w:hint="eastAsia" w:ascii="宋体" w:hAnsi="宋体" w:cs="宋体"/>
                <w:szCs w:val="21"/>
              </w:rPr>
              <w:t>×②×③</w:t>
            </w:r>
          </w:p>
        </w:tc>
      </w:tr>
      <w:tr w14:paraId="61AC5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371D234C">
            <w:pPr>
              <w:snapToGrid w:val="0"/>
              <w:spacing w:line="360" w:lineRule="auto"/>
              <w:jc w:val="center"/>
              <w:rPr>
                <w:rFonts w:ascii="宋体" w:hAnsi="宋体" w:cs="宋体"/>
                <w:sz w:val="24"/>
              </w:rPr>
            </w:pPr>
            <w:r>
              <w:rPr>
                <w:rFonts w:hint="eastAsia" w:ascii="宋体" w:hAnsi="宋体" w:cs="宋体"/>
                <w:sz w:val="24"/>
              </w:rPr>
              <w:t>1</w:t>
            </w:r>
          </w:p>
        </w:tc>
        <w:tc>
          <w:tcPr>
            <w:tcW w:w="910" w:type="dxa"/>
            <w:vAlign w:val="center"/>
          </w:tcPr>
          <w:p w14:paraId="05CC8625">
            <w:pPr>
              <w:snapToGrid w:val="0"/>
              <w:spacing w:line="360" w:lineRule="auto"/>
              <w:jc w:val="center"/>
              <w:rPr>
                <w:rFonts w:ascii="宋体" w:hAnsi="宋体" w:cs="宋体"/>
                <w:sz w:val="24"/>
              </w:rPr>
            </w:pPr>
          </w:p>
        </w:tc>
        <w:tc>
          <w:tcPr>
            <w:tcW w:w="939" w:type="dxa"/>
            <w:vAlign w:val="center"/>
          </w:tcPr>
          <w:p w14:paraId="7791BA98">
            <w:pPr>
              <w:snapToGrid w:val="0"/>
              <w:spacing w:line="360" w:lineRule="auto"/>
              <w:jc w:val="center"/>
              <w:rPr>
                <w:rFonts w:ascii="宋体" w:hAnsi="宋体" w:cs="宋体"/>
                <w:sz w:val="24"/>
              </w:rPr>
            </w:pPr>
          </w:p>
        </w:tc>
        <w:tc>
          <w:tcPr>
            <w:tcW w:w="892" w:type="dxa"/>
            <w:vAlign w:val="center"/>
          </w:tcPr>
          <w:p w14:paraId="28CFD03F">
            <w:pPr>
              <w:snapToGrid w:val="0"/>
              <w:spacing w:line="360" w:lineRule="auto"/>
              <w:jc w:val="center"/>
              <w:rPr>
                <w:rFonts w:ascii="宋体" w:hAnsi="宋体" w:cs="宋体"/>
                <w:sz w:val="24"/>
              </w:rPr>
            </w:pPr>
          </w:p>
        </w:tc>
        <w:tc>
          <w:tcPr>
            <w:tcW w:w="1767" w:type="dxa"/>
          </w:tcPr>
          <w:p w14:paraId="4CEFB37D">
            <w:pPr>
              <w:snapToGrid w:val="0"/>
              <w:spacing w:line="360" w:lineRule="auto"/>
              <w:jc w:val="center"/>
              <w:rPr>
                <w:rFonts w:ascii="宋体" w:hAnsi="宋体" w:cs="宋体"/>
                <w:sz w:val="24"/>
              </w:rPr>
            </w:pPr>
          </w:p>
        </w:tc>
        <w:tc>
          <w:tcPr>
            <w:tcW w:w="506" w:type="dxa"/>
          </w:tcPr>
          <w:p w14:paraId="3D27BD20">
            <w:pPr>
              <w:snapToGrid w:val="0"/>
              <w:spacing w:line="360" w:lineRule="auto"/>
              <w:jc w:val="center"/>
              <w:rPr>
                <w:rFonts w:ascii="宋体" w:hAnsi="宋体" w:cs="宋体"/>
                <w:sz w:val="24"/>
              </w:rPr>
            </w:pPr>
          </w:p>
        </w:tc>
        <w:tc>
          <w:tcPr>
            <w:tcW w:w="875" w:type="dxa"/>
          </w:tcPr>
          <w:p w14:paraId="55CFB084">
            <w:pPr>
              <w:snapToGrid w:val="0"/>
              <w:spacing w:line="360" w:lineRule="auto"/>
              <w:jc w:val="center"/>
              <w:rPr>
                <w:rFonts w:ascii="宋体" w:hAnsi="宋体" w:cs="宋体"/>
                <w:sz w:val="24"/>
              </w:rPr>
            </w:pPr>
          </w:p>
        </w:tc>
        <w:tc>
          <w:tcPr>
            <w:tcW w:w="920" w:type="dxa"/>
            <w:vAlign w:val="center"/>
          </w:tcPr>
          <w:p w14:paraId="54B0887D">
            <w:pPr>
              <w:snapToGrid w:val="0"/>
              <w:spacing w:line="360" w:lineRule="auto"/>
              <w:jc w:val="center"/>
              <w:rPr>
                <w:rFonts w:ascii="宋体" w:hAnsi="宋体" w:cs="宋体"/>
                <w:sz w:val="24"/>
              </w:rPr>
            </w:pPr>
          </w:p>
        </w:tc>
        <w:tc>
          <w:tcPr>
            <w:tcW w:w="1031" w:type="dxa"/>
            <w:vAlign w:val="center"/>
          </w:tcPr>
          <w:p w14:paraId="41A098D2">
            <w:pPr>
              <w:snapToGrid w:val="0"/>
              <w:spacing w:line="360" w:lineRule="auto"/>
              <w:jc w:val="center"/>
              <w:rPr>
                <w:rFonts w:ascii="宋体" w:hAnsi="宋体" w:cs="宋体"/>
                <w:sz w:val="24"/>
              </w:rPr>
            </w:pPr>
          </w:p>
        </w:tc>
        <w:tc>
          <w:tcPr>
            <w:tcW w:w="1152" w:type="dxa"/>
            <w:vAlign w:val="center"/>
          </w:tcPr>
          <w:p w14:paraId="35A37803">
            <w:pPr>
              <w:snapToGrid w:val="0"/>
              <w:spacing w:line="360" w:lineRule="auto"/>
              <w:jc w:val="center"/>
              <w:rPr>
                <w:rFonts w:ascii="宋体" w:hAnsi="宋体" w:cs="宋体"/>
                <w:sz w:val="24"/>
              </w:rPr>
            </w:pPr>
          </w:p>
        </w:tc>
      </w:tr>
      <w:tr w14:paraId="2B96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5D4EC4E9">
            <w:pPr>
              <w:snapToGrid w:val="0"/>
              <w:spacing w:line="360" w:lineRule="auto"/>
              <w:jc w:val="center"/>
              <w:rPr>
                <w:rFonts w:ascii="宋体" w:hAnsi="宋体" w:cs="宋体"/>
                <w:sz w:val="24"/>
              </w:rPr>
            </w:pPr>
            <w:r>
              <w:rPr>
                <w:rFonts w:hint="eastAsia" w:ascii="宋体" w:hAnsi="宋体" w:cs="宋体"/>
                <w:sz w:val="24"/>
              </w:rPr>
              <w:t>2</w:t>
            </w:r>
          </w:p>
        </w:tc>
        <w:tc>
          <w:tcPr>
            <w:tcW w:w="910" w:type="dxa"/>
            <w:vAlign w:val="center"/>
          </w:tcPr>
          <w:p w14:paraId="59B4707D">
            <w:pPr>
              <w:snapToGrid w:val="0"/>
              <w:spacing w:line="360" w:lineRule="auto"/>
              <w:jc w:val="center"/>
              <w:rPr>
                <w:rFonts w:ascii="宋体" w:hAnsi="宋体" w:cs="宋体"/>
                <w:sz w:val="24"/>
              </w:rPr>
            </w:pPr>
          </w:p>
        </w:tc>
        <w:tc>
          <w:tcPr>
            <w:tcW w:w="939" w:type="dxa"/>
            <w:vAlign w:val="center"/>
          </w:tcPr>
          <w:p w14:paraId="0F960081">
            <w:pPr>
              <w:snapToGrid w:val="0"/>
              <w:spacing w:line="360" w:lineRule="auto"/>
              <w:jc w:val="center"/>
              <w:rPr>
                <w:rFonts w:ascii="宋体" w:hAnsi="宋体" w:cs="宋体"/>
                <w:sz w:val="24"/>
              </w:rPr>
            </w:pPr>
          </w:p>
        </w:tc>
        <w:tc>
          <w:tcPr>
            <w:tcW w:w="892" w:type="dxa"/>
            <w:vAlign w:val="center"/>
          </w:tcPr>
          <w:p w14:paraId="26CF6082">
            <w:pPr>
              <w:snapToGrid w:val="0"/>
              <w:spacing w:line="360" w:lineRule="auto"/>
              <w:jc w:val="center"/>
              <w:rPr>
                <w:rFonts w:ascii="宋体" w:hAnsi="宋体" w:cs="宋体"/>
                <w:sz w:val="24"/>
              </w:rPr>
            </w:pPr>
          </w:p>
        </w:tc>
        <w:tc>
          <w:tcPr>
            <w:tcW w:w="1767" w:type="dxa"/>
          </w:tcPr>
          <w:p w14:paraId="3E457CA9">
            <w:pPr>
              <w:snapToGrid w:val="0"/>
              <w:spacing w:line="360" w:lineRule="auto"/>
              <w:jc w:val="center"/>
              <w:rPr>
                <w:rFonts w:ascii="宋体" w:hAnsi="宋体" w:cs="宋体"/>
                <w:sz w:val="24"/>
              </w:rPr>
            </w:pPr>
          </w:p>
        </w:tc>
        <w:tc>
          <w:tcPr>
            <w:tcW w:w="506" w:type="dxa"/>
          </w:tcPr>
          <w:p w14:paraId="4DF6AEDC">
            <w:pPr>
              <w:snapToGrid w:val="0"/>
              <w:spacing w:line="360" w:lineRule="auto"/>
              <w:jc w:val="center"/>
              <w:rPr>
                <w:rFonts w:ascii="宋体" w:hAnsi="宋体" w:cs="宋体"/>
                <w:sz w:val="24"/>
              </w:rPr>
            </w:pPr>
          </w:p>
        </w:tc>
        <w:tc>
          <w:tcPr>
            <w:tcW w:w="875" w:type="dxa"/>
          </w:tcPr>
          <w:p w14:paraId="0437D8C5">
            <w:pPr>
              <w:snapToGrid w:val="0"/>
              <w:spacing w:line="360" w:lineRule="auto"/>
              <w:jc w:val="center"/>
              <w:rPr>
                <w:rFonts w:ascii="宋体" w:hAnsi="宋体" w:cs="宋体"/>
                <w:sz w:val="24"/>
              </w:rPr>
            </w:pPr>
          </w:p>
        </w:tc>
        <w:tc>
          <w:tcPr>
            <w:tcW w:w="920" w:type="dxa"/>
            <w:vAlign w:val="center"/>
          </w:tcPr>
          <w:p w14:paraId="6D373CC8">
            <w:pPr>
              <w:snapToGrid w:val="0"/>
              <w:spacing w:line="360" w:lineRule="auto"/>
              <w:jc w:val="center"/>
              <w:rPr>
                <w:rFonts w:ascii="宋体" w:hAnsi="宋体" w:cs="宋体"/>
                <w:sz w:val="24"/>
              </w:rPr>
            </w:pPr>
          </w:p>
        </w:tc>
        <w:tc>
          <w:tcPr>
            <w:tcW w:w="1031" w:type="dxa"/>
            <w:vAlign w:val="center"/>
          </w:tcPr>
          <w:p w14:paraId="3DBBBFE0">
            <w:pPr>
              <w:snapToGrid w:val="0"/>
              <w:spacing w:line="360" w:lineRule="auto"/>
              <w:jc w:val="center"/>
              <w:rPr>
                <w:rFonts w:ascii="宋体" w:hAnsi="宋体" w:cs="宋体"/>
                <w:sz w:val="24"/>
              </w:rPr>
            </w:pPr>
          </w:p>
        </w:tc>
        <w:tc>
          <w:tcPr>
            <w:tcW w:w="1152" w:type="dxa"/>
            <w:vAlign w:val="center"/>
          </w:tcPr>
          <w:p w14:paraId="26E129C1">
            <w:pPr>
              <w:snapToGrid w:val="0"/>
              <w:spacing w:line="360" w:lineRule="auto"/>
              <w:jc w:val="center"/>
              <w:rPr>
                <w:rFonts w:ascii="宋体" w:hAnsi="宋体" w:cs="宋体"/>
                <w:sz w:val="24"/>
              </w:rPr>
            </w:pPr>
          </w:p>
        </w:tc>
      </w:tr>
      <w:tr w14:paraId="4EBD6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6D8D71D7">
            <w:pPr>
              <w:snapToGrid w:val="0"/>
              <w:spacing w:line="360" w:lineRule="auto"/>
              <w:jc w:val="center"/>
              <w:rPr>
                <w:rFonts w:ascii="宋体" w:hAnsi="宋体" w:cs="宋体"/>
                <w:sz w:val="24"/>
              </w:rPr>
            </w:pPr>
            <w:r>
              <w:rPr>
                <w:rFonts w:hint="eastAsia" w:ascii="宋体" w:hAnsi="宋体" w:cs="宋体"/>
                <w:sz w:val="24"/>
              </w:rPr>
              <w:t>……</w:t>
            </w:r>
          </w:p>
        </w:tc>
        <w:tc>
          <w:tcPr>
            <w:tcW w:w="910" w:type="dxa"/>
            <w:vAlign w:val="center"/>
          </w:tcPr>
          <w:p w14:paraId="0826F4CC">
            <w:pPr>
              <w:snapToGrid w:val="0"/>
              <w:spacing w:line="360" w:lineRule="auto"/>
              <w:jc w:val="center"/>
              <w:rPr>
                <w:rFonts w:ascii="宋体" w:hAnsi="宋体" w:cs="宋体"/>
                <w:sz w:val="24"/>
              </w:rPr>
            </w:pPr>
          </w:p>
        </w:tc>
        <w:tc>
          <w:tcPr>
            <w:tcW w:w="939" w:type="dxa"/>
            <w:vAlign w:val="center"/>
          </w:tcPr>
          <w:p w14:paraId="495D4F63">
            <w:pPr>
              <w:snapToGrid w:val="0"/>
              <w:spacing w:line="360" w:lineRule="auto"/>
              <w:jc w:val="center"/>
              <w:rPr>
                <w:rFonts w:ascii="宋体" w:hAnsi="宋体" w:cs="宋体"/>
                <w:sz w:val="24"/>
              </w:rPr>
            </w:pPr>
          </w:p>
        </w:tc>
        <w:tc>
          <w:tcPr>
            <w:tcW w:w="892" w:type="dxa"/>
            <w:vAlign w:val="center"/>
          </w:tcPr>
          <w:p w14:paraId="1A4B5020">
            <w:pPr>
              <w:snapToGrid w:val="0"/>
              <w:spacing w:line="360" w:lineRule="auto"/>
              <w:jc w:val="center"/>
              <w:rPr>
                <w:rFonts w:ascii="宋体" w:hAnsi="宋体" w:cs="宋体"/>
                <w:sz w:val="24"/>
              </w:rPr>
            </w:pPr>
          </w:p>
        </w:tc>
        <w:tc>
          <w:tcPr>
            <w:tcW w:w="1767" w:type="dxa"/>
          </w:tcPr>
          <w:p w14:paraId="72EB5673">
            <w:pPr>
              <w:snapToGrid w:val="0"/>
              <w:spacing w:line="360" w:lineRule="auto"/>
              <w:jc w:val="center"/>
              <w:rPr>
                <w:rFonts w:ascii="宋体" w:hAnsi="宋体" w:cs="宋体"/>
                <w:sz w:val="24"/>
              </w:rPr>
            </w:pPr>
          </w:p>
        </w:tc>
        <w:tc>
          <w:tcPr>
            <w:tcW w:w="506" w:type="dxa"/>
          </w:tcPr>
          <w:p w14:paraId="0CB870A3">
            <w:pPr>
              <w:snapToGrid w:val="0"/>
              <w:spacing w:line="360" w:lineRule="auto"/>
              <w:jc w:val="center"/>
              <w:rPr>
                <w:rFonts w:ascii="宋体" w:hAnsi="宋体" w:cs="宋体"/>
                <w:sz w:val="24"/>
              </w:rPr>
            </w:pPr>
          </w:p>
        </w:tc>
        <w:tc>
          <w:tcPr>
            <w:tcW w:w="875" w:type="dxa"/>
          </w:tcPr>
          <w:p w14:paraId="1FF99301">
            <w:pPr>
              <w:snapToGrid w:val="0"/>
              <w:spacing w:line="360" w:lineRule="auto"/>
              <w:jc w:val="center"/>
              <w:rPr>
                <w:rFonts w:ascii="宋体" w:hAnsi="宋体" w:cs="宋体"/>
                <w:sz w:val="24"/>
              </w:rPr>
            </w:pPr>
          </w:p>
        </w:tc>
        <w:tc>
          <w:tcPr>
            <w:tcW w:w="920" w:type="dxa"/>
            <w:vAlign w:val="center"/>
          </w:tcPr>
          <w:p w14:paraId="3A3FF8B7">
            <w:pPr>
              <w:snapToGrid w:val="0"/>
              <w:spacing w:line="360" w:lineRule="auto"/>
              <w:jc w:val="center"/>
              <w:rPr>
                <w:rFonts w:ascii="宋体" w:hAnsi="宋体" w:cs="宋体"/>
                <w:sz w:val="24"/>
              </w:rPr>
            </w:pPr>
          </w:p>
        </w:tc>
        <w:tc>
          <w:tcPr>
            <w:tcW w:w="1031" w:type="dxa"/>
            <w:vAlign w:val="center"/>
          </w:tcPr>
          <w:p w14:paraId="2373D5A5">
            <w:pPr>
              <w:snapToGrid w:val="0"/>
              <w:spacing w:line="360" w:lineRule="auto"/>
              <w:jc w:val="center"/>
              <w:rPr>
                <w:rFonts w:ascii="宋体" w:hAnsi="宋体" w:cs="宋体"/>
                <w:sz w:val="24"/>
              </w:rPr>
            </w:pPr>
          </w:p>
        </w:tc>
        <w:tc>
          <w:tcPr>
            <w:tcW w:w="1152" w:type="dxa"/>
            <w:vAlign w:val="center"/>
          </w:tcPr>
          <w:p w14:paraId="708273B1">
            <w:pPr>
              <w:snapToGrid w:val="0"/>
              <w:spacing w:line="360" w:lineRule="auto"/>
              <w:jc w:val="center"/>
              <w:rPr>
                <w:rFonts w:ascii="宋体" w:hAnsi="宋体" w:cs="宋体"/>
                <w:sz w:val="24"/>
              </w:rPr>
            </w:pPr>
          </w:p>
        </w:tc>
      </w:tr>
      <w:tr w14:paraId="39BD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701" w:type="dxa"/>
            <w:gridSpan w:val="10"/>
            <w:vAlign w:val="center"/>
          </w:tcPr>
          <w:p w14:paraId="4A84ECEB">
            <w:pPr>
              <w:snapToGrid w:val="0"/>
              <w:spacing w:line="360" w:lineRule="auto"/>
              <w:rPr>
                <w:rFonts w:hint="default" w:ascii="宋体" w:hAnsi="宋体" w:eastAsia="宋体" w:cs="宋体"/>
                <w:sz w:val="24"/>
                <w:u w:val="none"/>
                <w:lang w:val="en-US" w:eastAsia="zh-CN"/>
              </w:rPr>
            </w:pPr>
            <w:r>
              <w:rPr>
                <w:rFonts w:hint="eastAsia" w:ascii="宋体" w:hAnsi="宋体" w:cs="宋体"/>
                <w:sz w:val="24"/>
              </w:rPr>
              <w:t>合同总金额：（大写）</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sz w:val="24"/>
              </w:rPr>
              <w:t>¥</w:t>
            </w:r>
            <w:r>
              <w:rPr>
                <w:rFonts w:hint="eastAsia" w:ascii="宋体" w:hAnsi="宋体"/>
                <w:sz w:val="24"/>
                <w:u w:val="single"/>
                <w:lang w:val="en-US" w:eastAsia="zh-CN"/>
              </w:rPr>
              <w:t xml:space="preserve">          </w:t>
            </w:r>
          </w:p>
        </w:tc>
      </w:tr>
    </w:tbl>
    <w:p w14:paraId="6B0C8F63">
      <w:pPr>
        <w:snapToGrid w:val="0"/>
        <w:spacing w:line="520" w:lineRule="exact"/>
        <w:ind w:right="420" w:firstLine="480" w:firstLineChars="200"/>
        <w:rPr>
          <w:rFonts w:ascii="宋体" w:hAnsi="宋体"/>
          <w:sz w:val="24"/>
        </w:rPr>
      </w:pPr>
      <w:r>
        <w:rPr>
          <w:rFonts w:hint="eastAsia" w:ascii="宋体" w:hAnsi="宋体"/>
          <w:sz w:val="24"/>
        </w:rPr>
        <w:t>2.</w:t>
      </w:r>
      <w:r>
        <w:rPr>
          <w:rFonts w:hint="eastAsia" w:ascii="宋体" w:hAnsi="宋体" w:cs="宋体"/>
          <w:sz w:val="24"/>
        </w:rPr>
        <w:t>合同总金额包含满足本次竞标全部采购需求所应提供的货物，以及伴随的服务和工程（如有）的价格；包含竞标货物、工程的成本、运输（含保险）、安装（如有）、调试、检验、技术服务、培训、税费等所有费用。竞争性谈判文件另有约定的，从其约定。</w:t>
      </w:r>
    </w:p>
    <w:p w14:paraId="2FF54E2F">
      <w:pPr>
        <w:pStyle w:val="2"/>
      </w:pPr>
    </w:p>
    <w:p w14:paraId="46553F61">
      <w:pPr>
        <w:snapToGrid w:val="0"/>
        <w:spacing w:line="360" w:lineRule="auto"/>
        <w:ind w:firstLine="482" w:firstLineChars="200"/>
        <w:rPr>
          <w:rFonts w:ascii="宋体" w:hAnsi="宋体" w:cs="宋体"/>
          <w:sz w:val="24"/>
        </w:rPr>
      </w:pPr>
      <w:r>
        <w:rPr>
          <w:rFonts w:hint="eastAsia" w:ascii="宋体" w:hAnsi="宋体" w:cs="宋体"/>
          <w:b/>
          <w:sz w:val="24"/>
        </w:rPr>
        <w:t>第二条　质量要求</w:t>
      </w:r>
    </w:p>
    <w:p w14:paraId="03F26EF1">
      <w:pPr>
        <w:snapToGrid w:val="0"/>
        <w:spacing w:line="360" w:lineRule="auto"/>
        <w:ind w:firstLine="480" w:firstLineChars="200"/>
        <w:rPr>
          <w:rFonts w:ascii="宋体" w:hAnsi="宋体" w:cs="宋体"/>
          <w:sz w:val="24"/>
        </w:rPr>
      </w:pPr>
      <w:r>
        <w:rPr>
          <w:rFonts w:hint="eastAsia" w:ascii="宋体" w:hAnsi="宋体" w:cs="宋体"/>
          <w:sz w:val="24"/>
        </w:rPr>
        <w:t>1.乙方所提供的产品名称、商标品牌、生产厂家、规格型号、技术参数等质量必须与竞争性谈判文件规定及响应文件承诺相一致。乙方提供的节能和环保产品必须是列入政府采购品目清单的产品。</w:t>
      </w:r>
    </w:p>
    <w:p w14:paraId="2334FDF2">
      <w:pPr>
        <w:snapToGrid w:val="0"/>
        <w:spacing w:line="360" w:lineRule="auto"/>
        <w:ind w:firstLine="480" w:firstLineChars="200"/>
        <w:rPr>
          <w:rFonts w:ascii="宋体" w:hAnsi="宋体" w:cs="宋体"/>
          <w:sz w:val="24"/>
          <w:u w:val="single"/>
        </w:rPr>
      </w:pPr>
      <w:r>
        <w:rPr>
          <w:rFonts w:hint="eastAsia" w:ascii="宋体" w:hAnsi="宋体" w:cs="宋体"/>
          <w:sz w:val="24"/>
        </w:rPr>
        <w:t>2.乙方所提供的货物必须是全新、未使用的原装产品，且在正常安装、使用和保养条件下，其使用寿命期内各项指标均达到竞争性谈判文件规定或者响应文件承诺的质量要求。条件下，其使用寿命期内各项指标均达到竞争性谈判文件规定或者响应文件承诺的质量要求。</w:t>
      </w:r>
    </w:p>
    <w:p w14:paraId="0C73AE21">
      <w:pPr>
        <w:snapToGrid w:val="0"/>
        <w:spacing w:line="360" w:lineRule="auto"/>
        <w:ind w:firstLine="482" w:firstLineChars="200"/>
        <w:rPr>
          <w:rFonts w:ascii="宋体" w:hAnsi="宋体" w:cs="宋体"/>
          <w:sz w:val="24"/>
        </w:rPr>
      </w:pPr>
      <w:r>
        <w:rPr>
          <w:rFonts w:hint="eastAsia" w:ascii="宋体" w:hAnsi="宋体" w:cs="宋体"/>
          <w:b/>
          <w:sz w:val="24"/>
        </w:rPr>
        <w:t>第三条　权利保证</w:t>
      </w:r>
    </w:p>
    <w:p w14:paraId="630DE17D">
      <w:pPr>
        <w:snapToGrid w:val="0"/>
        <w:spacing w:line="360" w:lineRule="auto"/>
        <w:ind w:firstLine="480" w:firstLineChars="200"/>
        <w:rPr>
          <w:rFonts w:ascii="宋体" w:hAnsi="宋体" w:cs="宋体"/>
          <w:sz w:val="24"/>
        </w:rPr>
      </w:pPr>
      <w:r>
        <w:rPr>
          <w:rFonts w:hint="eastAsia" w:ascii="宋体" w:hAnsi="宋体" w:cs="宋体"/>
          <w:sz w:val="24"/>
        </w:rPr>
        <w:t>1.乙方应保证所提供货物在使用时不会侵犯任何第三方的专利权、商标权、工业设计权或者其他权利。</w:t>
      </w:r>
    </w:p>
    <w:p w14:paraId="038A6B55">
      <w:pPr>
        <w:snapToGrid w:val="0"/>
        <w:spacing w:line="360" w:lineRule="auto"/>
        <w:ind w:firstLine="480" w:firstLineChars="200"/>
        <w:rPr>
          <w:rFonts w:ascii="宋体" w:hAnsi="宋体" w:cs="宋体"/>
          <w:sz w:val="24"/>
        </w:rPr>
      </w:pPr>
      <w:r>
        <w:rPr>
          <w:rFonts w:hint="eastAsia" w:ascii="宋体" w:hAnsi="宋体" w:cs="宋体"/>
          <w:sz w:val="24"/>
        </w:rPr>
        <w:t>2.乙方应按竞争性谈判文件规定或者响应文件承诺的时间向甲方提供使用货物的有关技术资料。</w:t>
      </w:r>
    </w:p>
    <w:p w14:paraId="662CC3BE">
      <w:pPr>
        <w:snapToGrid w:val="0"/>
        <w:spacing w:line="360" w:lineRule="auto"/>
        <w:ind w:firstLine="480" w:firstLineChars="200"/>
        <w:rPr>
          <w:rFonts w:ascii="宋体" w:hAnsi="宋体" w:cs="宋体"/>
          <w:sz w:val="24"/>
        </w:rPr>
      </w:pPr>
      <w:r>
        <w:rPr>
          <w:rFonts w:hint="eastAsia" w:ascii="宋体" w:hAnsi="宋体" w:cs="宋体"/>
          <w:sz w:val="24"/>
        </w:rPr>
        <w:t>3.没有甲方事先书面同意，乙方不得将由甲方提供的有关合同或者任何合同条文、规格、计划、图纸、样品或者资料提供给予履行本合同无关的任何其他人。即使向履行本合同有关的人员提供，也应注意保密并限于履行合同的必需范围。</w:t>
      </w:r>
    </w:p>
    <w:p w14:paraId="0394339A">
      <w:pPr>
        <w:snapToGrid w:val="0"/>
        <w:spacing w:line="360" w:lineRule="auto"/>
        <w:ind w:firstLine="480" w:firstLineChars="200"/>
        <w:rPr>
          <w:rFonts w:ascii="宋体" w:hAnsi="宋体" w:cs="宋体"/>
          <w:sz w:val="24"/>
        </w:rPr>
      </w:pPr>
      <w:r>
        <w:rPr>
          <w:rFonts w:hint="eastAsia" w:ascii="宋体" w:hAnsi="宋体" w:cs="宋体"/>
          <w:sz w:val="24"/>
        </w:rPr>
        <w:t>4.乙方保证将要交付的货物的所有权完全属于乙方且无任何抵押、质押、查封等产权瑕疵。</w:t>
      </w:r>
    </w:p>
    <w:p w14:paraId="55FE0A12">
      <w:pPr>
        <w:snapToGrid w:val="0"/>
        <w:spacing w:line="360" w:lineRule="auto"/>
        <w:ind w:firstLine="482" w:firstLineChars="200"/>
        <w:rPr>
          <w:rFonts w:ascii="宋体" w:hAnsi="宋体" w:cs="宋体"/>
          <w:b/>
          <w:sz w:val="24"/>
        </w:rPr>
      </w:pPr>
      <w:r>
        <w:rPr>
          <w:rFonts w:hint="eastAsia" w:ascii="宋体" w:hAnsi="宋体" w:cs="宋体"/>
          <w:b/>
          <w:sz w:val="24"/>
        </w:rPr>
        <w:t>第四条　包装和运输</w:t>
      </w:r>
    </w:p>
    <w:p w14:paraId="372AC83F">
      <w:pPr>
        <w:snapToGrid w:val="0"/>
        <w:spacing w:line="360" w:lineRule="auto"/>
        <w:ind w:firstLine="480" w:firstLineChars="200"/>
        <w:rPr>
          <w:rFonts w:ascii="宋体" w:hAnsi="宋体" w:cs="宋体"/>
          <w:sz w:val="24"/>
        </w:rPr>
      </w:pPr>
      <w:r>
        <w:rPr>
          <w:rFonts w:hint="eastAsia" w:ascii="宋体" w:hAnsi="宋体" w:cs="宋体"/>
          <w:sz w:val="24"/>
        </w:rPr>
        <w:t>1.乙方提供的货物均应按竞争性谈判文件规定或者响应文件承诺的要求的包装材料、包装标准、包装方式进行包装，每一包装单元内应附详细的装箱单和质量合格证。</w:t>
      </w:r>
    </w:p>
    <w:p w14:paraId="2F7910FF">
      <w:pPr>
        <w:snapToGrid w:val="0"/>
        <w:spacing w:line="360" w:lineRule="auto"/>
        <w:ind w:firstLine="480" w:firstLineChars="200"/>
        <w:rPr>
          <w:rFonts w:ascii="宋体" w:hAnsi="宋体" w:cs="宋体"/>
          <w:sz w:val="24"/>
        </w:rPr>
      </w:pPr>
      <w:r>
        <w:rPr>
          <w:rFonts w:hint="eastAsia" w:ascii="宋体" w:hAnsi="宋体" w:cs="宋体"/>
          <w:sz w:val="24"/>
        </w:rPr>
        <w:t>2.货物的运输方式：</w:t>
      </w:r>
      <w:r>
        <w:rPr>
          <w:rFonts w:hint="eastAsia" w:ascii="宋体" w:hAnsi="宋体" w:cs="宋体"/>
          <w:sz w:val="24"/>
          <w:u w:val="single"/>
        </w:rPr>
        <w:t xml:space="preserve">    </w:t>
      </w:r>
      <w:r>
        <w:rPr>
          <w:rFonts w:hint="eastAsia" w:ascii="宋体" w:hAnsi="宋体" w:cs="宋体"/>
          <w:sz w:val="24"/>
        </w:rPr>
        <w:t>。</w:t>
      </w:r>
    </w:p>
    <w:p w14:paraId="2FCD3F32">
      <w:pPr>
        <w:snapToGrid w:val="0"/>
        <w:spacing w:line="360" w:lineRule="auto"/>
        <w:ind w:firstLine="480" w:firstLineChars="200"/>
        <w:rPr>
          <w:rFonts w:ascii="宋体" w:hAnsi="宋体"/>
          <w:sz w:val="24"/>
          <w:u w:val="single"/>
        </w:rPr>
      </w:pPr>
      <w:r>
        <w:rPr>
          <w:rFonts w:hint="eastAsia" w:ascii="宋体" w:hAnsi="宋体" w:cs="宋体"/>
          <w:sz w:val="24"/>
        </w:rPr>
        <w:t>3.乙方负责货物运输，货物运输合理损耗及计算方法：</w:t>
      </w:r>
      <w:r>
        <w:rPr>
          <w:rFonts w:hint="eastAsia" w:ascii="宋体" w:hAnsi="宋体"/>
          <w:sz w:val="24"/>
          <w:u w:val="single"/>
        </w:rPr>
        <w:t xml:space="preserve">    </w:t>
      </w:r>
      <w:r>
        <w:rPr>
          <w:rFonts w:hint="eastAsia" w:ascii="宋体" w:hAnsi="宋体"/>
          <w:sz w:val="24"/>
        </w:rPr>
        <w:t>。</w:t>
      </w:r>
    </w:p>
    <w:p w14:paraId="158A1206">
      <w:pPr>
        <w:snapToGrid w:val="0"/>
        <w:spacing w:line="360" w:lineRule="auto"/>
        <w:ind w:firstLine="482" w:firstLineChars="200"/>
        <w:rPr>
          <w:rFonts w:ascii="宋体" w:hAnsi="宋体" w:cs="宋体"/>
          <w:sz w:val="24"/>
        </w:rPr>
      </w:pPr>
      <w:r>
        <w:rPr>
          <w:rFonts w:hint="eastAsia" w:ascii="宋体" w:hAnsi="宋体" w:cs="宋体"/>
          <w:b/>
          <w:sz w:val="24"/>
        </w:rPr>
        <w:t>第五条　合同履行期限和验收</w:t>
      </w:r>
    </w:p>
    <w:p w14:paraId="44EF3226">
      <w:pPr>
        <w:snapToGrid w:val="0"/>
        <w:spacing w:line="360" w:lineRule="auto"/>
        <w:ind w:firstLine="480" w:firstLineChars="200"/>
        <w:rPr>
          <w:rFonts w:ascii="宋体" w:hAnsi="宋体" w:cs="宋体"/>
          <w:sz w:val="24"/>
        </w:rPr>
      </w:pPr>
      <w:r>
        <w:rPr>
          <w:rFonts w:hint="eastAsia" w:ascii="宋体" w:hAnsi="宋体" w:cs="宋体"/>
          <w:sz w:val="24"/>
        </w:rPr>
        <w:t>1.合同履行期限：</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w:t>
      </w:r>
    </w:p>
    <w:p w14:paraId="7FFD2256">
      <w:pPr>
        <w:snapToGrid w:val="0"/>
        <w:spacing w:line="360" w:lineRule="auto"/>
        <w:ind w:firstLine="480" w:firstLineChars="200"/>
        <w:rPr>
          <w:rFonts w:ascii="宋体" w:hAnsi="宋体" w:cs="宋体"/>
          <w:sz w:val="24"/>
        </w:rPr>
      </w:pPr>
      <w:r>
        <w:rPr>
          <w:rFonts w:hint="eastAsia" w:ascii="宋体" w:hAnsi="宋体" w:cs="宋体"/>
          <w:sz w:val="24"/>
        </w:rPr>
        <w:t>2.乙方提供不符合竞争性谈判文件规定或者响应文件承诺的和本合同规定的货物，甲方有权拒绝接受。</w:t>
      </w:r>
    </w:p>
    <w:p w14:paraId="60341C05">
      <w:pPr>
        <w:snapToGrid w:val="0"/>
        <w:spacing w:line="360" w:lineRule="auto"/>
        <w:ind w:firstLine="480" w:firstLineChars="200"/>
        <w:rPr>
          <w:rFonts w:ascii="宋体" w:hAnsi="宋体" w:cs="宋体"/>
          <w:sz w:val="24"/>
        </w:rPr>
      </w:pPr>
      <w:r>
        <w:rPr>
          <w:rFonts w:hint="eastAsia" w:ascii="宋体" w:hAnsi="宋体" w:cs="宋体"/>
          <w:sz w:val="24"/>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753C9194">
      <w:pPr>
        <w:snapToGrid w:val="0"/>
        <w:spacing w:line="360" w:lineRule="auto"/>
        <w:ind w:firstLine="480" w:firstLineChars="200"/>
        <w:rPr>
          <w:rFonts w:ascii="宋体" w:hAnsi="宋体" w:cs="宋体"/>
          <w:sz w:val="24"/>
        </w:rPr>
      </w:pPr>
      <w:r>
        <w:rPr>
          <w:rFonts w:hint="eastAsia" w:ascii="宋体" w:hAnsi="宋体" w:cs="宋体"/>
          <w:sz w:val="24"/>
        </w:rPr>
        <w:t>4.甲方应当在到货（安装、调试完）后七个工作日内进行验收。验收合格后由甲乙双方签署货物验收单并加盖甲方公章，甲乙双方各执一份。</w:t>
      </w:r>
    </w:p>
    <w:p w14:paraId="211BB4F9">
      <w:pPr>
        <w:snapToGrid w:val="0"/>
        <w:spacing w:line="360" w:lineRule="auto"/>
        <w:ind w:firstLine="480" w:firstLineChars="200"/>
        <w:rPr>
          <w:rFonts w:ascii="宋体" w:hAnsi="宋体" w:cs="宋体"/>
          <w:sz w:val="24"/>
        </w:rPr>
      </w:pPr>
      <w:r>
        <w:rPr>
          <w:rFonts w:hint="eastAsia" w:ascii="宋体" w:hAnsi="宋体" w:cs="宋体"/>
          <w:sz w:val="24"/>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49E1C198">
      <w:pPr>
        <w:snapToGrid w:val="0"/>
        <w:spacing w:line="360" w:lineRule="auto"/>
        <w:ind w:firstLine="480" w:firstLineChars="200"/>
        <w:rPr>
          <w:rFonts w:ascii="宋体" w:hAnsi="宋体" w:cs="宋体"/>
          <w:sz w:val="24"/>
        </w:rPr>
      </w:pPr>
      <w:r>
        <w:rPr>
          <w:rFonts w:hint="eastAsia" w:ascii="宋体" w:hAnsi="宋体" w:cs="宋体"/>
          <w:sz w:val="24"/>
        </w:rPr>
        <w:t>6.甲方对验收有异议的，在验收后五个工作日内以书面形式向乙方提出，乙方应自收到甲方书面异议后</w:t>
      </w:r>
      <w:r>
        <w:rPr>
          <w:rFonts w:hint="eastAsia" w:ascii="宋体" w:hAnsi="宋体" w:cs="宋体"/>
          <w:sz w:val="24"/>
          <w:u w:val="single"/>
        </w:rPr>
        <w:t xml:space="preserve">     </w:t>
      </w:r>
      <w:r>
        <w:rPr>
          <w:rFonts w:hint="eastAsia" w:ascii="宋体" w:hAnsi="宋体" w:cs="宋体"/>
          <w:sz w:val="24"/>
        </w:rPr>
        <w:t>日内及时予以解决。</w:t>
      </w:r>
    </w:p>
    <w:p w14:paraId="0901AB15">
      <w:pPr>
        <w:snapToGrid w:val="0"/>
        <w:spacing w:line="360" w:lineRule="auto"/>
        <w:ind w:firstLine="482" w:firstLineChars="200"/>
        <w:rPr>
          <w:rFonts w:ascii="宋体" w:hAnsi="宋体" w:cs="宋体"/>
          <w:b/>
          <w:sz w:val="24"/>
        </w:rPr>
      </w:pPr>
      <w:r>
        <w:rPr>
          <w:rFonts w:hint="eastAsia" w:ascii="宋体" w:hAnsi="宋体" w:cs="宋体"/>
          <w:b/>
          <w:sz w:val="24"/>
        </w:rPr>
        <w:t>第六条　安装和培训</w:t>
      </w:r>
    </w:p>
    <w:p w14:paraId="2B60E6D5">
      <w:pPr>
        <w:snapToGrid w:val="0"/>
        <w:spacing w:line="360" w:lineRule="auto"/>
        <w:ind w:firstLine="480" w:firstLineChars="200"/>
        <w:rPr>
          <w:rFonts w:ascii="宋体" w:hAnsi="宋体" w:cs="宋体"/>
          <w:sz w:val="24"/>
        </w:rPr>
      </w:pPr>
      <w:r>
        <w:rPr>
          <w:rFonts w:hint="eastAsia" w:ascii="宋体" w:hAnsi="宋体" w:cs="宋体"/>
          <w:sz w:val="24"/>
        </w:rPr>
        <w:t>1.甲方应提供必要安装条件（如场地、电源、水源等）。</w:t>
      </w:r>
    </w:p>
    <w:p w14:paraId="0A866850">
      <w:pPr>
        <w:snapToGrid w:val="0"/>
        <w:spacing w:line="360" w:lineRule="auto"/>
        <w:ind w:firstLine="436" w:firstLineChars="200"/>
        <w:rPr>
          <w:rFonts w:ascii="宋体" w:hAnsi="宋体" w:cs="宋体"/>
          <w:spacing w:val="-11"/>
          <w:sz w:val="24"/>
          <w:u w:val="single"/>
        </w:rPr>
      </w:pPr>
      <w:r>
        <w:rPr>
          <w:rFonts w:hint="eastAsia" w:ascii="宋体" w:hAnsi="宋体" w:cs="宋体"/>
          <w:spacing w:val="-11"/>
          <w:sz w:val="24"/>
        </w:rPr>
        <w:t>2.乙方响应文件承诺负责甲方有关人员的培训。培训时间、地点：</w:t>
      </w:r>
      <w:r>
        <w:rPr>
          <w:rFonts w:hint="eastAsia" w:ascii="宋体" w:hAnsi="宋体" w:cs="宋体"/>
          <w:spacing w:val="-11"/>
          <w:sz w:val="24"/>
          <w:u w:val="single"/>
        </w:rPr>
        <w:t xml:space="preserve">                   </w:t>
      </w:r>
      <w:r>
        <w:rPr>
          <w:rFonts w:hint="eastAsia" w:ascii="宋体" w:hAnsi="宋体" w:cs="宋体"/>
          <w:spacing w:val="-11"/>
          <w:sz w:val="24"/>
        </w:rPr>
        <w:t>。</w:t>
      </w:r>
    </w:p>
    <w:p w14:paraId="5CEBEBCB">
      <w:pPr>
        <w:snapToGrid w:val="0"/>
        <w:spacing w:line="360" w:lineRule="auto"/>
        <w:ind w:firstLine="482" w:firstLineChars="200"/>
        <w:rPr>
          <w:rFonts w:ascii="宋体" w:hAnsi="宋体" w:cs="宋体"/>
          <w:b/>
          <w:sz w:val="24"/>
        </w:rPr>
      </w:pPr>
      <w:r>
        <w:rPr>
          <w:rFonts w:hint="eastAsia" w:ascii="宋体" w:hAnsi="宋体" w:cs="宋体"/>
          <w:b/>
          <w:sz w:val="24"/>
        </w:rPr>
        <w:t>第七条  售后服务、质保期</w:t>
      </w:r>
    </w:p>
    <w:p w14:paraId="4E45F008">
      <w:pPr>
        <w:snapToGrid w:val="0"/>
        <w:spacing w:line="360" w:lineRule="auto"/>
        <w:ind w:firstLine="480" w:firstLineChars="200"/>
        <w:rPr>
          <w:rFonts w:ascii="宋体" w:hAnsi="宋体" w:cs="宋体"/>
          <w:sz w:val="24"/>
        </w:rPr>
      </w:pPr>
      <w:r>
        <w:rPr>
          <w:rFonts w:hint="eastAsia" w:ascii="宋体" w:hAnsi="宋体" w:cs="宋体"/>
          <w:sz w:val="24"/>
        </w:rPr>
        <w:t>1.乙方应按照国家有关法律法规和“三包”规定以及本合同所附的《服务承诺》，为甲方提供售后服务。</w:t>
      </w:r>
    </w:p>
    <w:p w14:paraId="33E67440">
      <w:pPr>
        <w:snapToGrid w:val="0"/>
        <w:spacing w:line="360" w:lineRule="auto"/>
        <w:ind w:firstLine="480" w:firstLineChars="200"/>
        <w:rPr>
          <w:rFonts w:ascii="宋体" w:hAnsi="宋体" w:cs="宋体"/>
          <w:sz w:val="24"/>
          <w:u w:val="single"/>
        </w:rPr>
      </w:pPr>
      <w:r>
        <w:rPr>
          <w:rFonts w:hint="eastAsia" w:ascii="宋体" w:hAnsi="宋体" w:cs="宋体"/>
          <w:sz w:val="24"/>
        </w:rPr>
        <w:t>2.货物质保期：</w:t>
      </w:r>
      <w:r>
        <w:rPr>
          <w:rFonts w:hint="eastAsia" w:ascii="宋体" w:hAnsi="宋体" w:cs="宋体"/>
          <w:sz w:val="24"/>
          <w:u w:val="single"/>
        </w:rPr>
        <w:t xml:space="preserve">           </w:t>
      </w:r>
      <w:r>
        <w:rPr>
          <w:rFonts w:hint="eastAsia" w:ascii="宋体" w:hAnsi="宋体" w:cs="宋体"/>
          <w:sz w:val="24"/>
        </w:rPr>
        <w:t>。</w:t>
      </w:r>
    </w:p>
    <w:p w14:paraId="5D028905">
      <w:pPr>
        <w:snapToGrid w:val="0"/>
        <w:spacing w:line="360" w:lineRule="auto"/>
        <w:ind w:firstLine="480" w:firstLineChars="200"/>
        <w:rPr>
          <w:rFonts w:ascii="宋体" w:hAnsi="宋体" w:cs="宋体"/>
          <w:sz w:val="24"/>
          <w:u w:val="single"/>
        </w:rPr>
      </w:pPr>
      <w:r>
        <w:rPr>
          <w:rFonts w:hint="eastAsia" w:ascii="宋体" w:hAnsi="宋体" w:cs="宋体"/>
          <w:sz w:val="24"/>
        </w:rPr>
        <w:t>3.乙方提供的服务承诺和售后服务及保修期责任等其它具体约定事项。（见合同附件）</w:t>
      </w:r>
    </w:p>
    <w:p w14:paraId="50FFF724">
      <w:pPr>
        <w:snapToGrid w:val="0"/>
        <w:spacing w:line="360" w:lineRule="auto"/>
        <w:ind w:firstLine="482" w:firstLineChars="200"/>
        <w:rPr>
          <w:rFonts w:ascii="宋体" w:hAnsi="宋体" w:cs="宋体"/>
          <w:sz w:val="24"/>
        </w:rPr>
      </w:pPr>
      <w:r>
        <w:rPr>
          <w:rFonts w:hint="eastAsia" w:ascii="宋体" w:hAnsi="宋体" w:cs="宋体"/>
          <w:b/>
          <w:sz w:val="24"/>
        </w:rPr>
        <w:t>第八条　付款方式</w:t>
      </w:r>
    </w:p>
    <w:p w14:paraId="2549ECFA">
      <w:pPr>
        <w:spacing w:line="360" w:lineRule="auto"/>
        <w:ind w:firstLine="480" w:firstLineChars="200"/>
        <w:rPr>
          <w:rFonts w:ascii="宋体" w:hAnsi="宋体" w:cs="宋体"/>
          <w:sz w:val="24"/>
        </w:rPr>
      </w:pPr>
      <w:r>
        <w:rPr>
          <w:rFonts w:hint="eastAsia" w:ascii="宋体" w:hAnsi="宋体" w:cs="宋体"/>
          <w:sz w:val="24"/>
        </w:rPr>
        <w:t>1.付款方式：每批次货到采购人指定地点，并经采购人检验合格后，供应商出具产品质量检验报告单并提交符合采购人财务要求的增值税专用发票。采购人收到供应商的税务发票后15日内以转帐方式支付。</w:t>
      </w:r>
    </w:p>
    <w:p w14:paraId="052CA3E2">
      <w:pPr>
        <w:snapToGrid w:val="0"/>
        <w:spacing w:line="360" w:lineRule="auto"/>
        <w:ind w:left="-61" w:leftChars="-29" w:firstLine="588" w:firstLineChars="245"/>
        <w:rPr>
          <w:rFonts w:ascii="宋体" w:hAnsi="宋体" w:cs="宋体"/>
          <w:b/>
          <w:sz w:val="24"/>
        </w:rPr>
      </w:pPr>
      <w:r>
        <w:rPr>
          <w:rFonts w:hint="eastAsia" w:hAnsi="宋体" w:cs="宋体"/>
          <w:sz w:val="24"/>
        </w:rPr>
        <w:t>2.当采购数量与实际使用数量不一致时，乙方应根据实际使用量供货，合同的最终结算金额按实际使用量乘以成交单价进行计算，但不得超出合同价的10%。</w:t>
      </w:r>
    </w:p>
    <w:p w14:paraId="53FA115A">
      <w:pPr>
        <w:snapToGrid w:val="0"/>
        <w:spacing w:line="360" w:lineRule="auto"/>
        <w:ind w:left="-61" w:leftChars="-29" w:firstLine="590" w:firstLineChars="245"/>
        <w:rPr>
          <w:rFonts w:ascii="宋体" w:hAnsi="宋体" w:cs="宋体"/>
          <w:b/>
          <w:sz w:val="24"/>
        </w:rPr>
      </w:pPr>
      <w:r>
        <w:rPr>
          <w:rFonts w:hint="eastAsia" w:ascii="宋体" w:hAnsi="宋体" w:cs="宋体"/>
          <w:b/>
          <w:sz w:val="24"/>
        </w:rPr>
        <w:t>第九条　履约保证金</w:t>
      </w:r>
    </w:p>
    <w:p w14:paraId="32DB6346">
      <w:pPr>
        <w:pStyle w:val="16"/>
        <w:snapToGrid w:val="0"/>
        <w:spacing w:line="360" w:lineRule="auto"/>
        <w:ind w:firstLine="480" w:firstLineChars="200"/>
        <w:rPr>
          <w:rFonts w:hAnsi="宋体" w:cs="宋体"/>
          <w:sz w:val="24"/>
          <w:szCs w:val="24"/>
        </w:rPr>
      </w:pPr>
      <w:r>
        <w:rPr>
          <w:rFonts w:hint="eastAsia" w:hAnsi="宋体" w:cs="宋体"/>
          <w:sz w:val="24"/>
          <w:szCs w:val="24"/>
        </w:rPr>
        <w:t>履约保证金：本项目不需要缴纳履约保证金。</w:t>
      </w:r>
    </w:p>
    <w:p w14:paraId="5BB7F0A9">
      <w:pPr>
        <w:snapToGrid w:val="0"/>
        <w:spacing w:line="360" w:lineRule="auto"/>
        <w:ind w:left="-61" w:firstLine="514"/>
        <w:rPr>
          <w:rFonts w:ascii="宋体" w:hAnsi="宋体" w:cs="宋体"/>
          <w:b/>
          <w:sz w:val="24"/>
        </w:rPr>
      </w:pPr>
      <w:r>
        <w:rPr>
          <w:rFonts w:hint="eastAsia" w:ascii="宋体" w:hAnsi="宋体" w:cs="宋体"/>
          <w:b/>
          <w:sz w:val="24"/>
        </w:rPr>
        <w:t>第十条  税费</w:t>
      </w:r>
    </w:p>
    <w:p w14:paraId="19E371FB">
      <w:pPr>
        <w:snapToGrid w:val="0"/>
        <w:spacing w:line="360" w:lineRule="auto"/>
        <w:ind w:left="-61" w:firstLine="514"/>
        <w:rPr>
          <w:rFonts w:ascii="宋体" w:hAnsi="宋体" w:cs="宋体"/>
          <w:sz w:val="24"/>
        </w:rPr>
      </w:pPr>
      <w:r>
        <w:rPr>
          <w:rFonts w:hint="eastAsia" w:ascii="宋体" w:hAnsi="宋体" w:cs="宋体"/>
          <w:sz w:val="24"/>
        </w:rPr>
        <w:t>本合同执行中相关的一切税费均由乙方负担，合同另有约定的除外。</w:t>
      </w:r>
    </w:p>
    <w:p w14:paraId="4074C6DC">
      <w:pPr>
        <w:snapToGrid w:val="0"/>
        <w:spacing w:line="360" w:lineRule="auto"/>
        <w:ind w:left="-61" w:firstLine="514"/>
        <w:rPr>
          <w:rFonts w:ascii="宋体" w:hAnsi="宋体" w:cs="宋体"/>
          <w:sz w:val="24"/>
        </w:rPr>
      </w:pPr>
      <w:r>
        <w:rPr>
          <w:rFonts w:hint="eastAsia" w:ascii="宋体" w:hAnsi="宋体" w:cs="宋体"/>
          <w:b/>
          <w:sz w:val="24"/>
        </w:rPr>
        <w:t>第十一条  质量保证及售后服务</w:t>
      </w:r>
    </w:p>
    <w:p w14:paraId="65D15E02">
      <w:pPr>
        <w:pStyle w:val="16"/>
        <w:snapToGrid w:val="0"/>
        <w:spacing w:line="360" w:lineRule="auto"/>
        <w:ind w:firstLine="480" w:firstLineChars="200"/>
        <w:rPr>
          <w:rFonts w:hAnsi="宋体" w:cs="宋体"/>
          <w:sz w:val="24"/>
          <w:szCs w:val="24"/>
        </w:rPr>
      </w:pPr>
      <w:r>
        <w:rPr>
          <w:rFonts w:hint="eastAsia" w:hAnsi="宋体" w:cs="宋体"/>
          <w:bCs/>
          <w:sz w:val="24"/>
          <w:szCs w:val="24"/>
        </w:rPr>
        <w:t>1.</w:t>
      </w:r>
      <w:r>
        <w:rPr>
          <w:rFonts w:hint="eastAsia" w:hAnsi="宋体" w:cs="宋体"/>
          <w:sz w:val="24"/>
          <w:szCs w:val="24"/>
        </w:rPr>
        <w:t>乙方应按竞争性谈判文件规定的产品名称、商标品牌、生产厂家、规格型号、技术参数、质量标准向甲方提供未经使用的全新产品。不符合要求的，根据实际情况，经双方协商，可按以下办法处理：</w:t>
      </w:r>
    </w:p>
    <w:p w14:paraId="183EAE91">
      <w:pPr>
        <w:pStyle w:val="16"/>
        <w:snapToGrid w:val="0"/>
        <w:spacing w:line="360" w:lineRule="auto"/>
        <w:ind w:firstLine="480" w:firstLineChars="200"/>
        <w:rPr>
          <w:rFonts w:hAnsi="宋体" w:cs="宋体"/>
          <w:sz w:val="24"/>
          <w:szCs w:val="24"/>
        </w:rPr>
      </w:pPr>
      <w:r>
        <w:rPr>
          <w:rFonts w:hint="eastAsia" w:hAnsi="宋体" w:cs="宋体"/>
          <w:sz w:val="24"/>
          <w:szCs w:val="24"/>
        </w:rPr>
        <w:t>⑴更换：由乙方承担所发生的全部费用。</w:t>
      </w:r>
    </w:p>
    <w:p w14:paraId="30A7FFCB">
      <w:pPr>
        <w:pStyle w:val="16"/>
        <w:snapToGrid w:val="0"/>
        <w:spacing w:line="360" w:lineRule="auto"/>
        <w:ind w:firstLine="420"/>
        <w:rPr>
          <w:rFonts w:hAnsi="宋体" w:cs="宋体"/>
          <w:sz w:val="24"/>
          <w:szCs w:val="24"/>
        </w:rPr>
      </w:pPr>
      <w:r>
        <w:rPr>
          <w:rFonts w:hint="eastAsia" w:hAnsi="宋体" w:cs="宋体"/>
          <w:sz w:val="24"/>
          <w:szCs w:val="24"/>
        </w:rPr>
        <w:t>⑵贬值处理：由甲乙双方合议定价。</w:t>
      </w:r>
    </w:p>
    <w:p w14:paraId="126CC971">
      <w:pPr>
        <w:pStyle w:val="16"/>
        <w:snapToGrid w:val="0"/>
        <w:spacing w:line="360" w:lineRule="auto"/>
        <w:ind w:firstLine="420"/>
        <w:rPr>
          <w:rFonts w:hAnsi="宋体" w:cs="宋体"/>
          <w:sz w:val="24"/>
          <w:szCs w:val="24"/>
        </w:rPr>
      </w:pPr>
      <w:r>
        <w:rPr>
          <w:rFonts w:hint="eastAsia" w:hAnsi="宋体" w:cs="宋体"/>
          <w:sz w:val="24"/>
          <w:szCs w:val="24"/>
        </w:rPr>
        <w:t>⑶退货处理：乙方应退还甲方支付的合同款，同时应承担该货物的直接费用（运输、保险、检验、货款利息及银行手续费等）。</w:t>
      </w:r>
    </w:p>
    <w:p w14:paraId="3A8EDEBE">
      <w:pPr>
        <w:pStyle w:val="16"/>
        <w:snapToGrid w:val="0"/>
        <w:spacing w:line="360" w:lineRule="auto"/>
        <w:ind w:firstLine="480" w:firstLineChars="200"/>
        <w:rPr>
          <w:rFonts w:hAnsi="宋体" w:cs="宋体"/>
          <w:sz w:val="24"/>
          <w:szCs w:val="24"/>
        </w:rPr>
      </w:pPr>
      <w:r>
        <w:rPr>
          <w:rFonts w:hint="eastAsia" w:hAnsi="宋体" w:cs="宋体"/>
          <w:sz w:val="24"/>
          <w:szCs w:val="24"/>
        </w:rPr>
        <w:t>2.如在使用过程中发生质量问题，乙方在接到甲方通知后到达甲方现场处理的时间</w:t>
      </w:r>
      <w:r>
        <w:rPr>
          <w:rFonts w:hint="eastAsia" w:hAnsi="宋体" w:cs="宋体"/>
          <w:i/>
          <w:iCs/>
          <w:sz w:val="24"/>
          <w:szCs w:val="24"/>
        </w:rPr>
        <w:t>（</w:t>
      </w:r>
      <w:r>
        <w:rPr>
          <w:rFonts w:hint="eastAsia" w:hAnsi="宋体" w:cs="宋体"/>
          <w:i/>
          <w:iCs/>
          <w:sz w:val="24"/>
          <w:szCs w:val="24"/>
          <w:u w:val="single"/>
        </w:rPr>
        <w:t>按响应文件承诺的数据填写</w:t>
      </w:r>
      <w:r>
        <w:rPr>
          <w:rFonts w:hint="eastAsia" w:hAnsi="宋体" w:cs="宋体"/>
          <w:i/>
          <w:iCs/>
          <w:sz w:val="24"/>
          <w:szCs w:val="24"/>
        </w:rPr>
        <w:t>）</w:t>
      </w:r>
      <w:r>
        <w:rPr>
          <w:rFonts w:hint="eastAsia" w:hAnsi="宋体" w:cs="宋体"/>
          <w:sz w:val="24"/>
          <w:szCs w:val="24"/>
        </w:rPr>
        <w:t>小时内。</w:t>
      </w:r>
    </w:p>
    <w:p w14:paraId="51490BED">
      <w:pPr>
        <w:pStyle w:val="16"/>
        <w:snapToGrid w:val="0"/>
        <w:spacing w:line="360" w:lineRule="auto"/>
        <w:ind w:firstLine="480" w:firstLineChars="200"/>
        <w:rPr>
          <w:rFonts w:hAnsi="宋体" w:cs="宋体"/>
          <w:sz w:val="24"/>
          <w:szCs w:val="24"/>
        </w:rPr>
      </w:pPr>
      <w:r>
        <w:rPr>
          <w:rFonts w:hint="eastAsia" w:hAnsi="宋体" w:cs="宋体"/>
          <w:sz w:val="24"/>
          <w:szCs w:val="24"/>
        </w:rPr>
        <w:t>3.在质保期内，乙方应对货物出现的质量及安全问题负责处理解决并承担一切费用。</w:t>
      </w:r>
    </w:p>
    <w:p w14:paraId="2306CFB8">
      <w:pPr>
        <w:snapToGrid w:val="0"/>
        <w:spacing w:line="360" w:lineRule="auto"/>
        <w:ind w:firstLine="480" w:firstLineChars="200"/>
        <w:rPr>
          <w:rFonts w:ascii="宋体" w:hAnsi="宋体" w:cs="宋体"/>
          <w:sz w:val="24"/>
        </w:rPr>
      </w:pPr>
      <w:r>
        <w:rPr>
          <w:rFonts w:hint="eastAsia" w:ascii="宋体" w:hAnsi="宋体" w:cs="宋体"/>
          <w:sz w:val="24"/>
        </w:rPr>
        <w:t>4.上述的货物质保期为年，因人为因素出现的故障不在免费保修范围内。超过保修期的机器设备，终生维修，维修时只收部件成本费。</w:t>
      </w:r>
    </w:p>
    <w:p w14:paraId="1A4394B5">
      <w:pPr>
        <w:snapToGrid w:val="0"/>
        <w:spacing w:line="360" w:lineRule="auto"/>
        <w:ind w:left="-61" w:firstLine="514"/>
        <w:rPr>
          <w:rFonts w:ascii="宋体" w:hAnsi="宋体" w:cs="宋体"/>
          <w:sz w:val="24"/>
        </w:rPr>
      </w:pPr>
      <w:r>
        <w:rPr>
          <w:rFonts w:hint="eastAsia" w:ascii="宋体" w:hAnsi="宋体" w:cs="宋体"/>
          <w:b/>
          <w:sz w:val="24"/>
        </w:rPr>
        <w:t>第十二条  调试和验收（本条款适用于甲方自行验收，委托第三方验收的另行规定）</w:t>
      </w:r>
    </w:p>
    <w:p w14:paraId="177B503F">
      <w:pPr>
        <w:pStyle w:val="16"/>
        <w:snapToGrid w:val="0"/>
        <w:spacing w:line="360" w:lineRule="auto"/>
        <w:ind w:firstLine="480" w:firstLineChars="200"/>
        <w:jc w:val="left"/>
        <w:rPr>
          <w:rFonts w:hAnsi="宋体" w:cs="宋体"/>
          <w:sz w:val="24"/>
          <w:szCs w:val="24"/>
        </w:rPr>
      </w:pPr>
      <w:r>
        <w:rPr>
          <w:rFonts w:hint="eastAsia" w:hAnsi="宋体" w:cs="宋体"/>
          <w:sz w:val="24"/>
          <w:szCs w:val="24"/>
        </w:rPr>
        <w:t>1.甲方对乙方提交的货物依据竞争性谈判文件上的技术规格要求和国家有关质量标准进行现场初步验收，外观、说明书符合竞争性谈判文件技术要求的，给予签收，初步验收不合格的不予签收。货到后，甲方应当在到货（安装、调试完）后七个工作日内进行验收。</w:t>
      </w:r>
    </w:p>
    <w:p w14:paraId="69151DFA">
      <w:pPr>
        <w:pStyle w:val="16"/>
        <w:snapToGrid w:val="0"/>
        <w:spacing w:line="360" w:lineRule="auto"/>
        <w:ind w:firstLine="480" w:firstLineChars="200"/>
        <w:rPr>
          <w:rFonts w:hAnsi="宋体" w:cs="宋体"/>
          <w:sz w:val="24"/>
          <w:szCs w:val="24"/>
        </w:rPr>
      </w:pPr>
      <w:r>
        <w:rPr>
          <w:rFonts w:hint="eastAsia" w:hAnsi="宋体" w:cs="宋体"/>
          <w:sz w:val="24"/>
          <w:szCs w:val="24"/>
        </w:rPr>
        <w:t>2.乙方交货前应对产品作出全面检查和对验收文件进行整理，并列出清单，作为甲方收货验收和使用的技术条件依据，检验的结果应随货物交甲方。</w:t>
      </w:r>
    </w:p>
    <w:p w14:paraId="63296940">
      <w:pPr>
        <w:pStyle w:val="16"/>
        <w:snapToGrid w:val="0"/>
        <w:spacing w:line="360" w:lineRule="auto"/>
        <w:ind w:firstLine="480" w:firstLineChars="200"/>
        <w:rPr>
          <w:rFonts w:hAnsi="宋体" w:cs="宋体"/>
          <w:sz w:val="24"/>
          <w:szCs w:val="24"/>
        </w:rPr>
      </w:pPr>
      <w:r>
        <w:rPr>
          <w:rFonts w:hint="eastAsia" w:hAnsi="宋体" w:cs="宋体"/>
          <w:sz w:val="24"/>
          <w:szCs w:val="24"/>
        </w:rPr>
        <w:t>3.甲方对乙方提供的货物在使用前进行调试时，乙方需负责安装并培训甲方的使用操作人员，并协助甲方一起调试，直到符合技术要求，甲方才做最终验收。</w:t>
      </w:r>
    </w:p>
    <w:p w14:paraId="4CDF66BB">
      <w:pPr>
        <w:pStyle w:val="16"/>
        <w:snapToGrid w:val="0"/>
        <w:spacing w:line="360" w:lineRule="auto"/>
        <w:ind w:firstLine="480" w:firstLineChars="200"/>
        <w:rPr>
          <w:rFonts w:hAnsi="宋体" w:cs="宋体"/>
          <w:sz w:val="24"/>
          <w:szCs w:val="24"/>
        </w:rPr>
      </w:pPr>
      <w:r>
        <w:rPr>
          <w:rFonts w:hint="eastAsia" w:hAnsi="宋体" w:cs="宋体"/>
          <w:sz w:val="24"/>
          <w:szCs w:val="24"/>
        </w:rPr>
        <w:t>4.对技术复杂的货物，甲方应请国家认可的专业检测机构参与初步验收及最终验收，并由其出具质量检测报告。</w:t>
      </w:r>
    </w:p>
    <w:p w14:paraId="1F046009">
      <w:pPr>
        <w:snapToGrid w:val="0"/>
        <w:spacing w:line="360" w:lineRule="auto"/>
        <w:ind w:left="-61" w:firstLine="514"/>
        <w:rPr>
          <w:rFonts w:ascii="宋体" w:hAnsi="宋体" w:cs="宋体"/>
          <w:sz w:val="24"/>
        </w:rPr>
      </w:pPr>
      <w:r>
        <w:rPr>
          <w:rFonts w:hint="eastAsia" w:ascii="宋体" w:hAnsi="宋体" w:cs="宋体"/>
          <w:sz w:val="24"/>
        </w:rPr>
        <w:t>5.验收时乙方必须在现场，验收完毕后作出验收结果报告；验收费用按竞争性谈判文件约定承担方负责。</w:t>
      </w:r>
    </w:p>
    <w:p w14:paraId="4E2F449F">
      <w:pPr>
        <w:pStyle w:val="16"/>
        <w:snapToGrid w:val="0"/>
        <w:spacing w:line="360" w:lineRule="auto"/>
        <w:ind w:firstLine="472" w:firstLineChars="196"/>
        <w:rPr>
          <w:rFonts w:hAnsi="宋体" w:cs="宋体"/>
          <w:b/>
          <w:sz w:val="24"/>
          <w:szCs w:val="24"/>
        </w:rPr>
      </w:pPr>
      <w:r>
        <w:rPr>
          <w:rFonts w:hint="eastAsia" w:hAnsi="宋体" w:cs="宋体"/>
          <w:b/>
          <w:sz w:val="24"/>
          <w:szCs w:val="24"/>
        </w:rPr>
        <w:t>第十三条  货物包装、发运及运输</w:t>
      </w:r>
    </w:p>
    <w:p w14:paraId="66060BE6">
      <w:pPr>
        <w:pStyle w:val="16"/>
        <w:snapToGrid w:val="0"/>
        <w:spacing w:line="360" w:lineRule="auto"/>
        <w:ind w:firstLine="480" w:firstLineChars="200"/>
        <w:rPr>
          <w:rFonts w:hAnsi="宋体" w:cs="宋体"/>
          <w:sz w:val="24"/>
          <w:szCs w:val="24"/>
        </w:rPr>
      </w:pPr>
      <w:r>
        <w:rPr>
          <w:rFonts w:hint="eastAsia" w:hAnsi="宋体" w:cs="宋体"/>
          <w:sz w:val="24"/>
          <w:szCs w:val="24"/>
        </w:rPr>
        <w:t>1.乙方应在货物发运前对其进行满足运输距离、防潮、防震、防锈和防破损装卸等要求包装，以保证货物安全运达甲方指定地点。</w:t>
      </w:r>
    </w:p>
    <w:p w14:paraId="455E919F">
      <w:pPr>
        <w:pStyle w:val="16"/>
        <w:snapToGrid w:val="0"/>
        <w:spacing w:line="360" w:lineRule="auto"/>
        <w:ind w:firstLine="480" w:firstLineChars="200"/>
        <w:rPr>
          <w:rFonts w:hAnsi="宋体" w:cs="宋体"/>
          <w:sz w:val="24"/>
          <w:szCs w:val="24"/>
        </w:rPr>
      </w:pPr>
      <w:r>
        <w:rPr>
          <w:rFonts w:hint="eastAsia" w:hAnsi="宋体" w:cs="宋体"/>
          <w:sz w:val="24"/>
          <w:szCs w:val="24"/>
        </w:rPr>
        <w:t>2.使用说明书（货物属于进口产品的，供货时应同时附上中文使用说明书）、质量检验证明书、随配附件和工具以及清单一并附于货物内。</w:t>
      </w:r>
    </w:p>
    <w:p w14:paraId="78846611">
      <w:pPr>
        <w:pStyle w:val="16"/>
        <w:snapToGrid w:val="0"/>
        <w:spacing w:line="360" w:lineRule="auto"/>
        <w:ind w:firstLine="480" w:firstLineChars="200"/>
        <w:rPr>
          <w:rFonts w:hAnsi="宋体" w:cs="宋体"/>
          <w:sz w:val="24"/>
          <w:szCs w:val="24"/>
        </w:rPr>
      </w:pPr>
      <w:r>
        <w:rPr>
          <w:rFonts w:hint="eastAsia" w:hAnsi="宋体" w:cs="宋体"/>
          <w:sz w:val="24"/>
          <w:szCs w:val="24"/>
        </w:rPr>
        <w:t>3.乙方在货物发运手续办理完毕后二十四小时内或者货到甲方四十八小时前通知甲方，以准备接货。</w:t>
      </w:r>
    </w:p>
    <w:p w14:paraId="2A8859EE">
      <w:pPr>
        <w:pStyle w:val="16"/>
        <w:snapToGrid w:val="0"/>
        <w:spacing w:line="360" w:lineRule="auto"/>
        <w:ind w:firstLine="480" w:firstLineChars="200"/>
        <w:rPr>
          <w:rFonts w:hAnsi="宋体" w:cs="宋体"/>
          <w:sz w:val="24"/>
          <w:szCs w:val="24"/>
        </w:rPr>
      </w:pPr>
      <w:r>
        <w:rPr>
          <w:rFonts w:hint="eastAsia" w:hAnsi="宋体" w:cs="宋体"/>
          <w:sz w:val="24"/>
          <w:szCs w:val="24"/>
        </w:rPr>
        <w:t>4.货物在交付甲方前发生的风险均由乙方负责。</w:t>
      </w:r>
    </w:p>
    <w:p w14:paraId="60C01B1D">
      <w:pPr>
        <w:pStyle w:val="16"/>
        <w:snapToGrid w:val="0"/>
        <w:spacing w:line="360" w:lineRule="auto"/>
        <w:ind w:firstLine="480" w:firstLineChars="200"/>
        <w:rPr>
          <w:rFonts w:hAnsi="宋体" w:cs="宋体"/>
          <w:sz w:val="24"/>
          <w:szCs w:val="24"/>
        </w:rPr>
      </w:pPr>
      <w:r>
        <w:rPr>
          <w:rFonts w:hint="eastAsia" w:hAnsi="宋体" w:cs="宋体"/>
          <w:sz w:val="24"/>
          <w:szCs w:val="24"/>
        </w:rPr>
        <w:t>5.货物在规定的交付期限内由乙方送达甲方指定的地点视为交付，乙方同时需通知甲方货物已送达。</w:t>
      </w:r>
    </w:p>
    <w:p w14:paraId="132F137A">
      <w:pPr>
        <w:snapToGrid w:val="0"/>
        <w:spacing w:line="360" w:lineRule="auto"/>
        <w:ind w:firstLine="482" w:firstLineChars="200"/>
        <w:rPr>
          <w:rFonts w:ascii="宋体" w:hAnsi="宋体" w:cs="宋体"/>
          <w:b/>
          <w:sz w:val="24"/>
        </w:rPr>
      </w:pPr>
      <w:r>
        <w:rPr>
          <w:rFonts w:hint="eastAsia" w:ascii="宋体" w:hAnsi="宋体" w:cs="宋体"/>
          <w:b/>
          <w:sz w:val="24"/>
        </w:rPr>
        <w:t>第十四条　违约责任</w:t>
      </w:r>
    </w:p>
    <w:p w14:paraId="66A98CE3">
      <w:pPr>
        <w:pStyle w:val="16"/>
        <w:snapToGrid w:val="0"/>
        <w:spacing w:line="360" w:lineRule="auto"/>
        <w:ind w:firstLine="480" w:firstLineChars="200"/>
        <w:rPr>
          <w:rFonts w:hAnsi="宋体" w:cs="宋体"/>
          <w:sz w:val="24"/>
          <w:szCs w:val="24"/>
        </w:rPr>
      </w:pPr>
      <w:r>
        <w:rPr>
          <w:rFonts w:hint="eastAsia" w:hAnsi="宋体" w:cs="宋体"/>
          <w:sz w:val="24"/>
          <w:szCs w:val="24"/>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14:paraId="36A2C43C">
      <w:pPr>
        <w:pStyle w:val="16"/>
        <w:snapToGrid w:val="0"/>
        <w:spacing w:line="360" w:lineRule="auto"/>
        <w:ind w:firstLine="480" w:firstLineChars="200"/>
        <w:rPr>
          <w:rFonts w:hAnsi="宋体" w:cs="宋体"/>
          <w:sz w:val="24"/>
          <w:szCs w:val="24"/>
        </w:rPr>
      </w:pPr>
      <w:r>
        <w:rPr>
          <w:rFonts w:hint="eastAsia" w:hAnsi="宋体" w:cs="宋体"/>
          <w:sz w:val="24"/>
          <w:szCs w:val="24"/>
        </w:rPr>
        <w:t>2.乙方提供的货物如侵犯了第三方合法权益而引发的任何纠纷或者诉讼，均由乙方负责交涉并承担全部责任。</w:t>
      </w:r>
    </w:p>
    <w:p w14:paraId="6BA73E0E">
      <w:pPr>
        <w:pStyle w:val="16"/>
        <w:snapToGrid w:val="0"/>
        <w:spacing w:line="360" w:lineRule="auto"/>
        <w:ind w:firstLine="480" w:firstLineChars="200"/>
        <w:rPr>
          <w:rFonts w:hAnsi="宋体" w:cs="宋体"/>
          <w:sz w:val="24"/>
          <w:szCs w:val="24"/>
        </w:rPr>
      </w:pPr>
      <w:r>
        <w:rPr>
          <w:rFonts w:hint="eastAsia" w:hAnsi="宋体" w:cs="宋体"/>
          <w:sz w:val="24"/>
          <w:szCs w:val="24"/>
        </w:rPr>
        <w:t>3.因包装、运输引起的货物损坏，按质量不合格处罚。</w:t>
      </w:r>
    </w:p>
    <w:p w14:paraId="077025FA">
      <w:pPr>
        <w:pStyle w:val="16"/>
        <w:snapToGrid w:val="0"/>
        <w:spacing w:line="360" w:lineRule="auto"/>
        <w:ind w:firstLine="480" w:firstLineChars="200"/>
        <w:rPr>
          <w:rFonts w:hAnsi="宋体" w:cs="宋体"/>
          <w:sz w:val="24"/>
          <w:szCs w:val="24"/>
        </w:rPr>
      </w:pPr>
      <w:r>
        <w:rPr>
          <w:rFonts w:hint="eastAsia" w:hAnsi="宋体" w:cs="宋体"/>
          <w:sz w:val="24"/>
          <w:szCs w:val="24"/>
        </w:rPr>
        <w:t>4.甲方无故延期接收货物、乙方逾期交货的，每天向对方偿付违约货款额3‰违约金，但违约金累计不得超过违约货款额5%，超过天对方有权解除合同，违约方承担因此给对方造成经济损失；甲方延期付货款的，每天向乙方偿付延期货款额3‰滞纳金，但滞纳金累计不得超过延期货款额5%。</w:t>
      </w:r>
    </w:p>
    <w:p w14:paraId="18C7CDDA">
      <w:pPr>
        <w:pStyle w:val="16"/>
        <w:snapToGrid w:val="0"/>
        <w:spacing w:line="360" w:lineRule="auto"/>
        <w:ind w:firstLine="480" w:firstLineChars="200"/>
        <w:rPr>
          <w:rFonts w:hAnsi="宋体" w:cs="宋体"/>
          <w:sz w:val="24"/>
          <w:szCs w:val="24"/>
        </w:rPr>
      </w:pPr>
      <w:r>
        <w:rPr>
          <w:rFonts w:hint="eastAsia" w:hAnsi="宋体" w:cs="宋体"/>
          <w:sz w:val="24"/>
          <w:szCs w:val="24"/>
        </w:rPr>
        <w:t>5.乙方未按本合同和响应文件中规定的服务承诺提供售后服务的，乙方应按本合同总金额 5%向甲方支付违约金。</w:t>
      </w:r>
    </w:p>
    <w:p w14:paraId="51ABD99F">
      <w:pPr>
        <w:pStyle w:val="16"/>
        <w:snapToGrid w:val="0"/>
        <w:spacing w:line="360" w:lineRule="auto"/>
        <w:ind w:firstLine="480" w:firstLineChars="200"/>
        <w:rPr>
          <w:rFonts w:hAnsi="宋体" w:cs="宋体"/>
          <w:sz w:val="24"/>
          <w:szCs w:val="24"/>
        </w:rPr>
      </w:pPr>
      <w:r>
        <w:rPr>
          <w:rFonts w:hint="eastAsia" w:hAnsi="宋体" w:cs="宋体"/>
          <w:sz w:val="24"/>
          <w:szCs w:val="24"/>
        </w:rPr>
        <w:t>6.乙方提供的货物在质量保证期内，因设计、工艺或者材料的缺陷和其他质量原因造成的问题，由乙方负责，费用从余款中扣除，不足另补。</w:t>
      </w:r>
    </w:p>
    <w:p w14:paraId="3EEFC9A0">
      <w:pPr>
        <w:pStyle w:val="16"/>
        <w:snapToGrid w:val="0"/>
        <w:spacing w:line="360" w:lineRule="auto"/>
        <w:ind w:firstLine="480" w:firstLineChars="200"/>
        <w:rPr>
          <w:rFonts w:hAnsi="宋体" w:cs="宋体"/>
          <w:sz w:val="24"/>
          <w:szCs w:val="24"/>
        </w:rPr>
      </w:pPr>
      <w:r>
        <w:rPr>
          <w:rFonts w:hint="eastAsia" w:hAnsi="宋体" w:cs="宋体"/>
          <w:sz w:val="24"/>
          <w:szCs w:val="24"/>
        </w:rPr>
        <w:t>7.甲乙双方有其他违约行为的，由违约方向对方支付违约内容涉及货款额的5%，违约内容涉及货款额的5%不足以赔偿经济损失的按实际赔偿。</w:t>
      </w:r>
    </w:p>
    <w:p w14:paraId="4C048F85">
      <w:pPr>
        <w:pStyle w:val="16"/>
        <w:snapToGrid w:val="0"/>
        <w:spacing w:line="360" w:lineRule="auto"/>
        <w:ind w:firstLine="472" w:firstLineChars="196"/>
        <w:rPr>
          <w:rFonts w:hAnsi="宋体" w:cs="宋体"/>
          <w:b/>
          <w:sz w:val="24"/>
          <w:szCs w:val="24"/>
        </w:rPr>
      </w:pPr>
      <w:r>
        <w:rPr>
          <w:rFonts w:hint="eastAsia" w:hAnsi="宋体" w:cs="宋体"/>
          <w:b/>
          <w:sz w:val="24"/>
          <w:szCs w:val="24"/>
        </w:rPr>
        <w:t>第十五条  不可抗力事件处理</w:t>
      </w:r>
    </w:p>
    <w:p w14:paraId="12D9F010">
      <w:pPr>
        <w:pStyle w:val="16"/>
        <w:snapToGrid w:val="0"/>
        <w:spacing w:line="360" w:lineRule="auto"/>
        <w:ind w:firstLine="480" w:firstLineChars="200"/>
        <w:rPr>
          <w:rFonts w:hAnsi="宋体" w:cs="宋体"/>
          <w:sz w:val="24"/>
          <w:szCs w:val="24"/>
        </w:rPr>
      </w:pPr>
      <w:r>
        <w:rPr>
          <w:rFonts w:hint="eastAsia" w:hAnsi="宋体" w:cs="宋体"/>
          <w:sz w:val="24"/>
          <w:szCs w:val="24"/>
        </w:rPr>
        <w:t>1.在合同有效期内，任何一方因不可抗力事件导致不能履行合同，则合同履行期可延长，其延长期与不可抗力影响期相同。</w:t>
      </w:r>
    </w:p>
    <w:p w14:paraId="030D2F1C">
      <w:pPr>
        <w:pStyle w:val="16"/>
        <w:snapToGrid w:val="0"/>
        <w:spacing w:line="360" w:lineRule="auto"/>
        <w:ind w:firstLine="480" w:firstLineChars="200"/>
        <w:rPr>
          <w:rFonts w:hAnsi="宋体" w:cs="宋体"/>
          <w:sz w:val="24"/>
          <w:szCs w:val="24"/>
        </w:rPr>
      </w:pPr>
      <w:r>
        <w:rPr>
          <w:rFonts w:hint="eastAsia" w:hAnsi="宋体" w:cs="宋体"/>
          <w:sz w:val="24"/>
          <w:szCs w:val="24"/>
        </w:rPr>
        <w:t>2.不可抗力事件发生后，应立即通知对方，并寄送有关权威机构出具的证明。</w:t>
      </w:r>
    </w:p>
    <w:p w14:paraId="229B51C7">
      <w:pPr>
        <w:snapToGrid w:val="0"/>
        <w:spacing w:line="360" w:lineRule="auto"/>
        <w:ind w:firstLine="480" w:firstLineChars="200"/>
        <w:rPr>
          <w:rFonts w:ascii="宋体" w:hAnsi="宋体" w:cs="宋体"/>
          <w:sz w:val="24"/>
        </w:rPr>
      </w:pPr>
      <w:r>
        <w:rPr>
          <w:rFonts w:hint="eastAsia" w:ascii="宋体" w:hAnsi="宋体" w:cs="宋体"/>
          <w:sz w:val="24"/>
        </w:rPr>
        <w:t>3.不可抗力事件延续一百二十天以上，双方应通过友好协商，确定是否继续履行合同。</w:t>
      </w:r>
    </w:p>
    <w:p w14:paraId="73E7E543">
      <w:pPr>
        <w:snapToGrid w:val="0"/>
        <w:spacing w:line="360" w:lineRule="auto"/>
        <w:ind w:firstLine="482" w:firstLineChars="200"/>
        <w:rPr>
          <w:rFonts w:ascii="宋体" w:hAnsi="宋体" w:cs="宋体"/>
          <w:sz w:val="24"/>
        </w:rPr>
      </w:pPr>
      <w:r>
        <w:rPr>
          <w:rFonts w:hint="eastAsia" w:ascii="宋体" w:hAnsi="宋体" w:cs="宋体"/>
          <w:b/>
          <w:sz w:val="24"/>
        </w:rPr>
        <w:t>第十六条  合同争议解决</w:t>
      </w:r>
    </w:p>
    <w:p w14:paraId="2771202D">
      <w:pPr>
        <w:snapToGrid w:val="0"/>
        <w:spacing w:line="360" w:lineRule="auto"/>
        <w:ind w:firstLine="480" w:firstLineChars="200"/>
        <w:rPr>
          <w:rFonts w:ascii="宋体" w:hAnsi="宋体" w:cs="宋体"/>
          <w:sz w:val="24"/>
        </w:rPr>
      </w:pPr>
      <w:r>
        <w:rPr>
          <w:rFonts w:hint="eastAsia" w:ascii="宋体" w:hAnsi="宋体" w:cs="宋体"/>
          <w:sz w:val="24"/>
        </w:rPr>
        <w:t>1.因货物质量问题发生争议的，应邀请国家认可的质量检测机构对货物质量进行鉴定。货物符合标准的，鉴定费由甲方承担；货物不符合标准的，鉴定费由乙方承担。</w:t>
      </w:r>
    </w:p>
    <w:p w14:paraId="6053EF07">
      <w:pPr>
        <w:snapToGrid w:val="0"/>
        <w:spacing w:line="360" w:lineRule="auto"/>
        <w:ind w:firstLine="480" w:firstLineChars="200"/>
        <w:rPr>
          <w:rFonts w:ascii="宋体" w:hAnsi="宋体" w:cs="宋体"/>
          <w:sz w:val="24"/>
        </w:rPr>
      </w:pPr>
      <w:r>
        <w:rPr>
          <w:rFonts w:hint="eastAsia" w:ascii="宋体" w:hAnsi="宋体" w:cs="宋体"/>
          <w:sz w:val="24"/>
        </w:rPr>
        <w:t>2.因履行本合同引起的或者与本合同有关的争议，甲乙双方应首先通过友好协商解决，如果协商不能解决，可向甲方所在地人民法院提起诉讼。</w:t>
      </w:r>
    </w:p>
    <w:p w14:paraId="13790FFA">
      <w:pPr>
        <w:snapToGrid w:val="0"/>
        <w:spacing w:line="360" w:lineRule="auto"/>
        <w:ind w:left="-61" w:firstLine="514"/>
        <w:rPr>
          <w:rFonts w:ascii="宋体" w:hAnsi="宋体" w:cs="宋体"/>
          <w:sz w:val="24"/>
        </w:rPr>
      </w:pPr>
      <w:r>
        <w:rPr>
          <w:rFonts w:hint="eastAsia" w:ascii="宋体" w:hAnsi="宋体" w:cs="宋体"/>
          <w:sz w:val="24"/>
        </w:rPr>
        <w:t>3.诉讼期间，本合同继续履行。</w:t>
      </w:r>
    </w:p>
    <w:p w14:paraId="45456D33">
      <w:pPr>
        <w:pStyle w:val="16"/>
        <w:snapToGrid w:val="0"/>
        <w:spacing w:line="360" w:lineRule="auto"/>
        <w:ind w:firstLine="472" w:firstLineChars="196"/>
        <w:rPr>
          <w:rFonts w:hAnsi="宋体" w:cs="宋体"/>
          <w:b/>
          <w:sz w:val="24"/>
          <w:szCs w:val="24"/>
        </w:rPr>
      </w:pPr>
      <w:r>
        <w:rPr>
          <w:rFonts w:hint="eastAsia" w:hAnsi="宋体" w:cs="宋体"/>
          <w:b/>
          <w:sz w:val="24"/>
          <w:szCs w:val="24"/>
        </w:rPr>
        <w:t>第十七条  合同生效及其它</w:t>
      </w:r>
    </w:p>
    <w:p w14:paraId="309EDC00">
      <w:pPr>
        <w:pStyle w:val="16"/>
        <w:snapToGrid w:val="0"/>
        <w:spacing w:line="360" w:lineRule="auto"/>
        <w:ind w:firstLine="482" w:firstLineChars="200"/>
        <w:rPr>
          <w:rFonts w:hAnsi="宋体" w:cs="宋体"/>
          <w:b/>
          <w:sz w:val="24"/>
          <w:szCs w:val="24"/>
        </w:rPr>
      </w:pPr>
      <w:r>
        <w:rPr>
          <w:rFonts w:hint="eastAsia" w:hAnsi="宋体" w:cs="宋体"/>
          <w:b/>
          <w:sz w:val="24"/>
          <w:szCs w:val="24"/>
        </w:rPr>
        <w:t>1. 合同经双方法定代表人或者委托代理人签字并加盖单位公章后生效（委托代理人签字的需后附授权委托书，格式自拟）。</w:t>
      </w:r>
    </w:p>
    <w:p w14:paraId="25BD1E2E">
      <w:pPr>
        <w:pStyle w:val="16"/>
        <w:snapToGrid w:val="0"/>
        <w:spacing w:line="360" w:lineRule="auto"/>
        <w:ind w:firstLine="482" w:firstLineChars="200"/>
        <w:rPr>
          <w:rFonts w:hAnsi="宋体" w:cs="宋体"/>
          <w:b/>
          <w:sz w:val="24"/>
          <w:szCs w:val="24"/>
        </w:rPr>
      </w:pPr>
      <w:r>
        <w:rPr>
          <w:rFonts w:hint="eastAsia" w:hAnsi="宋体" w:cs="宋体"/>
          <w:b/>
          <w:sz w:val="24"/>
          <w:szCs w:val="24"/>
        </w:rPr>
        <w:t>2.合同执行中涉及采购资金和采购内容修改或者补充的，须经财政部门审批，并签书面补充协议报财政部门备案，方可作为主合同不可分割的一部分。</w:t>
      </w:r>
    </w:p>
    <w:p w14:paraId="4A80BBF2">
      <w:pPr>
        <w:pStyle w:val="16"/>
        <w:snapToGrid w:val="0"/>
        <w:spacing w:line="360" w:lineRule="auto"/>
        <w:ind w:left="283" w:leftChars="135" w:firstLine="143"/>
        <w:rPr>
          <w:rFonts w:hAnsi="宋体" w:cs="宋体"/>
          <w:b/>
          <w:sz w:val="24"/>
          <w:szCs w:val="24"/>
        </w:rPr>
      </w:pPr>
      <w:r>
        <w:rPr>
          <w:rFonts w:hint="eastAsia" w:hAnsi="宋体" w:cs="宋体"/>
          <w:b/>
          <w:sz w:val="24"/>
          <w:szCs w:val="24"/>
        </w:rPr>
        <w:t>3.本合同未尽事宜，遵照《中华人民共和国民法典》有关条文执行。</w:t>
      </w:r>
    </w:p>
    <w:p w14:paraId="5DE5EDA4">
      <w:pPr>
        <w:snapToGrid w:val="0"/>
        <w:spacing w:line="360" w:lineRule="auto"/>
        <w:ind w:firstLine="482" w:firstLineChars="200"/>
        <w:rPr>
          <w:rFonts w:ascii="宋体" w:hAnsi="宋体" w:cs="宋体"/>
          <w:b/>
          <w:sz w:val="24"/>
        </w:rPr>
      </w:pPr>
      <w:r>
        <w:rPr>
          <w:rFonts w:hint="eastAsia" w:ascii="宋体" w:hAnsi="宋体" w:cs="宋体"/>
          <w:b/>
          <w:sz w:val="24"/>
        </w:rPr>
        <w:t>第十八条　合同的变更、终止与转让</w:t>
      </w:r>
    </w:p>
    <w:p w14:paraId="7CC000A1">
      <w:pPr>
        <w:snapToGrid w:val="0"/>
        <w:spacing w:line="360" w:lineRule="auto"/>
        <w:ind w:firstLine="480" w:firstLineChars="200"/>
        <w:rPr>
          <w:rFonts w:ascii="宋体" w:hAnsi="宋体" w:cs="宋体"/>
          <w:sz w:val="24"/>
        </w:rPr>
      </w:pPr>
      <w:r>
        <w:rPr>
          <w:rFonts w:hint="eastAsia" w:ascii="宋体" w:hAnsi="宋体" w:cs="宋体"/>
          <w:sz w:val="24"/>
        </w:rPr>
        <w:t>1.除《中华人民共和国政府采购法》第五十条规定的情形外，本合同一经签订，甲乙双方不得擅自变更、中止或者终止。</w:t>
      </w:r>
    </w:p>
    <w:p w14:paraId="5635C1FA">
      <w:pPr>
        <w:snapToGrid w:val="0"/>
        <w:spacing w:line="360" w:lineRule="auto"/>
        <w:ind w:left="-61" w:firstLine="514"/>
        <w:rPr>
          <w:rFonts w:ascii="宋体" w:hAnsi="宋体" w:cs="宋体"/>
          <w:sz w:val="24"/>
        </w:rPr>
      </w:pPr>
      <w:r>
        <w:rPr>
          <w:rFonts w:hint="eastAsia" w:ascii="宋体" w:hAnsi="宋体" w:cs="宋体"/>
          <w:sz w:val="24"/>
        </w:rPr>
        <w:t>2.乙方不得擅自转让（无进口资格的供应商委托进口货物除外）其应履行的合同义务。</w:t>
      </w:r>
    </w:p>
    <w:p w14:paraId="17BBCA9C">
      <w:pPr>
        <w:snapToGrid w:val="0"/>
        <w:spacing w:line="360" w:lineRule="auto"/>
        <w:ind w:firstLine="482" w:firstLineChars="200"/>
        <w:rPr>
          <w:rFonts w:ascii="宋体" w:hAnsi="宋体" w:cs="宋体"/>
          <w:b/>
          <w:sz w:val="24"/>
        </w:rPr>
      </w:pPr>
      <w:r>
        <w:rPr>
          <w:rFonts w:hint="eastAsia" w:ascii="宋体" w:hAnsi="宋体" w:cs="宋体"/>
          <w:b/>
          <w:sz w:val="24"/>
        </w:rPr>
        <w:t>第十九条　</w:t>
      </w:r>
      <w:r>
        <w:rPr>
          <w:rFonts w:hint="eastAsia" w:ascii="宋体" w:hAnsi="宋体" w:cs="宋体"/>
          <w:b/>
          <w:bCs/>
          <w:kern w:val="0"/>
          <w:sz w:val="24"/>
        </w:rPr>
        <w:t>本合同书与下列文件一起构成合同文件</w:t>
      </w:r>
    </w:p>
    <w:p w14:paraId="0FE91228">
      <w:pPr>
        <w:pStyle w:val="16"/>
        <w:snapToGrid w:val="0"/>
        <w:spacing w:line="360" w:lineRule="auto"/>
        <w:ind w:left="420" w:leftChars="200"/>
        <w:rPr>
          <w:rFonts w:hAnsi="宋体" w:cs="宋体"/>
          <w:sz w:val="24"/>
          <w:szCs w:val="24"/>
        </w:rPr>
      </w:pPr>
      <w:r>
        <w:rPr>
          <w:rFonts w:hint="eastAsia" w:hAnsi="宋体" w:cs="宋体"/>
          <w:sz w:val="24"/>
          <w:szCs w:val="24"/>
        </w:rPr>
        <w:t>1.成交通知书；</w:t>
      </w:r>
    </w:p>
    <w:p w14:paraId="2FAA4229">
      <w:pPr>
        <w:pStyle w:val="16"/>
        <w:snapToGrid w:val="0"/>
        <w:spacing w:line="360" w:lineRule="auto"/>
        <w:ind w:left="420" w:leftChars="200"/>
        <w:rPr>
          <w:rFonts w:hAnsi="宋体" w:cs="宋体"/>
          <w:sz w:val="24"/>
          <w:szCs w:val="24"/>
        </w:rPr>
      </w:pPr>
      <w:r>
        <w:rPr>
          <w:rFonts w:hint="eastAsia" w:hAnsi="宋体" w:cs="宋体"/>
          <w:sz w:val="24"/>
          <w:szCs w:val="24"/>
        </w:rPr>
        <w:t>2.竞标声明书；</w:t>
      </w:r>
    </w:p>
    <w:p w14:paraId="5C2F544C">
      <w:pPr>
        <w:pStyle w:val="16"/>
        <w:snapToGrid w:val="0"/>
        <w:spacing w:line="360" w:lineRule="auto"/>
        <w:ind w:left="420" w:leftChars="200"/>
        <w:rPr>
          <w:rFonts w:hAnsi="宋体" w:cs="宋体"/>
          <w:sz w:val="24"/>
          <w:szCs w:val="24"/>
        </w:rPr>
      </w:pPr>
      <w:r>
        <w:rPr>
          <w:rFonts w:hint="eastAsia" w:hAnsi="宋体" w:cs="宋体"/>
          <w:sz w:val="24"/>
          <w:szCs w:val="24"/>
        </w:rPr>
        <w:t>3.商务要求偏离表和技术要求偏离表；</w:t>
      </w:r>
    </w:p>
    <w:p w14:paraId="4F727EFA">
      <w:pPr>
        <w:pStyle w:val="16"/>
        <w:snapToGrid w:val="0"/>
        <w:spacing w:line="360" w:lineRule="auto"/>
        <w:ind w:left="420" w:leftChars="200"/>
        <w:rPr>
          <w:rFonts w:hAnsi="宋体" w:cs="宋体"/>
          <w:sz w:val="24"/>
          <w:szCs w:val="24"/>
        </w:rPr>
      </w:pPr>
      <w:r>
        <w:rPr>
          <w:rFonts w:hint="eastAsia" w:hAnsi="宋体" w:cs="宋体"/>
          <w:sz w:val="24"/>
          <w:szCs w:val="24"/>
        </w:rPr>
        <w:t>4.采购需求；</w:t>
      </w:r>
    </w:p>
    <w:p w14:paraId="58A5F6CF">
      <w:pPr>
        <w:pStyle w:val="16"/>
        <w:snapToGrid w:val="0"/>
        <w:spacing w:line="360" w:lineRule="auto"/>
        <w:ind w:left="420" w:leftChars="200"/>
        <w:rPr>
          <w:rFonts w:hAnsi="宋体" w:cs="宋体"/>
          <w:sz w:val="24"/>
          <w:szCs w:val="24"/>
        </w:rPr>
      </w:pPr>
      <w:r>
        <w:rPr>
          <w:rFonts w:hint="eastAsia" w:hAnsi="宋体" w:cs="宋体"/>
          <w:sz w:val="24"/>
          <w:szCs w:val="24"/>
        </w:rPr>
        <w:t>5.竞标报价表；</w:t>
      </w:r>
    </w:p>
    <w:p w14:paraId="77DAB994">
      <w:pPr>
        <w:pStyle w:val="16"/>
        <w:snapToGrid w:val="0"/>
        <w:spacing w:line="360" w:lineRule="auto"/>
        <w:ind w:left="420" w:leftChars="200"/>
        <w:rPr>
          <w:rFonts w:hAnsi="宋体" w:cs="宋体"/>
          <w:sz w:val="24"/>
          <w:szCs w:val="24"/>
        </w:rPr>
      </w:pPr>
      <w:r>
        <w:rPr>
          <w:rFonts w:hint="eastAsia" w:hAnsi="宋体" w:cs="宋体"/>
          <w:sz w:val="24"/>
          <w:szCs w:val="24"/>
        </w:rPr>
        <w:t>6.其他合同文件。</w:t>
      </w:r>
    </w:p>
    <w:p w14:paraId="37E11A46">
      <w:pPr>
        <w:pStyle w:val="16"/>
        <w:snapToGrid w:val="0"/>
        <w:spacing w:line="360" w:lineRule="auto"/>
        <w:ind w:firstLine="424" w:firstLineChars="177"/>
        <w:rPr>
          <w:rFonts w:hAnsi="宋体" w:cs="宋体"/>
          <w:b/>
          <w:sz w:val="24"/>
          <w:szCs w:val="24"/>
        </w:rPr>
      </w:pPr>
      <w:r>
        <w:rPr>
          <w:rFonts w:hint="eastAsia" w:hAnsi="宋体" w:cs="宋体"/>
          <w:sz w:val="24"/>
          <w:szCs w:val="24"/>
        </w:rPr>
        <w:t>7.上述合同文件互相补充和解释。如果合同文件之间存在矛盾或者不一致之处，以上述文件的排列顺序在先者为准。</w:t>
      </w:r>
    </w:p>
    <w:p w14:paraId="36AC3FF1">
      <w:pPr>
        <w:snapToGrid w:val="0"/>
        <w:spacing w:line="360" w:lineRule="auto"/>
        <w:ind w:firstLine="482" w:firstLineChars="200"/>
        <w:rPr>
          <w:rFonts w:ascii="宋体" w:hAnsi="宋体"/>
          <w:sz w:val="24"/>
        </w:rPr>
      </w:pPr>
      <w:r>
        <w:rPr>
          <w:rFonts w:hint="eastAsia" w:ascii="宋体" w:hAnsi="宋体" w:cs="宋体"/>
          <w:b/>
          <w:sz w:val="24"/>
        </w:rPr>
        <w:t>第二十条　</w:t>
      </w:r>
      <w:r>
        <w:rPr>
          <w:rFonts w:hint="eastAsia" w:ascii="宋体" w:hAnsi="宋体"/>
          <w:sz w:val="24"/>
        </w:rPr>
        <w:t>本合同一式伍份，具有同等法律效力，采购代理机构壹份，甲乙双方各两份（可根据需要另增加）。</w:t>
      </w:r>
    </w:p>
    <w:p w14:paraId="5BAF9FD8">
      <w:pPr>
        <w:spacing w:line="360" w:lineRule="auto"/>
        <w:ind w:firstLine="480" w:firstLineChars="200"/>
        <w:rPr>
          <w:rFonts w:ascii="宋体" w:hAnsi="宋体" w:cs="宋体"/>
          <w:sz w:val="24"/>
        </w:rPr>
      </w:pPr>
      <w:r>
        <w:rPr>
          <w:rFonts w:hint="eastAsia" w:ascii="宋体" w:hAnsi="宋体" w:cs="宋体"/>
          <w:sz w:val="24"/>
        </w:rPr>
        <w:t>本合同自签订之日起2个工作日内，甲方应当将采购合同在广西壮族自治区财政厅指定的媒体上公告。</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40"/>
      </w:tblGrid>
      <w:tr w14:paraId="4959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4" w:hRule="atLeast"/>
          <w:jc w:val="center"/>
        </w:trPr>
        <w:tc>
          <w:tcPr>
            <w:tcW w:w="4539" w:type="dxa"/>
            <w:vAlign w:val="center"/>
          </w:tcPr>
          <w:p w14:paraId="7265648F">
            <w:pPr>
              <w:snapToGrid w:val="0"/>
              <w:spacing w:line="360" w:lineRule="auto"/>
              <w:rPr>
                <w:rFonts w:ascii="宋体" w:hAnsi="宋体"/>
                <w:sz w:val="24"/>
              </w:rPr>
            </w:pPr>
            <w:r>
              <w:rPr>
                <w:rFonts w:hint="eastAsia" w:ascii="宋体" w:hAnsi="宋体"/>
                <w:sz w:val="24"/>
              </w:rPr>
              <w:t xml:space="preserve">甲方（章）           </w:t>
            </w:r>
          </w:p>
          <w:p w14:paraId="08AB33B9">
            <w:pPr>
              <w:snapToGrid w:val="0"/>
              <w:spacing w:line="360" w:lineRule="auto"/>
              <w:rPr>
                <w:rFonts w:ascii="宋体" w:hAnsi="宋体"/>
                <w:sz w:val="24"/>
              </w:rPr>
            </w:pPr>
          </w:p>
          <w:p w14:paraId="77420711">
            <w:pPr>
              <w:snapToGrid w:val="0"/>
              <w:spacing w:line="360" w:lineRule="auto"/>
              <w:ind w:firstLine="1080" w:firstLineChars="450"/>
              <w:jc w:val="right"/>
              <w:rPr>
                <w:rFonts w:ascii="宋体" w:hAnsi="宋体"/>
                <w:sz w:val="24"/>
              </w:rPr>
            </w:pPr>
            <w:r>
              <w:rPr>
                <w:rFonts w:hint="eastAsia" w:ascii="宋体" w:hAnsi="宋体"/>
                <w:sz w:val="24"/>
              </w:rPr>
              <w:t>年   月   日</w:t>
            </w:r>
          </w:p>
        </w:tc>
        <w:tc>
          <w:tcPr>
            <w:tcW w:w="4540" w:type="dxa"/>
            <w:vAlign w:val="center"/>
          </w:tcPr>
          <w:p w14:paraId="6EB2D965">
            <w:pPr>
              <w:snapToGrid w:val="0"/>
              <w:spacing w:line="360" w:lineRule="auto"/>
              <w:rPr>
                <w:rFonts w:ascii="宋体" w:hAnsi="宋体"/>
                <w:sz w:val="24"/>
              </w:rPr>
            </w:pPr>
            <w:r>
              <w:rPr>
                <w:rFonts w:hint="eastAsia" w:ascii="宋体" w:hAnsi="宋体"/>
                <w:sz w:val="24"/>
              </w:rPr>
              <w:t xml:space="preserve">乙方（章）              </w:t>
            </w:r>
          </w:p>
          <w:p w14:paraId="321D545F">
            <w:pPr>
              <w:snapToGrid w:val="0"/>
              <w:spacing w:line="360" w:lineRule="auto"/>
              <w:rPr>
                <w:rFonts w:ascii="宋体" w:hAnsi="宋体"/>
                <w:sz w:val="24"/>
              </w:rPr>
            </w:pPr>
          </w:p>
          <w:p w14:paraId="53B3F54D">
            <w:pPr>
              <w:snapToGrid w:val="0"/>
              <w:spacing w:line="360" w:lineRule="auto"/>
              <w:jc w:val="right"/>
              <w:rPr>
                <w:rFonts w:ascii="宋体" w:hAnsi="宋体"/>
                <w:sz w:val="24"/>
              </w:rPr>
            </w:pPr>
            <w:r>
              <w:rPr>
                <w:rFonts w:hint="eastAsia" w:ascii="宋体" w:hAnsi="宋体"/>
                <w:sz w:val="24"/>
              </w:rPr>
              <w:t xml:space="preserve"> 年   月   日</w:t>
            </w:r>
          </w:p>
        </w:tc>
      </w:tr>
      <w:tr w14:paraId="51E82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4539" w:type="dxa"/>
            <w:vAlign w:val="center"/>
          </w:tcPr>
          <w:p w14:paraId="15DFFF79">
            <w:pPr>
              <w:snapToGrid w:val="0"/>
              <w:spacing w:line="360" w:lineRule="auto"/>
              <w:rPr>
                <w:rFonts w:ascii="宋体" w:hAnsi="宋体"/>
                <w:sz w:val="24"/>
              </w:rPr>
            </w:pPr>
            <w:r>
              <w:rPr>
                <w:rFonts w:hint="eastAsia" w:ascii="宋体" w:hAnsi="宋体"/>
                <w:sz w:val="24"/>
              </w:rPr>
              <w:t>单位地址：</w:t>
            </w:r>
          </w:p>
        </w:tc>
        <w:tc>
          <w:tcPr>
            <w:tcW w:w="4540" w:type="dxa"/>
            <w:vAlign w:val="center"/>
          </w:tcPr>
          <w:p w14:paraId="7270E20A">
            <w:pPr>
              <w:snapToGrid w:val="0"/>
              <w:spacing w:line="360" w:lineRule="auto"/>
              <w:rPr>
                <w:rFonts w:ascii="宋体" w:hAnsi="宋体"/>
                <w:sz w:val="24"/>
              </w:rPr>
            </w:pPr>
            <w:r>
              <w:rPr>
                <w:rFonts w:hint="eastAsia" w:ascii="宋体" w:hAnsi="宋体"/>
                <w:sz w:val="24"/>
              </w:rPr>
              <w:t>单位地址：</w:t>
            </w:r>
          </w:p>
        </w:tc>
      </w:tr>
      <w:tr w14:paraId="7BD5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4539" w:type="dxa"/>
          </w:tcPr>
          <w:p w14:paraId="0E0ABC9A">
            <w:pPr>
              <w:snapToGrid w:val="0"/>
              <w:spacing w:line="360" w:lineRule="auto"/>
              <w:rPr>
                <w:rFonts w:ascii="宋体" w:hAnsi="宋体"/>
                <w:sz w:val="24"/>
              </w:rPr>
            </w:pPr>
            <w:r>
              <w:rPr>
                <w:rFonts w:hint="eastAsia" w:ascii="宋体" w:hAnsi="宋体"/>
                <w:sz w:val="24"/>
              </w:rPr>
              <w:t>法定代表人或者委托代理人：</w:t>
            </w:r>
          </w:p>
        </w:tc>
        <w:tc>
          <w:tcPr>
            <w:tcW w:w="4540" w:type="dxa"/>
          </w:tcPr>
          <w:p w14:paraId="16A64D64">
            <w:pPr>
              <w:snapToGrid w:val="0"/>
              <w:spacing w:line="360" w:lineRule="auto"/>
              <w:rPr>
                <w:rFonts w:ascii="宋体" w:hAnsi="宋体"/>
                <w:sz w:val="24"/>
              </w:rPr>
            </w:pPr>
            <w:r>
              <w:rPr>
                <w:rFonts w:hint="eastAsia" w:ascii="宋体" w:hAnsi="宋体"/>
                <w:sz w:val="24"/>
              </w:rPr>
              <w:t>法定代表人或者委托代理人：</w:t>
            </w:r>
          </w:p>
        </w:tc>
      </w:tr>
      <w:tr w14:paraId="1790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4539" w:type="dxa"/>
            <w:vAlign w:val="center"/>
          </w:tcPr>
          <w:p w14:paraId="6650F466">
            <w:pPr>
              <w:snapToGrid w:val="0"/>
              <w:spacing w:line="360" w:lineRule="auto"/>
              <w:rPr>
                <w:rFonts w:ascii="宋体" w:hAnsi="宋体"/>
                <w:sz w:val="24"/>
              </w:rPr>
            </w:pPr>
            <w:r>
              <w:rPr>
                <w:rFonts w:hint="eastAsia" w:ascii="宋体" w:hAnsi="宋体"/>
                <w:sz w:val="24"/>
              </w:rPr>
              <w:t>电话：</w:t>
            </w:r>
          </w:p>
        </w:tc>
        <w:tc>
          <w:tcPr>
            <w:tcW w:w="4540" w:type="dxa"/>
            <w:vAlign w:val="center"/>
          </w:tcPr>
          <w:p w14:paraId="4E3C15D5">
            <w:pPr>
              <w:snapToGrid w:val="0"/>
              <w:spacing w:line="360" w:lineRule="auto"/>
              <w:rPr>
                <w:rFonts w:ascii="宋体" w:hAnsi="宋体"/>
                <w:sz w:val="24"/>
              </w:rPr>
            </w:pPr>
            <w:r>
              <w:rPr>
                <w:rFonts w:hint="eastAsia" w:ascii="宋体" w:hAnsi="宋体"/>
                <w:sz w:val="24"/>
              </w:rPr>
              <w:t>电话：</w:t>
            </w:r>
          </w:p>
        </w:tc>
      </w:tr>
      <w:tr w14:paraId="3AB5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4539" w:type="dxa"/>
            <w:vAlign w:val="center"/>
          </w:tcPr>
          <w:p w14:paraId="7D3C5EF7">
            <w:pPr>
              <w:snapToGrid w:val="0"/>
              <w:spacing w:line="360" w:lineRule="auto"/>
              <w:rPr>
                <w:rFonts w:ascii="宋体" w:hAnsi="宋体"/>
                <w:sz w:val="24"/>
              </w:rPr>
            </w:pPr>
            <w:r>
              <w:rPr>
                <w:rFonts w:hint="eastAsia" w:ascii="宋体" w:hAnsi="宋体"/>
                <w:sz w:val="24"/>
              </w:rPr>
              <w:t>电子邮箱：</w:t>
            </w:r>
          </w:p>
        </w:tc>
        <w:tc>
          <w:tcPr>
            <w:tcW w:w="4540" w:type="dxa"/>
            <w:vAlign w:val="center"/>
          </w:tcPr>
          <w:p w14:paraId="1FEAE79F">
            <w:pPr>
              <w:snapToGrid w:val="0"/>
              <w:spacing w:line="360" w:lineRule="auto"/>
              <w:rPr>
                <w:rFonts w:ascii="宋体" w:hAnsi="宋体"/>
                <w:sz w:val="24"/>
              </w:rPr>
            </w:pPr>
            <w:r>
              <w:rPr>
                <w:rFonts w:hint="eastAsia" w:ascii="宋体" w:hAnsi="宋体"/>
                <w:sz w:val="24"/>
              </w:rPr>
              <w:t>电子邮箱：</w:t>
            </w:r>
          </w:p>
        </w:tc>
      </w:tr>
      <w:tr w14:paraId="419A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4539" w:type="dxa"/>
            <w:vAlign w:val="center"/>
          </w:tcPr>
          <w:p w14:paraId="2CFCDE92">
            <w:pPr>
              <w:snapToGrid w:val="0"/>
              <w:spacing w:line="360" w:lineRule="auto"/>
              <w:rPr>
                <w:rFonts w:ascii="宋体" w:hAnsi="宋体"/>
                <w:sz w:val="24"/>
              </w:rPr>
            </w:pPr>
            <w:r>
              <w:rPr>
                <w:rFonts w:hint="eastAsia" w:ascii="宋体" w:hAnsi="宋体"/>
                <w:sz w:val="24"/>
              </w:rPr>
              <w:t>开户银行：</w:t>
            </w:r>
          </w:p>
        </w:tc>
        <w:tc>
          <w:tcPr>
            <w:tcW w:w="4540" w:type="dxa"/>
            <w:vAlign w:val="center"/>
          </w:tcPr>
          <w:p w14:paraId="1ED1B458">
            <w:pPr>
              <w:snapToGrid w:val="0"/>
              <w:spacing w:line="360" w:lineRule="auto"/>
              <w:rPr>
                <w:rFonts w:ascii="宋体" w:hAnsi="宋体"/>
                <w:sz w:val="24"/>
              </w:rPr>
            </w:pPr>
            <w:r>
              <w:rPr>
                <w:rFonts w:hint="eastAsia" w:ascii="宋体" w:hAnsi="宋体"/>
                <w:sz w:val="24"/>
              </w:rPr>
              <w:t>开户银行：</w:t>
            </w:r>
          </w:p>
        </w:tc>
      </w:tr>
      <w:tr w14:paraId="4AE33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4539" w:type="dxa"/>
            <w:vAlign w:val="center"/>
          </w:tcPr>
          <w:p w14:paraId="69C6544A">
            <w:pPr>
              <w:snapToGrid w:val="0"/>
              <w:spacing w:line="360" w:lineRule="auto"/>
              <w:rPr>
                <w:rFonts w:ascii="宋体" w:hAnsi="宋体"/>
                <w:sz w:val="24"/>
              </w:rPr>
            </w:pPr>
            <w:r>
              <w:rPr>
                <w:rFonts w:hint="eastAsia" w:ascii="宋体" w:hAnsi="宋体"/>
                <w:sz w:val="24"/>
              </w:rPr>
              <w:t>账号：</w:t>
            </w:r>
          </w:p>
        </w:tc>
        <w:tc>
          <w:tcPr>
            <w:tcW w:w="4540" w:type="dxa"/>
            <w:vAlign w:val="center"/>
          </w:tcPr>
          <w:p w14:paraId="20512C29">
            <w:pPr>
              <w:snapToGrid w:val="0"/>
              <w:spacing w:line="360" w:lineRule="auto"/>
              <w:rPr>
                <w:rFonts w:ascii="宋体" w:hAnsi="宋体"/>
                <w:sz w:val="24"/>
              </w:rPr>
            </w:pPr>
            <w:r>
              <w:rPr>
                <w:rFonts w:hint="eastAsia" w:ascii="宋体" w:hAnsi="宋体"/>
                <w:sz w:val="24"/>
              </w:rPr>
              <w:t>账号：</w:t>
            </w:r>
          </w:p>
        </w:tc>
      </w:tr>
      <w:tr w14:paraId="1D62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4539" w:type="dxa"/>
            <w:vAlign w:val="center"/>
          </w:tcPr>
          <w:p w14:paraId="18C2E0E6">
            <w:pPr>
              <w:snapToGrid w:val="0"/>
              <w:spacing w:line="360" w:lineRule="auto"/>
              <w:rPr>
                <w:rFonts w:ascii="宋体" w:hAnsi="宋体"/>
                <w:sz w:val="24"/>
              </w:rPr>
            </w:pPr>
            <w:r>
              <w:rPr>
                <w:rFonts w:hint="eastAsia" w:ascii="宋体" w:hAnsi="宋体"/>
                <w:sz w:val="24"/>
              </w:rPr>
              <w:t>邮政编码：</w:t>
            </w:r>
          </w:p>
        </w:tc>
        <w:tc>
          <w:tcPr>
            <w:tcW w:w="4540" w:type="dxa"/>
            <w:vAlign w:val="center"/>
          </w:tcPr>
          <w:p w14:paraId="31E0841B">
            <w:pPr>
              <w:snapToGrid w:val="0"/>
              <w:spacing w:line="360" w:lineRule="auto"/>
              <w:rPr>
                <w:rFonts w:ascii="宋体" w:hAnsi="宋体"/>
                <w:sz w:val="24"/>
              </w:rPr>
            </w:pPr>
            <w:r>
              <w:rPr>
                <w:rFonts w:hint="eastAsia" w:ascii="宋体" w:hAnsi="宋体"/>
                <w:sz w:val="24"/>
              </w:rPr>
              <w:t>邮政编码：</w:t>
            </w:r>
          </w:p>
        </w:tc>
      </w:tr>
    </w:tbl>
    <w:p w14:paraId="2431F396">
      <w:pPr>
        <w:snapToGrid w:val="0"/>
        <w:spacing w:line="400" w:lineRule="exact"/>
        <w:rPr>
          <w:rFonts w:ascii="宋体" w:hAnsi="宋体"/>
          <w:sz w:val="24"/>
        </w:rPr>
      </w:pPr>
    </w:p>
    <w:sectPr>
      <w:footerReference r:id="rId5" w:type="first"/>
      <w:pgSz w:w="11910" w:h="16840"/>
      <w:pgMar w:top="1134" w:right="1134" w:bottom="1134" w:left="1134" w:header="850" w:footer="567"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华文新魏">
    <w:panose1 w:val="02010800040101010101"/>
    <w:charset w:val="86"/>
    <w:family w:val="auto"/>
    <w:pitch w:val="default"/>
    <w:sig w:usb0="00000001" w:usb1="080F0000" w:usb2="00000000" w:usb3="00000000" w:csb0="00040000"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45C99">
    <w:pPr>
      <w:pStyle w:val="2"/>
      <w:jc w:val="center"/>
    </w:pPr>
    <w:r>
      <w:fldChar w:fldCharType="begin"/>
    </w:r>
    <w:r>
      <w:instrText xml:space="preserve"> PAGE   \* MERGEFORMAT </w:instrText>
    </w:r>
    <w:r>
      <w:fldChar w:fldCharType="separate"/>
    </w:r>
    <w:r>
      <w:rPr>
        <w:lang w:val="zh-CN"/>
      </w:rPr>
      <w:t>21</w:t>
    </w:r>
    <w:r>
      <w:fldChar w:fldCharType="end"/>
    </w:r>
  </w:p>
  <w:p w14:paraId="4A485DC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481E3">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69948EA9">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ql5uc8AAAAFAQAADwAAAAAAAAABACAAAAAiAAAAZHJzL2Rv&#10;d25yZXYueG1sUEsBAhQAFAAAAAgAh07iQPH6EkwKAgAAFQQAAA4AAAAAAAAAAQAgAAAAHgEAAGRy&#10;cy9lMm9Eb2MueG1sUEsFBgAAAAAGAAYAWQEAAJoFAAAAAA==&#10;">
              <v:fill on="f" focussize="0,0"/>
              <v:stroke on="f"/>
              <v:imagedata o:title=""/>
              <o:lock v:ext="edit" aspectratio="f"/>
              <v:textbox inset="0mm,0mm,0mm,0mm" style="mso-fit-shape-to-text:t;">
                <w:txbxContent>
                  <w:p w14:paraId="69948EA9">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96523">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BAA14"/>
    <w:multiLevelType w:val="singleLevel"/>
    <w:tmpl w:val="93DBAA14"/>
    <w:lvl w:ilvl="0" w:tentative="0">
      <w:start w:val="1"/>
      <w:numFmt w:val="decimal"/>
      <w:suff w:val="nothing"/>
      <w:lvlText w:val="%1、"/>
      <w:lvlJc w:val="left"/>
    </w:lvl>
  </w:abstractNum>
  <w:abstractNum w:abstractNumId="1">
    <w:nsid w:val="2A646790"/>
    <w:multiLevelType w:val="multilevel"/>
    <w:tmpl w:val="2A646790"/>
    <w:lvl w:ilvl="0" w:tentative="0">
      <w:start w:val="1"/>
      <w:numFmt w:val="decimal"/>
      <w:pStyle w:val="70"/>
      <w:lvlText w:val="%1."/>
      <w:lvlJc w:val="left"/>
      <w:pPr>
        <w:tabs>
          <w:tab w:val="left" w:pos="1224"/>
        </w:tabs>
        <w:ind w:left="1224" w:hanging="1224"/>
      </w:pPr>
    </w:lvl>
    <w:lvl w:ilvl="1" w:tentative="0">
      <w:start w:val="1"/>
      <w:numFmt w:val="decimal"/>
      <w:pStyle w:val="68"/>
      <w:lvlText w:val="%1.%2"/>
      <w:lvlJc w:val="left"/>
      <w:pPr>
        <w:tabs>
          <w:tab w:val="left" w:pos="1224"/>
        </w:tabs>
        <w:ind w:left="1224" w:hanging="1224"/>
      </w:pPr>
      <w:rPr>
        <w:sz w:val="24"/>
        <w:szCs w:val="24"/>
      </w:rPr>
    </w:lvl>
    <w:lvl w:ilvl="2" w:tentative="0">
      <w:start w:val="1"/>
      <w:numFmt w:val="decimal"/>
      <w:pStyle w:val="69"/>
      <w:lvlText w:val="%1.%2.%3"/>
      <w:lvlJc w:val="left"/>
      <w:pPr>
        <w:tabs>
          <w:tab w:val="left" w:pos="1224"/>
        </w:tabs>
        <w:ind w:left="1224" w:hanging="1224"/>
      </w:pPr>
      <w:rPr>
        <w:rFonts w:hint="default" w:ascii="Arial Narrow" w:hAnsi="Arial Narrow" w:eastAsia="仿宋_GB2312"/>
        <w:sz w:val="24"/>
        <w:szCs w:val="24"/>
      </w:rPr>
    </w:lvl>
    <w:lvl w:ilvl="3" w:tentative="0">
      <w:start w:val="1"/>
      <w:numFmt w:val="decimal"/>
      <w:lvlText w:val="%1.%2.%3.%4."/>
      <w:lvlJc w:val="left"/>
      <w:pPr>
        <w:tabs>
          <w:tab w:val="left" w:pos="1225"/>
        </w:tabs>
        <w:ind w:left="1225" w:hanging="1225"/>
      </w:pPr>
      <w:rPr>
        <w:sz w:val="24"/>
        <w:szCs w:val="24"/>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6362018"/>
    <w:multiLevelType w:val="singleLevel"/>
    <w:tmpl w:val="46362018"/>
    <w:lvl w:ilvl="0" w:tentative="0">
      <w:start w:val="2"/>
      <w:numFmt w:val="decimal"/>
      <w:lvlText w:val="%1."/>
      <w:lvlJc w:val="left"/>
      <w:pPr>
        <w:tabs>
          <w:tab w:val="left" w:pos="312"/>
        </w:tabs>
        <w:ind w:left="42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documentProtection w:edit="forms" w:enforcement="1" w:cryptProviderType="rsaFull" w:cryptAlgorithmClass="hash" w:cryptAlgorithmType="typeAny" w:cryptAlgorithmSid="4" w:cryptSpinCount="0" w:hash="FnPSVugOmQrTQ3a7FKdnyu5/3cM=" w:salt="o0EhDejZOmKwoWMEJz6oRA=="/>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xZDBhNDk4YWQ4MzFjN2Q1NGQxYjU1MGRkYjRjNTQifQ=="/>
  </w:docVars>
  <w:rsids>
    <w:rsidRoot w:val="00F34B14"/>
    <w:rsid w:val="00000672"/>
    <w:rsid w:val="00001799"/>
    <w:rsid w:val="000022D9"/>
    <w:rsid w:val="00002D29"/>
    <w:rsid w:val="000040C5"/>
    <w:rsid w:val="00004A8A"/>
    <w:rsid w:val="0000574C"/>
    <w:rsid w:val="00005E55"/>
    <w:rsid w:val="00005FDF"/>
    <w:rsid w:val="00006586"/>
    <w:rsid w:val="000065BA"/>
    <w:rsid w:val="0001045D"/>
    <w:rsid w:val="00010D39"/>
    <w:rsid w:val="000112BB"/>
    <w:rsid w:val="0001149B"/>
    <w:rsid w:val="0001172C"/>
    <w:rsid w:val="00012854"/>
    <w:rsid w:val="00012EA6"/>
    <w:rsid w:val="000139DC"/>
    <w:rsid w:val="00013D8C"/>
    <w:rsid w:val="00013DFE"/>
    <w:rsid w:val="00013F03"/>
    <w:rsid w:val="000141EA"/>
    <w:rsid w:val="00014385"/>
    <w:rsid w:val="000159F6"/>
    <w:rsid w:val="00016960"/>
    <w:rsid w:val="00017396"/>
    <w:rsid w:val="000177DB"/>
    <w:rsid w:val="00020227"/>
    <w:rsid w:val="000203E4"/>
    <w:rsid w:val="00020455"/>
    <w:rsid w:val="00022731"/>
    <w:rsid w:val="00022792"/>
    <w:rsid w:val="000242CE"/>
    <w:rsid w:val="00025382"/>
    <w:rsid w:val="00025636"/>
    <w:rsid w:val="00025E36"/>
    <w:rsid w:val="00026627"/>
    <w:rsid w:val="00026886"/>
    <w:rsid w:val="00030496"/>
    <w:rsid w:val="000329E0"/>
    <w:rsid w:val="000333A0"/>
    <w:rsid w:val="000352E9"/>
    <w:rsid w:val="00036A07"/>
    <w:rsid w:val="00036E33"/>
    <w:rsid w:val="00037E2D"/>
    <w:rsid w:val="00040571"/>
    <w:rsid w:val="0004156E"/>
    <w:rsid w:val="00041597"/>
    <w:rsid w:val="0004440C"/>
    <w:rsid w:val="00045880"/>
    <w:rsid w:val="000462CB"/>
    <w:rsid w:val="00046B5E"/>
    <w:rsid w:val="0004783A"/>
    <w:rsid w:val="000509D9"/>
    <w:rsid w:val="0005398D"/>
    <w:rsid w:val="000552A6"/>
    <w:rsid w:val="00055D41"/>
    <w:rsid w:val="00057CEC"/>
    <w:rsid w:val="00060DCE"/>
    <w:rsid w:val="000623B4"/>
    <w:rsid w:val="000634A7"/>
    <w:rsid w:val="00063E85"/>
    <w:rsid w:val="00063F81"/>
    <w:rsid w:val="00064847"/>
    <w:rsid w:val="0006484B"/>
    <w:rsid w:val="000673E2"/>
    <w:rsid w:val="000703B6"/>
    <w:rsid w:val="000711E4"/>
    <w:rsid w:val="000719F9"/>
    <w:rsid w:val="00072AED"/>
    <w:rsid w:val="00073F47"/>
    <w:rsid w:val="00075B7E"/>
    <w:rsid w:val="00077C70"/>
    <w:rsid w:val="00080B57"/>
    <w:rsid w:val="00081BA3"/>
    <w:rsid w:val="00081D2E"/>
    <w:rsid w:val="0008267B"/>
    <w:rsid w:val="00082D02"/>
    <w:rsid w:val="00083B91"/>
    <w:rsid w:val="0008520B"/>
    <w:rsid w:val="000871B8"/>
    <w:rsid w:val="00087DB6"/>
    <w:rsid w:val="000913BE"/>
    <w:rsid w:val="000918F8"/>
    <w:rsid w:val="00092442"/>
    <w:rsid w:val="0009588E"/>
    <w:rsid w:val="000959EE"/>
    <w:rsid w:val="00095B51"/>
    <w:rsid w:val="00097DA0"/>
    <w:rsid w:val="000A0D6B"/>
    <w:rsid w:val="000A1389"/>
    <w:rsid w:val="000A166E"/>
    <w:rsid w:val="000A2B0E"/>
    <w:rsid w:val="000A398F"/>
    <w:rsid w:val="000A509C"/>
    <w:rsid w:val="000A6007"/>
    <w:rsid w:val="000A65A6"/>
    <w:rsid w:val="000A7275"/>
    <w:rsid w:val="000A7A12"/>
    <w:rsid w:val="000A7CA5"/>
    <w:rsid w:val="000B039A"/>
    <w:rsid w:val="000B1801"/>
    <w:rsid w:val="000B1D0C"/>
    <w:rsid w:val="000B2D03"/>
    <w:rsid w:val="000B3815"/>
    <w:rsid w:val="000B3C7B"/>
    <w:rsid w:val="000B6C95"/>
    <w:rsid w:val="000C0C58"/>
    <w:rsid w:val="000C1679"/>
    <w:rsid w:val="000C2F89"/>
    <w:rsid w:val="000C30BB"/>
    <w:rsid w:val="000C366E"/>
    <w:rsid w:val="000C4635"/>
    <w:rsid w:val="000C548E"/>
    <w:rsid w:val="000C5698"/>
    <w:rsid w:val="000C6DE4"/>
    <w:rsid w:val="000C716B"/>
    <w:rsid w:val="000D01EB"/>
    <w:rsid w:val="000D056E"/>
    <w:rsid w:val="000D0675"/>
    <w:rsid w:val="000D0A89"/>
    <w:rsid w:val="000D1389"/>
    <w:rsid w:val="000D1798"/>
    <w:rsid w:val="000D1A2A"/>
    <w:rsid w:val="000D2626"/>
    <w:rsid w:val="000D2B7D"/>
    <w:rsid w:val="000D4A06"/>
    <w:rsid w:val="000D73DD"/>
    <w:rsid w:val="000D7D9B"/>
    <w:rsid w:val="000E18E2"/>
    <w:rsid w:val="000E28AB"/>
    <w:rsid w:val="000E28C1"/>
    <w:rsid w:val="000E2E3E"/>
    <w:rsid w:val="000E33C5"/>
    <w:rsid w:val="000E3583"/>
    <w:rsid w:val="000E3AF0"/>
    <w:rsid w:val="000E3D53"/>
    <w:rsid w:val="000E4E04"/>
    <w:rsid w:val="000E684C"/>
    <w:rsid w:val="000E6EC9"/>
    <w:rsid w:val="000E70B4"/>
    <w:rsid w:val="000F3281"/>
    <w:rsid w:val="000F3733"/>
    <w:rsid w:val="000F4D88"/>
    <w:rsid w:val="000F64AA"/>
    <w:rsid w:val="000F7AF4"/>
    <w:rsid w:val="000F7C33"/>
    <w:rsid w:val="000F7F0C"/>
    <w:rsid w:val="00100246"/>
    <w:rsid w:val="001004D6"/>
    <w:rsid w:val="00100D90"/>
    <w:rsid w:val="00101A74"/>
    <w:rsid w:val="00103918"/>
    <w:rsid w:val="00104889"/>
    <w:rsid w:val="00104897"/>
    <w:rsid w:val="00104D7E"/>
    <w:rsid w:val="00104EDE"/>
    <w:rsid w:val="00105AA1"/>
    <w:rsid w:val="00106BEE"/>
    <w:rsid w:val="00110339"/>
    <w:rsid w:val="00110C92"/>
    <w:rsid w:val="00113134"/>
    <w:rsid w:val="00113AC0"/>
    <w:rsid w:val="00114851"/>
    <w:rsid w:val="00115E11"/>
    <w:rsid w:val="00115F56"/>
    <w:rsid w:val="001171C9"/>
    <w:rsid w:val="00117CBD"/>
    <w:rsid w:val="0012006A"/>
    <w:rsid w:val="00120990"/>
    <w:rsid w:val="001217B5"/>
    <w:rsid w:val="00121979"/>
    <w:rsid w:val="00122064"/>
    <w:rsid w:val="00125004"/>
    <w:rsid w:val="001263B8"/>
    <w:rsid w:val="00126763"/>
    <w:rsid w:val="00130217"/>
    <w:rsid w:val="00130783"/>
    <w:rsid w:val="00130990"/>
    <w:rsid w:val="001312CB"/>
    <w:rsid w:val="00132B47"/>
    <w:rsid w:val="00132E64"/>
    <w:rsid w:val="001351CB"/>
    <w:rsid w:val="001359A2"/>
    <w:rsid w:val="00135E37"/>
    <w:rsid w:val="00136020"/>
    <w:rsid w:val="00136445"/>
    <w:rsid w:val="00140132"/>
    <w:rsid w:val="00141C9C"/>
    <w:rsid w:val="001434BE"/>
    <w:rsid w:val="0014479F"/>
    <w:rsid w:val="001452B4"/>
    <w:rsid w:val="00146EC6"/>
    <w:rsid w:val="001478D2"/>
    <w:rsid w:val="00151C48"/>
    <w:rsid w:val="00152A87"/>
    <w:rsid w:val="00154486"/>
    <w:rsid w:val="00156D0E"/>
    <w:rsid w:val="00156DD9"/>
    <w:rsid w:val="0016086E"/>
    <w:rsid w:val="00160D0C"/>
    <w:rsid w:val="00160F79"/>
    <w:rsid w:val="00161172"/>
    <w:rsid w:val="0016139E"/>
    <w:rsid w:val="00161E65"/>
    <w:rsid w:val="00162597"/>
    <w:rsid w:val="001629AF"/>
    <w:rsid w:val="0016428A"/>
    <w:rsid w:val="001647C9"/>
    <w:rsid w:val="001661A3"/>
    <w:rsid w:val="0016782B"/>
    <w:rsid w:val="00173256"/>
    <w:rsid w:val="001733E1"/>
    <w:rsid w:val="00173F74"/>
    <w:rsid w:val="00175086"/>
    <w:rsid w:val="00175BA6"/>
    <w:rsid w:val="0017617F"/>
    <w:rsid w:val="00176CA7"/>
    <w:rsid w:val="001778C5"/>
    <w:rsid w:val="00177E56"/>
    <w:rsid w:val="00177F0A"/>
    <w:rsid w:val="00185617"/>
    <w:rsid w:val="00186ADE"/>
    <w:rsid w:val="0019171E"/>
    <w:rsid w:val="0019220F"/>
    <w:rsid w:val="001928B1"/>
    <w:rsid w:val="00194ED5"/>
    <w:rsid w:val="00195424"/>
    <w:rsid w:val="001955FF"/>
    <w:rsid w:val="00197EDD"/>
    <w:rsid w:val="001A02B3"/>
    <w:rsid w:val="001A04BB"/>
    <w:rsid w:val="001A08D0"/>
    <w:rsid w:val="001A14B1"/>
    <w:rsid w:val="001A1B39"/>
    <w:rsid w:val="001A2492"/>
    <w:rsid w:val="001A2E69"/>
    <w:rsid w:val="001A3C34"/>
    <w:rsid w:val="001A3EDE"/>
    <w:rsid w:val="001A4222"/>
    <w:rsid w:val="001A50EA"/>
    <w:rsid w:val="001A5E24"/>
    <w:rsid w:val="001A6D8B"/>
    <w:rsid w:val="001B079E"/>
    <w:rsid w:val="001B0CDA"/>
    <w:rsid w:val="001B0E26"/>
    <w:rsid w:val="001B125A"/>
    <w:rsid w:val="001B1EBA"/>
    <w:rsid w:val="001B2142"/>
    <w:rsid w:val="001B26CF"/>
    <w:rsid w:val="001B2F2B"/>
    <w:rsid w:val="001B327A"/>
    <w:rsid w:val="001B35DE"/>
    <w:rsid w:val="001B3A13"/>
    <w:rsid w:val="001B59FF"/>
    <w:rsid w:val="001B636D"/>
    <w:rsid w:val="001B65D7"/>
    <w:rsid w:val="001B6752"/>
    <w:rsid w:val="001B6768"/>
    <w:rsid w:val="001B6F1F"/>
    <w:rsid w:val="001B7ECC"/>
    <w:rsid w:val="001C25A7"/>
    <w:rsid w:val="001C318C"/>
    <w:rsid w:val="001C4287"/>
    <w:rsid w:val="001C4479"/>
    <w:rsid w:val="001C76B7"/>
    <w:rsid w:val="001C76FB"/>
    <w:rsid w:val="001D2764"/>
    <w:rsid w:val="001D2DAD"/>
    <w:rsid w:val="001D324F"/>
    <w:rsid w:val="001D3697"/>
    <w:rsid w:val="001D51DE"/>
    <w:rsid w:val="001D540E"/>
    <w:rsid w:val="001D58A1"/>
    <w:rsid w:val="001D5A8A"/>
    <w:rsid w:val="001D735E"/>
    <w:rsid w:val="001D73C8"/>
    <w:rsid w:val="001D74D4"/>
    <w:rsid w:val="001D756D"/>
    <w:rsid w:val="001D778C"/>
    <w:rsid w:val="001D7E1F"/>
    <w:rsid w:val="001E0756"/>
    <w:rsid w:val="001E0A8D"/>
    <w:rsid w:val="001E0FFB"/>
    <w:rsid w:val="001E129E"/>
    <w:rsid w:val="001E2B9F"/>
    <w:rsid w:val="001E30C0"/>
    <w:rsid w:val="001E4A8D"/>
    <w:rsid w:val="001E5A94"/>
    <w:rsid w:val="001E7648"/>
    <w:rsid w:val="001F127B"/>
    <w:rsid w:val="001F2A2E"/>
    <w:rsid w:val="001F3B72"/>
    <w:rsid w:val="001F3C63"/>
    <w:rsid w:val="001F4460"/>
    <w:rsid w:val="001F5DAF"/>
    <w:rsid w:val="001F637C"/>
    <w:rsid w:val="001F6B6C"/>
    <w:rsid w:val="001F711A"/>
    <w:rsid w:val="001F75B0"/>
    <w:rsid w:val="001F7686"/>
    <w:rsid w:val="00200CE5"/>
    <w:rsid w:val="002014DB"/>
    <w:rsid w:val="00201E12"/>
    <w:rsid w:val="00202AEC"/>
    <w:rsid w:val="002031E2"/>
    <w:rsid w:val="002033B5"/>
    <w:rsid w:val="0020382C"/>
    <w:rsid w:val="0020437A"/>
    <w:rsid w:val="00204B5F"/>
    <w:rsid w:val="0020532C"/>
    <w:rsid w:val="00205D23"/>
    <w:rsid w:val="0021064F"/>
    <w:rsid w:val="002114C7"/>
    <w:rsid w:val="00212756"/>
    <w:rsid w:val="0021302C"/>
    <w:rsid w:val="00213045"/>
    <w:rsid w:val="00213483"/>
    <w:rsid w:val="00213B1C"/>
    <w:rsid w:val="00214202"/>
    <w:rsid w:val="002146F3"/>
    <w:rsid w:val="002148E3"/>
    <w:rsid w:val="00215373"/>
    <w:rsid w:val="0021552D"/>
    <w:rsid w:val="002156AE"/>
    <w:rsid w:val="00217861"/>
    <w:rsid w:val="0022054D"/>
    <w:rsid w:val="002225FA"/>
    <w:rsid w:val="00224DE1"/>
    <w:rsid w:val="002255B2"/>
    <w:rsid w:val="00225664"/>
    <w:rsid w:val="002269DC"/>
    <w:rsid w:val="00227F2D"/>
    <w:rsid w:val="00231851"/>
    <w:rsid w:val="002319FB"/>
    <w:rsid w:val="00231B89"/>
    <w:rsid w:val="00231B8E"/>
    <w:rsid w:val="002355BE"/>
    <w:rsid w:val="00236DE9"/>
    <w:rsid w:val="00237D5A"/>
    <w:rsid w:val="00241300"/>
    <w:rsid w:val="00241D3C"/>
    <w:rsid w:val="002439AB"/>
    <w:rsid w:val="002450D5"/>
    <w:rsid w:val="00245587"/>
    <w:rsid w:val="00245F2B"/>
    <w:rsid w:val="00246F95"/>
    <w:rsid w:val="00247676"/>
    <w:rsid w:val="00247F3A"/>
    <w:rsid w:val="00250122"/>
    <w:rsid w:val="00250755"/>
    <w:rsid w:val="00250AE3"/>
    <w:rsid w:val="00251C4A"/>
    <w:rsid w:val="0025271C"/>
    <w:rsid w:val="00252A91"/>
    <w:rsid w:val="002533CD"/>
    <w:rsid w:val="002544C1"/>
    <w:rsid w:val="00254EAB"/>
    <w:rsid w:val="002557AF"/>
    <w:rsid w:val="00256474"/>
    <w:rsid w:val="002566B1"/>
    <w:rsid w:val="002575E3"/>
    <w:rsid w:val="002603C1"/>
    <w:rsid w:val="002609A1"/>
    <w:rsid w:val="002612B1"/>
    <w:rsid w:val="0026130D"/>
    <w:rsid w:val="00266165"/>
    <w:rsid w:val="0026782A"/>
    <w:rsid w:val="0027125E"/>
    <w:rsid w:val="00271767"/>
    <w:rsid w:val="002719C1"/>
    <w:rsid w:val="00272293"/>
    <w:rsid w:val="002723C8"/>
    <w:rsid w:val="00273CBE"/>
    <w:rsid w:val="002802D7"/>
    <w:rsid w:val="0028232C"/>
    <w:rsid w:val="002827F1"/>
    <w:rsid w:val="00282EC3"/>
    <w:rsid w:val="002835B0"/>
    <w:rsid w:val="0028407E"/>
    <w:rsid w:val="0028410F"/>
    <w:rsid w:val="002854BF"/>
    <w:rsid w:val="00286603"/>
    <w:rsid w:val="00286A98"/>
    <w:rsid w:val="00286FB5"/>
    <w:rsid w:val="00287763"/>
    <w:rsid w:val="00290606"/>
    <w:rsid w:val="00290F9D"/>
    <w:rsid w:val="002918A7"/>
    <w:rsid w:val="00291D6D"/>
    <w:rsid w:val="00291FF1"/>
    <w:rsid w:val="002923F6"/>
    <w:rsid w:val="00293361"/>
    <w:rsid w:val="00294AE8"/>
    <w:rsid w:val="00295287"/>
    <w:rsid w:val="002952B1"/>
    <w:rsid w:val="00295D11"/>
    <w:rsid w:val="00295FA0"/>
    <w:rsid w:val="00296703"/>
    <w:rsid w:val="00297A7A"/>
    <w:rsid w:val="002A0620"/>
    <w:rsid w:val="002A0C3A"/>
    <w:rsid w:val="002A1130"/>
    <w:rsid w:val="002A14D3"/>
    <w:rsid w:val="002A1880"/>
    <w:rsid w:val="002A1D47"/>
    <w:rsid w:val="002A23B7"/>
    <w:rsid w:val="002A3A57"/>
    <w:rsid w:val="002A6D22"/>
    <w:rsid w:val="002A6DEF"/>
    <w:rsid w:val="002A7411"/>
    <w:rsid w:val="002A7C24"/>
    <w:rsid w:val="002B013E"/>
    <w:rsid w:val="002B058D"/>
    <w:rsid w:val="002B0C16"/>
    <w:rsid w:val="002B11C9"/>
    <w:rsid w:val="002B169E"/>
    <w:rsid w:val="002B2621"/>
    <w:rsid w:val="002B2AC5"/>
    <w:rsid w:val="002B3528"/>
    <w:rsid w:val="002B3539"/>
    <w:rsid w:val="002B3B2B"/>
    <w:rsid w:val="002B6D17"/>
    <w:rsid w:val="002B6E71"/>
    <w:rsid w:val="002B7169"/>
    <w:rsid w:val="002C0C1C"/>
    <w:rsid w:val="002C184E"/>
    <w:rsid w:val="002C54C2"/>
    <w:rsid w:val="002C5D34"/>
    <w:rsid w:val="002C5EA7"/>
    <w:rsid w:val="002C661A"/>
    <w:rsid w:val="002C7C6E"/>
    <w:rsid w:val="002D0AF5"/>
    <w:rsid w:val="002D1C54"/>
    <w:rsid w:val="002D1FAA"/>
    <w:rsid w:val="002D2231"/>
    <w:rsid w:val="002D25FC"/>
    <w:rsid w:val="002D318B"/>
    <w:rsid w:val="002D3380"/>
    <w:rsid w:val="002D44D6"/>
    <w:rsid w:val="002D4925"/>
    <w:rsid w:val="002D4AC6"/>
    <w:rsid w:val="002D5C7B"/>
    <w:rsid w:val="002D6DFC"/>
    <w:rsid w:val="002D7648"/>
    <w:rsid w:val="002D7909"/>
    <w:rsid w:val="002E109C"/>
    <w:rsid w:val="002E115E"/>
    <w:rsid w:val="002E1439"/>
    <w:rsid w:val="002E193E"/>
    <w:rsid w:val="002E1D76"/>
    <w:rsid w:val="002E243C"/>
    <w:rsid w:val="002E26C4"/>
    <w:rsid w:val="002E33E9"/>
    <w:rsid w:val="002E4B37"/>
    <w:rsid w:val="002E4BF9"/>
    <w:rsid w:val="002E6F5B"/>
    <w:rsid w:val="002F16DD"/>
    <w:rsid w:val="002F199D"/>
    <w:rsid w:val="002F23B2"/>
    <w:rsid w:val="002F4084"/>
    <w:rsid w:val="002F4672"/>
    <w:rsid w:val="002F4A08"/>
    <w:rsid w:val="002F4ADB"/>
    <w:rsid w:val="002F531E"/>
    <w:rsid w:val="002F5ACC"/>
    <w:rsid w:val="002F6C2C"/>
    <w:rsid w:val="002F704B"/>
    <w:rsid w:val="002F72C3"/>
    <w:rsid w:val="002F768C"/>
    <w:rsid w:val="002F7D1E"/>
    <w:rsid w:val="00301839"/>
    <w:rsid w:val="00302929"/>
    <w:rsid w:val="00302F0F"/>
    <w:rsid w:val="00303243"/>
    <w:rsid w:val="00303BCC"/>
    <w:rsid w:val="00303F2B"/>
    <w:rsid w:val="00303F8D"/>
    <w:rsid w:val="00304541"/>
    <w:rsid w:val="00304580"/>
    <w:rsid w:val="0030586A"/>
    <w:rsid w:val="003074C5"/>
    <w:rsid w:val="00307A3C"/>
    <w:rsid w:val="00307FA4"/>
    <w:rsid w:val="00310CC1"/>
    <w:rsid w:val="00313026"/>
    <w:rsid w:val="00313213"/>
    <w:rsid w:val="0031421F"/>
    <w:rsid w:val="00314B31"/>
    <w:rsid w:val="00314B36"/>
    <w:rsid w:val="00315158"/>
    <w:rsid w:val="00315346"/>
    <w:rsid w:val="00315A65"/>
    <w:rsid w:val="00317BA7"/>
    <w:rsid w:val="00320BE2"/>
    <w:rsid w:val="00321886"/>
    <w:rsid w:val="00321902"/>
    <w:rsid w:val="00323694"/>
    <w:rsid w:val="00324D63"/>
    <w:rsid w:val="003255AF"/>
    <w:rsid w:val="003256EB"/>
    <w:rsid w:val="003259DB"/>
    <w:rsid w:val="00325F20"/>
    <w:rsid w:val="003267F2"/>
    <w:rsid w:val="00331A48"/>
    <w:rsid w:val="003330C9"/>
    <w:rsid w:val="0033364C"/>
    <w:rsid w:val="00334415"/>
    <w:rsid w:val="00335460"/>
    <w:rsid w:val="0033691E"/>
    <w:rsid w:val="00336CCB"/>
    <w:rsid w:val="0033745F"/>
    <w:rsid w:val="00337631"/>
    <w:rsid w:val="00337F44"/>
    <w:rsid w:val="003401AC"/>
    <w:rsid w:val="003411D1"/>
    <w:rsid w:val="003416BA"/>
    <w:rsid w:val="00341BD6"/>
    <w:rsid w:val="00342A8A"/>
    <w:rsid w:val="00342F99"/>
    <w:rsid w:val="00344726"/>
    <w:rsid w:val="003454A4"/>
    <w:rsid w:val="00350E6C"/>
    <w:rsid w:val="003518A6"/>
    <w:rsid w:val="00351E7F"/>
    <w:rsid w:val="00352953"/>
    <w:rsid w:val="00354062"/>
    <w:rsid w:val="003542B0"/>
    <w:rsid w:val="00355C0D"/>
    <w:rsid w:val="00356385"/>
    <w:rsid w:val="003566A9"/>
    <w:rsid w:val="00356988"/>
    <w:rsid w:val="00356B20"/>
    <w:rsid w:val="00357128"/>
    <w:rsid w:val="0035755E"/>
    <w:rsid w:val="00357A80"/>
    <w:rsid w:val="00361B8B"/>
    <w:rsid w:val="00363F39"/>
    <w:rsid w:val="00364AB0"/>
    <w:rsid w:val="003667B0"/>
    <w:rsid w:val="003667DD"/>
    <w:rsid w:val="00366B48"/>
    <w:rsid w:val="00367764"/>
    <w:rsid w:val="00370316"/>
    <w:rsid w:val="00370DC7"/>
    <w:rsid w:val="0037156C"/>
    <w:rsid w:val="00371CBD"/>
    <w:rsid w:val="00373CBE"/>
    <w:rsid w:val="003740CC"/>
    <w:rsid w:val="0037435E"/>
    <w:rsid w:val="00374E79"/>
    <w:rsid w:val="00375388"/>
    <w:rsid w:val="00375FB9"/>
    <w:rsid w:val="00376851"/>
    <w:rsid w:val="00376FA2"/>
    <w:rsid w:val="00377A3B"/>
    <w:rsid w:val="00377E3C"/>
    <w:rsid w:val="00380B5C"/>
    <w:rsid w:val="00380BBE"/>
    <w:rsid w:val="00381D70"/>
    <w:rsid w:val="00382128"/>
    <w:rsid w:val="0038235E"/>
    <w:rsid w:val="003829D0"/>
    <w:rsid w:val="00382FBA"/>
    <w:rsid w:val="0038444F"/>
    <w:rsid w:val="00384B9C"/>
    <w:rsid w:val="00384E83"/>
    <w:rsid w:val="00387051"/>
    <w:rsid w:val="00387861"/>
    <w:rsid w:val="00387ECF"/>
    <w:rsid w:val="0039021B"/>
    <w:rsid w:val="00390429"/>
    <w:rsid w:val="0039327C"/>
    <w:rsid w:val="003933A2"/>
    <w:rsid w:val="0039366C"/>
    <w:rsid w:val="003938F3"/>
    <w:rsid w:val="00393EC8"/>
    <w:rsid w:val="00395E42"/>
    <w:rsid w:val="00396052"/>
    <w:rsid w:val="00396A2D"/>
    <w:rsid w:val="00396FC3"/>
    <w:rsid w:val="003A1A94"/>
    <w:rsid w:val="003A204E"/>
    <w:rsid w:val="003A2D25"/>
    <w:rsid w:val="003A4DDB"/>
    <w:rsid w:val="003A60E7"/>
    <w:rsid w:val="003B07DF"/>
    <w:rsid w:val="003B0B6A"/>
    <w:rsid w:val="003B0F79"/>
    <w:rsid w:val="003B29CF"/>
    <w:rsid w:val="003B54DF"/>
    <w:rsid w:val="003B645F"/>
    <w:rsid w:val="003B6659"/>
    <w:rsid w:val="003B7733"/>
    <w:rsid w:val="003C0166"/>
    <w:rsid w:val="003C21AA"/>
    <w:rsid w:val="003C350C"/>
    <w:rsid w:val="003C3903"/>
    <w:rsid w:val="003C3BA0"/>
    <w:rsid w:val="003C4580"/>
    <w:rsid w:val="003C52D8"/>
    <w:rsid w:val="003C5C5E"/>
    <w:rsid w:val="003C6746"/>
    <w:rsid w:val="003C7133"/>
    <w:rsid w:val="003C7555"/>
    <w:rsid w:val="003C7898"/>
    <w:rsid w:val="003D0FF5"/>
    <w:rsid w:val="003D2D1B"/>
    <w:rsid w:val="003D30AB"/>
    <w:rsid w:val="003D3D94"/>
    <w:rsid w:val="003D48C7"/>
    <w:rsid w:val="003D4C08"/>
    <w:rsid w:val="003D51ED"/>
    <w:rsid w:val="003D7CE8"/>
    <w:rsid w:val="003E1032"/>
    <w:rsid w:val="003E1904"/>
    <w:rsid w:val="003E285E"/>
    <w:rsid w:val="003E3300"/>
    <w:rsid w:val="003E5B89"/>
    <w:rsid w:val="003E6340"/>
    <w:rsid w:val="003E65AC"/>
    <w:rsid w:val="003E6E24"/>
    <w:rsid w:val="003E72B9"/>
    <w:rsid w:val="003E7ED4"/>
    <w:rsid w:val="003F0E52"/>
    <w:rsid w:val="003F0EF2"/>
    <w:rsid w:val="003F0F6B"/>
    <w:rsid w:val="003F1F40"/>
    <w:rsid w:val="003F1FE3"/>
    <w:rsid w:val="003F3865"/>
    <w:rsid w:val="003F3A0A"/>
    <w:rsid w:val="003F4632"/>
    <w:rsid w:val="003F47BA"/>
    <w:rsid w:val="003F5DA1"/>
    <w:rsid w:val="003F6617"/>
    <w:rsid w:val="0040063B"/>
    <w:rsid w:val="00401070"/>
    <w:rsid w:val="00402332"/>
    <w:rsid w:val="004025C2"/>
    <w:rsid w:val="00403E55"/>
    <w:rsid w:val="00404532"/>
    <w:rsid w:val="00404681"/>
    <w:rsid w:val="0040496D"/>
    <w:rsid w:val="00405010"/>
    <w:rsid w:val="0040595A"/>
    <w:rsid w:val="00406923"/>
    <w:rsid w:val="0040713A"/>
    <w:rsid w:val="0040763D"/>
    <w:rsid w:val="004105B0"/>
    <w:rsid w:val="00410EC5"/>
    <w:rsid w:val="00411B1F"/>
    <w:rsid w:val="004133A8"/>
    <w:rsid w:val="00413821"/>
    <w:rsid w:val="00413D43"/>
    <w:rsid w:val="004141A3"/>
    <w:rsid w:val="00414909"/>
    <w:rsid w:val="00415E66"/>
    <w:rsid w:val="00416112"/>
    <w:rsid w:val="00416DF0"/>
    <w:rsid w:val="00417AE0"/>
    <w:rsid w:val="00417BAA"/>
    <w:rsid w:val="00420BA9"/>
    <w:rsid w:val="00420D7A"/>
    <w:rsid w:val="00420D9E"/>
    <w:rsid w:val="004223DE"/>
    <w:rsid w:val="0042293E"/>
    <w:rsid w:val="00422A10"/>
    <w:rsid w:val="00422E3B"/>
    <w:rsid w:val="00424D17"/>
    <w:rsid w:val="00425DFD"/>
    <w:rsid w:val="004263A3"/>
    <w:rsid w:val="00427713"/>
    <w:rsid w:val="00427CCC"/>
    <w:rsid w:val="0043013A"/>
    <w:rsid w:val="00430421"/>
    <w:rsid w:val="00430B4F"/>
    <w:rsid w:val="004314B1"/>
    <w:rsid w:val="00431E65"/>
    <w:rsid w:val="00432589"/>
    <w:rsid w:val="00432A94"/>
    <w:rsid w:val="00433827"/>
    <w:rsid w:val="004360C8"/>
    <w:rsid w:val="0044006B"/>
    <w:rsid w:val="0044033F"/>
    <w:rsid w:val="00440630"/>
    <w:rsid w:val="00441123"/>
    <w:rsid w:val="0044127B"/>
    <w:rsid w:val="00442095"/>
    <w:rsid w:val="004428BC"/>
    <w:rsid w:val="00442965"/>
    <w:rsid w:val="00444157"/>
    <w:rsid w:val="0044417C"/>
    <w:rsid w:val="00444DB3"/>
    <w:rsid w:val="004452B9"/>
    <w:rsid w:val="00445A2F"/>
    <w:rsid w:val="00446328"/>
    <w:rsid w:val="00446341"/>
    <w:rsid w:val="0044684E"/>
    <w:rsid w:val="004479CA"/>
    <w:rsid w:val="004503A4"/>
    <w:rsid w:val="00450555"/>
    <w:rsid w:val="00450DC6"/>
    <w:rsid w:val="004516A5"/>
    <w:rsid w:val="004535AE"/>
    <w:rsid w:val="00453C42"/>
    <w:rsid w:val="0045463A"/>
    <w:rsid w:val="00454AC9"/>
    <w:rsid w:val="004554A3"/>
    <w:rsid w:val="00455A6E"/>
    <w:rsid w:val="004569CD"/>
    <w:rsid w:val="004578EB"/>
    <w:rsid w:val="00460303"/>
    <w:rsid w:val="00460697"/>
    <w:rsid w:val="00462593"/>
    <w:rsid w:val="00465EEF"/>
    <w:rsid w:val="00466D03"/>
    <w:rsid w:val="0046711B"/>
    <w:rsid w:val="00467312"/>
    <w:rsid w:val="00471156"/>
    <w:rsid w:val="00472429"/>
    <w:rsid w:val="004725E5"/>
    <w:rsid w:val="004726FE"/>
    <w:rsid w:val="00472751"/>
    <w:rsid w:val="00473128"/>
    <w:rsid w:val="0047470A"/>
    <w:rsid w:val="00475078"/>
    <w:rsid w:val="00475226"/>
    <w:rsid w:val="004779A0"/>
    <w:rsid w:val="004808E3"/>
    <w:rsid w:val="0048097D"/>
    <w:rsid w:val="00481016"/>
    <w:rsid w:val="004814C8"/>
    <w:rsid w:val="004814D3"/>
    <w:rsid w:val="0048204C"/>
    <w:rsid w:val="004821BB"/>
    <w:rsid w:val="00482233"/>
    <w:rsid w:val="004826FE"/>
    <w:rsid w:val="004827D5"/>
    <w:rsid w:val="004830C9"/>
    <w:rsid w:val="00483347"/>
    <w:rsid w:val="00483D06"/>
    <w:rsid w:val="00483E2E"/>
    <w:rsid w:val="00484B69"/>
    <w:rsid w:val="00485406"/>
    <w:rsid w:val="0048590F"/>
    <w:rsid w:val="004867A5"/>
    <w:rsid w:val="00486D60"/>
    <w:rsid w:val="00487C87"/>
    <w:rsid w:val="00492A25"/>
    <w:rsid w:val="0049474A"/>
    <w:rsid w:val="00496350"/>
    <w:rsid w:val="00496F91"/>
    <w:rsid w:val="00497274"/>
    <w:rsid w:val="0049797C"/>
    <w:rsid w:val="00497C2C"/>
    <w:rsid w:val="00497E9D"/>
    <w:rsid w:val="004A036E"/>
    <w:rsid w:val="004A1405"/>
    <w:rsid w:val="004A1FC6"/>
    <w:rsid w:val="004A3C03"/>
    <w:rsid w:val="004A3DB7"/>
    <w:rsid w:val="004A3FB3"/>
    <w:rsid w:val="004A5088"/>
    <w:rsid w:val="004A5255"/>
    <w:rsid w:val="004A6097"/>
    <w:rsid w:val="004A6CB0"/>
    <w:rsid w:val="004A70FF"/>
    <w:rsid w:val="004B1B84"/>
    <w:rsid w:val="004B29AC"/>
    <w:rsid w:val="004B35DF"/>
    <w:rsid w:val="004B3627"/>
    <w:rsid w:val="004B3F3A"/>
    <w:rsid w:val="004B4779"/>
    <w:rsid w:val="004B4922"/>
    <w:rsid w:val="004B57DF"/>
    <w:rsid w:val="004C03A0"/>
    <w:rsid w:val="004C2138"/>
    <w:rsid w:val="004C2ED0"/>
    <w:rsid w:val="004C32D4"/>
    <w:rsid w:val="004C3940"/>
    <w:rsid w:val="004C51FD"/>
    <w:rsid w:val="004C65A8"/>
    <w:rsid w:val="004C786C"/>
    <w:rsid w:val="004C7963"/>
    <w:rsid w:val="004D2314"/>
    <w:rsid w:val="004D2F63"/>
    <w:rsid w:val="004D35BA"/>
    <w:rsid w:val="004D4701"/>
    <w:rsid w:val="004D47C7"/>
    <w:rsid w:val="004D618D"/>
    <w:rsid w:val="004D6202"/>
    <w:rsid w:val="004D62A9"/>
    <w:rsid w:val="004D6FC3"/>
    <w:rsid w:val="004D7476"/>
    <w:rsid w:val="004E0306"/>
    <w:rsid w:val="004E0572"/>
    <w:rsid w:val="004E25A8"/>
    <w:rsid w:val="004E2AA0"/>
    <w:rsid w:val="004E3930"/>
    <w:rsid w:val="004E3ED9"/>
    <w:rsid w:val="004E5866"/>
    <w:rsid w:val="004E6097"/>
    <w:rsid w:val="004E61EF"/>
    <w:rsid w:val="004E6772"/>
    <w:rsid w:val="004E76A7"/>
    <w:rsid w:val="004E7736"/>
    <w:rsid w:val="004E7B03"/>
    <w:rsid w:val="004F0064"/>
    <w:rsid w:val="004F06AC"/>
    <w:rsid w:val="004F1AE6"/>
    <w:rsid w:val="004F1E4C"/>
    <w:rsid w:val="004F243F"/>
    <w:rsid w:val="004F3E0C"/>
    <w:rsid w:val="004F6929"/>
    <w:rsid w:val="004F6A2D"/>
    <w:rsid w:val="004F7160"/>
    <w:rsid w:val="00500258"/>
    <w:rsid w:val="0050175E"/>
    <w:rsid w:val="00501A99"/>
    <w:rsid w:val="00503180"/>
    <w:rsid w:val="0050417C"/>
    <w:rsid w:val="00505450"/>
    <w:rsid w:val="005100B7"/>
    <w:rsid w:val="005111C2"/>
    <w:rsid w:val="005113C9"/>
    <w:rsid w:val="0051280C"/>
    <w:rsid w:val="00512842"/>
    <w:rsid w:val="005128BE"/>
    <w:rsid w:val="00512B7B"/>
    <w:rsid w:val="00512E6C"/>
    <w:rsid w:val="0051356F"/>
    <w:rsid w:val="00513E7C"/>
    <w:rsid w:val="005140BB"/>
    <w:rsid w:val="005143C2"/>
    <w:rsid w:val="00514FD9"/>
    <w:rsid w:val="0051518F"/>
    <w:rsid w:val="0051608F"/>
    <w:rsid w:val="005165E9"/>
    <w:rsid w:val="00516A11"/>
    <w:rsid w:val="005210F7"/>
    <w:rsid w:val="00521753"/>
    <w:rsid w:val="00521A44"/>
    <w:rsid w:val="00521D16"/>
    <w:rsid w:val="005222BE"/>
    <w:rsid w:val="005224EE"/>
    <w:rsid w:val="00523BB1"/>
    <w:rsid w:val="0052451A"/>
    <w:rsid w:val="00524737"/>
    <w:rsid w:val="00526265"/>
    <w:rsid w:val="0052652D"/>
    <w:rsid w:val="0052655D"/>
    <w:rsid w:val="005265E0"/>
    <w:rsid w:val="00526BC3"/>
    <w:rsid w:val="00530415"/>
    <w:rsid w:val="00530F9E"/>
    <w:rsid w:val="0053274E"/>
    <w:rsid w:val="0053358A"/>
    <w:rsid w:val="00534668"/>
    <w:rsid w:val="00534DDD"/>
    <w:rsid w:val="00535291"/>
    <w:rsid w:val="00535A94"/>
    <w:rsid w:val="00537874"/>
    <w:rsid w:val="00540204"/>
    <w:rsid w:val="00540578"/>
    <w:rsid w:val="005407D2"/>
    <w:rsid w:val="00540808"/>
    <w:rsid w:val="0054080E"/>
    <w:rsid w:val="00540EA1"/>
    <w:rsid w:val="0054358E"/>
    <w:rsid w:val="00543AF4"/>
    <w:rsid w:val="00544191"/>
    <w:rsid w:val="00544F39"/>
    <w:rsid w:val="00547EFB"/>
    <w:rsid w:val="005531DF"/>
    <w:rsid w:val="00553874"/>
    <w:rsid w:val="00553ACC"/>
    <w:rsid w:val="00554AD8"/>
    <w:rsid w:val="00554F78"/>
    <w:rsid w:val="005556A5"/>
    <w:rsid w:val="00556BF7"/>
    <w:rsid w:val="005574FC"/>
    <w:rsid w:val="00560DB5"/>
    <w:rsid w:val="00562149"/>
    <w:rsid w:val="005630D8"/>
    <w:rsid w:val="00563FFD"/>
    <w:rsid w:val="00565855"/>
    <w:rsid w:val="005677CE"/>
    <w:rsid w:val="00567B5D"/>
    <w:rsid w:val="00570445"/>
    <w:rsid w:val="00572E9A"/>
    <w:rsid w:val="00573733"/>
    <w:rsid w:val="00574554"/>
    <w:rsid w:val="00576089"/>
    <w:rsid w:val="005764B1"/>
    <w:rsid w:val="00576A56"/>
    <w:rsid w:val="00576D06"/>
    <w:rsid w:val="005777CA"/>
    <w:rsid w:val="005779E4"/>
    <w:rsid w:val="00580AC5"/>
    <w:rsid w:val="005815E5"/>
    <w:rsid w:val="0058289C"/>
    <w:rsid w:val="00582C35"/>
    <w:rsid w:val="00582DC6"/>
    <w:rsid w:val="005836C7"/>
    <w:rsid w:val="0058408E"/>
    <w:rsid w:val="00585374"/>
    <w:rsid w:val="005876DF"/>
    <w:rsid w:val="0058789A"/>
    <w:rsid w:val="00590B77"/>
    <w:rsid w:val="005913A3"/>
    <w:rsid w:val="00591DCD"/>
    <w:rsid w:val="00594A7B"/>
    <w:rsid w:val="00594AFA"/>
    <w:rsid w:val="0059580E"/>
    <w:rsid w:val="00596A6F"/>
    <w:rsid w:val="005976E1"/>
    <w:rsid w:val="005A0541"/>
    <w:rsid w:val="005A0D64"/>
    <w:rsid w:val="005A1525"/>
    <w:rsid w:val="005A1EC3"/>
    <w:rsid w:val="005A252B"/>
    <w:rsid w:val="005A2A71"/>
    <w:rsid w:val="005A3204"/>
    <w:rsid w:val="005A3341"/>
    <w:rsid w:val="005A46EC"/>
    <w:rsid w:val="005A4847"/>
    <w:rsid w:val="005A494F"/>
    <w:rsid w:val="005A7819"/>
    <w:rsid w:val="005B0160"/>
    <w:rsid w:val="005B0185"/>
    <w:rsid w:val="005B07EC"/>
    <w:rsid w:val="005B09D8"/>
    <w:rsid w:val="005B24F3"/>
    <w:rsid w:val="005B2B11"/>
    <w:rsid w:val="005B2E00"/>
    <w:rsid w:val="005B370E"/>
    <w:rsid w:val="005B4DA3"/>
    <w:rsid w:val="005B5B71"/>
    <w:rsid w:val="005B5BEE"/>
    <w:rsid w:val="005B7784"/>
    <w:rsid w:val="005B77D2"/>
    <w:rsid w:val="005C019B"/>
    <w:rsid w:val="005C144E"/>
    <w:rsid w:val="005C1625"/>
    <w:rsid w:val="005C30F5"/>
    <w:rsid w:val="005C357E"/>
    <w:rsid w:val="005C51A5"/>
    <w:rsid w:val="005C557A"/>
    <w:rsid w:val="005C5A03"/>
    <w:rsid w:val="005C61DD"/>
    <w:rsid w:val="005C6438"/>
    <w:rsid w:val="005C6B8B"/>
    <w:rsid w:val="005D02E3"/>
    <w:rsid w:val="005D1F34"/>
    <w:rsid w:val="005D2529"/>
    <w:rsid w:val="005D25BF"/>
    <w:rsid w:val="005D2C1F"/>
    <w:rsid w:val="005D34B2"/>
    <w:rsid w:val="005D3B54"/>
    <w:rsid w:val="005D40CD"/>
    <w:rsid w:val="005D6B59"/>
    <w:rsid w:val="005D7037"/>
    <w:rsid w:val="005E03E4"/>
    <w:rsid w:val="005E0454"/>
    <w:rsid w:val="005E171D"/>
    <w:rsid w:val="005E34C2"/>
    <w:rsid w:val="005E35C6"/>
    <w:rsid w:val="005E5B01"/>
    <w:rsid w:val="005E7933"/>
    <w:rsid w:val="005E7E0B"/>
    <w:rsid w:val="005F009E"/>
    <w:rsid w:val="005F080C"/>
    <w:rsid w:val="005F0A88"/>
    <w:rsid w:val="005F0DF1"/>
    <w:rsid w:val="005F1516"/>
    <w:rsid w:val="005F229E"/>
    <w:rsid w:val="005F2564"/>
    <w:rsid w:val="005F3822"/>
    <w:rsid w:val="005F3E0B"/>
    <w:rsid w:val="005F4D16"/>
    <w:rsid w:val="005F4E52"/>
    <w:rsid w:val="005F5967"/>
    <w:rsid w:val="005F77C8"/>
    <w:rsid w:val="0060058E"/>
    <w:rsid w:val="00602A3C"/>
    <w:rsid w:val="00603EFD"/>
    <w:rsid w:val="006041DF"/>
    <w:rsid w:val="0060475B"/>
    <w:rsid w:val="00604FB6"/>
    <w:rsid w:val="00605387"/>
    <w:rsid w:val="00606302"/>
    <w:rsid w:val="006072EF"/>
    <w:rsid w:val="006076FD"/>
    <w:rsid w:val="00607BA3"/>
    <w:rsid w:val="0061143F"/>
    <w:rsid w:val="006114D8"/>
    <w:rsid w:val="00611585"/>
    <w:rsid w:val="00612931"/>
    <w:rsid w:val="00613601"/>
    <w:rsid w:val="00613791"/>
    <w:rsid w:val="00613AAB"/>
    <w:rsid w:val="006148C7"/>
    <w:rsid w:val="006150D6"/>
    <w:rsid w:val="00617EEE"/>
    <w:rsid w:val="006210FE"/>
    <w:rsid w:val="00622811"/>
    <w:rsid w:val="00622894"/>
    <w:rsid w:val="00622BB7"/>
    <w:rsid w:val="00622F3B"/>
    <w:rsid w:val="00623389"/>
    <w:rsid w:val="0062352A"/>
    <w:rsid w:val="00625E45"/>
    <w:rsid w:val="006265C4"/>
    <w:rsid w:val="00627383"/>
    <w:rsid w:val="00627733"/>
    <w:rsid w:val="006301BB"/>
    <w:rsid w:val="00632605"/>
    <w:rsid w:val="00633F8D"/>
    <w:rsid w:val="006341EF"/>
    <w:rsid w:val="00634BED"/>
    <w:rsid w:val="00635A4A"/>
    <w:rsid w:val="00635FB9"/>
    <w:rsid w:val="00637774"/>
    <w:rsid w:val="0064024C"/>
    <w:rsid w:val="00640291"/>
    <w:rsid w:val="00641FAC"/>
    <w:rsid w:val="006432A5"/>
    <w:rsid w:val="00643664"/>
    <w:rsid w:val="00643CAA"/>
    <w:rsid w:val="0064448B"/>
    <w:rsid w:val="00652137"/>
    <w:rsid w:val="00652680"/>
    <w:rsid w:val="00652A09"/>
    <w:rsid w:val="006530A1"/>
    <w:rsid w:val="00653CDE"/>
    <w:rsid w:val="006540B4"/>
    <w:rsid w:val="0065636A"/>
    <w:rsid w:val="00656C3C"/>
    <w:rsid w:val="00657003"/>
    <w:rsid w:val="00657126"/>
    <w:rsid w:val="006572C1"/>
    <w:rsid w:val="00660238"/>
    <w:rsid w:val="006602EF"/>
    <w:rsid w:val="00661277"/>
    <w:rsid w:val="006616FE"/>
    <w:rsid w:val="006619D1"/>
    <w:rsid w:val="00663FEA"/>
    <w:rsid w:val="00664253"/>
    <w:rsid w:val="00664803"/>
    <w:rsid w:val="006661A4"/>
    <w:rsid w:val="006670E0"/>
    <w:rsid w:val="00667532"/>
    <w:rsid w:val="006704FD"/>
    <w:rsid w:val="0067294B"/>
    <w:rsid w:val="00673AA4"/>
    <w:rsid w:val="00674187"/>
    <w:rsid w:val="0067508F"/>
    <w:rsid w:val="00675349"/>
    <w:rsid w:val="00675E7E"/>
    <w:rsid w:val="0068051E"/>
    <w:rsid w:val="00680B9D"/>
    <w:rsid w:val="00681F13"/>
    <w:rsid w:val="0068231C"/>
    <w:rsid w:val="00682344"/>
    <w:rsid w:val="00682E78"/>
    <w:rsid w:val="00682F28"/>
    <w:rsid w:val="00684842"/>
    <w:rsid w:val="00685BD6"/>
    <w:rsid w:val="006878A6"/>
    <w:rsid w:val="00690437"/>
    <w:rsid w:val="00690E65"/>
    <w:rsid w:val="0069188E"/>
    <w:rsid w:val="00691974"/>
    <w:rsid w:val="00691A3F"/>
    <w:rsid w:val="00692CE6"/>
    <w:rsid w:val="00693B6C"/>
    <w:rsid w:val="006942AE"/>
    <w:rsid w:val="0069483C"/>
    <w:rsid w:val="00695421"/>
    <w:rsid w:val="00695AE4"/>
    <w:rsid w:val="00696D4B"/>
    <w:rsid w:val="00697BD3"/>
    <w:rsid w:val="00697DFA"/>
    <w:rsid w:val="006A10F3"/>
    <w:rsid w:val="006A16D5"/>
    <w:rsid w:val="006A1772"/>
    <w:rsid w:val="006A1780"/>
    <w:rsid w:val="006A25A5"/>
    <w:rsid w:val="006A2790"/>
    <w:rsid w:val="006A3CEC"/>
    <w:rsid w:val="006A3F75"/>
    <w:rsid w:val="006A4FB3"/>
    <w:rsid w:val="006A5A3E"/>
    <w:rsid w:val="006A6CA7"/>
    <w:rsid w:val="006A703E"/>
    <w:rsid w:val="006A7BE3"/>
    <w:rsid w:val="006B01D1"/>
    <w:rsid w:val="006B16EA"/>
    <w:rsid w:val="006B1780"/>
    <w:rsid w:val="006B224E"/>
    <w:rsid w:val="006B362D"/>
    <w:rsid w:val="006B376E"/>
    <w:rsid w:val="006B4589"/>
    <w:rsid w:val="006B6805"/>
    <w:rsid w:val="006B6BBE"/>
    <w:rsid w:val="006B6DE0"/>
    <w:rsid w:val="006B7D5F"/>
    <w:rsid w:val="006C32F4"/>
    <w:rsid w:val="006C3382"/>
    <w:rsid w:val="006C3C54"/>
    <w:rsid w:val="006C40F4"/>
    <w:rsid w:val="006C427B"/>
    <w:rsid w:val="006C4F9F"/>
    <w:rsid w:val="006C61AB"/>
    <w:rsid w:val="006C650D"/>
    <w:rsid w:val="006C748D"/>
    <w:rsid w:val="006D0C1D"/>
    <w:rsid w:val="006D0CE1"/>
    <w:rsid w:val="006D2004"/>
    <w:rsid w:val="006D2A8C"/>
    <w:rsid w:val="006D2E9D"/>
    <w:rsid w:val="006D4C1E"/>
    <w:rsid w:val="006D4C42"/>
    <w:rsid w:val="006D5809"/>
    <w:rsid w:val="006D630A"/>
    <w:rsid w:val="006D668D"/>
    <w:rsid w:val="006D7363"/>
    <w:rsid w:val="006D74F2"/>
    <w:rsid w:val="006E04C8"/>
    <w:rsid w:val="006E0712"/>
    <w:rsid w:val="006E0754"/>
    <w:rsid w:val="006E2668"/>
    <w:rsid w:val="006E2D39"/>
    <w:rsid w:val="006E32B0"/>
    <w:rsid w:val="006E36D8"/>
    <w:rsid w:val="006E396A"/>
    <w:rsid w:val="006E3A73"/>
    <w:rsid w:val="006E5DD8"/>
    <w:rsid w:val="006E5EA1"/>
    <w:rsid w:val="006E7ABC"/>
    <w:rsid w:val="006F0760"/>
    <w:rsid w:val="006F0FF1"/>
    <w:rsid w:val="006F11E2"/>
    <w:rsid w:val="006F12F5"/>
    <w:rsid w:val="006F2574"/>
    <w:rsid w:val="006F3231"/>
    <w:rsid w:val="006F3582"/>
    <w:rsid w:val="006F3DE3"/>
    <w:rsid w:val="006F511F"/>
    <w:rsid w:val="006F61D8"/>
    <w:rsid w:val="006F62B7"/>
    <w:rsid w:val="006F70BC"/>
    <w:rsid w:val="006F713A"/>
    <w:rsid w:val="006F76BF"/>
    <w:rsid w:val="00705161"/>
    <w:rsid w:val="007066A4"/>
    <w:rsid w:val="00706F37"/>
    <w:rsid w:val="00707D09"/>
    <w:rsid w:val="0071209F"/>
    <w:rsid w:val="007125A2"/>
    <w:rsid w:val="00713F79"/>
    <w:rsid w:val="007148A8"/>
    <w:rsid w:val="007171E0"/>
    <w:rsid w:val="00717C40"/>
    <w:rsid w:val="0072033C"/>
    <w:rsid w:val="00720B1B"/>
    <w:rsid w:val="00721062"/>
    <w:rsid w:val="00721E5D"/>
    <w:rsid w:val="007229D4"/>
    <w:rsid w:val="007230F8"/>
    <w:rsid w:val="007233F4"/>
    <w:rsid w:val="00723646"/>
    <w:rsid w:val="00724044"/>
    <w:rsid w:val="007244E1"/>
    <w:rsid w:val="007248D3"/>
    <w:rsid w:val="00725137"/>
    <w:rsid w:val="007263ED"/>
    <w:rsid w:val="00727A43"/>
    <w:rsid w:val="00727FF2"/>
    <w:rsid w:val="007323E0"/>
    <w:rsid w:val="00733791"/>
    <w:rsid w:val="00733857"/>
    <w:rsid w:val="00733DE2"/>
    <w:rsid w:val="007346E7"/>
    <w:rsid w:val="007352EA"/>
    <w:rsid w:val="007364E5"/>
    <w:rsid w:val="0073792F"/>
    <w:rsid w:val="00740DA6"/>
    <w:rsid w:val="00741A0E"/>
    <w:rsid w:val="00741D1E"/>
    <w:rsid w:val="00741EE2"/>
    <w:rsid w:val="00742367"/>
    <w:rsid w:val="00742EAA"/>
    <w:rsid w:val="00743818"/>
    <w:rsid w:val="007439E2"/>
    <w:rsid w:val="00743E9C"/>
    <w:rsid w:val="007441FB"/>
    <w:rsid w:val="00744517"/>
    <w:rsid w:val="00744810"/>
    <w:rsid w:val="00747079"/>
    <w:rsid w:val="00747DE2"/>
    <w:rsid w:val="007504BF"/>
    <w:rsid w:val="007506CD"/>
    <w:rsid w:val="0075267F"/>
    <w:rsid w:val="007526EC"/>
    <w:rsid w:val="0075310C"/>
    <w:rsid w:val="00753347"/>
    <w:rsid w:val="00753C48"/>
    <w:rsid w:val="007545C1"/>
    <w:rsid w:val="00754C97"/>
    <w:rsid w:val="00754FE4"/>
    <w:rsid w:val="00755538"/>
    <w:rsid w:val="00756236"/>
    <w:rsid w:val="00756271"/>
    <w:rsid w:val="00756521"/>
    <w:rsid w:val="00756AB7"/>
    <w:rsid w:val="0075798D"/>
    <w:rsid w:val="00760477"/>
    <w:rsid w:val="00761938"/>
    <w:rsid w:val="00761AF4"/>
    <w:rsid w:val="00762071"/>
    <w:rsid w:val="007623FB"/>
    <w:rsid w:val="0076376A"/>
    <w:rsid w:val="0076500F"/>
    <w:rsid w:val="0076504E"/>
    <w:rsid w:val="00765D24"/>
    <w:rsid w:val="00765E6A"/>
    <w:rsid w:val="007664E0"/>
    <w:rsid w:val="00767EA0"/>
    <w:rsid w:val="0077068F"/>
    <w:rsid w:val="0077408D"/>
    <w:rsid w:val="00774270"/>
    <w:rsid w:val="00775679"/>
    <w:rsid w:val="00775803"/>
    <w:rsid w:val="007774BF"/>
    <w:rsid w:val="00777B32"/>
    <w:rsid w:val="0078051E"/>
    <w:rsid w:val="00781FDD"/>
    <w:rsid w:val="00782A9F"/>
    <w:rsid w:val="0078508A"/>
    <w:rsid w:val="00786D5C"/>
    <w:rsid w:val="00786E96"/>
    <w:rsid w:val="00787F93"/>
    <w:rsid w:val="007907CA"/>
    <w:rsid w:val="00791E6D"/>
    <w:rsid w:val="007928DC"/>
    <w:rsid w:val="00792E53"/>
    <w:rsid w:val="007933DF"/>
    <w:rsid w:val="007939CC"/>
    <w:rsid w:val="00796FB8"/>
    <w:rsid w:val="007A11C2"/>
    <w:rsid w:val="007A2367"/>
    <w:rsid w:val="007A41BF"/>
    <w:rsid w:val="007A490A"/>
    <w:rsid w:val="007A581D"/>
    <w:rsid w:val="007A7B95"/>
    <w:rsid w:val="007B0297"/>
    <w:rsid w:val="007B0F53"/>
    <w:rsid w:val="007B1DD8"/>
    <w:rsid w:val="007B21AE"/>
    <w:rsid w:val="007B2570"/>
    <w:rsid w:val="007B3113"/>
    <w:rsid w:val="007B3304"/>
    <w:rsid w:val="007B332B"/>
    <w:rsid w:val="007B394D"/>
    <w:rsid w:val="007B6423"/>
    <w:rsid w:val="007B7490"/>
    <w:rsid w:val="007B774A"/>
    <w:rsid w:val="007C0525"/>
    <w:rsid w:val="007C0B56"/>
    <w:rsid w:val="007C13F7"/>
    <w:rsid w:val="007C218D"/>
    <w:rsid w:val="007C2D28"/>
    <w:rsid w:val="007C3E22"/>
    <w:rsid w:val="007C67C6"/>
    <w:rsid w:val="007C707A"/>
    <w:rsid w:val="007C7E59"/>
    <w:rsid w:val="007D0B91"/>
    <w:rsid w:val="007D1452"/>
    <w:rsid w:val="007D1E29"/>
    <w:rsid w:val="007D460C"/>
    <w:rsid w:val="007D4AD3"/>
    <w:rsid w:val="007D4C8D"/>
    <w:rsid w:val="007D5D19"/>
    <w:rsid w:val="007D5FDC"/>
    <w:rsid w:val="007D6D68"/>
    <w:rsid w:val="007E01DA"/>
    <w:rsid w:val="007E1603"/>
    <w:rsid w:val="007E2E85"/>
    <w:rsid w:val="007E32DA"/>
    <w:rsid w:val="007E3FFB"/>
    <w:rsid w:val="007E4998"/>
    <w:rsid w:val="007E4A9C"/>
    <w:rsid w:val="007E6914"/>
    <w:rsid w:val="007E7F78"/>
    <w:rsid w:val="007F0C8B"/>
    <w:rsid w:val="007F1517"/>
    <w:rsid w:val="007F1D44"/>
    <w:rsid w:val="007F2C13"/>
    <w:rsid w:val="007F2CEC"/>
    <w:rsid w:val="007F4949"/>
    <w:rsid w:val="007F55DE"/>
    <w:rsid w:val="007F5605"/>
    <w:rsid w:val="007F6147"/>
    <w:rsid w:val="007F78FF"/>
    <w:rsid w:val="00800F6C"/>
    <w:rsid w:val="008025BE"/>
    <w:rsid w:val="00804C86"/>
    <w:rsid w:val="008051FC"/>
    <w:rsid w:val="008055A9"/>
    <w:rsid w:val="008070EB"/>
    <w:rsid w:val="00807376"/>
    <w:rsid w:val="00810B0E"/>
    <w:rsid w:val="00810E8E"/>
    <w:rsid w:val="0081142D"/>
    <w:rsid w:val="00812462"/>
    <w:rsid w:val="008126E2"/>
    <w:rsid w:val="0081481D"/>
    <w:rsid w:val="00814BE8"/>
    <w:rsid w:val="00814F6E"/>
    <w:rsid w:val="00815B84"/>
    <w:rsid w:val="00821A3D"/>
    <w:rsid w:val="00821B06"/>
    <w:rsid w:val="00822037"/>
    <w:rsid w:val="00822634"/>
    <w:rsid w:val="00823FC6"/>
    <w:rsid w:val="00823FFC"/>
    <w:rsid w:val="0082418A"/>
    <w:rsid w:val="00824811"/>
    <w:rsid w:val="00825C74"/>
    <w:rsid w:val="00826AB9"/>
    <w:rsid w:val="00826E0E"/>
    <w:rsid w:val="0082731F"/>
    <w:rsid w:val="00827D11"/>
    <w:rsid w:val="00827E0F"/>
    <w:rsid w:val="00827F6E"/>
    <w:rsid w:val="00831758"/>
    <w:rsid w:val="00831977"/>
    <w:rsid w:val="0083279F"/>
    <w:rsid w:val="00833B7F"/>
    <w:rsid w:val="00834906"/>
    <w:rsid w:val="00836075"/>
    <w:rsid w:val="00836417"/>
    <w:rsid w:val="008411F9"/>
    <w:rsid w:val="008413AB"/>
    <w:rsid w:val="00842D10"/>
    <w:rsid w:val="0084322B"/>
    <w:rsid w:val="00843B93"/>
    <w:rsid w:val="00843F81"/>
    <w:rsid w:val="00844087"/>
    <w:rsid w:val="0084519E"/>
    <w:rsid w:val="00846370"/>
    <w:rsid w:val="00847C2B"/>
    <w:rsid w:val="00851A7C"/>
    <w:rsid w:val="0085270D"/>
    <w:rsid w:val="008532BF"/>
    <w:rsid w:val="00853BF4"/>
    <w:rsid w:val="00854294"/>
    <w:rsid w:val="008555FB"/>
    <w:rsid w:val="0085788B"/>
    <w:rsid w:val="00857941"/>
    <w:rsid w:val="00857A9E"/>
    <w:rsid w:val="00857DE2"/>
    <w:rsid w:val="00863E7D"/>
    <w:rsid w:val="0086407F"/>
    <w:rsid w:val="00864E79"/>
    <w:rsid w:val="00866111"/>
    <w:rsid w:val="0086661F"/>
    <w:rsid w:val="00866A0D"/>
    <w:rsid w:val="00866DB5"/>
    <w:rsid w:val="0086784E"/>
    <w:rsid w:val="00867AF1"/>
    <w:rsid w:val="008720B3"/>
    <w:rsid w:val="00872118"/>
    <w:rsid w:val="00872827"/>
    <w:rsid w:val="00872A32"/>
    <w:rsid w:val="00874ECA"/>
    <w:rsid w:val="00876EAE"/>
    <w:rsid w:val="00880386"/>
    <w:rsid w:val="00880F95"/>
    <w:rsid w:val="00882B44"/>
    <w:rsid w:val="00882FE5"/>
    <w:rsid w:val="00886138"/>
    <w:rsid w:val="00886E66"/>
    <w:rsid w:val="008871B0"/>
    <w:rsid w:val="008912F5"/>
    <w:rsid w:val="0089181B"/>
    <w:rsid w:val="0089217C"/>
    <w:rsid w:val="008928A1"/>
    <w:rsid w:val="00893671"/>
    <w:rsid w:val="00895838"/>
    <w:rsid w:val="00895A72"/>
    <w:rsid w:val="00895CDF"/>
    <w:rsid w:val="008968C7"/>
    <w:rsid w:val="00897A55"/>
    <w:rsid w:val="008A0FC9"/>
    <w:rsid w:val="008A1956"/>
    <w:rsid w:val="008A40D3"/>
    <w:rsid w:val="008A469C"/>
    <w:rsid w:val="008A484A"/>
    <w:rsid w:val="008A5877"/>
    <w:rsid w:val="008A6539"/>
    <w:rsid w:val="008A701C"/>
    <w:rsid w:val="008B05DD"/>
    <w:rsid w:val="008B17E8"/>
    <w:rsid w:val="008B266C"/>
    <w:rsid w:val="008B2D03"/>
    <w:rsid w:val="008B2E7C"/>
    <w:rsid w:val="008B42AB"/>
    <w:rsid w:val="008B45A7"/>
    <w:rsid w:val="008B4A70"/>
    <w:rsid w:val="008B502F"/>
    <w:rsid w:val="008B5142"/>
    <w:rsid w:val="008B6AFE"/>
    <w:rsid w:val="008B7034"/>
    <w:rsid w:val="008B7227"/>
    <w:rsid w:val="008B73C2"/>
    <w:rsid w:val="008C191C"/>
    <w:rsid w:val="008C1DA4"/>
    <w:rsid w:val="008C2CD5"/>
    <w:rsid w:val="008C2E29"/>
    <w:rsid w:val="008C32B7"/>
    <w:rsid w:val="008C3618"/>
    <w:rsid w:val="008C3F20"/>
    <w:rsid w:val="008C43AD"/>
    <w:rsid w:val="008C59FB"/>
    <w:rsid w:val="008C6687"/>
    <w:rsid w:val="008C68F0"/>
    <w:rsid w:val="008C6F92"/>
    <w:rsid w:val="008C731F"/>
    <w:rsid w:val="008C74D9"/>
    <w:rsid w:val="008C79C3"/>
    <w:rsid w:val="008C7A47"/>
    <w:rsid w:val="008D0170"/>
    <w:rsid w:val="008D1052"/>
    <w:rsid w:val="008D124C"/>
    <w:rsid w:val="008D1983"/>
    <w:rsid w:val="008D1BB3"/>
    <w:rsid w:val="008D1C32"/>
    <w:rsid w:val="008D222C"/>
    <w:rsid w:val="008D22AE"/>
    <w:rsid w:val="008D234A"/>
    <w:rsid w:val="008D566C"/>
    <w:rsid w:val="008D58D9"/>
    <w:rsid w:val="008D66EA"/>
    <w:rsid w:val="008D6E59"/>
    <w:rsid w:val="008D7155"/>
    <w:rsid w:val="008D7DE4"/>
    <w:rsid w:val="008E09B3"/>
    <w:rsid w:val="008E141A"/>
    <w:rsid w:val="008E1A44"/>
    <w:rsid w:val="008E28E6"/>
    <w:rsid w:val="008E2B60"/>
    <w:rsid w:val="008E3232"/>
    <w:rsid w:val="008E3674"/>
    <w:rsid w:val="008E3B6C"/>
    <w:rsid w:val="008E688C"/>
    <w:rsid w:val="008E68BB"/>
    <w:rsid w:val="008E6C9B"/>
    <w:rsid w:val="008E77D4"/>
    <w:rsid w:val="008F0981"/>
    <w:rsid w:val="008F0AFD"/>
    <w:rsid w:val="008F17B2"/>
    <w:rsid w:val="008F28EE"/>
    <w:rsid w:val="008F357B"/>
    <w:rsid w:val="008F44CA"/>
    <w:rsid w:val="008F49B9"/>
    <w:rsid w:val="008F49D3"/>
    <w:rsid w:val="008F6519"/>
    <w:rsid w:val="008F7012"/>
    <w:rsid w:val="008F7B17"/>
    <w:rsid w:val="00900042"/>
    <w:rsid w:val="0090034B"/>
    <w:rsid w:val="00902623"/>
    <w:rsid w:val="00902890"/>
    <w:rsid w:val="00904BE4"/>
    <w:rsid w:val="0090504A"/>
    <w:rsid w:val="00905D7E"/>
    <w:rsid w:val="009063B7"/>
    <w:rsid w:val="00907037"/>
    <w:rsid w:val="009076EB"/>
    <w:rsid w:val="009108F3"/>
    <w:rsid w:val="0091160A"/>
    <w:rsid w:val="00912838"/>
    <w:rsid w:val="00913258"/>
    <w:rsid w:val="0091564D"/>
    <w:rsid w:val="009156DA"/>
    <w:rsid w:val="00916BC5"/>
    <w:rsid w:val="0091726A"/>
    <w:rsid w:val="00920184"/>
    <w:rsid w:val="00920EA4"/>
    <w:rsid w:val="00921792"/>
    <w:rsid w:val="00921BEA"/>
    <w:rsid w:val="00923998"/>
    <w:rsid w:val="00923DB4"/>
    <w:rsid w:val="0092430E"/>
    <w:rsid w:val="0092625F"/>
    <w:rsid w:val="009268A9"/>
    <w:rsid w:val="00927B37"/>
    <w:rsid w:val="009301B2"/>
    <w:rsid w:val="0093065F"/>
    <w:rsid w:val="009313DD"/>
    <w:rsid w:val="00931BDE"/>
    <w:rsid w:val="009321B1"/>
    <w:rsid w:val="00932ED7"/>
    <w:rsid w:val="0093357E"/>
    <w:rsid w:val="0093422D"/>
    <w:rsid w:val="00934DD7"/>
    <w:rsid w:val="009369A9"/>
    <w:rsid w:val="00936CF7"/>
    <w:rsid w:val="00937201"/>
    <w:rsid w:val="0093734A"/>
    <w:rsid w:val="00937783"/>
    <w:rsid w:val="00937D89"/>
    <w:rsid w:val="00940FE1"/>
    <w:rsid w:val="00942306"/>
    <w:rsid w:val="009424B8"/>
    <w:rsid w:val="009433A4"/>
    <w:rsid w:val="0094435B"/>
    <w:rsid w:val="00944668"/>
    <w:rsid w:val="00944DC6"/>
    <w:rsid w:val="0094537D"/>
    <w:rsid w:val="0094573F"/>
    <w:rsid w:val="009458B0"/>
    <w:rsid w:val="00945B52"/>
    <w:rsid w:val="00945DC0"/>
    <w:rsid w:val="00945F05"/>
    <w:rsid w:val="00946348"/>
    <w:rsid w:val="009471AD"/>
    <w:rsid w:val="009478A2"/>
    <w:rsid w:val="0095053B"/>
    <w:rsid w:val="0095074A"/>
    <w:rsid w:val="009512AB"/>
    <w:rsid w:val="00952DE9"/>
    <w:rsid w:val="00955643"/>
    <w:rsid w:val="00955FBB"/>
    <w:rsid w:val="0095694B"/>
    <w:rsid w:val="00956BD5"/>
    <w:rsid w:val="009574BB"/>
    <w:rsid w:val="009577B5"/>
    <w:rsid w:val="009608E6"/>
    <w:rsid w:val="009609E4"/>
    <w:rsid w:val="00961779"/>
    <w:rsid w:val="00962EB1"/>
    <w:rsid w:val="00966522"/>
    <w:rsid w:val="00967D3F"/>
    <w:rsid w:val="00967E78"/>
    <w:rsid w:val="00970D7E"/>
    <w:rsid w:val="00970F18"/>
    <w:rsid w:val="00971CF1"/>
    <w:rsid w:val="009721E9"/>
    <w:rsid w:val="00972A58"/>
    <w:rsid w:val="00973772"/>
    <w:rsid w:val="0097451E"/>
    <w:rsid w:val="00975E1E"/>
    <w:rsid w:val="00975E70"/>
    <w:rsid w:val="00977CD6"/>
    <w:rsid w:val="00982481"/>
    <w:rsid w:val="00982D26"/>
    <w:rsid w:val="0098330E"/>
    <w:rsid w:val="009849E9"/>
    <w:rsid w:val="00987812"/>
    <w:rsid w:val="00990225"/>
    <w:rsid w:val="0099244B"/>
    <w:rsid w:val="009947B6"/>
    <w:rsid w:val="00995150"/>
    <w:rsid w:val="009957F3"/>
    <w:rsid w:val="00995D67"/>
    <w:rsid w:val="009970BF"/>
    <w:rsid w:val="009A013B"/>
    <w:rsid w:val="009A02F4"/>
    <w:rsid w:val="009A1F12"/>
    <w:rsid w:val="009A2494"/>
    <w:rsid w:val="009A26CA"/>
    <w:rsid w:val="009A36F2"/>
    <w:rsid w:val="009A5749"/>
    <w:rsid w:val="009A57D0"/>
    <w:rsid w:val="009A6559"/>
    <w:rsid w:val="009A68FC"/>
    <w:rsid w:val="009A7514"/>
    <w:rsid w:val="009A7E7A"/>
    <w:rsid w:val="009B1584"/>
    <w:rsid w:val="009B2469"/>
    <w:rsid w:val="009B314F"/>
    <w:rsid w:val="009B439C"/>
    <w:rsid w:val="009B4A6C"/>
    <w:rsid w:val="009B5777"/>
    <w:rsid w:val="009B5779"/>
    <w:rsid w:val="009B6753"/>
    <w:rsid w:val="009B6A26"/>
    <w:rsid w:val="009C079D"/>
    <w:rsid w:val="009C0D70"/>
    <w:rsid w:val="009C13D1"/>
    <w:rsid w:val="009C2913"/>
    <w:rsid w:val="009C3008"/>
    <w:rsid w:val="009C365F"/>
    <w:rsid w:val="009C5AFE"/>
    <w:rsid w:val="009C6606"/>
    <w:rsid w:val="009C6CE5"/>
    <w:rsid w:val="009C6D50"/>
    <w:rsid w:val="009C7547"/>
    <w:rsid w:val="009D1678"/>
    <w:rsid w:val="009D1693"/>
    <w:rsid w:val="009D1C49"/>
    <w:rsid w:val="009D2721"/>
    <w:rsid w:val="009D2F60"/>
    <w:rsid w:val="009D338C"/>
    <w:rsid w:val="009D3D0D"/>
    <w:rsid w:val="009D5BAC"/>
    <w:rsid w:val="009D64BD"/>
    <w:rsid w:val="009D7B2F"/>
    <w:rsid w:val="009D7B6C"/>
    <w:rsid w:val="009D7F83"/>
    <w:rsid w:val="009E0D0A"/>
    <w:rsid w:val="009E0D1A"/>
    <w:rsid w:val="009E153F"/>
    <w:rsid w:val="009E2D6C"/>
    <w:rsid w:val="009E388B"/>
    <w:rsid w:val="009E393E"/>
    <w:rsid w:val="009E444E"/>
    <w:rsid w:val="009E4968"/>
    <w:rsid w:val="009E663C"/>
    <w:rsid w:val="009E6BB1"/>
    <w:rsid w:val="009F0092"/>
    <w:rsid w:val="009F0CD9"/>
    <w:rsid w:val="009F1A79"/>
    <w:rsid w:val="009F1F57"/>
    <w:rsid w:val="009F2456"/>
    <w:rsid w:val="009F2E26"/>
    <w:rsid w:val="009F4FCF"/>
    <w:rsid w:val="009F5DE2"/>
    <w:rsid w:val="009F65F4"/>
    <w:rsid w:val="009F676B"/>
    <w:rsid w:val="00A004DF"/>
    <w:rsid w:val="00A00D29"/>
    <w:rsid w:val="00A00FD5"/>
    <w:rsid w:val="00A019A8"/>
    <w:rsid w:val="00A01B03"/>
    <w:rsid w:val="00A02C66"/>
    <w:rsid w:val="00A03861"/>
    <w:rsid w:val="00A0464C"/>
    <w:rsid w:val="00A054E0"/>
    <w:rsid w:val="00A0663F"/>
    <w:rsid w:val="00A066CE"/>
    <w:rsid w:val="00A0740B"/>
    <w:rsid w:val="00A07427"/>
    <w:rsid w:val="00A075A9"/>
    <w:rsid w:val="00A077E2"/>
    <w:rsid w:val="00A11042"/>
    <w:rsid w:val="00A133D8"/>
    <w:rsid w:val="00A14E97"/>
    <w:rsid w:val="00A20069"/>
    <w:rsid w:val="00A20280"/>
    <w:rsid w:val="00A2244D"/>
    <w:rsid w:val="00A2253D"/>
    <w:rsid w:val="00A22AEC"/>
    <w:rsid w:val="00A2418A"/>
    <w:rsid w:val="00A247B8"/>
    <w:rsid w:val="00A24D39"/>
    <w:rsid w:val="00A24D8F"/>
    <w:rsid w:val="00A25B8B"/>
    <w:rsid w:val="00A269C3"/>
    <w:rsid w:val="00A26ECA"/>
    <w:rsid w:val="00A317A5"/>
    <w:rsid w:val="00A324C1"/>
    <w:rsid w:val="00A337DB"/>
    <w:rsid w:val="00A3467F"/>
    <w:rsid w:val="00A3470B"/>
    <w:rsid w:val="00A3551A"/>
    <w:rsid w:val="00A376E8"/>
    <w:rsid w:val="00A37E69"/>
    <w:rsid w:val="00A37F8E"/>
    <w:rsid w:val="00A41737"/>
    <w:rsid w:val="00A42B8F"/>
    <w:rsid w:val="00A43254"/>
    <w:rsid w:val="00A43896"/>
    <w:rsid w:val="00A43A26"/>
    <w:rsid w:val="00A447A0"/>
    <w:rsid w:val="00A459F5"/>
    <w:rsid w:val="00A45FC0"/>
    <w:rsid w:val="00A46B32"/>
    <w:rsid w:val="00A478D2"/>
    <w:rsid w:val="00A47ECC"/>
    <w:rsid w:val="00A5008C"/>
    <w:rsid w:val="00A50171"/>
    <w:rsid w:val="00A5102E"/>
    <w:rsid w:val="00A51083"/>
    <w:rsid w:val="00A5132E"/>
    <w:rsid w:val="00A51533"/>
    <w:rsid w:val="00A51E68"/>
    <w:rsid w:val="00A52F3B"/>
    <w:rsid w:val="00A531D4"/>
    <w:rsid w:val="00A55ACD"/>
    <w:rsid w:val="00A55CFA"/>
    <w:rsid w:val="00A575B8"/>
    <w:rsid w:val="00A64182"/>
    <w:rsid w:val="00A647B1"/>
    <w:rsid w:val="00A64DEF"/>
    <w:rsid w:val="00A65E4E"/>
    <w:rsid w:val="00A665DF"/>
    <w:rsid w:val="00A67F1B"/>
    <w:rsid w:val="00A67FCC"/>
    <w:rsid w:val="00A709F3"/>
    <w:rsid w:val="00A716DC"/>
    <w:rsid w:val="00A720AF"/>
    <w:rsid w:val="00A7217B"/>
    <w:rsid w:val="00A7293E"/>
    <w:rsid w:val="00A72EE4"/>
    <w:rsid w:val="00A73067"/>
    <w:rsid w:val="00A737C4"/>
    <w:rsid w:val="00A739A6"/>
    <w:rsid w:val="00A73C3B"/>
    <w:rsid w:val="00A75EF9"/>
    <w:rsid w:val="00A76BC9"/>
    <w:rsid w:val="00A77566"/>
    <w:rsid w:val="00A80563"/>
    <w:rsid w:val="00A8311C"/>
    <w:rsid w:val="00A84BC8"/>
    <w:rsid w:val="00A84C5F"/>
    <w:rsid w:val="00A85D91"/>
    <w:rsid w:val="00A86973"/>
    <w:rsid w:val="00A8721F"/>
    <w:rsid w:val="00A8740B"/>
    <w:rsid w:val="00A87519"/>
    <w:rsid w:val="00A905A2"/>
    <w:rsid w:val="00A9246D"/>
    <w:rsid w:val="00A93644"/>
    <w:rsid w:val="00A93BD0"/>
    <w:rsid w:val="00A944A1"/>
    <w:rsid w:val="00A95D69"/>
    <w:rsid w:val="00A975A4"/>
    <w:rsid w:val="00A977B3"/>
    <w:rsid w:val="00A97DC8"/>
    <w:rsid w:val="00AA2001"/>
    <w:rsid w:val="00AA2B5C"/>
    <w:rsid w:val="00AA4E59"/>
    <w:rsid w:val="00AA5328"/>
    <w:rsid w:val="00AA5393"/>
    <w:rsid w:val="00AA63D4"/>
    <w:rsid w:val="00AA6767"/>
    <w:rsid w:val="00AB02C2"/>
    <w:rsid w:val="00AB03FD"/>
    <w:rsid w:val="00AB38CB"/>
    <w:rsid w:val="00AB3BEC"/>
    <w:rsid w:val="00AB44E4"/>
    <w:rsid w:val="00AB4AEB"/>
    <w:rsid w:val="00AB5352"/>
    <w:rsid w:val="00AB56AE"/>
    <w:rsid w:val="00AB62D5"/>
    <w:rsid w:val="00AB65B5"/>
    <w:rsid w:val="00AB6DCD"/>
    <w:rsid w:val="00AB6EE0"/>
    <w:rsid w:val="00AB7A64"/>
    <w:rsid w:val="00AC2DFD"/>
    <w:rsid w:val="00AC352D"/>
    <w:rsid w:val="00AC40B7"/>
    <w:rsid w:val="00AC5122"/>
    <w:rsid w:val="00AC531F"/>
    <w:rsid w:val="00AC6121"/>
    <w:rsid w:val="00AC626D"/>
    <w:rsid w:val="00AC6CB1"/>
    <w:rsid w:val="00AC79DA"/>
    <w:rsid w:val="00AD0091"/>
    <w:rsid w:val="00AD23D8"/>
    <w:rsid w:val="00AD23EF"/>
    <w:rsid w:val="00AD307B"/>
    <w:rsid w:val="00AD31F9"/>
    <w:rsid w:val="00AD41B3"/>
    <w:rsid w:val="00AD4B31"/>
    <w:rsid w:val="00AD4C48"/>
    <w:rsid w:val="00AD57AF"/>
    <w:rsid w:val="00AD6267"/>
    <w:rsid w:val="00AD7317"/>
    <w:rsid w:val="00AE01A8"/>
    <w:rsid w:val="00AE069F"/>
    <w:rsid w:val="00AE0CBD"/>
    <w:rsid w:val="00AE123A"/>
    <w:rsid w:val="00AE28A7"/>
    <w:rsid w:val="00AE33A6"/>
    <w:rsid w:val="00AE3715"/>
    <w:rsid w:val="00AE3729"/>
    <w:rsid w:val="00AE55B2"/>
    <w:rsid w:val="00AE5C6A"/>
    <w:rsid w:val="00AE65F7"/>
    <w:rsid w:val="00AE7280"/>
    <w:rsid w:val="00AF033A"/>
    <w:rsid w:val="00AF1699"/>
    <w:rsid w:val="00AF3896"/>
    <w:rsid w:val="00AF3CEE"/>
    <w:rsid w:val="00AF6C33"/>
    <w:rsid w:val="00B0098A"/>
    <w:rsid w:val="00B00A5F"/>
    <w:rsid w:val="00B0225F"/>
    <w:rsid w:val="00B029B8"/>
    <w:rsid w:val="00B02F60"/>
    <w:rsid w:val="00B032B8"/>
    <w:rsid w:val="00B04B46"/>
    <w:rsid w:val="00B05050"/>
    <w:rsid w:val="00B0534D"/>
    <w:rsid w:val="00B06368"/>
    <w:rsid w:val="00B06FC6"/>
    <w:rsid w:val="00B07163"/>
    <w:rsid w:val="00B07429"/>
    <w:rsid w:val="00B12FE6"/>
    <w:rsid w:val="00B1303F"/>
    <w:rsid w:val="00B1364A"/>
    <w:rsid w:val="00B13D3C"/>
    <w:rsid w:val="00B1525C"/>
    <w:rsid w:val="00B16715"/>
    <w:rsid w:val="00B17910"/>
    <w:rsid w:val="00B20F18"/>
    <w:rsid w:val="00B21516"/>
    <w:rsid w:val="00B22CE0"/>
    <w:rsid w:val="00B23738"/>
    <w:rsid w:val="00B23BEF"/>
    <w:rsid w:val="00B247BB"/>
    <w:rsid w:val="00B25C11"/>
    <w:rsid w:val="00B25EDF"/>
    <w:rsid w:val="00B25EE6"/>
    <w:rsid w:val="00B27BC0"/>
    <w:rsid w:val="00B3115A"/>
    <w:rsid w:val="00B31A5C"/>
    <w:rsid w:val="00B33C19"/>
    <w:rsid w:val="00B34861"/>
    <w:rsid w:val="00B363BD"/>
    <w:rsid w:val="00B369F7"/>
    <w:rsid w:val="00B36A99"/>
    <w:rsid w:val="00B37537"/>
    <w:rsid w:val="00B41B81"/>
    <w:rsid w:val="00B42980"/>
    <w:rsid w:val="00B434B2"/>
    <w:rsid w:val="00B434C7"/>
    <w:rsid w:val="00B43D45"/>
    <w:rsid w:val="00B44771"/>
    <w:rsid w:val="00B4650E"/>
    <w:rsid w:val="00B468F2"/>
    <w:rsid w:val="00B46B45"/>
    <w:rsid w:val="00B46D3D"/>
    <w:rsid w:val="00B46F6B"/>
    <w:rsid w:val="00B47286"/>
    <w:rsid w:val="00B47894"/>
    <w:rsid w:val="00B50234"/>
    <w:rsid w:val="00B51BF4"/>
    <w:rsid w:val="00B52C68"/>
    <w:rsid w:val="00B542FE"/>
    <w:rsid w:val="00B55A1B"/>
    <w:rsid w:val="00B561DB"/>
    <w:rsid w:val="00B57494"/>
    <w:rsid w:val="00B61DCE"/>
    <w:rsid w:val="00B62188"/>
    <w:rsid w:val="00B62467"/>
    <w:rsid w:val="00B62F79"/>
    <w:rsid w:val="00B62F82"/>
    <w:rsid w:val="00B6373D"/>
    <w:rsid w:val="00B648FA"/>
    <w:rsid w:val="00B662FF"/>
    <w:rsid w:val="00B72C80"/>
    <w:rsid w:val="00B730B4"/>
    <w:rsid w:val="00B74340"/>
    <w:rsid w:val="00B744E0"/>
    <w:rsid w:val="00B7481A"/>
    <w:rsid w:val="00B74F2F"/>
    <w:rsid w:val="00B756FB"/>
    <w:rsid w:val="00B769BC"/>
    <w:rsid w:val="00B77349"/>
    <w:rsid w:val="00B7761E"/>
    <w:rsid w:val="00B80A37"/>
    <w:rsid w:val="00B80A3D"/>
    <w:rsid w:val="00B823E0"/>
    <w:rsid w:val="00B82B78"/>
    <w:rsid w:val="00B84662"/>
    <w:rsid w:val="00B85402"/>
    <w:rsid w:val="00B864A3"/>
    <w:rsid w:val="00B86C2A"/>
    <w:rsid w:val="00B877F1"/>
    <w:rsid w:val="00B902A5"/>
    <w:rsid w:val="00B90420"/>
    <w:rsid w:val="00B913E4"/>
    <w:rsid w:val="00B91DB9"/>
    <w:rsid w:val="00B93EFE"/>
    <w:rsid w:val="00B94956"/>
    <w:rsid w:val="00B94C7F"/>
    <w:rsid w:val="00B956B5"/>
    <w:rsid w:val="00B95C3A"/>
    <w:rsid w:val="00B95FCE"/>
    <w:rsid w:val="00B97330"/>
    <w:rsid w:val="00BA0D44"/>
    <w:rsid w:val="00BA0E26"/>
    <w:rsid w:val="00BA31BF"/>
    <w:rsid w:val="00BA43FC"/>
    <w:rsid w:val="00BA478B"/>
    <w:rsid w:val="00BA5224"/>
    <w:rsid w:val="00BA7B27"/>
    <w:rsid w:val="00BA7CA7"/>
    <w:rsid w:val="00BA7E3B"/>
    <w:rsid w:val="00BB079C"/>
    <w:rsid w:val="00BB2B56"/>
    <w:rsid w:val="00BB39C1"/>
    <w:rsid w:val="00BB5D16"/>
    <w:rsid w:val="00BB6180"/>
    <w:rsid w:val="00BB69E6"/>
    <w:rsid w:val="00BB7D2A"/>
    <w:rsid w:val="00BC1B7A"/>
    <w:rsid w:val="00BC2BC7"/>
    <w:rsid w:val="00BC2C17"/>
    <w:rsid w:val="00BC3ACD"/>
    <w:rsid w:val="00BC3C33"/>
    <w:rsid w:val="00BC66D7"/>
    <w:rsid w:val="00BC6E73"/>
    <w:rsid w:val="00BD0014"/>
    <w:rsid w:val="00BD01D8"/>
    <w:rsid w:val="00BD0CBE"/>
    <w:rsid w:val="00BD2512"/>
    <w:rsid w:val="00BD255F"/>
    <w:rsid w:val="00BD383D"/>
    <w:rsid w:val="00BD4236"/>
    <w:rsid w:val="00BD575B"/>
    <w:rsid w:val="00BD5CCA"/>
    <w:rsid w:val="00BD5CD4"/>
    <w:rsid w:val="00BD6652"/>
    <w:rsid w:val="00BD6EF9"/>
    <w:rsid w:val="00BD77DD"/>
    <w:rsid w:val="00BE0ACB"/>
    <w:rsid w:val="00BE1A90"/>
    <w:rsid w:val="00BE3537"/>
    <w:rsid w:val="00BE360F"/>
    <w:rsid w:val="00BE50FD"/>
    <w:rsid w:val="00BE51CA"/>
    <w:rsid w:val="00BE5E5A"/>
    <w:rsid w:val="00BE6D47"/>
    <w:rsid w:val="00BE7032"/>
    <w:rsid w:val="00BE7330"/>
    <w:rsid w:val="00BF01C5"/>
    <w:rsid w:val="00BF066A"/>
    <w:rsid w:val="00BF361C"/>
    <w:rsid w:val="00BF4342"/>
    <w:rsid w:val="00BF5050"/>
    <w:rsid w:val="00BF5422"/>
    <w:rsid w:val="00BF54CF"/>
    <w:rsid w:val="00BF59B1"/>
    <w:rsid w:val="00BF6A78"/>
    <w:rsid w:val="00BF6E19"/>
    <w:rsid w:val="00BF79B4"/>
    <w:rsid w:val="00C01427"/>
    <w:rsid w:val="00C016A1"/>
    <w:rsid w:val="00C0508D"/>
    <w:rsid w:val="00C058AF"/>
    <w:rsid w:val="00C11AAA"/>
    <w:rsid w:val="00C124C1"/>
    <w:rsid w:val="00C128AE"/>
    <w:rsid w:val="00C136D6"/>
    <w:rsid w:val="00C136EB"/>
    <w:rsid w:val="00C13D5B"/>
    <w:rsid w:val="00C16047"/>
    <w:rsid w:val="00C17AE2"/>
    <w:rsid w:val="00C20F27"/>
    <w:rsid w:val="00C215CF"/>
    <w:rsid w:val="00C2244B"/>
    <w:rsid w:val="00C22B0D"/>
    <w:rsid w:val="00C22F55"/>
    <w:rsid w:val="00C240C1"/>
    <w:rsid w:val="00C250D0"/>
    <w:rsid w:val="00C252AC"/>
    <w:rsid w:val="00C255AB"/>
    <w:rsid w:val="00C27214"/>
    <w:rsid w:val="00C27597"/>
    <w:rsid w:val="00C30382"/>
    <w:rsid w:val="00C30D6F"/>
    <w:rsid w:val="00C31063"/>
    <w:rsid w:val="00C31B7E"/>
    <w:rsid w:val="00C3242A"/>
    <w:rsid w:val="00C32AE2"/>
    <w:rsid w:val="00C33201"/>
    <w:rsid w:val="00C332C4"/>
    <w:rsid w:val="00C33C3C"/>
    <w:rsid w:val="00C360B3"/>
    <w:rsid w:val="00C3679B"/>
    <w:rsid w:val="00C37027"/>
    <w:rsid w:val="00C3778D"/>
    <w:rsid w:val="00C405A3"/>
    <w:rsid w:val="00C42752"/>
    <w:rsid w:val="00C42973"/>
    <w:rsid w:val="00C44F9C"/>
    <w:rsid w:val="00C4730E"/>
    <w:rsid w:val="00C5019C"/>
    <w:rsid w:val="00C5034F"/>
    <w:rsid w:val="00C52479"/>
    <w:rsid w:val="00C5291F"/>
    <w:rsid w:val="00C52C59"/>
    <w:rsid w:val="00C5349E"/>
    <w:rsid w:val="00C5354B"/>
    <w:rsid w:val="00C54467"/>
    <w:rsid w:val="00C54D3D"/>
    <w:rsid w:val="00C55116"/>
    <w:rsid w:val="00C55A30"/>
    <w:rsid w:val="00C57C58"/>
    <w:rsid w:val="00C6028F"/>
    <w:rsid w:val="00C608F1"/>
    <w:rsid w:val="00C631E1"/>
    <w:rsid w:val="00C638D8"/>
    <w:rsid w:val="00C63C84"/>
    <w:rsid w:val="00C63D26"/>
    <w:rsid w:val="00C641EB"/>
    <w:rsid w:val="00C65053"/>
    <w:rsid w:val="00C65BD9"/>
    <w:rsid w:val="00C66061"/>
    <w:rsid w:val="00C66F69"/>
    <w:rsid w:val="00C67223"/>
    <w:rsid w:val="00C67CFF"/>
    <w:rsid w:val="00C707B8"/>
    <w:rsid w:val="00C7084B"/>
    <w:rsid w:val="00C71C15"/>
    <w:rsid w:val="00C71F3D"/>
    <w:rsid w:val="00C72F53"/>
    <w:rsid w:val="00C74035"/>
    <w:rsid w:val="00C76FF4"/>
    <w:rsid w:val="00C77818"/>
    <w:rsid w:val="00C77AE3"/>
    <w:rsid w:val="00C8063F"/>
    <w:rsid w:val="00C81549"/>
    <w:rsid w:val="00C829A1"/>
    <w:rsid w:val="00C83B36"/>
    <w:rsid w:val="00C84F8A"/>
    <w:rsid w:val="00C85209"/>
    <w:rsid w:val="00C8618F"/>
    <w:rsid w:val="00C90372"/>
    <w:rsid w:val="00C9041F"/>
    <w:rsid w:val="00C91A45"/>
    <w:rsid w:val="00C91ED2"/>
    <w:rsid w:val="00C91FB4"/>
    <w:rsid w:val="00C95745"/>
    <w:rsid w:val="00C962E3"/>
    <w:rsid w:val="00C965BD"/>
    <w:rsid w:val="00C97997"/>
    <w:rsid w:val="00CA08FE"/>
    <w:rsid w:val="00CA0FAC"/>
    <w:rsid w:val="00CA25C0"/>
    <w:rsid w:val="00CA3451"/>
    <w:rsid w:val="00CA4948"/>
    <w:rsid w:val="00CA52F9"/>
    <w:rsid w:val="00CA568B"/>
    <w:rsid w:val="00CA7500"/>
    <w:rsid w:val="00CB1239"/>
    <w:rsid w:val="00CB178B"/>
    <w:rsid w:val="00CB19FE"/>
    <w:rsid w:val="00CB23C2"/>
    <w:rsid w:val="00CB304C"/>
    <w:rsid w:val="00CB53E8"/>
    <w:rsid w:val="00CB594A"/>
    <w:rsid w:val="00CB5CB2"/>
    <w:rsid w:val="00CB6979"/>
    <w:rsid w:val="00CB74EC"/>
    <w:rsid w:val="00CC0A3D"/>
    <w:rsid w:val="00CC2373"/>
    <w:rsid w:val="00CC3C6A"/>
    <w:rsid w:val="00CC3D24"/>
    <w:rsid w:val="00CC3F91"/>
    <w:rsid w:val="00CC4B0A"/>
    <w:rsid w:val="00CC544A"/>
    <w:rsid w:val="00CC57EA"/>
    <w:rsid w:val="00CC5954"/>
    <w:rsid w:val="00CC6C4E"/>
    <w:rsid w:val="00CD05A2"/>
    <w:rsid w:val="00CD19DA"/>
    <w:rsid w:val="00CD29D4"/>
    <w:rsid w:val="00CD38F5"/>
    <w:rsid w:val="00CD437E"/>
    <w:rsid w:val="00CD5A89"/>
    <w:rsid w:val="00CD5DAD"/>
    <w:rsid w:val="00CD72C5"/>
    <w:rsid w:val="00CD79A7"/>
    <w:rsid w:val="00CE0789"/>
    <w:rsid w:val="00CE1A03"/>
    <w:rsid w:val="00CE2346"/>
    <w:rsid w:val="00CE3529"/>
    <w:rsid w:val="00CE35C8"/>
    <w:rsid w:val="00CE3962"/>
    <w:rsid w:val="00CE5105"/>
    <w:rsid w:val="00CE56BD"/>
    <w:rsid w:val="00CE5EC0"/>
    <w:rsid w:val="00CE6F9F"/>
    <w:rsid w:val="00CE773B"/>
    <w:rsid w:val="00CE781A"/>
    <w:rsid w:val="00CE7B3A"/>
    <w:rsid w:val="00CF10D4"/>
    <w:rsid w:val="00CF1D74"/>
    <w:rsid w:val="00CF2BE2"/>
    <w:rsid w:val="00CF55F9"/>
    <w:rsid w:val="00CF71A6"/>
    <w:rsid w:val="00CF7495"/>
    <w:rsid w:val="00CF7671"/>
    <w:rsid w:val="00D01CF9"/>
    <w:rsid w:val="00D0334D"/>
    <w:rsid w:val="00D0374D"/>
    <w:rsid w:val="00D05A76"/>
    <w:rsid w:val="00D07F1D"/>
    <w:rsid w:val="00D10558"/>
    <w:rsid w:val="00D1203E"/>
    <w:rsid w:val="00D13E70"/>
    <w:rsid w:val="00D16C58"/>
    <w:rsid w:val="00D17019"/>
    <w:rsid w:val="00D170C1"/>
    <w:rsid w:val="00D21168"/>
    <w:rsid w:val="00D235C8"/>
    <w:rsid w:val="00D2438C"/>
    <w:rsid w:val="00D25DFA"/>
    <w:rsid w:val="00D26C3F"/>
    <w:rsid w:val="00D27185"/>
    <w:rsid w:val="00D27C40"/>
    <w:rsid w:val="00D32B84"/>
    <w:rsid w:val="00D337AE"/>
    <w:rsid w:val="00D33AB3"/>
    <w:rsid w:val="00D33F24"/>
    <w:rsid w:val="00D346B7"/>
    <w:rsid w:val="00D346B8"/>
    <w:rsid w:val="00D350CE"/>
    <w:rsid w:val="00D35AC8"/>
    <w:rsid w:val="00D35D34"/>
    <w:rsid w:val="00D36F87"/>
    <w:rsid w:val="00D37E4E"/>
    <w:rsid w:val="00D42E6C"/>
    <w:rsid w:val="00D43218"/>
    <w:rsid w:val="00D43B80"/>
    <w:rsid w:val="00D44236"/>
    <w:rsid w:val="00D45B1E"/>
    <w:rsid w:val="00D45BA4"/>
    <w:rsid w:val="00D471AF"/>
    <w:rsid w:val="00D4724F"/>
    <w:rsid w:val="00D50519"/>
    <w:rsid w:val="00D516A5"/>
    <w:rsid w:val="00D5264C"/>
    <w:rsid w:val="00D5289A"/>
    <w:rsid w:val="00D537FE"/>
    <w:rsid w:val="00D538F0"/>
    <w:rsid w:val="00D54A6A"/>
    <w:rsid w:val="00D54BF8"/>
    <w:rsid w:val="00D54D7C"/>
    <w:rsid w:val="00D55951"/>
    <w:rsid w:val="00D572BE"/>
    <w:rsid w:val="00D57EB6"/>
    <w:rsid w:val="00D60ED7"/>
    <w:rsid w:val="00D63586"/>
    <w:rsid w:val="00D64173"/>
    <w:rsid w:val="00D65916"/>
    <w:rsid w:val="00D65C2E"/>
    <w:rsid w:val="00D664BF"/>
    <w:rsid w:val="00D66D8B"/>
    <w:rsid w:val="00D72A1C"/>
    <w:rsid w:val="00D73580"/>
    <w:rsid w:val="00D73802"/>
    <w:rsid w:val="00D73868"/>
    <w:rsid w:val="00D73C2C"/>
    <w:rsid w:val="00D73D52"/>
    <w:rsid w:val="00D745E7"/>
    <w:rsid w:val="00D77495"/>
    <w:rsid w:val="00D774ED"/>
    <w:rsid w:val="00D777F6"/>
    <w:rsid w:val="00D77F88"/>
    <w:rsid w:val="00D8044C"/>
    <w:rsid w:val="00D81EAA"/>
    <w:rsid w:val="00D8259F"/>
    <w:rsid w:val="00D825F2"/>
    <w:rsid w:val="00D828B1"/>
    <w:rsid w:val="00D84F27"/>
    <w:rsid w:val="00D850D4"/>
    <w:rsid w:val="00D862D1"/>
    <w:rsid w:val="00D873C6"/>
    <w:rsid w:val="00D9067E"/>
    <w:rsid w:val="00D91027"/>
    <w:rsid w:val="00D937E0"/>
    <w:rsid w:val="00D94C7D"/>
    <w:rsid w:val="00D94CA4"/>
    <w:rsid w:val="00D94FB4"/>
    <w:rsid w:val="00D95E99"/>
    <w:rsid w:val="00DA098C"/>
    <w:rsid w:val="00DA1A3A"/>
    <w:rsid w:val="00DA2C65"/>
    <w:rsid w:val="00DA395D"/>
    <w:rsid w:val="00DA44EB"/>
    <w:rsid w:val="00DB16B8"/>
    <w:rsid w:val="00DB1D52"/>
    <w:rsid w:val="00DB1F62"/>
    <w:rsid w:val="00DB2E03"/>
    <w:rsid w:val="00DB3742"/>
    <w:rsid w:val="00DB3F4B"/>
    <w:rsid w:val="00DB61A4"/>
    <w:rsid w:val="00DB67C1"/>
    <w:rsid w:val="00DB70CD"/>
    <w:rsid w:val="00DB70F4"/>
    <w:rsid w:val="00DC1056"/>
    <w:rsid w:val="00DC16DA"/>
    <w:rsid w:val="00DC211E"/>
    <w:rsid w:val="00DC21D8"/>
    <w:rsid w:val="00DC2369"/>
    <w:rsid w:val="00DC282A"/>
    <w:rsid w:val="00DC34DC"/>
    <w:rsid w:val="00DC3CC6"/>
    <w:rsid w:val="00DC514A"/>
    <w:rsid w:val="00DC64EC"/>
    <w:rsid w:val="00DC67B1"/>
    <w:rsid w:val="00DC7833"/>
    <w:rsid w:val="00DD132B"/>
    <w:rsid w:val="00DD1725"/>
    <w:rsid w:val="00DD21B9"/>
    <w:rsid w:val="00DD2427"/>
    <w:rsid w:val="00DD2A18"/>
    <w:rsid w:val="00DD5AB3"/>
    <w:rsid w:val="00DD5B1A"/>
    <w:rsid w:val="00DD61E8"/>
    <w:rsid w:val="00DD62C0"/>
    <w:rsid w:val="00DD7859"/>
    <w:rsid w:val="00DE03AC"/>
    <w:rsid w:val="00DE0A1D"/>
    <w:rsid w:val="00DE15B2"/>
    <w:rsid w:val="00DE1A9A"/>
    <w:rsid w:val="00DE3D2C"/>
    <w:rsid w:val="00DE43D0"/>
    <w:rsid w:val="00DE5E82"/>
    <w:rsid w:val="00DE5FA6"/>
    <w:rsid w:val="00DE6494"/>
    <w:rsid w:val="00DE6AA1"/>
    <w:rsid w:val="00DE6C57"/>
    <w:rsid w:val="00DE74D7"/>
    <w:rsid w:val="00DE7EF7"/>
    <w:rsid w:val="00DF1185"/>
    <w:rsid w:val="00DF1299"/>
    <w:rsid w:val="00DF164F"/>
    <w:rsid w:val="00DF1A70"/>
    <w:rsid w:val="00DF23A8"/>
    <w:rsid w:val="00DF2F27"/>
    <w:rsid w:val="00DF6CCC"/>
    <w:rsid w:val="00DF6D0C"/>
    <w:rsid w:val="00DF6F64"/>
    <w:rsid w:val="00DF721E"/>
    <w:rsid w:val="00DF7C87"/>
    <w:rsid w:val="00E009B0"/>
    <w:rsid w:val="00E0345F"/>
    <w:rsid w:val="00E03D5C"/>
    <w:rsid w:val="00E043AC"/>
    <w:rsid w:val="00E046A9"/>
    <w:rsid w:val="00E04C0F"/>
    <w:rsid w:val="00E0570B"/>
    <w:rsid w:val="00E057B2"/>
    <w:rsid w:val="00E05996"/>
    <w:rsid w:val="00E10B87"/>
    <w:rsid w:val="00E135D8"/>
    <w:rsid w:val="00E1478B"/>
    <w:rsid w:val="00E14FAC"/>
    <w:rsid w:val="00E15007"/>
    <w:rsid w:val="00E16EC7"/>
    <w:rsid w:val="00E1714F"/>
    <w:rsid w:val="00E21576"/>
    <w:rsid w:val="00E219CE"/>
    <w:rsid w:val="00E23961"/>
    <w:rsid w:val="00E24071"/>
    <w:rsid w:val="00E24EBC"/>
    <w:rsid w:val="00E2522C"/>
    <w:rsid w:val="00E2599B"/>
    <w:rsid w:val="00E27383"/>
    <w:rsid w:val="00E2793D"/>
    <w:rsid w:val="00E31AFA"/>
    <w:rsid w:val="00E3203D"/>
    <w:rsid w:val="00E324EE"/>
    <w:rsid w:val="00E34296"/>
    <w:rsid w:val="00E359FF"/>
    <w:rsid w:val="00E36AA7"/>
    <w:rsid w:val="00E36E39"/>
    <w:rsid w:val="00E405F1"/>
    <w:rsid w:val="00E43054"/>
    <w:rsid w:val="00E434C4"/>
    <w:rsid w:val="00E44FE4"/>
    <w:rsid w:val="00E45D30"/>
    <w:rsid w:val="00E46013"/>
    <w:rsid w:val="00E4654B"/>
    <w:rsid w:val="00E477C3"/>
    <w:rsid w:val="00E5048D"/>
    <w:rsid w:val="00E50AC4"/>
    <w:rsid w:val="00E50E2C"/>
    <w:rsid w:val="00E51077"/>
    <w:rsid w:val="00E5132D"/>
    <w:rsid w:val="00E51741"/>
    <w:rsid w:val="00E51E16"/>
    <w:rsid w:val="00E52151"/>
    <w:rsid w:val="00E53730"/>
    <w:rsid w:val="00E53C46"/>
    <w:rsid w:val="00E54511"/>
    <w:rsid w:val="00E55DC3"/>
    <w:rsid w:val="00E57577"/>
    <w:rsid w:val="00E62043"/>
    <w:rsid w:val="00E626B9"/>
    <w:rsid w:val="00E627C9"/>
    <w:rsid w:val="00E630F3"/>
    <w:rsid w:val="00E65198"/>
    <w:rsid w:val="00E664FB"/>
    <w:rsid w:val="00E66F0D"/>
    <w:rsid w:val="00E672F9"/>
    <w:rsid w:val="00E67345"/>
    <w:rsid w:val="00E70615"/>
    <w:rsid w:val="00E71A5E"/>
    <w:rsid w:val="00E7207B"/>
    <w:rsid w:val="00E7347A"/>
    <w:rsid w:val="00E75325"/>
    <w:rsid w:val="00E759FB"/>
    <w:rsid w:val="00E75A47"/>
    <w:rsid w:val="00E75D8C"/>
    <w:rsid w:val="00E77771"/>
    <w:rsid w:val="00E777F2"/>
    <w:rsid w:val="00E779ED"/>
    <w:rsid w:val="00E802C9"/>
    <w:rsid w:val="00E80EDD"/>
    <w:rsid w:val="00E80F0A"/>
    <w:rsid w:val="00E81A6A"/>
    <w:rsid w:val="00E8291B"/>
    <w:rsid w:val="00E8395F"/>
    <w:rsid w:val="00E8473F"/>
    <w:rsid w:val="00E85E41"/>
    <w:rsid w:val="00E85EA1"/>
    <w:rsid w:val="00E866CD"/>
    <w:rsid w:val="00E91044"/>
    <w:rsid w:val="00E910D3"/>
    <w:rsid w:val="00E923CF"/>
    <w:rsid w:val="00E9335F"/>
    <w:rsid w:val="00E95111"/>
    <w:rsid w:val="00EA061E"/>
    <w:rsid w:val="00EA14C8"/>
    <w:rsid w:val="00EA19D3"/>
    <w:rsid w:val="00EA40E8"/>
    <w:rsid w:val="00EA6649"/>
    <w:rsid w:val="00EB05D0"/>
    <w:rsid w:val="00EB07C5"/>
    <w:rsid w:val="00EB1D49"/>
    <w:rsid w:val="00EB42DD"/>
    <w:rsid w:val="00EB559F"/>
    <w:rsid w:val="00EB5F3D"/>
    <w:rsid w:val="00EB6EC2"/>
    <w:rsid w:val="00EC1CEB"/>
    <w:rsid w:val="00EC21A7"/>
    <w:rsid w:val="00EC268C"/>
    <w:rsid w:val="00EC3753"/>
    <w:rsid w:val="00EC3CB8"/>
    <w:rsid w:val="00EC3D46"/>
    <w:rsid w:val="00EC4E71"/>
    <w:rsid w:val="00EC6667"/>
    <w:rsid w:val="00EC7269"/>
    <w:rsid w:val="00ED0365"/>
    <w:rsid w:val="00ED0865"/>
    <w:rsid w:val="00ED094F"/>
    <w:rsid w:val="00ED16B6"/>
    <w:rsid w:val="00ED1C60"/>
    <w:rsid w:val="00ED2EB9"/>
    <w:rsid w:val="00ED4469"/>
    <w:rsid w:val="00ED5F23"/>
    <w:rsid w:val="00ED6DC0"/>
    <w:rsid w:val="00ED79CE"/>
    <w:rsid w:val="00ED7A7A"/>
    <w:rsid w:val="00EE038C"/>
    <w:rsid w:val="00EE040B"/>
    <w:rsid w:val="00EE47C5"/>
    <w:rsid w:val="00EE490C"/>
    <w:rsid w:val="00EE55F9"/>
    <w:rsid w:val="00EE613B"/>
    <w:rsid w:val="00EE7E17"/>
    <w:rsid w:val="00EF2C8E"/>
    <w:rsid w:val="00EF3A0D"/>
    <w:rsid w:val="00EF3CEB"/>
    <w:rsid w:val="00EF41A8"/>
    <w:rsid w:val="00EF44FB"/>
    <w:rsid w:val="00EF4D3C"/>
    <w:rsid w:val="00EF51CA"/>
    <w:rsid w:val="00EF5554"/>
    <w:rsid w:val="00EF5AD8"/>
    <w:rsid w:val="00EF5D2F"/>
    <w:rsid w:val="00EF63F5"/>
    <w:rsid w:val="00EF6758"/>
    <w:rsid w:val="00EF6B90"/>
    <w:rsid w:val="00EF70AE"/>
    <w:rsid w:val="00EF79F7"/>
    <w:rsid w:val="00F00418"/>
    <w:rsid w:val="00F006C0"/>
    <w:rsid w:val="00F009BB"/>
    <w:rsid w:val="00F019AA"/>
    <w:rsid w:val="00F0267E"/>
    <w:rsid w:val="00F02686"/>
    <w:rsid w:val="00F0459B"/>
    <w:rsid w:val="00F046F3"/>
    <w:rsid w:val="00F04E15"/>
    <w:rsid w:val="00F05DF3"/>
    <w:rsid w:val="00F0641B"/>
    <w:rsid w:val="00F069EA"/>
    <w:rsid w:val="00F07B6E"/>
    <w:rsid w:val="00F07DF8"/>
    <w:rsid w:val="00F11461"/>
    <w:rsid w:val="00F11675"/>
    <w:rsid w:val="00F1182D"/>
    <w:rsid w:val="00F12557"/>
    <w:rsid w:val="00F13A8F"/>
    <w:rsid w:val="00F144F8"/>
    <w:rsid w:val="00F14DF8"/>
    <w:rsid w:val="00F164A3"/>
    <w:rsid w:val="00F17AD9"/>
    <w:rsid w:val="00F17F74"/>
    <w:rsid w:val="00F202C2"/>
    <w:rsid w:val="00F209D5"/>
    <w:rsid w:val="00F22756"/>
    <w:rsid w:val="00F23890"/>
    <w:rsid w:val="00F2447A"/>
    <w:rsid w:val="00F24638"/>
    <w:rsid w:val="00F2504D"/>
    <w:rsid w:val="00F2637F"/>
    <w:rsid w:val="00F263A8"/>
    <w:rsid w:val="00F268F7"/>
    <w:rsid w:val="00F3053D"/>
    <w:rsid w:val="00F30BDB"/>
    <w:rsid w:val="00F30CF8"/>
    <w:rsid w:val="00F31633"/>
    <w:rsid w:val="00F31EDF"/>
    <w:rsid w:val="00F32CDE"/>
    <w:rsid w:val="00F32D4C"/>
    <w:rsid w:val="00F34811"/>
    <w:rsid w:val="00F34B14"/>
    <w:rsid w:val="00F36A6A"/>
    <w:rsid w:val="00F40101"/>
    <w:rsid w:val="00F404F7"/>
    <w:rsid w:val="00F40CCA"/>
    <w:rsid w:val="00F41521"/>
    <w:rsid w:val="00F42D97"/>
    <w:rsid w:val="00F43F09"/>
    <w:rsid w:val="00F45A72"/>
    <w:rsid w:val="00F46723"/>
    <w:rsid w:val="00F50016"/>
    <w:rsid w:val="00F50647"/>
    <w:rsid w:val="00F5118A"/>
    <w:rsid w:val="00F51A21"/>
    <w:rsid w:val="00F5276E"/>
    <w:rsid w:val="00F529F9"/>
    <w:rsid w:val="00F52E9F"/>
    <w:rsid w:val="00F53304"/>
    <w:rsid w:val="00F53D37"/>
    <w:rsid w:val="00F53D40"/>
    <w:rsid w:val="00F545ED"/>
    <w:rsid w:val="00F554C3"/>
    <w:rsid w:val="00F5687F"/>
    <w:rsid w:val="00F5727D"/>
    <w:rsid w:val="00F575C7"/>
    <w:rsid w:val="00F60305"/>
    <w:rsid w:val="00F61B12"/>
    <w:rsid w:val="00F620C5"/>
    <w:rsid w:val="00F62398"/>
    <w:rsid w:val="00F626C5"/>
    <w:rsid w:val="00F631E8"/>
    <w:rsid w:val="00F63223"/>
    <w:rsid w:val="00F63264"/>
    <w:rsid w:val="00F6379E"/>
    <w:rsid w:val="00F66EC0"/>
    <w:rsid w:val="00F70799"/>
    <w:rsid w:val="00F70906"/>
    <w:rsid w:val="00F70A8B"/>
    <w:rsid w:val="00F724FB"/>
    <w:rsid w:val="00F72578"/>
    <w:rsid w:val="00F72A26"/>
    <w:rsid w:val="00F72CA9"/>
    <w:rsid w:val="00F733C3"/>
    <w:rsid w:val="00F756DD"/>
    <w:rsid w:val="00F75DB3"/>
    <w:rsid w:val="00F80047"/>
    <w:rsid w:val="00F8104D"/>
    <w:rsid w:val="00F81587"/>
    <w:rsid w:val="00F82571"/>
    <w:rsid w:val="00F85258"/>
    <w:rsid w:val="00F85B72"/>
    <w:rsid w:val="00F8766F"/>
    <w:rsid w:val="00F9104C"/>
    <w:rsid w:val="00F91082"/>
    <w:rsid w:val="00F91A9A"/>
    <w:rsid w:val="00F93ABB"/>
    <w:rsid w:val="00F94D79"/>
    <w:rsid w:val="00F975D3"/>
    <w:rsid w:val="00FA118A"/>
    <w:rsid w:val="00FA11CD"/>
    <w:rsid w:val="00FA31C7"/>
    <w:rsid w:val="00FA472D"/>
    <w:rsid w:val="00FA7254"/>
    <w:rsid w:val="00FB0214"/>
    <w:rsid w:val="00FB080C"/>
    <w:rsid w:val="00FB18F6"/>
    <w:rsid w:val="00FB2A52"/>
    <w:rsid w:val="00FB2F13"/>
    <w:rsid w:val="00FB6232"/>
    <w:rsid w:val="00FB6E19"/>
    <w:rsid w:val="00FB71F6"/>
    <w:rsid w:val="00FC0016"/>
    <w:rsid w:val="00FC1483"/>
    <w:rsid w:val="00FC1C47"/>
    <w:rsid w:val="00FC2EF2"/>
    <w:rsid w:val="00FC39ED"/>
    <w:rsid w:val="00FC4419"/>
    <w:rsid w:val="00FC47E2"/>
    <w:rsid w:val="00FC4AA5"/>
    <w:rsid w:val="00FC5148"/>
    <w:rsid w:val="00FC6590"/>
    <w:rsid w:val="00FC75AC"/>
    <w:rsid w:val="00FD01BF"/>
    <w:rsid w:val="00FD0525"/>
    <w:rsid w:val="00FD297D"/>
    <w:rsid w:val="00FD2D13"/>
    <w:rsid w:val="00FD3D26"/>
    <w:rsid w:val="00FD4789"/>
    <w:rsid w:val="00FD6071"/>
    <w:rsid w:val="00FE0794"/>
    <w:rsid w:val="00FE1041"/>
    <w:rsid w:val="00FE24CB"/>
    <w:rsid w:val="00FE3166"/>
    <w:rsid w:val="00FE3320"/>
    <w:rsid w:val="00FE3473"/>
    <w:rsid w:val="00FE353B"/>
    <w:rsid w:val="00FE4049"/>
    <w:rsid w:val="00FE4794"/>
    <w:rsid w:val="00FE5DF7"/>
    <w:rsid w:val="00FE5F72"/>
    <w:rsid w:val="00FE7B6B"/>
    <w:rsid w:val="00FF0231"/>
    <w:rsid w:val="00FF1C9B"/>
    <w:rsid w:val="00FF1D49"/>
    <w:rsid w:val="00FF2562"/>
    <w:rsid w:val="00FF2CE1"/>
    <w:rsid w:val="00FF3A41"/>
    <w:rsid w:val="00FF3E5B"/>
    <w:rsid w:val="00FF52BE"/>
    <w:rsid w:val="00FF544F"/>
    <w:rsid w:val="00FF57E4"/>
    <w:rsid w:val="00FF78E5"/>
    <w:rsid w:val="0102768A"/>
    <w:rsid w:val="01115B19"/>
    <w:rsid w:val="01213882"/>
    <w:rsid w:val="01437C9C"/>
    <w:rsid w:val="016025FC"/>
    <w:rsid w:val="01675739"/>
    <w:rsid w:val="01714809"/>
    <w:rsid w:val="017936BE"/>
    <w:rsid w:val="01840BB5"/>
    <w:rsid w:val="018467E3"/>
    <w:rsid w:val="018C1643"/>
    <w:rsid w:val="0197381C"/>
    <w:rsid w:val="0198159D"/>
    <w:rsid w:val="019B347B"/>
    <w:rsid w:val="01A7022B"/>
    <w:rsid w:val="01B701A0"/>
    <w:rsid w:val="01DF6ED8"/>
    <w:rsid w:val="01EF3980"/>
    <w:rsid w:val="01FB40D3"/>
    <w:rsid w:val="020C62E0"/>
    <w:rsid w:val="0210580B"/>
    <w:rsid w:val="021B6523"/>
    <w:rsid w:val="021C3640"/>
    <w:rsid w:val="02337D11"/>
    <w:rsid w:val="024C119E"/>
    <w:rsid w:val="02511F9D"/>
    <w:rsid w:val="025D2614"/>
    <w:rsid w:val="025D4D8E"/>
    <w:rsid w:val="02667932"/>
    <w:rsid w:val="026954E1"/>
    <w:rsid w:val="0273635F"/>
    <w:rsid w:val="029E458B"/>
    <w:rsid w:val="02BC1AB4"/>
    <w:rsid w:val="02C31095"/>
    <w:rsid w:val="02DC5CB3"/>
    <w:rsid w:val="02DF428A"/>
    <w:rsid w:val="02E1151B"/>
    <w:rsid w:val="02E4100B"/>
    <w:rsid w:val="03042D29"/>
    <w:rsid w:val="03056ED3"/>
    <w:rsid w:val="03072543"/>
    <w:rsid w:val="032338E1"/>
    <w:rsid w:val="033C0E47"/>
    <w:rsid w:val="03463A74"/>
    <w:rsid w:val="034E5B8A"/>
    <w:rsid w:val="0354416A"/>
    <w:rsid w:val="035C5045"/>
    <w:rsid w:val="0370464D"/>
    <w:rsid w:val="037203C5"/>
    <w:rsid w:val="03772173"/>
    <w:rsid w:val="037857B5"/>
    <w:rsid w:val="0388408C"/>
    <w:rsid w:val="038C592B"/>
    <w:rsid w:val="03A314B8"/>
    <w:rsid w:val="03B81B5E"/>
    <w:rsid w:val="03C50E3C"/>
    <w:rsid w:val="03C65AB6"/>
    <w:rsid w:val="03CF75C5"/>
    <w:rsid w:val="03D82B98"/>
    <w:rsid w:val="03F83E8B"/>
    <w:rsid w:val="03FC0E90"/>
    <w:rsid w:val="04146DCA"/>
    <w:rsid w:val="0437361B"/>
    <w:rsid w:val="04441A51"/>
    <w:rsid w:val="04477AA3"/>
    <w:rsid w:val="04637B4D"/>
    <w:rsid w:val="04697A1A"/>
    <w:rsid w:val="047542EA"/>
    <w:rsid w:val="0490144A"/>
    <w:rsid w:val="04AC5B58"/>
    <w:rsid w:val="04B0389B"/>
    <w:rsid w:val="04B969D1"/>
    <w:rsid w:val="04D06D2A"/>
    <w:rsid w:val="04D20ABE"/>
    <w:rsid w:val="04E64373"/>
    <w:rsid w:val="05120F0D"/>
    <w:rsid w:val="0519537F"/>
    <w:rsid w:val="051A472F"/>
    <w:rsid w:val="053505D4"/>
    <w:rsid w:val="05393890"/>
    <w:rsid w:val="05410997"/>
    <w:rsid w:val="054D74A5"/>
    <w:rsid w:val="054F6C10"/>
    <w:rsid w:val="05544226"/>
    <w:rsid w:val="055866A0"/>
    <w:rsid w:val="055B3F73"/>
    <w:rsid w:val="055B6051"/>
    <w:rsid w:val="056A005E"/>
    <w:rsid w:val="056D5E78"/>
    <w:rsid w:val="05810D93"/>
    <w:rsid w:val="05880374"/>
    <w:rsid w:val="058D7738"/>
    <w:rsid w:val="05932810"/>
    <w:rsid w:val="059A3C03"/>
    <w:rsid w:val="05AD2F61"/>
    <w:rsid w:val="05B71F0C"/>
    <w:rsid w:val="05CC64B2"/>
    <w:rsid w:val="05CE7F8F"/>
    <w:rsid w:val="05DB66F5"/>
    <w:rsid w:val="05E7509A"/>
    <w:rsid w:val="05F250AD"/>
    <w:rsid w:val="05F902BC"/>
    <w:rsid w:val="0616597F"/>
    <w:rsid w:val="06500E91"/>
    <w:rsid w:val="0658762B"/>
    <w:rsid w:val="067A3BB5"/>
    <w:rsid w:val="069F0652"/>
    <w:rsid w:val="06A60A84"/>
    <w:rsid w:val="06D80448"/>
    <w:rsid w:val="06E67100"/>
    <w:rsid w:val="06EC048E"/>
    <w:rsid w:val="06F35CC1"/>
    <w:rsid w:val="06F45206"/>
    <w:rsid w:val="070D6D82"/>
    <w:rsid w:val="0721638A"/>
    <w:rsid w:val="073A0ECF"/>
    <w:rsid w:val="073A6B9F"/>
    <w:rsid w:val="073C7668"/>
    <w:rsid w:val="07576304"/>
    <w:rsid w:val="076D7821"/>
    <w:rsid w:val="07795DA1"/>
    <w:rsid w:val="077C5CB6"/>
    <w:rsid w:val="078B414B"/>
    <w:rsid w:val="07B72767"/>
    <w:rsid w:val="07B76CEE"/>
    <w:rsid w:val="07CA6A21"/>
    <w:rsid w:val="07CB4548"/>
    <w:rsid w:val="07E07FF3"/>
    <w:rsid w:val="07E66BDC"/>
    <w:rsid w:val="08077E72"/>
    <w:rsid w:val="08147C9D"/>
    <w:rsid w:val="082425D6"/>
    <w:rsid w:val="084904A1"/>
    <w:rsid w:val="08493DEA"/>
    <w:rsid w:val="08534AED"/>
    <w:rsid w:val="085D1644"/>
    <w:rsid w:val="086A1FB2"/>
    <w:rsid w:val="087B41C0"/>
    <w:rsid w:val="087B7D1C"/>
    <w:rsid w:val="08AE6F52"/>
    <w:rsid w:val="08BC3DA8"/>
    <w:rsid w:val="08C571E9"/>
    <w:rsid w:val="08DD4532"/>
    <w:rsid w:val="08F47B58"/>
    <w:rsid w:val="08F55AA5"/>
    <w:rsid w:val="08F63846"/>
    <w:rsid w:val="092C7268"/>
    <w:rsid w:val="092E4FA0"/>
    <w:rsid w:val="093323A4"/>
    <w:rsid w:val="0946032A"/>
    <w:rsid w:val="09532309"/>
    <w:rsid w:val="09714C67"/>
    <w:rsid w:val="098D7D07"/>
    <w:rsid w:val="09A92503"/>
    <w:rsid w:val="09AF28CC"/>
    <w:rsid w:val="09B07E99"/>
    <w:rsid w:val="09B5725D"/>
    <w:rsid w:val="09CC2AAC"/>
    <w:rsid w:val="09CD0A4B"/>
    <w:rsid w:val="09D820EE"/>
    <w:rsid w:val="09E1374B"/>
    <w:rsid w:val="09FA34EB"/>
    <w:rsid w:val="09FE29B2"/>
    <w:rsid w:val="0A0C3321"/>
    <w:rsid w:val="0A1331CE"/>
    <w:rsid w:val="0A2A768E"/>
    <w:rsid w:val="0A371FFD"/>
    <w:rsid w:val="0A4D65AF"/>
    <w:rsid w:val="0A544CC8"/>
    <w:rsid w:val="0A652D3E"/>
    <w:rsid w:val="0A8235E3"/>
    <w:rsid w:val="0A8D3D36"/>
    <w:rsid w:val="0A922A21"/>
    <w:rsid w:val="0AA27E70"/>
    <w:rsid w:val="0AAC68B2"/>
    <w:rsid w:val="0AB063A2"/>
    <w:rsid w:val="0AB07738"/>
    <w:rsid w:val="0ACB4F8A"/>
    <w:rsid w:val="0ACE6829"/>
    <w:rsid w:val="0AD100C7"/>
    <w:rsid w:val="0ADD2F10"/>
    <w:rsid w:val="0AF344E1"/>
    <w:rsid w:val="0B275F39"/>
    <w:rsid w:val="0B2B4994"/>
    <w:rsid w:val="0B2B77D7"/>
    <w:rsid w:val="0B3A48F0"/>
    <w:rsid w:val="0B3A5CEC"/>
    <w:rsid w:val="0B54122E"/>
    <w:rsid w:val="0B8D0492"/>
    <w:rsid w:val="0B925AA8"/>
    <w:rsid w:val="0BA92C14"/>
    <w:rsid w:val="0BB023D2"/>
    <w:rsid w:val="0BBC0D77"/>
    <w:rsid w:val="0BC1319E"/>
    <w:rsid w:val="0BC1638D"/>
    <w:rsid w:val="0BCD088E"/>
    <w:rsid w:val="0BD75BB1"/>
    <w:rsid w:val="0BF027CF"/>
    <w:rsid w:val="0BF30ADA"/>
    <w:rsid w:val="0C1956DF"/>
    <w:rsid w:val="0C320371"/>
    <w:rsid w:val="0C613B7C"/>
    <w:rsid w:val="0C775615"/>
    <w:rsid w:val="0C7D1DA1"/>
    <w:rsid w:val="0C92213C"/>
    <w:rsid w:val="0C930BF7"/>
    <w:rsid w:val="0C956E62"/>
    <w:rsid w:val="0CCA19BF"/>
    <w:rsid w:val="0CD61F68"/>
    <w:rsid w:val="0CE850B8"/>
    <w:rsid w:val="0CEE6B82"/>
    <w:rsid w:val="0CEF642E"/>
    <w:rsid w:val="0CF32576"/>
    <w:rsid w:val="0D103128"/>
    <w:rsid w:val="0D4F221D"/>
    <w:rsid w:val="0D523741"/>
    <w:rsid w:val="0D645222"/>
    <w:rsid w:val="0D696CDD"/>
    <w:rsid w:val="0D7731A8"/>
    <w:rsid w:val="0D817B82"/>
    <w:rsid w:val="0D84032B"/>
    <w:rsid w:val="0D86163D"/>
    <w:rsid w:val="0D8D4779"/>
    <w:rsid w:val="0DA11FD2"/>
    <w:rsid w:val="0DB84B17"/>
    <w:rsid w:val="0DD732D9"/>
    <w:rsid w:val="0DF20A80"/>
    <w:rsid w:val="0DF30354"/>
    <w:rsid w:val="0E032C8D"/>
    <w:rsid w:val="0E124C7E"/>
    <w:rsid w:val="0E18568C"/>
    <w:rsid w:val="0E211365"/>
    <w:rsid w:val="0E286250"/>
    <w:rsid w:val="0E287C35"/>
    <w:rsid w:val="0E2A021A"/>
    <w:rsid w:val="0E3146CE"/>
    <w:rsid w:val="0E3407D9"/>
    <w:rsid w:val="0E39220B"/>
    <w:rsid w:val="0E4D3F08"/>
    <w:rsid w:val="0E5057A7"/>
    <w:rsid w:val="0E51617F"/>
    <w:rsid w:val="0E5A4301"/>
    <w:rsid w:val="0E7019A5"/>
    <w:rsid w:val="0E7B2823"/>
    <w:rsid w:val="0E8536A2"/>
    <w:rsid w:val="0E904057"/>
    <w:rsid w:val="0EA930F6"/>
    <w:rsid w:val="0EAA4EB7"/>
    <w:rsid w:val="0EAD1661"/>
    <w:rsid w:val="0EC163AE"/>
    <w:rsid w:val="0EC3241C"/>
    <w:rsid w:val="0ECA5C06"/>
    <w:rsid w:val="0ED85EC8"/>
    <w:rsid w:val="0EEC54CF"/>
    <w:rsid w:val="0EF32D02"/>
    <w:rsid w:val="0EF457CC"/>
    <w:rsid w:val="0EF83E74"/>
    <w:rsid w:val="0F1E2C44"/>
    <w:rsid w:val="0F275C22"/>
    <w:rsid w:val="0F557518"/>
    <w:rsid w:val="0F566DED"/>
    <w:rsid w:val="0F5F5CA1"/>
    <w:rsid w:val="0F672631"/>
    <w:rsid w:val="0F6D2806"/>
    <w:rsid w:val="0F706100"/>
    <w:rsid w:val="0F8C280E"/>
    <w:rsid w:val="0F9643EC"/>
    <w:rsid w:val="0FC85F3C"/>
    <w:rsid w:val="0FDC3796"/>
    <w:rsid w:val="0FEC4AAB"/>
    <w:rsid w:val="0FEF171B"/>
    <w:rsid w:val="0FF06008"/>
    <w:rsid w:val="10152804"/>
    <w:rsid w:val="10173DF5"/>
    <w:rsid w:val="10251019"/>
    <w:rsid w:val="10257014"/>
    <w:rsid w:val="103F3D25"/>
    <w:rsid w:val="10534F50"/>
    <w:rsid w:val="10562895"/>
    <w:rsid w:val="105714F9"/>
    <w:rsid w:val="1059188B"/>
    <w:rsid w:val="10703EDE"/>
    <w:rsid w:val="1077038D"/>
    <w:rsid w:val="107E2A9F"/>
    <w:rsid w:val="108F3E01"/>
    <w:rsid w:val="109202F8"/>
    <w:rsid w:val="109C2F25"/>
    <w:rsid w:val="10A27F31"/>
    <w:rsid w:val="10B72740"/>
    <w:rsid w:val="10BC5375"/>
    <w:rsid w:val="10CA487C"/>
    <w:rsid w:val="10CD24F3"/>
    <w:rsid w:val="10D60BC7"/>
    <w:rsid w:val="10ED1235"/>
    <w:rsid w:val="10EF574B"/>
    <w:rsid w:val="10FE679F"/>
    <w:rsid w:val="1102722C"/>
    <w:rsid w:val="11186A50"/>
    <w:rsid w:val="11203944"/>
    <w:rsid w:val="1145536B"/>
    <w:rsid w:val="1146319E"/>
    <w:rsid w:val="11515ABE"/>
    <w:rsid w:val="115E4E0F"/>
    <w:rsid w:val="1163361A"/>
    <w:rsid w:val="1178129C"/>
    <w:rsid w:val="119105B0"/>
    <w:rsid w:val="11927058"/>
    <w:rsid w:val="119C2276"/>
    <w:rsid w:val="11A02087"/>
    <w:rsid w:val="11AA0401"/>
    <w:rsid w:val="11AA3C64"/>
    <w:rsid w:val="11AB1672"/>
    <w:rsid w:val="11B04EDA"/>
    <w:rsid w:val="11C66D88"/>
    <w:rsid w:val="11CD086F"/>
    <w:rsid w:val="11E626AA"/>
    <w:rsid w:val="11E84674"/>
    <w:rsid w:val="11F51F3D"/>
    <w:rsid w:val="11F8116E"/>
    <w:rsid w:val="123258EF"/>
    <w:rsid w:val="12374CB3"/>
    <w:rsid w:val="12681F2A"/>
    <w:rsid w:val="1299596E"/>
    <w:rsid w:val="12A42B28"/>
    <w:rsid w:val="12A604D9"/>
    <w:rsid w:val="12A83E03"/>
    <w:rsid w:val="12D25FB0"/>
    <w:rsid w:val="12D51DEF"/>
    <w:rsid w:val="12E0534B"/>
    <w:rsid w:val="131B45D5"/>
    <w:rsid w:val="132316DC"/>
    <w:rsid w:val="133726DD"/>
    <w:rsid w:val="13390EFF"/>
    <w:rsid w:val="13441D7E"/>
    <w:rsid w:val="1351449B"/>
    <w:rsid w:val="13712447"/>
    <w:rsid w:val="13737F6D"/>
    <w:rsid w:val="137454F5"/>
    <w:rsid w:val="137B1518"/>
    <w:rsid w:val="13906D71"/>
    <w:rsid w:val="13A040B0"/>
    <w:rsid w:val="13A140F9"/>
    <w:rsid w:val="13AF4F03"/>
    <w:rsid w:val="13C407C9"/>
    <w:rsid w:val="13CC58CF"/>
    <w:rsid w:val="13CE1647"/>
    <w:rsid w:val="13CF5A55"/>
    <w:rsid w:val="13D824C6"/>
    <w:rsid w:val="13D840FA"/>
    <w:rsid w:val="13E26EA1"/>
    <w:rsid w:val="1404150D"/>
    <w:rsid w:val="14092F0D"/>
    <w:rsid w:val="14107EB2"/>
    <w:rsid w:val="14221993"/>
    <w:rsid w:val="1445127B"/>
    <w:rsid w:val="146808CE"/>
    <w:rsid w:val="14736E66"/>
    <w:rsid w:val="14787805"/>
    <w:rsid w:val="14816E5B"/>
    <w:rsid w:val="14875E17"/>
    <w:rsid w:val="148F44D2"/>
    <w:rsid w:val="149B6AC2"/>
    <w:rsid w:val="149F4D92"/>
    <w:rsid w:val="14A34882"/>
    <w:rsid w:val="14A44728"/>
    <w:rsid w:val="14AB7BDB"/>
    <w:rsid w:val="14BC5944"/>
    <w:rsid w:val="14C03306"/>
    <w:rsid w:val="14C81165"/>
    <w:rsid w:val="14C91BD6"/>
    <w:rsid w:val="14D544E4"/>
    <w:rsid w:val="14D62DC5"/>
    <w:rsid w:val="14E8318D"/>
    <w:rsid w:val="14EC447B"/>
    <w:rsid w:val="14F81179"/>
    <w:rsid w:val="150246C5"/>
    <w:rsid w:val="15064E11"/>
    <w:rsid w:val="15086DDB"/>
    <w:rsid w:val="150C2973"/>
    <w:rsid w:val="150C68CB"/>
    <w:rsid w:val="151E215B"/>
    <w:rsid w:val="1521215C"/>
    <w:rsid w:val="15264037"/>
    <w:rsid w:val="15293653"/>
    <w:rsid w:val="1534169A"/>
    <w:rsid w:val="153D598D"/>
    <w:rsid w:val="153F3306"/>
    <w:rsid w:val="154C316C"/>
    <w:rsid w:val="15704562"/>
    <w:rsid w:val="1571672E"/>
    <w:rsid w:val="15842905"/>
    <w:rsid w:val="15A308B2"/>
    <w:rsid w:val="15A72150"/>
    <w:rsid w:val="15B55C69"/>
    <w:rsid w:val="15C03E03"/>
    <w:rsid w:val="15C2342E"/>
    <w:rsid w:val="15C73125"/>
    <w:rsid w:val="15D13671"/>
    <w:rsid w:val="15E72E94"/>
    <w:rsid w:val="15E769F0"/>
    <w:rsid w:val="15E92769"/>
    <w:rsid w:val="15ED6D5E"/>
    <w:rsid w:val="15F20809"/>
    <w:rsid w:val="15F32B79"/>
    <w:rsid w:val="15F829AC"/>
    <w:rsid w:val="15FA2BC8"/>
    <w:rsid w:val="16027CCE"/>
    <w:rsid w:val="16143C3C"/>
    <w:rsid w:val="161672D6"/>
    <w:rsid w:val="161D2412"/>
    <w:rsid w:val="161D4BA7"/>
    <w:rsid w:val="162A25EB"/>
    <w:rsid w:val="162F731B"/>
    <w:rsid w:val="16323122"/>
    <w:rsid w:val="163B773C"/>
    <w:rsid w:val="16430C73"/>
    <w:rsid w:val="16565924"/>
    <w:rsid w:val="16571056"/>
    <w:rsid w:val="166149F5"/>
    <w:rsid w:val="16656AFC"/>
    <w:rsid w:val="16677B31"/>
    <w:rsid w:val="16717134"/>
    <w:rsid w:val="16841088"/>
    <w:rsid w:val="16893F4C"/>
    <w:rsid w:val="1699418F"/>
    <w:rsid w:val="16C60F0B"/>
    <w:rsid w:val="16D056D6"/>
    <w:rsid w:val="16D06017"/>
    <w:rsid w:val="16D20E0F"/>
    <w:rsid w:val="16D72F09"/>
    <w:rsid w:val="16FD2A55"/>
    <w:rsid w:val="172F68A1"/>
    <w:rsid w:val="17313ED0"/>
    <w:rsid w:val="17366761"/>
    <w:rsid w:val="173B3498"/>
    <w:rsid w:val="174740D4"/>
    <w:rsid w:val="177C01F0"/>
    <w:rsid w:val="177E5132"/>
    <w:rsid w:val="1791130A"/>
    <w:rsid w:val="179A0C8D"/>
    <w:rsid w:val="179B3F36"/>
    <w:rsid w:val="17C3523B"/>
    <w:rsid w:val="17C36FE9"/>
    <w:rsid w:val="17CE6630"/>
    <w:rsid w:val="17D50A8B"/>
    <w:rsid w:val="17DC5D0A"/>
    <w:rsid w:val="17FE5B8E"/>
    <w:rsid w:val="180E295A"/>
    <w:rsid w:val="181B1F85"/>
    <w:rsid w:val="182503A4"/>
    <w:rsid w:val="1831033B"/>
    <w:rsid w:val="18327578"/>
    <w:rsid w:val="185875BA"/>
    <w:rsid w:val="185A16FC"/>
    <w:rsid w:val="1881137E"/>
    <w:rsid w:val="18870C36"/>
    <w:rsid w:val="189270E7"/>
    <w:rsid w:val="189D3F17"/>
    <w:rsid w:val="18AC4201"/>
    <w:rsid w:val="18B03D9C"/>
    <w:rsid w:val="18B22F8F"/>
    <w:rsid w:val="18B54B84"/>
    <w:rsid w:val="18D05E62"/>
    <w:rsid w:val="18D21BDA"/>
    <w:rsid w:val="18D70F9E"/>
    <w:rsid w:val="18E11E1D"/>
    <w:rsid w:val="18E436BB"/>
    <w:rsid w:val="18E90CD1"/>
    <w:rsid w:val="18F02060"/>
    <w:rsid w:val="18FE02D5"/>
    <w:rsid w:val="191B262F"/>
    <w:rsid w:val="1921362A"/>
    <w:rsid w:val="19324427"/>
    <w:rsid w:val="19820BA0"/>
    <w:rsid w:val="19AC41D9"/>
    <w:rsid w:val="19B72B7E"/>
    <w:rsid w:val="19B94B48"/>
    <w:rsid w:val="19C071A3"/>
    <w:rsid w:val="19CC6629"/>
    <w:rsid w:val="19D1006B"/>
    <w:rsid w:val="19D41982"/>
    <w:rsid w:val="19E46AD2"/>
    <w:rsid w:val="19FE07AD"/>
    <w:rsid w:val="1A02029D"/>
    <w:rsid w:val="1A141D7E"/>
    <w:rsid w:val="1A3A7A37"/>
    <w:rsid w:val="1A472154"/>
    <w:rsid w:val="1A4B59CE"/>
    <w:rsid w:val="1A4C32C6"/>
    <w:rsid w:val="1A562397"/>
    <w:rsid w:val="1A622AE9"/>
    <w:rsid w:val="1A676352"/>
    <w:rsid w:val="1A713602"/>
    <w:rsid w:val="1A877C45"/>
    <w:rsid w:val="1A8C5DB8"/>
    <w:rsid w:val="1A976C37"/>
    <w:rsid w:val="1A9B5929"/>
    <w:rsid w:val="1AA17AB6"/>
    <w:rsid w:val="1AAA63EA"/>
    <w:rsid w:val="1AB6775B"/>
    <w:rsid w:val="1AB772D9"/>
    <w:rsid w:val="1AC83294"/>
    <w:rsid w:val="1ACA01AF"/>
    <w:rsid w:val="1AD80FFE"/>
    <w:rsid w:val="1AFA16D5"/>
    <w:rsid w:val="1B100797"/>
    <w:rsid w:val="1B193AF0"/>
    <w:rsid w:val="1B1D5C78"/>
    <w:rsid w:val="1B232D26"/>
    <w:rsid w:val="1B4D379A"/>
    <w:rsid w:val="1B4F19F8"/>
    <w:rsid w:val="1B5678DF"/>
    <w:rsid w:val="1B596248"/>
    <w:rsid w:val="1B8847D2"/>
    <w:rsid w:val="1B970EB9"/>
    <w:rsid w:val="1B9D672E"/>
    <w:rsid w:val="1BA17641"/>
    <w:rsid w:val="1BA33337"/>
    <w:rsid w:val="1BA710FC"/>
    <w:rsid w:val="1BC21F3A"/>
    <w:rsid w:val="1BC82E20"/>
    <w:rsid w:val="1BCA4194"/>
    <w:rsid w:val="1BCC553F"/>
    <w:rsid w:val="1BCD0437"/>
    <w:rsid w:val="1BD143CB"/>
    <w:rsid w:val="1BD92184"/>
    <w:rsid w:val="1BDE2644"/>
    <w:rsid w:val="1BE0531C"/>
    <w:rsid w:val="1BEE234F"/>
    <w:rsid w:val="1BF339CD"/>
    <w:rsid w:val="1BFD0D1C"/>
    <w:rsid w:val="1C166281"/>
    <w:rsid w:val="1C367A66"/>
    <w:rsid w:val="1C3A5A50"/>
    <w:rsid w:val="1C5170A2"/>
    <w:rsid w:val="1C534F2C"/>
    <w:rsid w:val="1C556DAA"/>
    <w:rsid w:val="1C7134B8"/>
    <w:rsid w:val="1C7E0123"/>
    <w:rsid w:val="1C834B42"/>
    <w:rsid w:val="1C8D1584"/>
    <w:rsid w:val="1CAE0692"/>
    <w:rsid w:val="1CBA09BB"/>
    <w:rsid w:val="1CD970E6"/>
    <w:rsid w:val="1CEE0B2F"/>
    <w:rsid w:val="1D024E79"/>
    <w:rsid w:val="1D0974FB"/>
    <w:rsid w:val="1D284953"/>
    <w:rsid w:val="1D4061A8"/>
    <w:rsid w:val="1D75230B"/>
    <w:rsid w:val="1D7E7C3A"/>
    <w:rsid w:val="1D813BCE"/>
    <w:rsid w:val="1D9B4C90"/>
    <w:rsid w:val="1D9E02DC"/>
    <w:rsid w:val="1DB918CB"/>
    <w:rsid w:val="1DBC69B5"/>
    <w:rsid w:val="1DD17A09"/>
    <w:rsid w:val="1DDA3BB5"/>
    <w:rsid w:val="1DDA43AF"/>
    <w:rsid w:val="1DDE2DCF"/>
    <w:rsid w:val="1DF35950"/>
    <w:rsid w:val="1DFC3255"/>
    <w:rsid w:val="1E110FD6"/>
    <w:rsid w:val="1E256308"/>
    <w:rsid w:val="1E276524"/>
    <w:rsid w:val="1E391DB3"/>
    <w:rsid w:val="1E5535E5"/>
    <w:rsid w:val="1E6B5FCE"/>
    <w:rsid w:val="1E780B2E"/>
    <w:rsid w:val="1E8A260F"/>
    <w:rsid w:val="1E8E0351"/>
    <w:rsid w:val="1E9516DF"/>
    <w:rsid w:val="1E9B4F4B"/>
    <w:rsid w:val="1EA731C1"/>
    <w:rsid w:val="1EAA5582"/>
    <w:rsid w:val="1EB95633"/>
    <w:rsid w:val="1EBB4EBE"/>
    <w:rsid w:val="1EBE630B"/>
    <w:rsid w:val="1EC27FFB"/>
    <w:rsid w:val="1ED019E9"/>
    <w:rsid w:val="1ED53102"/>
    <w:rsid w:val="1EE07B2E"/>
    <w:rsid w:val="1EFA3FB6"/>
    <w:rsid w:val="1EFA71FA"/>
    <w:rsid w:val="1F063325"/>
    <w:rsid w:val="1F2C36C6"/>
    <w:rsid w:val="1F2F44D3"/>
    <w:rsid w:val="1F3F5AEF"/>
    <w:rsid w:val="1F4145DE"/>
    <w:rsid w:val="1F6317DE"/>
    <w:rsid w:val="1F63358C"/>
    <w:rsid w:val="1F646872"/>
    <w:rsid w:val="1F68119F"/>
    <w:rsid w:val="1F964131"/>
    <w:rsid w:val="1F9855E3"/>
    <w:rsid w:val="1FAA3E59"/>
    <w:rsid w:val="1FB93253"/>
    <w:rsid w:val="1FBC5DF5"/>
    <w:rsid w:val="1FC55574"/>
    <w:rsid w:val="1FFB6D5F"/>
    <w:rsid w:val="20104D96"/>
    <w:rsid w:val="20397E8F"/>
    <w:rsid w:val="205B4929"/>
    <w:rsid w:val="20601879"/>
    <w:rsid w:val="20781442"/>
    <w:rsid w:val="208A5948"/>
    <w:rsid w:val="20971013"/>
    <w:rsid w:val="20992FDD"/>
    <w:rsid w:val="20B816B5"/>
    <w:rsid w:val="20BD452B"/>
    <w:rsid w:val="20C173E3"/>
    <w:rsid w:val="20DD111C"/>
    <w:rsid w:val="20EC5ACC"/>
    <w:rsid w:val="210406C9"/>
    <w:rsid w:val="210E39CB"/>
    <w:rsid w:val="211A411E"/>
    <w:rsid w:val="212C5BFF"/>
    <w:rsid w:val="21582E98"/>
    <w:rsid w:val="2158628B"/>
    <w:rsid w:val="215B0191"/>
    <w:rsid w:val="216B2BCB"/>
    <w:rsid w:val="216F7310"/>
    <w:rsid w:val="21703D3E"/>
    <w:rsid w:val="217575A6"/>
    <w:rsid w:val="21B7196D"/>
    <w:rsid w:val="21B83F86"/>
    <w:rsid w:val="21BC3427"/>
    <w:rsid w:val="21BF17F5"/>
    <w:rsid w:val="21C12C09"/>
    <w:rsid w:val="21D70261"/>
    <w:rsid w:val="21D74795"/>
    <w:rsid w:val="21DE514B"/>
    <w:rsid w:val="21E55E66"/>
    <w:rsid w:val="21FA7451"/>
    <w:rsid w:val="21FF50C2"/>
    <w:rsid w:val="220F74CF"/>
    <w:rsid w:val="2210107D"/>
    <w:rsid w:val="221178A8"/>
    <w:rsid w:val="221213CF"/>
    <w:rsid w:val="221F7512"/>
    <w:rsid w:val="22280ABD"/>
    <w:rsid w:val="22325497"/>
    <w:rsid w:val="22327A92"/>
    <w:rsid w:val="223B259E"/>
    <w:rsid w:val="22477195"/>
    <w:rsid w:val="225562CE"/>
    <w:rsid w:val="227410C5"/>
    <w:rsid w:val="228157EF"/>
    <w:rsid w:val="22853819"/>
    <w:rsid w:val="228A7081"/>
    <w:rsid w:val="228E329D"/>
    <w:rsid w:val="229121BE"/>
    <w:rsid w:val="22965435"/>
    <w:rsid w:val="22A55C69"/>
    <w:rsid w:val="22B1460E"/>
    <w:rsid w:val="22BD6F35"/>
    <w:rsid w:val="22C95DFC"/>
    <w:rsid w:val="22CC769A"/>
    <w:rsid w:val="22D12527"/>
    <w:rsid w:val="22D84291"/>
    <w:rsid w:val="22DE29C3"/>
    <w:rsid w:val="2300689F"/>
    <w:rsid w:val="230C7A96"/>
    <w:rsid w:val="231D2AC2"/>
    <w:rsid w:val="231D53A2"/>
    <w:rsid w:val="233F4C96"/>
    <w:rsid w:val="23434A50"/>
    <w:rsid w:val="23576068"/>
    <w:rsid w:val="23580F2E"/>
    <w:rsid w:val="235F050E"/>
    <w:rsid w:val="23641AD7"/>
    <w:rsid w:val="237C4C1C"/>
    <w:rsid w:val="238910E7"/>
    <w:rsid w:val="23902475"/>
    <w:rsid w:val="239301B8"/>
    <w:rsid w:val="23A46F6A"/>
    <w:rsid w:val="23A60388"/>
    <w:rsid w:val="23B0550D"/>
    <w:rsid w:val="23B7504C"/>
    <w:rsid w:val="23BD6FE3"/>
    <w:rsid w:val="240233B8"/>
    <w:rsid w:val="24274E22"/>
    <w:rsid w:val="24374FE7"/>
    <w:rsid w:val="24561911"/>
    <w:rsid w:val="245636BF"/>
    <w:rsid w:val="24571307"/>
    <w:rsid w:val="246A0F18"/>
    <w:rsid w:val="246F4781"/>
    <w:rsid w:val="24753200"/>
    <w:rsid w:val="24877D1C"/>
    <w:rsid w:val="248F097F"/>
    <w:rsid w:val="24BA2984"/>
    <w:rsid w:val="24BC729A"/>
    <w:rsid w:val="24BE6240"/>
    <w:rsid w:val="24CD46E5"/>
    <w:rsid w:val="24D14878"/>
    <w:rsid w:val="25020A43"/>
    <w:rsid w:val="25056E93"/>
    <w:rsid w:val="250B47F3"/>
    <w:rsid w:val="25123C68"/>
    <w:rsid w:val="25246333"/>
    <w:rsid w:val="25284930"/>
    <w:rsid w:val="25381017"/>
    <w:rsid w:val="25401C79"/>
    <w:rsid w:val="256013D0"/>
    <w:rsid w:val="256B5BB0"/>
    <w:rsid w:val="256C6F12"/>
    <w:rsid w:val="25706A02"/>
    <w:rsid w:val="25725281"/>
    <w:rsid w:val="257A0B00"/>
    <w:rsid w:val="258424AE"/>
    <w:rsid w:val="25850F5F"/>
    <w:rsid w:val="25891872"/>
    <w:rsid w:val="258A1146"/>
    <w:rsid w:val="258C3110"/>
    <w:rsid w:val="25AF660E"/>
    <w:rsid w:val="25B6018D"/>
    <w:rsid w:val="25BF1F53"/>
    <w:rsid w:val="25D01FE7"/>
    <w:rsid w:val="25DC6389"/>
    <w:rsid w:val="25E66E61"/>
    <w:rsid w:val="25ED1E01"/>
    <w:rsid w:val="26025181"/>
    <w:rsid w:val="2609650F"/>
    <w:rsid w:val="2613738E"/>
    <w:rsid w:val="262030C3"/>
    <w:rsid w:val="263317DE"/>
    <w:rsid w:val="26446DE3"/>
    <w:rsid w:val="264D165B"/>
    <w:rsid w:val="26500522"/>
    <w:rsid w:val="26524377"/>
    <w:rsid w:val="26543C2E"/>
    <w:rsid w:val="265C29D1"/>
    <w:rsid w:val="267E3B00"/>
    <w:rsid w:val="26924756"/>
    <w:rsid w:val="26995AE5"/>
    <w:rsid w:val="269E759F"/>
    <w:rsid w:val="26A12BEB"/>
    <w:rsid w:val="26AF70B6"/>
    <w:rsid w:val="26D7699F"/>
    <w:rsid w:val="26F07A4C"/>
    <w:rsid w:val="27111B1F"/>
    <w:rsid w:val="272730F1"/>
    <w:rsid w:val="27315DD3"/>
    <w:rsid w:val="273837FA"/>
    <w:rsid w:val="2744334E"/>
    <w:rsid w:val="27455B12"/>
    <w:rsid w:val="27455C6D"/>
    <w:rsid w:val="274A5E17"/>
    <w:rsid w:val="274E4B21"/>
    <w:rsid w:val="27616FE8"/>
    <w:rsid w:val="277F2F2D"/>
    <w:rsid w:val="27876558"/>
    <w:rsid w:val="27A26C1B"/>
    <w:rsid w:val="27A60908"/>
    <w:rsid w:val="27A6495D"/>
    <w:rsid w:val="27D8263D"/>
    <w:rsid w:val="27E4019F"/>
    <w:rsid w:val="27F12073"/>
    <w:rsid w:val="280679B6"/>
    <w:rsid w:val="2813470D"/>
    <w:rsid w:val="281713B7"/>
    <w:rsid w:val="281C4C20"/>
    <w:rsid w:val="284B1061"/>
    <w:rsid w:val="289724F8"/>
    <w:rsid w:val="28B430AA"/>
    <w:rsid w:val="28C11538"/>
    <w:rsid w:val="28C36E49"/>
    <w:rsid w:val="28CF6A9C"/>
    <w:rsid w:val="28D01566"/>
    <w:rsid w:val="28D80F1F"/>
    <w:rsid w:val="28DC0D01"/>
    <w:rsid w:val="28E65763"/>
    <w:rsid w:val="28EC18E6"/>
    <w:rsid w:val="28F416F8"/>
    <w:rsid w:val="28FA423F"/>
    <w:rsid w:val="2901505F"/>
    <w:rsid w:val="290731DA"/>
    <w:rsid w:val="2912495F"/>
    <w:rsid w:val="292A336C"/>
    <w:rsid w:val="292C2A21"/>
    <w:rsid w:val="2940049A"/>
    <w:rsid w:val="29411008"/>
    <w:rsid w:val="294837F2"/>
    <w:rsid w:val="29504391"/>
    <w:rsid w:val="29651707"/>
    <w:rsid w:val="2976210D"/>
    <w:rsid w:val="29844DA6"/>
    <w:rsid w:val="29A94291"/>
    <w:rsid w:val="29AC409C"/>
    <w:rsid w:val="29BB5D72"/>
    <w:rsid w:val="29BF1D06"/>
    <w:rsid w:val="29D07A70"/>
    <w:rsid w:val="29F319B0"/>
    <w:rsid w:val="2A0616E3"/>
    <w:rsid w:val="2A0B4F4C"/>
    <w:rsid w:val="2A0D0CC4"/>
    <w:rsid w:val="2A175540"/>
    <w:rsid w:val="2A1A6F3D"/>
    <w:rsid w:val="2A1D6A2D"/>
    <w:rsid w:val="2A291581"/>
    <w:rsid w:val="2A391AB9"/>
    <w:rsid w:val="2A3D0E7D"/>
    <w:rsid w:val="2A663F30"/>
    <w:rsid w:val="2A7A2D06"/>
    <w:rsid w:val="2A7E571E"/>
    <w:rsid w:val="2AC11AAE"/>
    <w:rsid w:val="2AC62C21"/>
    <w:rsid w:val="2AD76BDC"/>
    <w:rsid w:val="2AE15AEA"/>
    <w:rsid w:val="2AE46E39"/>
    <w:rsid w:val="2AF50EB8"/>
    <w:rsid w:val="2AF754D0"/>
    <w:rsid w:val="2B0025D7"/>
    <w:rsid w:val="2B09065E"/>
    <w:rsid w:val="2B17347C"/>
    <w:rsid w:val="2B1A4D1A"/>
    <w:rsid w:val="2B342280"/>
    <w:rsid w:val="2B4469A5"/>
    <w:rsid w:val="2B45623B"/>
    <w:rsid w:val="2B54647E"/>
    <w:rsid w:val="2B5D3585"/>
    <w:rsid w:val="2B7663F5"/>
    <w:rsid w:val="2B774624"/>
    <w:rsid w:val="2B9176D3"/>
    <w:rsid w:val="2B9C64CF"/>
    <w:rsid w:val="2BA611ED"/>
    <w:rsid w:val="2BAD567C"/>
    <w:rsid w:val="2BB77B14"/>
    <w:rsid w:val="2BD72A2F"/>
    <w:rsid w:val="2BD80E5D"/>
    <w:rsid w:val="2BD96984"/>
    <w:rsid w:val="2BDE3F9A"/>
    <w:rsid w:val="2BF67536"/>
    <w:rsid w:val="2C1B7B34"/>
    <w:rsid w:val="2C2E4F21"/>
    <w:rsid w:val="2C3818FC"/>
    <w:rsid w:val="2C3D51E7"/>
    <w:rsid w:val="2C453BA4"/>
    <w:rsid w:val="2C583D4C"/>
    <w:rsid w:val="2C7A7174"/>
    <w:rsid w:val="2C7A72BE"/>
    <w:rsid w:val="2C8763E0"/>
    <w:rsid w:val="2C8B2374"/>
    <w:rsid w:val="2C8B4122"/>
    <w:rsid w:val="2C901A33"/>
    <w:rsid w:val="2CA13945"/>
    <w:rsid w:val="2CB46C88"/>
    <w:rsid w:val="2CFC5020"/>
    <w:rsid w:val="2D206660"/>
    <w:rsid w:val="2D2500D2"/>
    <w:rsid w:val="2D450775"/>
    <w:rsid w:val="2D68642F"/>
    <w:rsid w:val="2D753181"/>
    <w:rsid w:val="2D825525"/>
    <w:rsid w:val="2D850B71"/>
    <w:rsid w:val="2D9139BA"/>
    <w:rsid w:val="2DBE4083"/>
    <w:rsid w:val="2DCB36BC"/>
    <w:rsid w:val="2DCF003E"/>
    <w:rsid w:val="2DD05EAD"/>
    <w:rsid w:val="2DD53D8C"/>
    <w:rsid w:val="2DE15316"/>
    <w:rsid w:val="2DE57862"/>
    <w:rsid w:val="2DEC6E42"/>
    <w:rsid w:val="2DF45CF7"/>
    <w:rsid w:val="2DF61A6F"/>
    <w:rsid w:val="2DFF6930"/>
    <w:rsid w:val="2E163EBF"/>
    <w:rsid w:val="2E1B14D5"/>
    <w:rsid w:val="2E212DFE"/>
    <w:rsid w:val="2E232138"/>
    <w:rsid w:val="2E416702"/>
    <w:rsid w:val="2E41718E"/>
    <w:rsid w:val="2E786F75"/>
    <w:rsid w:val="2E821554"/>
    <w:rsid w:val="2EB72FAC"/>
    <w:rsid w:val="2ECC611B"/>
    <w:rsid w:val="2ED022C0"/>
    <w:rsid w:val="2EE8585B"/>
    <w:rsid w:val="2EED69CE"/>
    <w:rsid w:val="2EFA10EB"/>
    <w:rsid w:val="2EFA733D"/>
    <w:rsid w:val="2F10090E"/>
    <w:rsid w:val="2F183841"/>
    <w:rsid w:val="2F1C72B3"/>
    <w:rsid w:val="2F294338"/>
    <w:rsid w:val="2F401D3C"/>
    <w:rsid w:val="2F4C6477"/>
    <w:rsid w:val="2F5B427F"/>
    <w:rsid w:val="2F835584"/>
    <w:rsid w:val="2F8A06C1"/>
    <w:rsid w:val="2F8C268B"/>
    <w:rsid w:val="2F8F4C4F"/>
    <w:rsid w:val="2F94153F"/>
    <w:rsid w:val="2FA95C88"/>
    <w:rsid w:val="2FCA31B3"/>
    <w:rsid w:val="30085A89"/>
    <w:rsid w:val="301D4299"/>
    <w:rsid w:val="302C1778"/>
    <w:rsid w:val="30313232"/>
    <w:rsid w:val="303B19BB"/>
    <w:rsid w:val="303F6A4D"/>
    <w:rsid w:val="3041370F"/>
    <w:rsid w:val="30467249"/>
    <w:rsid w:val="30491720"/>
    <w:rsid w:val="30670A02"/>
    <w:rsid w:val="30770743"/>
    <w:rsid w:val="30850E88"/>
    <w:rsid w:val="30894E1C"/>
    <w:rsid w:val="30AA57D3"/>
    <w:rsid w:val="30BC014C"/>
    <w:rsid w:val="30C16364"/>
    <w:rsid w:val="30D75B88"/>
    <w:rsid w:val="30F04DDC"/>
    <w:rsid w:val="31083A05"/>
    <w:rsid w:val="311513CF"/>
    <w:rsid w:val="311E37B6"/>
    <w:rsid w:val="31220D76"/>
    <w:rsid w:val="314B3E80"/>
    <w:rsid w:val="31552F50"/>
    <w:rsid w:val="3166233E"/>
    <w:rsid w:val="31713AE0"/>
    <w:rsid w:val="317C04DD"/>
    <w:rsid w:val="319554AC"/>
    <w:rsid w:val="3199108F"/>
    <w:rsid w:val="31A67308"/>
    <w:rsid w:val="31AD4B3A"/>
    <w:rsid w:val="31B41A25"/>
    <w:rsid w:val="31E63BA8"/>
    <w:rsid w:val="320221EB"/>
    <w:rsid w:val="320A2BCE"/>
    <w:rsid w:val="32130E41"/>
    <w:rsid w:val="322877DD"/>
    <w:rsid w:val="322A618B"/>
    <w:rsid w:val="323E5B63"/>
    <w:rsid w:val="32453A27"/>
    <w:rsid w:val="324F79A0"/>
    <w:rsid w:val="3261426C"/>
    <w:rsid w:val="3263064A"/>
    <w:rsid w:val="32650F71"/>
    <w:rsid w:val="32717916"/>
    <w:rsid w:val="32797109"/>
    <w:rsid w:val="327A0EC0"/>
    <w:rsid w:val="3281224F"/>
    <w:rsid w:val="32917FB8"/>
    <w:rsid w:val="32AC0C06"/>
    <w:rsid w:val="32CB171C"/>
    <w:rsid w:val="32DC1D50"/>
    <w:rsid w:val="32E20814"/>
    <w:rsid w:val="33053078"/>
    <w:rsid w:val="330B6F53"/>
    <w:rsid w:val="331A61FF"/>
    <w:rsid w:val="331C3D26"/>
    <w:rsid w:val="333252F7"/>
    <w:rsid w:val="33356B95"/>
    <w:rsid w:val="334D3E67"/>
    <w:rsid w:val="337F056D"/>
    <w:rsid w:val="33833DA5"/>
    <w:rsid w:val="338E62A6"/>
    <w:rsid w:val="33995376"/>
    <w:rsid w:val="339C6C14"/>
    <w:rsid w:val="33A673CC"/>
    <w:rsid w:val="33A96884"/>
    <w:rsid w:val="33B57CD6"/>
    <w:rsid w:val="33CB74FA"/>
    <w:rsid w:val="33DE722D"/>
    <w:rsid w:val="33F20F2A"/>
    <w:rsid w:val="33F4419F"/>
    <w:rsid w:val="341D5FA7"/>
    <w:rsid w:val="341D7D55"/>
    <w:rsid w:val="3431735D"/>
    <w:rsid w:val="34392AF0"/>
    <w:rsid w:val="344A5B75"/>
    <w:rsid w:val="344D6161"/>
    <w:rsid w:val="344D7F0F"/>
    <w:rsid w:val="345D2848"/>
    <w:rsid w:val="34781430"/>
    <w:rsid w:val="347D6A46"/>
    <w:rsid w:val="34894549"/>
    <w:rsid w:val="34A246FE"/>
    <w:rsid w:val="34A63644"/>
    <w:rsid w:val="34A900C6"/>
    <w:rsid w:val="34CA3F9D"/>
    <w:rsid w:val="34D0051F"/>
    <w:rsid w:val="34D50630"/>
    <w:rsid w:val="34D90058"/>
    <w:rsid w:val="34DF2263"/>
    <w:rsid w:val="34ED0B8D"/>
    <w:rsid w:val="34F14902"/>
    <w:rsid w:val="34FA09EA"/>
    <w:rsid w:val="35164541"/>
    <w:rsid w:val="35246EC1"/>
    <w:rsid w:val="352753BA"/>
    <w:rsid w:val="352A3AB6"/>
    <w:rsid w:val="35337105"/>
    <w:rsid w:val="3537750C"/>
    <w:rsid w:val="3537798C"/>
    <w:rsid w:val="35392F39"/>
    <w:rsid w:val="353C420B"/>
    <w:rsid w:val="357716E7"/>
    <w:rsid w:val="35784B06"/>
    <w:rsid w:val="357D6C72"/>
    <w:rsid w:val="357F7ED5"/>
    <w:rsid w:val="35B77D36"/>
    <w:rsid w:val="35C13FC9"/>
    <w:rsid w:val="35C778E0"/>
    <w:rsid w:val="35ED3757"/>
    <w:rsid w:val="35F57B47"/>
    <w:rsid w:val="35F83319"/>
    <w:rsid w:val="35FE7713"/>
    <w:rsid w:val="360311CD"/>
    <w:rsid w:val="361138EA"/>
    <w:rsid w:val="362063D3"/>
    <w:rsid w:val="362604D5"/>
    <w:rsid w:val="362E6D87"/>
    <w:rsid w:val="36370E76"/>
    <w:rsid w:val="363C160C"/>
    <w:rsid w:val="364230A5"/>
    <w:rsid w:val="364257B6"/>
    <w:rsid w:val="365612FD"/>
    <w:rsid w:val="365E4655"/>
    <w:rsid w:val="36626AA0"/>
    <w:rsid w:val="36662444"/>
    <w:rsid w:val="3666655F"/>
    <w:rsid w:val="36714388"/>
    <w:rsid w:val="367E2601"/>
    <w:rsid w:val="368C641D"/>
    <w:rsid w:val="36BE50F4"/>
    <w:rsid w:val="36D93CDC"/>
    <w:rsid w:val="36DE12F2"/>
    <w:rsid w:val="36E96615"/>
    <w:rsid w:val="36F6488E"/>
    <w:rsid w:val="36F834D1"/>
    <w:rsid w:val="36FF7BE6"/>
    <w:rsid w:val="370276D6"/>
    <w:rsid w:val="370964B1"/>
    <w:rsid w:val="3715285E"/>
    <w:rsid w:val="372F07D3"/>
    <w:rsid w:val="373B6744"/>
    <w:rsid w:val="374264D3"/>
    <w:rsid w:val="37625508"/>
    <w:rsid w:val="37824373"/>
    <w:rsid w:val="378269E1"/>
    <w:rsid w:val="378620B5"/>
    <w:rsid w:val="378C4D7F"/>
    <w:rsid w:val="379A346B"/>
    <w:rsid w:val="37A75B88"/>
    <w:rsid w:val="37A91900"/>
    <w:rsid w:val="37C003A8"/>
    <w:rsid w:val="37C329C2"/>
    <w:rsid w:val="37DB7874"/>
    <w:rsid w:val="37DD7E02"/>
    <w:rsid w:val="37EA5922"/>
    <w:rsid w:val="37F952C8"/>
    <w:rsid w:val="37FD13F8"/>
    <w:rsid w:val="38003C16"/>
    <w:rsid w:val="380454FC"/>
    <w:rsid w:val="380E23B1"/>
    <w:rsid w:val="381C4EC4"/>
    <w:rsid w:val="38276B93"/>
    <w:rsid w:val="38361D6B"/>
    <w:rsid w:val="38563836"/>
    <w:rsid w:val="38613F89"/>
    <w:rsid w:val="38757F5D"/>
    <w:rsid w:val="38763ED8"/>
    <w:rsid w:val="387E0FDF"/>
    <w:rsid w:val="389600D6"/>
    <w:rsid w:val="389D5829"/>
    <w:rsid w:val="389F75FE"/>
    <w:rsid w:val="38D0030D"/>
    <w:rsid w:val="38DB01DF"/>
    <w:rsid w:val="38E2331B"/>
    <w:rsid w:val="38EA6674"/>
    <w:rsid w:val="390C0398"/>
    <w:rsid w:val="391060DB"/>
    <w:rsid w:val="3913458B"/>
    <w:rsid w:val="391E1E7A"/>
    <w:rsid w:val="392A49E3"/>
    <w:rsid w:val="39335925"/>
    <w:rsid w:val="39447B32"/>
    <w:rsid w:val="394B24F0"/>
    <w:rsid w:val="39804C3F"/>
    <w:rsid w:val="39812695"/>
    <w:rsid w:val="39887F4C"/>
    <w:rsid w:val="398B750F"/>
    <w:rsid w:val="398E34A3"/>
    <w:rsid w:val="398E5251"/>
    <w:rsid w:val="39AD58C4"/>
    <w:rsid w:val="39B839F2"/>
    <w:rsid w:val="39C66A0D"/>
    <w:rsid w:val="39C77313"/>
    <w:rsid w:val="39DF28E3"/>
    <w:rsid w:val="39E60BE9"/>
    <w:rsid w:val="39E77348"/>
    <w:rsid w:val="39ED4C94"/>
    <w:rsid w:val="39FE23D7"/>
    <w:rsid w:val="39FF3A59"/>
    <w:rsid w:val="3A0B0650"/>
    <w:rsid w:val="3A0B64A7"/>
    <w:rsid w:val="3A1840A9"/>
    <w:rsid w:val="3A26548A"/>
    <w:rsid w:val="3A361610"/>
    <w:rsid w:val="3A362B2F"/>
    <w:rsid w:val="3A5B6852"/>
    <w:rsid w:val="3A703167"/>
    <w:rsid w:val="3A704957"/>
    <w:rsid w:val="3A8F3B5A"/>
    <w:rsid w:val="3AA0348E"/>
    <w:rsid w:val="3AA5290F"/>
    <w:rsid w:val="3AB76CFE"/>
    <w:rsid w:val="3ABE1B66"/>
    <w:rsid w:val="3AC7092A"/>
    <w:rsid w:val="3AD331DF"/>
    <w:rsid w:val="3AE07D71"/>
    <w:rsid w:val="3AF13B40"/>
    <w:rsid w:val="3AF74C02"/>
    <w:rsid w:val="3AF815BB"/>
    <w:rsid w:val="3AF8490D"/>
    <w:rsid w:val="3AFD443D"/>
    <w:rsid w:val="3B001939"/>
    <w:rsid w:val="3B021A53"/>
    <w:rsid w:val="3B0532F1"/>
    <w:rsid w:val="3B281408"/>
    <w:rsid w:val="3B3616FD"/>
    <w:rsid w:val="3B4007CD"/>
    <w:rsid w:val="3B45079A"/>
    <w:rsid w:val="3B550BE8"/>
    <w:rsid w:val="3B5B73B5"/>
    <w:rsid w:val="3B5D4EDB"/>
    <w:rsid w:val="3B781D15"/>
    <w:rsid w:val="3B976570"/>
    <w:rsid w:val="3BA269CE"/>
    <w:rsid w:val="3BA925ED"/>
    <w:rsid w:val="3BB371F1"/>
    <w:rsid w:val="3BC63E91"/>
    <w:rsid w:val="3BC6658C"/>
    <w:rsid w:val="3BCE7153"/>
    <w:rsid w:val="3BF35840"/>
    <w:rsid w:val="3C0059A5"/>
    <w:rsid w:val="3C033CD5"/>
    <w:rsid w:val="3C134E78"/>
    <w:rsid w:val="3C340332"/>
    <w:rsid w:val="3C4A29EA"/>
    <w:rsid w:val="3C4B742A"/>
    <w:rsid w:val="3C5928B0"/>
    <w:rsid w:val="3C7B53A9"/>
    <w:rsid w:val="3CAF1767"/>
    <w:rsid w:val="3CC80A7A"/>
    <w:rsid w:val="3CD245E0"/>
    <w:rsid w:val="3CD45671"/>
    <w:rsid w:val="3CDA48E7"/>
    <w:rsid w:val="3D070E25"/>
    <w:rsid w:val="3D08531B"/>
    <w:rsid w:val="3D0F48FB"/>
    <w:rsid w:val="3D10255B"/>
    <w:rsid w:val="3D124BBA"/>
    <w:rsid w:val="3D192362"/>
    <w:rsid w:val="3D233F03"/>
    <w:rsid w:val="3D261B83"/>
    <w:rsid w:val="3D47303C"/>
    <w:rsid w:val="3D4E5423"/>
    <w:rsid w:val="3D556267"/>
    <w:rsid w:val="3D78424E"/>
    <w:rsid w:val="3D7C2FEC"/>
    <w:rsid w:val="3D934BE4"/>
    <w:rsid w:val="3D9F17DB"/>
    <w:rsid w:val="3DBA6615"/>
    <w:rsid w:val="3DC41242"/>
    <w:rsid w:val="3DE6058D"/>
    <w:rsid w:val="3DEB4A20"/>
    <w:rsid w:val="3DF6345D"/>
    <w:rsid w:val="3DF8713D"/>
    <w:rsid w:val="3E09759C"/>
    <w:rsid w:val="3E10092B"/>
    <w:rsid w:val="3E435064"/>
    <w:rsid w:val="3E6A003B"/>
    <w:rsid w:val="3E77555D"/>
    <w:rsid w:val="3E7964D0"/>
    <w:rsid w:val="3E7C1B1C"/>
    <w:rsid w:val="3E834932"/>
    <w:rsid w:val="3E8409D1"/>
    <w:rsid w:val="3E846C23"/>
    <w:rsid w:val="3E90381A"/>
    <w:rsid w:val="3E907376"/>
    <w:rsid w:val="3EB218F1"/>
    <w:rsid w:val="3EE13701"/>
    <w:rsid w:val="3EE6168C"/>
    <w:rsid w:val="3EFE0783"/>
    <w:rsid w:val="3F051B12"/>
    <w:rsid w:val="3F0A7128"/>
    <w:rsid w:val="3F123C66"/>
    <w:rsid w:val="3F171845"/>
    <w:rsid w:val="3F177A97"/>
    <w:rsid w:val="3F1A4BB3"/>
    <w:rsid w:val="3F1B4469"/>
    <w:rsid w:val="3F277CDA"/>
    <w:rsid w:val="3F2A3495"/>
    <w:rsid w:val="3F4E170B"/>
    <w:rsid w:val="3F542FF5"/>
    <w:rsid w:val="3F544847"/>
    <w:rsid w:val="3F642B1C"/>
    <w:rsid w:val="3F6820A1"/>
    <w:rsid w:val="3F890F5D"/>
    <w:rsid w:val="3FA07A8C"/>
    <w:rsid w:val="3FA5377A"/>
    <w:rsid w:val="3FAC4683"/>
    <w:rsid w:val="3FC2005E"/>
    <w:rsid w:val="3FD15E98"/>
    <w:rsid w:val="3FF81676"/>
    <w:rsid w:val="40064F63"/>
    <w:rsid w:val="40076CDF"/>
    <w:rsid w:val="4013200C"/>
    <w:rsid w:val="40150E25"/>
    <w:rsid w:val="40192BA6"/>
    <w:rsid w:val="40271F5C"/>
    <w:rsid w:val="40363F4D"/>
    <w:rsid w:val="4058233E"/>
    <w:rsid w:val="40747468"/>
    <w:rsid w:val="4093098F"/>
    <w:rsid w:val="409A272E"/>
    <w:rsid w:val="40A6466A"/>
    <w:rsid w:val="40B57568"/>
    <w:rsid w:val="40BA692C"/>
    <w:rsid w:val="40BE7759"/>
    <w:rsid w:val="40E77274"/>
    <w:rsid w:val="40EF2A79"/>
    <w:rsid w:val="410944F6"/>
    <w:rsid w:val="41166258"/>
    <w:rsid w:val="411B56FD"/>
    <w:rsid w:val="41232723"/>
    <w:rsid w:val="4148218A"/>
    <w:rsid w:val="41610E0B"/>
    <w:rsid w:val="416337E3"/>
    <w:rsid w:val="41685D9E"/>
    <w:rsid w:val="419D28C4"/>
    <w:rsid w:val="41A01FC6"/>
    <w:rsid w:val="41B17D2F"/>
    <w:rsid w:val="41BA0B0D"/>
    <w:rsid w:val="41C31810"/>
    <w:rsid w:val="41CD2F97"/>
    <w:rsid w:val="41D659E7"/>
    <w:rsid w:val="41DE6B9D"/>
    <w:rsid w:val="421A1D78"/>
    <w:rsid w:val="421E659F"/>
    <w:rsid w:val="42206C63"/>
    <w:rsid w:val="42254279"/>
    <w:rsid w:val="42276243"/>
    <w:rsid w:val="4238363D"/>
    <w:rsid w:val="4239456E"/>
    <w:rsid w:val="423D5A66"/>
    <w:rsid w:val="42417884"/>
    <w:rsid w:val="42497F67"/>
    <w:rsid w:val="42550A18"/>
    <w:rsid w:val="425600A9"/>
    <w:rsid w:val="425C413F"/>
    <w:rsid w:val="425D7EB7"/>
    <w:rsid w:val="426B6130"/>
    <w:rsid w:val="426D00FA"/>
    <w:rsid w:val="427C658F"/>
    <w:rsid w:val="429F227D"/>
    <w:rsid w:val="42A44D37"/>
    <w:rsid w:val="42A7780B"/>
    <w:rsid w:val="42A96C58"/>
    <w:rsid w:val="42B20202"/>
    <w:rsid w:val="42C121F4"/>
    <w:rsid w:val="42C27D1A"/>
    <w:rsid w:val="42CB58F0"/>
    <w:rsid w:val="42F40871"/>
    <w:rsid w:val="42F473A1"/>
    <w:rsid w:val="42F73E67"/>
    <w:rsid w:val="43056584"/>
    <w:rsid w:val="430664B8"/>
    <w:rsid w:val="432A1125"/>
    <w:rsid w:val="433A1BCB"/>
    <w:rsid w:val="434F77FF"/>
    <w:rsid w:val="43824C1A"/>
    <w:rsid w:val="438A4CDB"/>
    <w:rsid w:val="438D0328"/>
    <w:rsid w:val="43923E29"/>
    <w:rsid w:val="4396542E"/>
    <w:rsid w:val="43B05F93"/>
    <w:rsid w:val="43B27D8E"/>
    <w:rsid w:val="43C55D14"/>
    <w:rsid w:val="43E72782"/>
    <w:rsid w:val="44124CF1"/>
    <w:rsid w:val="441E62C0"/>
    <w:rsid w:val="44234472"/>
    <w:rsid w:val="44274ACD"/>
    <w:rsid w:val="44343FA0"/>
    <w:rsid w:val="445B0426"/>
    <w:rsid w:val="445C2059"/>
    <w:rsid w:val="44631FBB"/>
    <w:rsid w:val="44692B43"/>
    <w:rsid w:val="447F5EC2"/>
    <w:rsid w:val="44862689"/>
    <w:rsid w:val="448D2A4F"/>
    <w:rsid w:val="448E07FB"/>
    <w:rsid w:val="448F0E12"/>
    <w:rsid w:val="449961D7"/>
    <w:rsid w:val="449C6A74"/>
    <w:rsid w:val="44BD4C3D"/>
    <w:rsid w:val="44BE2144"/>
    <w:rsid w:val="44BF0E72"/>
    <w:rsid w:val="44CC46BA"/>
    <w:rsid w:val="44D37FBC"/>
    <w:rsid w:val="44D5342A"/>
    <w:rsid w:val="44DA57EF"/>
    <w:rsid w:val="44DD0E3B"/>
    <w:rsid w:val="44F81E89"/>
    <w:rsid w:val="45017990"/>
    <w:rsid w:val="450464A6"/>
    <w:rsid w:val="450D7972"/>
    <w:rsid w:val="451066F7"/>
    <w:rsid w:val="45146B54"/>
    <w:rsid w:val="45174FF1"/>
    <w:rsid w:val="452F67E7"/>
    <w:rsid w:val="454113CA"/>
    <w:rsid w:val="45513D03"/>
    <w:rsid w:val="457C68A6"/>
    <w:rsid w:val="45811C7C"/>
    <w:rsid w:val="458319E2"/>
    <w:rsid w:val="45967968"/>
    <w:rsid w:val="45A97F18"/>
    <w:rsid w:val="45AC0F39"/>
    <w:rsid w:val="45AD0799"/>
    <w:rsid w:val="45B47174"/>
    <w:rsid w:val="45C2593C"/>
    <w:rsid w:val="45C5024D"/>
    <w:rsid w:val="45DD5596"/>
    <w:rsid w:val="4607616F"/>
    <w:rsid w:val="460A5C60"/>
    <w:rsid w:val="461E170B"/>
    <w:rsid w:val="46401681"/>
    <w:rsid w:val="464C6278"/>
    <w:rsid w:val="464F5D68"/>
    <w:rsid w:val="46536E8C"/>
    <w:rsid w:val="46731A57"/>
    <w:rsid w:val="467B090B"/>
    <w:rsid w:val="468B3EFB"/>
    <w:rsid w:val="46916381"/>
    <w:rsid w:val="469460F7"/>
    <w:rsid w:val="46A2071E"/>
    <w:rsid w:val="46C3241B"/>
    <w:rsid w:val="46DC7FF2"/>
    <w:rsid w:val="46E75FA1"/>
    <w:rsid w:val="46F54107"/>
    <w:rsid w:val="46F9547C"/>
    <w:rsid w:val="46FF2957"/>
    <w:rsid w:val="47040377"/>
    <w:rsid w:val="470A6193"/>
    <w:rsid w:val="47127AD1"/>
    <w:rsid w:val="47201E61"/>
    <w:rsid w:val="472E5983"/>
    <w:rsid w:val="474312E2"/>
    <w:rsid w:val="4747201E"/>
    <w:rsid w:val="476C707E"/>
    <w:rsid w:val="476E7525"/>
    <w:rsid w:val="477A7446"/>
    <w:rsid w:val="477E03FD"/>
    <w:rsid w:val="4783216D"/>
    <w:rsid w:val="47876474"/>
    <w:rsid w:val="47887784"/>
    <w:rsid w:val="4792415F"/>
    <w:rsid w:val="47AE3AD2"/>
    <w:rsid w:val="47C50090"/>
    <w:rsid w:val="47D1739A"/>
    <w:rsid w:val="47D41938"/>
    <w:rsid w:val="47D97FDF"/>
    <w:rsid w:val="47DC4F5C"/>
    <w:rsid w:val="47E30E5E"/>
    <w:rsid w:val="47F70466"/>
    <w:rsid w:val="48254FD3"/>
    <w:rsid w:val="48266C22"/>
    <w:rsid w:val="48496F13"/>
    <w:rsid w:val="485B09F4"/>
    <w:rsid w:val="486045D6"/>
    <w:rsid w:val="486F0BE5"/>
    <w:rsid w:val="4880045B"/>
    <w:rsid w:val="488356D6"/>
    <w:rsid w:val="488E257D"/>
    <w:rsid w:val="48B40671"/>
    <w:rsid w:val="48B84099"/>
    <w:rsid w:val="48E87129"/>
    <w:rsid w:val="48F826E7"/>
    <w:rsid w:val="48FF5824"/>
    <w:rsid w:val="493378FF"/>
    <w:rsid w:val="49575660"/>
    <w:rsid w:val="49626A9A"/>
    <w:rsid w:val="496B7097"/>
    <w:rsid w:val="49845D29"/>
    <w:rsid w:val="499B5738"/>
    <w:rsid w:val="499F244D"/>
    <w:rsid w:val="49B54F13"/>
    <w:rsid w:val="49B74350"/>
    <w:rsid w:val="49BA799D"/>
    <w:rsid w:val="49BD73EB"/>
    <w:rsid w:val="49D7054F"/>
    <w:rsid w:val="49DF11B1"/>
    <w:rsid w:val="49F41101"/>
    <w:rsid w:val="49F64E79"/>
    <w:rsid w:val="49F92273"/>
    <w:rsid w:val="4A050C18"/>
    <w:rsid w:val="4A121587"/>
    <w:rsid w:val="4A5D6CA6"/>
    <w:rsid w:val="4A6A3171"/>
    <w:rsid w:val="4A804742"/>
    <w:rsid w:val="4A8F58C2"/>
    <w:rsid w:val="4A9220C8"/>
    <w:rsid w:val="4AB4263E"/>
    <w:rsid w:val="4ABB577A"/>
    <w:rsid w:val="4ABD6F9B"/>
    <w:rsid w:val="4AC663E7"/>
    <w:rsid w:val="4AC705C3"/>
    <w:rsid w:val="4AC72371"/>
    <w:rsid w:val="4AD351BA"/>
    <w:rsid w:val="4AE73555"/>
    <w:rsid w:val="4AF15640"/>
    <w:rsid w:val="4AF8077D"/>
    <w:rsid w:val="4AF96BC7"/>
    <w:rsid w:val="4B1E3227"/>
    <w:rsid w:val="4B5C51AF"/>
    <w:rsid w:val="4B6B71A0"/>
    <w:rsid w:val="4B6D2F06"/>
    <w:rsid w:val="4B725159"/>
    <w:rsid w:val="4B937662"/>
    <w:rsid w:val="4B937B72"/>
    <w:rsid w:val="4BC4555C"/>
    <w:rsid w:val="4BD5286C"/>
    <w:rsid w:val="4BD929FD"/>
    <w:rsid w:val="4BDD7BA7"/>
    <w:rsid w:val="4BEB0208"/>
    <w:rsid w:val="4BFB4050"/>
    <w:rsid w:val="4BFD7DA2"/>
    <w:rsid w:val="4C043CBA"/>
    <w:rsid w:val="4C1A464A"/>
    <w:rsid w:val="4C7B00A5"/>
    <w:rsid w:val="4C7C4B97"/>
    <w:rsid w:val="4C7D6F5C"/>
    <w:rsid w:val="4CDB0356"/>
    <w:rsid w:val="4CEF36E2"/>
    <w:rsid w:val="4CF03E01"/>
    <w:rsid w:val="4CF937E7"/>
    <w:rsid w:val="4D1127C3"/>
    <w:rsid w:val="4D1A0E7E"/>
    <w:rsid w:val="4D2215B2"/>
    <w:rsid w:val="4D221AE1"/>
    <w:rsid w:val="4D243AAB"/>
    <w:rsid w:val="4D27359B"/>
    <w:rsid w:val="4D31441A"/>
    <w:rsid w:val="4D3742C8"/>
    <w:rsid w:val="4D3B1120"/>
    <w:rsid w:val="4D5D520F"/>
    <w:rsid w:val="4D64034B"/>
    <w:rsid w:val="4D7678F6"/>
    <w:rsid w:val="4D7F266D"/>
    <w:rsid w:val="4D84736B"/>
    <w:rsid w:val="4D8602C2"/>
    <w:rsid w:val="4D901140"/>
    <w:rsid w:val="4D9F71C1"/>
    <w:rsid w:val="4DA16EA9"/>
    <w:rsid w:val="4DAF4CC1"/>
    <w:rsid w:val="4DBF37D4"/>
    <w:rsid w:val="4DDD3C5A"/>
    <w:rsid w:val="4DE84AD8"/>
    <w:rsid w:val="4DEC3685"/>
    <w:rsid w:val="4DF91E57"/>
    <w:rsid w:val="4E045AE0"/>
    <w:rsid w:val="4E0C2B34"/>
    <w:rsid w:val="4E0E53DC"/>
    <w:rsid w:val="4E3C4E24"/>
    <w:rsid w:val="4E3E294A"/>
    <w:rsid w:val="4E4A7541"/>
    <w:rsid w:val="4E807407"/>
    <w:rsid w:val="4E892302"/>
    <w:rsid w:val="4E8A5B90"/>
    <w:rsid w:val="4E8D7A74"/>
    <w:rsid w:val="4EB26E94"/>
    <w:rsid w:val="4ED137BE"/>
    <w:rsid w:val="4ED67027"/>
    <w:rsid w:val="4ED96B17"/>
    <w:rsid w:val="4EDB463D"/>
    <w:rsid w:val="4EEF2C61"/>
    <w:rsid w:val="4EF83441"/>
    <w:rsid w:val="4F10078B"/>
    <w:rsid w:val="4F372FFB"/>
    <w:rsid w:val="4F37724F"/>
    <w:rsid w:val="4F3F609A"/>
    <w:rsid w:val="4F491BDC"/>
    <w:rsid w:val="4F4E7EFF"/>
    <w:rsid w:val="4F676F3B"/>
    <w:rsid w:val="4F764366"/>
    <w:rsid w:val="4F8A56A3"/>
    <w:rsid w:val="4F8B1BBF"/>
    <w:rsid w:val="4F8C3073"/>
    <w:rsid w:val="4F9D18F3"/>
    <w:rsid w:val="4FA76FA4"/>
    <w:rsid w:val="4FA9749A"/>
    <w:rsid w:val="4FB60A29"/>
    <w:rsid w:val="4FC60E49"/>
    <w:rsid w:val="4FCA3333"/>
    <w:rsid w:val="4FDC68BF"/>
    <w:rsid w:val="4FDD6193"/>
    <w:rsid w:val="4FF167FA"/>
    <w:rsid w:val="50093EFF"/>
    <w:rsid w:val="500D0826"/>
    <w:rsid w:val="500F0A42"/>
    <w:rsid w:val="5012408F"/>
    <w:rsid w:val="50146059"/>
    <w:rsid w:val="5024780B"/>
    <w:rsid w:val="502A762A"/>
    <w:rsid w:val="50324731"/>
    <w:rsid w:val="50456C5A"/>
    <w:rsid w:val="5058322F"/>
    <w:rsid w:val="506A511E"/>
    <w:rsid w:val="50761340"/>
    <w:rsid w:val="50797CC1"/>
    <w:rsid w:val="50875D00"/>
    <w:rsid w:val="508C2053"/>
    <w:rsid w:val="508D7BB9"/>
    <w:rsid w:val="50A15412"/>
    <w:rsid w:val="50A50A25"/>
    <w:rsid w:val="50A53155"/>
    <w:rsid w:val="50A76ECD"/>
    <w:rsid w:val="50AA7287"/>
    <w:rsid w:val="50B27620"/>
    <w:rsid w:val="50BE6F9A"/>
    <w:rsid w:val="50CF1F80"/>
    <w:rsid w:val="50D65C11"/>
    <w:rsid w:val="50DC04D0"/>
    <w:rsid w:val="50E20723"/>
    <w:rsid w:val="50E4045D"/>
    <w:rsid w:val="50ED0658"/>
    <w:rsid w:val="50F6750C"/>
    <w:rsid w:val="510936E3"/>
    <w:rsid w:val="5109395F"/>
    <w:rsid w:val="510E0CFA"/>
    <w:rsid w:val="5116195C"/>
    <w:rsid w:val="512C28A5"/>
    <w:rsid w:val="512E4EF8"/>
    <w:rsid w:val="513B13C3"/>
    <w:rsid w:val="513F391C"/>
    <w:rsid w:val="514A1AEC"/>
    <w:rsid w:val="51564E44"/>
    <w:rsid w:val="51850890"/>
    <w:rsid w:val="51912727"/>
    <w:rsid w:val="519C4558"/>
    <w:rsid w:val="519D196F"/>
    <w:rsid w:val="51AC22C1"/>
    <w:rsid w:val="51D31886"/>
    <w:rsid w:val="51D57A6A"/>
    <w:rsid w:val="51E25CE3"/>
    <w:rsid w:val="520B5239"/>
    <w:rsid w:val="52120376"/>
    <w:rsid w:val="521D6D1B"/>
    <w:rsid w:val="523C3645"/>
    <w:rsid w:val="523F3135"/>
    <w:rsid w:val="52633DBC"/>
    <w:rsid w:val="52720E14"/>
    <w:rsid w:val="529167FF"/>
    <w:rsid w:val="52A66D10"/>
    <w:rsid w:val="52C10D75"/>
    <w:rsid w:val="52DE20E6"/>
    <w:rsid w:val="52E15F9A"/>
    <w:rsid w:val="52F21F55"/>
    <w:rsid w:val="52FA36B8"/>
    <w:rsid w:val="52FF78E7"/>
    <w:rsid w:val="53034162"/>
    <w:rsid w:val="53086608"/>
    <w:rsid w:val="53117D4E"/>
    <w:rsid w:val="53536E98"/>
    <w:rsid w:val="53566988"/>
    <w:rsid w:val="53612C0E"/>
    <w:rsid w:val="53671DD7"/>
    <w:rsid w:val="536A41E2"/>
    <w:rsid w:val="537A50EC"/>
    <w:rsid w:val="53884C19"/>
    <w:rsid w:val="53901E9A"/>
    <w:rsid w:val="53A5346C"/>
    <w:rsid w:val="53B162CA"/>
    <w:rsid w:val="53BC4DA3"/>
    <w:rsid w:val="53C378F8"/>
    <w:rsid w:val="53CE4770"/>
    <w:rsid w:val="53CF1689"/>
    <w:rsid w:val="53D61877"/>
    <w:rsid w:val="53D83B9B"/>
    <w:rsid w:val="5403737D"/>
    <w:rsid w:val="540619D1"/>
    <w:rsid w:val="54082F40"/>
    <w:rsid w:val="541D655E"/>
    <w:rsid w:val="54297BF9"/>
    <w:rsid w:val="54336CC9"/>
    <w:rsid w:val="544D50D9"/>
    <w:rsid w:val="544E26B2"/>
    <w:rsid w:val="5455279C"/>
    <w:rsid w:val="54613836"/>
    <w:rsid w:val="546268D4"/>
    <w:rsid w:val="546566B7"/>
    <w:rsid w:val="547B30D9"/>
    <w:rsid w:val="54C86B69"/>
    <w:rsid w:val="54C9057D"/>
    <w:rsid w:val="54D45E2C"/>
    <w:rsid w:val="54D57D91"/>
    <w:rsid w:val="550C4BD7"/>
    <w:rsid w:val="55124B31"/>
    <w:rsid w:val="55256612"/>
    <w:rsid w:val="553973C4"/>
    <w:rsid w:val="55456CB4"/>
    <w:rsid w:val="55572986"/>
    <w:rsid w:val="55582E57"/>
    <w:rsid w:val="55593595"/>
    <w:rsid w:val="555D5DAC"/>
    <w:rsid w:val="556436B9"/>
    <w:rsid w:val="556B4F0B"/>
    <w:rsid w:val="556E7FB9"/>
    <w:rsid w:val="556F0946"/>
    <w:rsid w:val="55757355"/>
    <w:rsid w:val="55841727"/>
    <w:rsid w:val="55935C72"/>
    <w:rsid w:val="559A74FE"/>
    <w:rsid w:val="55A35A5D"/>
    <w:rsid w:val="55CC1183"/>
    <w:rsid w:val="55CE4439"/>
    <w:rsid w:val="5601759D"/>
    <w:rsid w:val="56037855"/>
    <w:rsid w:val="560C1580"/>
    <w:rsid w:val="5612303A"/>
    <w:rsid w:val="561F7505"/>
    <w:rsid w:val="564B3E56"/>
    <w:rsid w:val="565871C1"/>
    <w:rsid w:val="565C42B5"/>
    <w:rsid w:val="56630E61"/>
    <w:rsid w:val="56682C5A"/>
    <w:rsid w:val="566D64C3"/>
    <w:rsid w:val="567A473C"/>
    <w:rsid w:val="568E6439"/>
    <w:rsid w:val="569E667C"/>
    <w:rsid w:val="569F23F4"/>
    <w:rsid w:val="56A4683B"/>
    <w:rsid w:val="56C55BC4"/>
    <w:rsid w:val="56DB6AD4"/>
    <w:rsid w:val="56DE2F1C"/>
    <w:rsid w:val="56EA26AF"/>
    <w:rsid w:val="56EF62E7"/>
    <w:rsid w:val="56EF6ED8"/>
    <w:rsid w:val="56F40992"/>
    <w:rsid w:val="570404A9"/>
    <w:rsid w:val="5708289B"/>
    <w:rsid w:val="571B7CE3"/>
    <w:rsid w:val="571E0325"/>
    <w:rsid w:val="572D7D3B"/>
    <w:rsid w:val="572F19CA"/>
    <w:rsid w:val="57335AAB"/>
    <w:rsid w:val="5750406D"/>
    <w:rsid w:val="575454D0"/>
    <w:rsid w:val="576D604E"/>
    <w:rsid w:val="57835872"/>
    <w:rsid w:val="578D66F1"/>
    <w:rsid w:val="578E0CE1"/>
    <w:rsid w:val="578F1872"/>
    <w:rsid w:val="579D4B86"/>
    <w:rsid w:val="57A31A70"/>
    <w:rsid w:val="57A35F14"/>
    <w:rsid w:val="57A5204B"/>
    <w:rsid w:val="57B911A0"/>
    <w:rsid w:val="57BE4CE1"/>
    <w:rsid w:val="57CC7219"/>
    <w:rsid w:val="57CD4D3F"/>
    <w:rsid w:val="57D165DD"/>
    <w:rsid w:val="57DA1517"/>
    <w:rsid w:val="57DD1426"/>
    <w:rsid w:val="57EA769F"/>
    <w:rsid w:val="57F02618"/>
    <w:rsid w:val="57F549C2"/>
    <w:rsid w:val="58006EC2"/>
    <w:rsid w:val="5809477E"/>
    <w:rsid w:val="580A1AEF"/>
    <w:rsid w:val="58116149"/>
    <w:rsid w:val="582232DD"/>
    <w:rsid w:val="58223AF1"/>
    <w:rsid w:val="582241C7"/>
    <w:rsid w:val="58303BD9"/>
    <w:rsid w:val="58311772"/>
    <w:rsid w:val="58346B6C"/>
    <w:rsid w:val="58397404"/>
    <w:rsid w:val="585316E8"/>
    <w:rsid w:val="58550FBC"/>
    <w:rsid w:val="585D299D"/>
    <w:rsid w:val="586B6A32"/>
    <w:rsid w:val="589A7317"/>
    <w:rsid w:val="589D2821"/>
    <w:rsid w:val="58C3686E"/>
    <w:rsid w:val="58C60230"/>
    <w:rsid w:val="58CA1BB5"/>
    <w:rsid w:val="58CE1230"/>
    <w:rsid w:val="58D2260D"/>
    <w:rsid w:val="58D439C7"/>
    <w:rsid w:val="58E230B8"/>
    <w:rsid w:val="58E862D4"/>
    <w:rsid w:val="58EA204C"/>
    <w:rsid w:val="58F67946"/>
    <w:rsid w:val="58FA1B64"/>
    <w:rsid w:val="590D7AE9"/>
    <w:rsid w:val="59154BEF"/>
    <w:rsid w:val="595B4CF8"/>
    <w:rsid w:val="596428D3"/>
    <w:rsid w:val="596671F9"/>
    <w:rsid w:val="59692354"/>
    <w:rsid w:val="596C0CB3"/>
    <w:rsid w:val="597E2795"/>
    <w:rsid w:val="598E4F82"/>
    <w:rsid w:val="5991071A"/>
    <w:rsid w:val="59B76D62"/>
    <w:rsid w:val="59C04B5B"/>
    <w:rsid w:val="59C601EC"/>
    <w:rsid w:val="59CB4142"/>
    <w:rsid w:val="59D460CF"/>
    <w:rsid w:val="5A221372"/>
    <w:rsid w:val="5A290952"/>
    <w:rsid w:val="5A2C2BA6"/>
    <w:rsid w:val="5A407A4A"/>
    <w:rsid w:val="5A5B2AD6"/>
    <w:rsid w:val="5A7140A7"/>
    <w:rsid w:val="5A715E56"/>
    <w:rsid w:val="5A8C2C8F"/>
    <w:rsid w:val="5A8F2EFA"/>
    <w:rsid w:val="5A957D93"/>
    <w:rsid w:val="5AA1498D"/>
    <w:rsid w:val="5AAD1584"/>
    <w:rsid w:val="5AB20948"/>
    <w:rsid w:val="5AE824B9"/>
    <w:rsid w:val="5AF2100E"/>
    <w:rsid w:val="5B10566E"/>
    <w:rsid w:val="5B351579"/>
    <w:rsid w:val="5B3760D9"/>
    <w:rsid w:val="5B4812AC"/>
    <w:rsid w:val="5B4930DF"/>
    <w:rsid w:val="5B612747"/>
    <w:rsid w:val="5B6C2D6A"/>
    <w:rsid w:val="5B8E3542"/>
    <w:rsid w:val="5BA13276"/>
    <w:rsid w:val="5BA364E3"/>
    <w:rsid w:val="5BA73E07"/>
    <w:rsid w:val="5BAA1C16"/>
    <w:rsid w:val="5BBB7CD0"/>
    <w:rsid w:val="5BBE258E"/>
    <w:rsid w:val="5BC546AB"/>
    <w:rsid w:val="5BC57684"/>
    <w:rsid w:val="5BCA59D8"/>
    <w:rsid w:val="5BCB5E0B"/>
    <w:rsid w:val="5BCD39E5"/>
    <w:rsid w:val="5BCF552A"/>
    <w:rsid w:val="5BD26DC8"/>
    <w:rsid w:val="5BD90156"/>
    <w:rsid w:val="5BE66A1A"/>
    <w:rsid w:val="5BF112D7"/>
    <w:rsid w:val="5C0056E3"/>
    <w:rsid w:val="5C1358B5"/>
    <w:rsid w:val="5C210E5C"/>
    <w:rsid w:val="5C277114"/>
    <w:rsid w:val="5C2C7702"/>
    <w:rsid w:val="5C5617A7"/>
    <w:rsid w:val="5C7009A1"/>
    <w:rsid w:val="5C702869"/>
    <w:rsid w:val="5C746036"/>
    <w:rsid w:val="5C7463C7"/>
    <w:rsid w:val="5C753F23"/>
    <w:rsid w:val="5C995323"/>
    <w:rsid w:val="5C9F314E"/>
    <w:rsid w:val="5CAB5170"/>
    <w:rsid w:val="5CE768A3"/>
    <w:rsid w:val="5CE90F4C"/>
    <w:rsid w:val="5D1A27D4"/>
    <w:rsid w:val="5D3A69D3"/>
    <w:rsid w:val="5D4D45D8"/>
    <w:rsid w:val="5D556041"/>
    <w:rsid w:val="5D5846C0"/>
    <w:rsid w:val="5D63417B"/>
    <w:rsid w:val="5D691B70"/>
    <w:rsid w:val="5D815A58"/>
    <w:rsid w:val="5DA622BA"/>
    <w:rsid w:val="5DAB49FC"/>
    <w:rsid w:val="5DB449D7"/>
    <w:rsid w:val="5DDE7CA6"/>
    <w:rsid w:val="5DE60909"/>
    <w:rsid w:val="5DF3340F"/>
    <w:rsid w:val="5E005E6E"/>
    <w:rsid w:val="5E0B1125"/>
    <w:rsid w:val="5E28552D"/>
    <w:rsid w:val="5E653537"/>
    <w:rsid w:val="5E677C9B"/>
    <w:rsid w:val="5E6B3BBE"/>
    <w:rsid w:val="5E930A90"/>
    <w:rsid w:val="5E994DBA"/>
    <w:rsid w:val="5E9D190F"/>
    <w:rsid w:val="5EB34C8F"/>
    <w:rsid w:val="5ED13367"/>
    <w:rsid w:val="5EDC1FD4"/>
    <w:rsid w:val="5EE17B24"/>
    <w:rsid w:val="5EE222A7"/>
    <w:rsid w:val="5F074FDA"/>
    <w:rsid w:val="5F236821"/>
    <w:rsid w:val="5F2B2A77"/>
    <w:rsid w:val="5F2B5783"/>
    <w:rsid w:val="5F310A0D"/>
    <w:rsid w:val="5F357D99"/>
    <w:rsid w:val="5F3C2ED6"/>
    <w:rsid w:val="5F41673E"/>
    <w:rsid w:val="5F4905E3"/>
    <w:rsid w:val="5F667F53"/>
    <w:rsid w:val="5F7E063F"/>
    <w:rsid w:val="5F80710D"/>
    <w:rsid w:val="5F8D2138"/>
    <w:rsid w:val="5F942D12"/>
    <w:rsid w:val="5FA666FE"/>
    <w:rsid w:val="5FCB5AB5"/>
    <w:rsid w:val="5FFC1611"/>
    <w:rsid w:val="5FFF04A2"/>
    <w:rsid w:val="60017314"/>
    <w:rsid w:val="60251BBC"/>
    <w:rsid w:val="604162CA"/>
    <w:rsid w:val="6042451C"/>
    <w:rsid w:val="60455893"/>
    <w:rsid w:val="604F66CE"/>
    <w:rsid w:val="605129B1"/>
    <w:rsid w:val="60567FC7"/>
    <w:rsid w:val="606007BB"/>
    <w:rsid w:val="607453FF"/>
    <w:rsid w:val="6075770C"/>
    <w:rsid w:val="6088514E"/>
    <w:rsid w:val="60885CA7"/>
    <w:rsid w:val="6094289E"/>
    <w:rsid w:val="60AC7F66"/>
    <w:rsid w:val="60AE7E03"/>
    <w:rsid w:val="60BC7967"/>
    <w:rsid w:val="60BF6646"/>
    <w:rsid w:val="60C30678"/>
    <w:rsid w:val="60C952FD"/>
    <w:rsid w:val="60D378F4"/>
    <w:rsid w:val="60DF3423"/>
    <w:rsid w:val="60E90E3C"/>
    <w:rsid w:val="60EB0CCD"/>
    <w:rsid w:val="60ED0CFE"/>
    <w:rsid w:val="60ED41C1"/>
    <w:rsid w:val="60FA6BA5"/>
    <w:rsid w:val="611063C8"/>
    <w:rsid w:val="61113EEE"/>
    <w:rsid w:val="61151C31"/>
    <w:rsid w:val="61205628"/>
    <w:rsid w:val="612358BE"/>
    <w:rsid w:val="61471C84"/>
    <w:rsid w:val="61475B62"/>
    <w:rsid w:val="61532759"/>
    <w:rsid w:val="61722BDF"/>
    <w:rsid w:val="61745166"/>
    <w:rsid w:val="617B2468"/>
    <w:rsid w:val="617F52FC"/>
    <w:rsid w:val="61867CAF"/>
    <w:rsid w:val="618835DC"/>
    <w:rsid w:val="61890126"/>
    <w:rsid w:val="618F0EDB"/>
    <w:rsid w:val="619568CD"/>
    <w:rsid w:val="6198016C"/>
    <w:rsid w:val="61A15272"/>
    <w:rsid w:val="61A42FB4"/>
    <w:rsid w:val="61B52ACC"/>
    <w:rsid w:val="61BC3E5A"/>
    <w:rsid w:val="61BF10D9"/>
    <w:rsid w:val="61D75138"/>
    <w:rsid w:val="61F335F4"/>
    <w:rsid w:val="62173786"/>
    <w:rsid w:val="621C6331"/>
    <w:rsid w:val="622720EB"/>
    <w:rsid w:val="6229273D"/>
    <w:rsid w:val="622D6B06"/>
    <w:rsid w:val="625C1559"/>
    <w:rsid w:val="62620EA5"/>
    <w:rsid w:val="62643A48"/>
    <w:rsid w:val="62654AE2"/>
    <w:rsid w:val="627C50F9"/>
    <w:rsid w:val="629C6381"/>
    <w:rsid w:val="629F7BDB"/>
    <w:rsid w:val="62C1505B"/>
    <w:rsid w:val="62C27B96"/>
    <w:rsid w:val="62E25B42"/>
    <w:rsid w:val="62EC4C13"/>
    <w:rsid w:val="62F53AC8"/>
    <w:rsid w:val="6302602E"/>
    <w:rsid w:val="630456A4"/>
    <w:rsid w:val="631303F2"/>
    <w:rsid w:val="63185A08"/>
    <w:rsid w:val="631B00C2"/>
    <w:rsid w:val="63275C4B"/>
    <w:rsid w:val="632B301A"/>
    <w:rsid w:val="633A772C"/>
    <w:rsid w:val="633C50A1"/>
    <w:rsid w:val="633F4CF0"/>
    <w:rsid w:val="634E2675"/>
    <w:rsid w:val="636D3251"/>
    <w:rsid w:val="63847AD9"/>
    <w:rsid w:val="63A6062F"/>
    <w:rsid w:val="63A63014"/>
    <w:rsid w:val="63D80CF3"/>
    <w:rsid w:val="63E137D0"/>
    <w:rsid w:val="63E453B6"/>
    <w:rsid w:val="63E952D4"/>
    <w:rsid w:val="63F0603D"/>
    <w:rsid w:val="63F63329"/>
    <w:rsid w:val="640C7C21"/>
    <w:rsid w:val="64194713"/>
    <w:rsid w:val="642D3F6A"/>
    <w:rsid w:val="644B5969"/>
    <w:rsid w:val="645C36D2"/>
    <w:rsid w:val="647B624F"/>
    <w:rsid w:val="648210E5"/>
    <w:rsid w:val="6493545D"/>
    <w:rsid w:val="649A1E81"/>
    <w:rsid w:val="649C7F73"/>
    <w:rsid w:val="64AD3F2E"/>
    <w:rsid w:val="64B13A1E"/>
    <w:rsid w:val="64B90414"/>
    <w:rsid w:val="64C01EB3"/>
    <w:rsid w:val="64E45EF7"/>
    <w:rsid w:val="64F93617"/>
    <w:rsid w:val="64FB19DA"/>
    <w:rsid w:val="65085608"/>
    <w:rsid w:val="65224776"/>
    <w:rsid w:val="65233389"/>
    <w:rsid w:val="65332685"/>
    <w:rsid w:val="65366619"/>
    <w:rsid w:val="655A5E64"/>
    <w:rsid w:val="65766C11"/>
    <w:rsid w:val="659155FE"/>
    <w:rsid w:val="65B5189C"/>
    <w:rsid w:val="65D11E9E"/>
    <w:rsid w:val="65D73FEF"/>
    <w:rsid w:val="65DA2261"/>
    <w:rsid w:val="65E505B2"/>
    <w:rsid w:val="65F31E15"/>
    <w:rsid w:val="65FC516D"/>
    <w:rsid w:val="65FE7137"/>
    <w:rsid w:val="66067D9A"/>
    <w:rsid w:val="660B53B0"/>
    <w:rsid w:val="660C45AF"/>
    <w:rsid w:val="660E3D04"/>
    <w:rsid w:val="661F0E5C"/>
    <w:rsid w:val="6635242D"/>
    <w:rsid w:val="663F14FE"/>
    <w:rsid w:val="66445E88"/>
    <w:rsid w:val="665F74AA"/>
    <w:rsid w:val="6663343E"/>
    <w:rsid w:val="66710901"/>
    <w:rsid w:val="668C4743"/>
    <w:rsid w:val="66A57729"/>
    <w:rsid w:val="66AC6B93"/>
    <w:rsid w:val="66BE31F6"/>
    <w:rsid w:val="66D24120"/>
    <w:rsid w:val="66E32877"/>
    <w:rsid w:val="66EF6A80"/>
    <w:rsid w:val="671D4BF2"/>
    <w:rsid w:val="6733328F"/>
    <w:rsid w:val="67380427"/>
    <w:rsid w:val="674C7A2E"/>
    <w:rsid w:val="675863D3"/>
    <w:rsid w:val="677435B2"/>
    <w:rsid w:val="67763AD8"/>
    <w:rsid w:val="6779459B"/>
    <w:rsid w:val="678A67A9"/>
    <w:rsid w:val="678E0047"/>
    <w:rsid w:val="67900263"/>
    <w:rsid w:val="67A930D3"/>
    <w:rsid w:val="67B05CAC"/>
    <w:rsid w:val="67B20D62"/>
    <w:rsid w:val="67CC6DC1"/>
    <w:rsid w:val="67D00DCA"/>
    <w:rsid w:val="67EF75F1"/>
    <w:rsid w:val="67EF7863"/>
    <w:rsid w:val="67F53CE1"/>
    <w:rsid w:val="680520B9"/>
    <w:rsid w:val="682D3D04"/>
    <w:rsid w:val="684D7F02"/>
    <w:rsid w:val="68555008"/>
    <w:rsid w:val="685F19E3"/>
    <w:rsid w:val="68792AA5"/>
    <w:rsid w:val="68927B64"/>
    <w:rsid w:val="689C6793"/>
    <w:rsid w:val="68A044D6"/>
    <w:rsid w:val="68A45648"/>
    <w:rsid w:val="68A90854"/>
    <w:rsid w:val="68DC3034"/>
    <w:rsid w:val="68DD0479"/>
    <w:rsid w:val="690600B1"/>
    <w:rsid w:val="69124F16"/>
    <w:rsid w:val="692A0243"/>
    <w:rsid w:val="69475A71"/>
    <w:rsid w:val="694A6CE4"/>
    <w:rsid w:val="695B664F"/>
    <w:rsid w:val="696324F7"/>
    <w:rsid w:val="6965127B"/>
    <w:rsid w:val="69995D91"/>
    <w:rsid w:val="69B1626F"/>
    <w:rsid w:val="69B21907"/>
    <w:rsid w:val="69B50A61"/>
    <w:rsid w:val="69B55D5F"/>
    <w:rsid w:val="69C64B0E"/>
    <w:rsid w:val="69CD5C14"/>
    <w:rsid w:val="69CF0D33"/>
    <w:rsid w:val="69D87020"/>
    <w:rsid w:val="69E93C5A"/>
    <w:rsid w:val="69F83E9D"/>
    <w:rsid w:val="6A096B38"/>
    <w:rsid w:val="6A142843"/>
    <w:rsid w:val="6A375F27"/>
    <w:rsid w:val="6A4175F2"/>
    <w:rsid w:val="6A4C294C"/>
    <w:rsid w:val="6A4E1D0F"/>
    <w:rsid w:val="6A590DE0"/>
    <w:rsid w:val="6A6034B6"/>
    <w:rsid w:val="6A6E4160"/>
    <w:rsid w:val="6A757D3A"/>
    <w:rsid w:val="6A9F6418"/>
    <w:rsid w:val="6AB24495"/>
    <w:rsid w:val="6AE4594F"/>
    <w:rsid w:val="6AE45C83"/>
    <w:rsid w:val="6AEB0325"/>
    <w:rsid w:val="6AFB3C45"/>
    <w:rsid w:val="6B1A3508"/>
    <w:rsid w:val="6B2F3925"/>
    <w:rsid w:val="6B3322F6"/>
    <w:rsid w:val="6B4B3B36"/>
    <w:rsid w:val="6B543355"/>
    <w:rsid w:val="6B5670CE"/>
    <w:rsid w:val="6B58613A"/>
    <w:rsid w:val="6B621F16"/>
    <w:rsid w:val="6B8579B3"/>
    <w:rsid w:val="6B8C2AEF"/>
    <w:rsid w:val="6B8D1753"/>
    <w:rsid w:val="6B8F6B7F"/>
    <w:rsid w:val="6B9946B3"/>
    <w:rsid w:val="6BA53BB1"/>
    <w:rsid w:val="6BA876CA"/>
    <w:rsid w:val="6BAD26B6"/>
    <w:rsid w:val="6BD46524"/>
    <w:rsid w:val="6BD6700F"/>
    <w:rsid w:val="6BD821D8"/>
    <w:rsid w:val="6BDA7CFF"/>
    <w:rsid w:val="6BEC7A32"/>
    <w:rsid w:val="6BFF7765"/>
    <w:rsid w:val="6C101449"/>
    <w:rsid w:val="6C313697"/>
    <w:rsid w:val="6C44786E"/>
    <w:rsid w:val="6C8163CC"/>
    <w:rsid w:val="6C951E77"/>
    <w:rsid w:val="6CA81596"/>
    <w:rsid w:val="6CAD71C1"/>
    <w:rsid w:val="6CB202B7"/>
    <w:rsid w:val="6CB96699"/>
    <w:rsid w:val="6CD21441"/>
    <w:rsid w:val="6CE03ECA"/>
    <w:rsid w:val="6CE34746"/>
    <w:rsid w:val="6CEF1588"/>
    <w:rsid w:val="6CF70716"/>
    <w:rsid w:val="6D1721E6"/>
    <w:rsid w:val="6D1837C6"/>
    <w:rsid w:val="6D282CEC"/>
    <w:rsid w:val="6D34599B"/>
    <w:rsid w:val="6D3E250F"/>
    <w:rsid w:val="6D4D4500"/>
    <w:rsid w:val="6D617FAC"/>
    <w:rsid w:val="6D9914F3"/>
    <w:rsid w:val="6DA531CF"/>
    <w:rsid w:val="6DA73C10"/>
    <w:rsid w:val="6DB4457F"/>
    <w:rsid w:val="6DBB590E"/>
    <w:rsid w:val="6DBE53FE"/>
    <w:rsid w:val="6DBF159E"/>
    <w:rsid w:val="6DC42A14"/>
    <w:rsid w:val="6DC7272B"/>
    <w:rsid w:val="6DE76850"/>
    <w:rsid w:val="6DEF051F"/>
    <w:rsid w:val="6DFE57FA"/>
    <w:rsid w:val="6E08659A"/>
    <w:rsid w:val="6E1E55C2"/>
    <w:rsid w:val="6E3F653F"/>
    <w:rsid w:val="6E427DDD"/>
    <w:rsid w:val="6E4C0C5C"/>
    <w:rsid w:val="6E5A3E2A"/>
    <w:rsid w:val="6E5F098F"/>
    <w:rsid w:val="6E666C53"/>
    <w:rsid w:val="6E71421E"/>
    <w:rsid w:val="6E7B6E4B"/>
    <w:rsid w:val="6E8201DA"/>
    <w:rsid w:val="6E8B52E0"/>
    <w:rsid w:val="6E9A1018"/>
    <w:rsid w:val="6EAE3CC7"/>
    <w:rsid w:val="6EAE7221"/>
    <w:rsid w:val="6EB14883"/>
    <w:rsid w:val="6EB977A6"/>
    <w:rsid w:val="6EE318B3"/>
    <w:rsid w:val="6EE41A38"/>
    <w:rsid w:val="6EF04610"/>
    <w:rsid w:val="6EF54E4F"/>
    <w:rsid w:val="6F0E7CBF"/>
    <w:rsid w:val="6F100289"/>
    <w:rsid w:val="6F142583"/>
    <w:rsid w:val="6F186527"/>
    <w:rsid w:val="6F2A4AF9"/>
    <w:rsid w:val="6F370FC4"/>
    <w:rsid w:val="6F4D6A71"/>
    <w:rsid w:val="6F5B3B3A"/>
    <w:rsid w:val="6F60051B"/>
    <w:rsid w:val="6F683873"/>
    <w:rsid w:val="6F7E3097"/>
    <w:rsid w:val="6F881820"/>
    <w:rsid w:val="6F9827BA"/>
    <w:rsid w:val="6FA10B33"/>
    <w:rsid w:val="6FA97789"/>
    <w:rsid w:val="6FB20BD4"/>
    <w:rsid w:val="6FBA59BE"/>
    <w:rsid w:val="6FC61156"/>
    <w:rsid w:val="6FC950CC"/>
    <w:rsid w:val="6FCE7B7A"/>
    <w:rsid w:val="6FE56C72"/>
    <w:rsid w:val="6FEF1353"/>
    <w:rsid w:val="6FFD3FBC"/>
    <w:rsid w:val="70025A76"/>
    <w:rsid w:val="70191889"/>
    <w:rsid w:val="701A70C1"/>
    <w:rsid w:val="701D01BA"/>
    <w:rsid w:val="70296B3E"/>
    <w:rsid w:val="702C2AF3"/>
    <w:rsid w:val="70422316"/>
    <w:rsid w:val="70611204"/>
    <w:rsid w:val="7064403B"/>
    <w:rsid w:val="706A1742"/>
    <w:rsid w:val="709F32C5"/>
    <w:rsid w:val="70AE175A"/>
    <w:rsid w:val="70C20D61"/>
    <w:rsid w:val="70CC1706"/>
    <w:rsid w:val="70D6480D"/>
    <w:rsid w:val="70EC5DDE"/>
    <w:rsid w:val="70F2184A"/>
    <w:rsid w:val="710364D6"/>
    <w:rsid w:val="710B2708"/>
    <w:rsid w:val="710C284A"/>
    <w:rsid w:val="710D46D2"/>
    <w:rsid w:val="712518CC"/>
    <w:rsid w:val="713A2FED"/>
    <w:rsid w:val="71453E6C"/>
    <w:rsid w:val="714E0847"/>
    <w:rsid w:val="714E3D71"/>
    <w:rsid w:val="71655B6B"/>
    <w:rsid w:val="71687B5B"/>
    <w:rsid w:val="719F6672"/>
    <w:rsid w:val="71CD5C10"/>
    <w:rsid w:val="71E116BB"/>
    <w:rsid w:val="71FB43B2"/>
    <w:rsid w:val="720676AD"/>
    <w:rsid w:val="720C2BDC"/>
    <w:rsid w:val="721174BD"/>
    <w:rsid w:val="72273572"/>
    <w:rsid w:val="7234593E"/>
    <w:rsid w:val="72457E9C"/>
    <w:rsid w:val="724B248D"/>
    <w:rsid w:val="726C50F6"/>
    <w:rsid w:val="726F4F19"/>
    <w:rsid w:val="72A46970"/>
    <w:rsid w:val="72B15531"/>
    <w:rsid w:val="72BC64F7"/>
    <w:rsid w:val="72CE60E3"/>
    <w:rsid w:val="72D57472"/>
    <w:rsid w:val="72DF5BFA"/>
    <w:rsid w:val="72E444E7"/>
    <w:rsid w:val="72ED47BB"/>
    <w:rsid w:val="72EF4CB6"/>
    <w:rsid w:val="72F86CBC"/>
    <w:rsid w:val="73045661"/>
    <w:rsid w:val="73075151"/>
    <w:rsid w:val="730D5D09"/>
    <w:rsid w:val="730E028E"/>
    <w:rsid w:val="73373C88"/>
    <w:rsid w:val="736425A4"/>
    <w:rsid w:val="736D76AA"/>
    <w:rsid w:val="73800D4B"/>
    <w:rsid w:val="73942E89"/>
    <w:rsid w:val="73AF381F"/>
    <w:rsid w:val="73B623B1"/>
    <w:rsid w:val="73D615D4"/>
    <w:rsid w:val="73DD6B37"/>
    <w:rsid w:val="73E55626"/>
    <w:rsid w:val="73F25E01"/>
    <w:rsid w:val="73F93DCE"/>
    <w:rsid w:val="74164A82"/>
    <w:rsid w:val="7428537F"/>
    <w:rsid w:val="743E1047"/>
    <w:rsid w:val="74404150"/>
    <w:rsid w:val="74416441"/>
    <w:rsid w:val="74486084"/>
    <w:rsid w:val="744A3547"/>
    <w:rsid w:val="745B7503"/>
    <w:rsid w:val="7463285B"/>
    <w:rsid w:val="746A3BEA"/>
    <w:rsid w:val="74793E2D"/>
    <w:rsid w:val="74B135C7"/>
    <w:rsid w:val="74C01A5C"/>
    <w:rsid w:val="74E05E61"/>
    <w:rsid w:val="74FA2C30"/>
    <w:rsid w:val="74FC6F38"/>
    <w:rsid w:val="750C6A4F"/>
    <w:rsid w:val="75175B20"/>
    <w:rsid w:val="752913AF"/>
    <w:rsid w:val="75397EDA"/>
    <w:rsid w:val="754E52B9"/>
    <w:rsid w:val="757D656B"/>
    <w:rsid w:val="75935864"/>
    <w:rsid w:val="75994786"/>
    <w:rsid w:val="75A02087"/>
    <w:rsid w:val="75B34550"/>
    <w:rsid w:val="75B72E5F"/>
    <w:rsid w:val="75C37A55"/>
    <w:rsid w:val="75D83E8B"/>
    <w:rsid w:val="75DD619C"/>
    <w:rsid w:val="75E064B3"/>
    <w:rsid w:val="75F220E9"/>
    <w:rsid w:val="75F23E97"/>
    <w:rsid w:val="75F432BA"/>
    <w:rsid w:val="76045755"/>
    <w:rsid w:val="761107C1"/>
    <w:rsid w:val="761A5EDE"/>
    <w:rsid w:val="762E1891"/>
    <w:rsid w:val="76391AC6"/>
    <w:rsid w:val="763B75EC"/>
    <w:rsid w:val="763C15B6"/>
    <w:rsid w:val="764A5A81"/>
    <w:rsid w:val="764C5FF9"/>
    <w:rsid w:val="766E5C13"/>
    <w:rsid w:val="766F2FC2"/>
    <w:rsid w:val="768005D5"/>
    <w:rsid w:val="7685484F"/>
    <w:rsid w:val="768E0063"/>
    <w:rsid w:val="76B90938"/>
    <w:rsid w:val="76BC49EB"/>
    <w:rsid w:val="76BE0385"/>
    <w:rsid w:val="76C43A85"/>
    <w:rsid w:val="76DF37AF"/>
    <w:rsid w:val="76E41A31"/>
    <w:rsid w:val="76F75BE7"/>
    <w:rsid w:val="77000DA2"/>
    <w:rsid w:val="77130D68"/>
    <w:rsid w:val="77185F5F"/>
    <w:rsid w:val="771D3564"/>
    <w:rsid w:val="771D4F43"/>
    <w:rsid w:val="773F3EF6"/>
    <w:rsid w:val="774F7AF5"/>
    <w:rsid w:val="776D5ECB"/>
    <w:rsid w:val="77CF26E1"/>
    <w:rsid w:val="77DC13E8"/>
    <w:rsid w:val="77E13575"/>
    <w:rsid w:val="77E66DCA"/>
    <w:rsid w:val="77F0062F"/>
    <w:rsid w:val="77F55179"/>
    <w:rsid w:val="781E69D1"/>
    <w:rsid w:val="782D7408"/>
    <w:rsid w:val="78340059"/>
    <w:rsid w:val="7839241C"/>
    <w:rsid w:val="78504E72"/>
    <w:rsid w:val="785B2BE5"/>
    <w:rsid w:val="7860192F"/>
    <w:rsid w:val="78764386"/>
    <w:rsid w:val="787A0305"/>
    <w:rsid w:val="78A07EF6"/>
    <w:rsid w:val="78B10039"/>
    <w:rsid w:val="78B25122"/>
    <w:rsid w:val="78C338C8"/>
    <w:rsid w:val="78F044E3"/>
    <w:rsid w:val="78F32400"/>
    <w:rsid w:val="78F9378E"/>
    <w:rsid w:val="78FD7D15"/>
    <w:rsid w:val="79004B1D"/>
    <w:rsid w:val="79020895"/>
    <w:rsid w:val="790520F8"/>
    <w:rsid w:val="791F31F5"/>
    <w:rsid w:val="792B7DEB"/>
    <w:rsid w:val="79313CA7"/>
    <w:rsid w:val="79395BF8"/>
    <w:rsid w:val="793B3143"/>
    <w:rsid w:val="793F0909"/>
    <w:rsid w:val="79426EE3"/>
    <w:rsid w:val="795766F4"/>
    <w:rsid w:val="799B64B0"/>
    <w:rsid w:val="79A656C4"/>
    <w:rsid w:val="79AE60D7"/>
    <w:rsid w:val="79B17049"/>
    <w:rsid w:val="79B25E17"/>
    <w:rsid w:val="79C25CDD"/>
    <w:rsid w:val="79D224E9"/>
    <w:rsid w:val="79D7467F"/>
    <w:rsid w:val="79E306C6"/>
    <w:rsid w:val="79EE0E19"/>
    <w:rsid w:val="79EE2F80"/>
    <w:rsid w:val="79FF297F"/>
    <w:rsid w:val="7A1C5986"/>
    <w:rsid w:val="7A1F7224"/>
    <w:rsid w:val="7A3251AA"/>
    <w:rsid w:val="7A326F58"/>
    <w:rsid w:val="7A42798E"/>
    <w:rsid w:val="7A63515A"/>
    <w:rsid w:val="7A880CF2"/>
    <w:rsid w:val="7A993CB5"/>
    <w:rsid w:val="7A9E7208"/>
    <w:rsid w:val="7AAA5924"/>
    <w:rsid w:val="7AC04563"/>
    <w:rsid w:val="7AC12D9A"/>
    <w:rsid w:val="7AC73B44"/>
    <w:rsid w:val="7AD5025E"/>
    <w:rsid w:val="7AD7365B"/>
    <w:rsid w:val="7ADD0453"/>
    <w:rsid w:val="7AE364A4"/>
    <w:rsid w:val="7AF46346"/>
    <w:rsid w:val="7B0222ED"/>
    <w:rsid w:val="7B022DCE"/>
    <w:rsid w:val="7B0D16AD"/>
    <w:rsid w:val="7B0F5EBF"/>
    <w:rsid w:val="7B1242D4"/>
    <w:rsid w:val="7B130FB9"/>
    <w:rsid w:val="7B266FDC"/>
    <w:rsid w:val="7B4909FD"/>
    <w:rsid w:val="7B533629"/>
    <w:rsid w:val="7B66352D"/>
    <w:rsid w:val="7B666F4A"/>
    <w:rsid w:val="7B964B46"/>
    <w:rsid w:val="7BA2571C"/>
    <w:rsid w:val="7BB22216"/>
    <w:rsid w:val="7BC167E5"/>
    <w:rsid w:val="7BDE0625"/>
    <w:rsid w:val="7BF64EDE"/>
    <w:rsid w:val="7C0B450A"/>
    <w:rsid w:val="7C1A66F4"/>
    <w:rsid w:val="7C1E1D84"/>
    <w:rsid w:val="7C300D7F"/>
    <w:rsid w:val="7C321491"/>
    <w:rsid w:val="7C3C5E6C"/>
    <w:rsid w:val="7C3E1BE4"/>
    <w:rsid w:val="7C400C1E"/>
    <w:rsid w:val="7C5F1CF3"/>
    <w:rsid w:val="7C662EE9"/>
    <w:rsid w:val="7C666E84"/>
    <w:rsid w:val="7C6B36AE"/>
    <w:rsid w:val="7C6F6241"/>
    <w:rsid w:val="7C745605"/>
    <w:rsid w:val="7C896BD7"/>
    <w:rsid w:val="7C8C2CA7"/>
    <w:rsid w:val="7C9932BE"/>
    <w:rsid w:val="7CA97FA9"/>
    <w:rsid w:val="7CB400F8"/>
    <w:rsid w:val="7CB415DD"/>
    <w:rsid w:val="7CB56EAE"/>
    <w:rsid w:val="7CBC0A6A"/>
    <w:rsid w:val="7CC93C60"/>
    <w:rsid w:val="7CD2057E"/>
    <w:rsid w:val="7CD460A4"/>
    <w:rsid w:val="7CDB5685"/>
    <w:rsid w:val="7CE85FF3"/>
    <w:rsid w:val="7CE97DD7"/>
    <w:rsid w:val="7CF24F98"/>
    <w:rsid w:val="7CF90201"/>
    <w:rsid w:val="7D045FE7"/>
    <w:rsid w:val="7D1248CC"/>
    <w:rsid w:val="7D261F04"/>
    <w:rsid w:val="7D3923AB"/>
    <w:rsid w:val="7D3E5C13"/>
    <w:rsid w:val="7D5E1E12"/>
    <w:rsid w:val="7D603DDC"/>
    <w:rsid w:val="7D6235F1"/>
    <w:rsid w:val="7D684BFF"/>
    <w:rsid w:val="7D697134"/>
    <w:rsid w:val="7D717D97"/>
    <w:rsid w:val="7D9F66B2"/>
    <w:rsid w:val="7DB67EA0"/>
    <w:rsid w:val="7DD02D0F"/>
    <w:rsid w:val="7DD11708"/>
    <w:rsid w:val="7DD210F9"/>
    <w:rsid w:val="7DD4545D"/>
    <w:rsid w:val="7DD83ECB"/>
    <w:rsid w:val="7DFB58B2"/>
    <w:rsid w:val="7DFD5ACF"/>
    <w:rsid w:val="7E1C7D03"/>
    <w:rsid w:val="7E2D1F10"/>
    <w:rsid w:val="7E507FA2"/>
    <w:rsid w:val="7E642AAF"/>
    <w:rsid w:val="7E7E6934"/>
    <w:rsid w:val="7E891110"/>
    <w:rsid w:val="7E8E6727"/>
    <w:rsid w:val="7E933D3D"/>
    <w:rsid w:val="7E9401E1"/>
    <w:rsid w:val="7E953898"/>
    <w:rsid w:val="7EA63A70"/>
    <w:rsid w:val="7EB21FDA"/>
    <w:rsid w:val="7EBC46EA"/>
    <w:rsid w:val="7EC167BD"/>
    <w:rsid w:val="7ECB1C97"/>
    <w:rsid w:val="7EE03426"/>
    <w:rsid w:val="7EE05341"/>
    <w:rsid w:val="7EE747B5"/>
    <w:rsid w:val="7F0905D2"/>
    <w:rsid w:val="7F13109F"/>
    <w:rsid w:val="7F1C3D32"/>
    <w:rsid w:val="7F343772"/>
    <w:rsid w:val="7F427C3D"/>
    <w:rsid w:val="7F4A08A0"/>
    <w:rsid w:val="7F4D03AE"/>
    <w:rsid w:val="7F741DC0"/>
    <w:rsid w:val="7F761D48"/>
    <w:rsid w:val="7F983C52"/>
    <w:rsid w:val="7FA36202"/>
    <w:rsid w:val="7FB34146"/>
    <w:rsid w:val="7FC71EF0"/>
    <w:rsid w:val="7FC76394"/>
    <w:rsid w:val="7FD85EAB"/>
    <w:rsid w:val="7FD91C23"/>
    <w:rsid w:val="7FF00447"/>
    <w:rsid w:val="7FF60A27"/>
    <w:rsid w:val="7FF82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5"/>
    <w:autoRedefine/>
    <w:qFormat/>
    <w:uiPriority w:val="9"/>
    <w:pPr>
      <w:keepNext/>
      <w:keepLines/>
      <w:spacing w:before="260" w:after="260" w:line="416" w:lineRule="auto"/>
      <w:outlineLvl w:val="1"/>
    </w:pPr>
    <w:rPr>
      <w:rFonts w:ascii="Cambria" w:hAnsi="Cambria"/>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宋体" w:hAnsi="Arial" w:eastAsia="黑体"/>
      <w:b/>
      <w:bCs/>
      <w:sz w:val="24"/>
      <w:szCs w:val="20"/>
    </w:rPr>
  </w:style>
  <w:style w:type="paragraph" w:styleId="6">
    <w:name w:val="heading 5"/>
    <w:basedOn w:val="1"/>
    <w:next w:val="7"/>
    <w:link w:val="36"/>
    <w:autoRedefine/>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43"/>
    <w:autoRedefine/>
    <w:unhideWhenUsed/>
    <w:qFormat/>
    <w:uiPriority w:val="99"/>
    <w:pPr>
      <w:tabs>
        <w:tab w:val="center" w:pos="4153"/>
        <w:tab w:val="right" w:pos="8306"/>
      </w:tabs>
      <w:snapToGrid w:val="0"/>
      <w:jc w:val="left"/>
    </w:pPr>
    <w:rPr>
      <w:kern w:val="0"/>
      <w:sz w:val="18"/>
      <w:szCs w:val="18"/>
    </w:rPr>
  </w:style>
  <w:style w:type="paragraph" w:styleId="7">
    <w:name w:val="Normal Indent"/>
    <w:basedOn w:val="1"/>
    <w:autoRedefine/>
    <w:qFormat/>
    <w:uiPriority w:val="0"/>
    <w:pPr>
      <w:ind w:firstLine="420"/>
    </w:pPr>
    <w:rPr>
      <w:szCs w:val="20"/>
    </w:rPr>
  </w:style>
  <w:style w:type="paragraph" w:styleId="8">
    <w:name w:val="table of authorities"/>
    <w:basedOn w:val="1"/>
    <w:next w:val="1"/>
    <w:autoRedefine/>
    <w:unhideWhenUsed/>
    <w:qFormat/>
    <w:uiPriority w:val="99"/>
    <w:pPr>
      <w:ind w:left="420" w:leftChars="200"/>
    </w:pPr>
  </w:style>
  <w:style w:type="paragraph" w:styleId="9">
    <w:name w:val="index 8"/>
    <w:basedOn w:val="1"/>
    <w:next w:val="1"/>
    <w:autoRedefine/>
    <w:qFormat/>
    <w:uiPriority w:val="0"/>
    <w:pPr>
      <w:ind w:left="2940"/>
    </w:pPr>
  </w:style>
  <w:style w:type="paragraph" w:styleId="10">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1">
    <w:name w:val="annotation text"/>
    <w:basedOn w:val="1"/>
    <w:link w:val="37"/>
    <w:autoRedefine/>
    <w:qFormat/>
    <w:uiPriority w:val="0"/>
    <w:pPr>
      <w:jc w:val="left"/>
    </w:pPr>
  </w:style>
  <w:style w:type="paragraph" w:styleId="12">
    <w:name w:val="Body Text 3"/>
    <w:basedOn w:val="1"/>
    <w:link w:val="38"/>
    <w:autoRedefine/>
    <w:unhideWhenUsed/>
    <w:qFormat/>
    <w:uiPriority w:val="99"/>
    <w:pPr>
      <w:spacing w:after="120"/>
    </w:pPr>
    <w:rPr>
      <w:sz w:val="16"/>
      <w:szCs w:val="16"/>
    </w:rPr>
  </w:style>
  <w:style w:type="paragraph" w:styleId="13">
    <w:name w:val="Body Text"/>
    <w:basedOn w:val="1"/>
    <w:link w:val="39"/>
    <w:autoRedefine/>
    <w:unhideWhenUsed/>
    <w:qFormat/>
    <w:uiPriority w:val="0"/>
    <w:pPr>
      <w:spacing w:after="120"/>
    </w:pPr>
  </w:style>
  <w:style w:type="paragraph" w:styleId="14">
    <w:name w:val="Body Text Indent"/>
    <w:basedOn w:val="1"/>
    <w:link w:val="40"/>
    <w:autoRedefine/>
    <w:qFormat/>
    <w:uiPriority w:val="0"/>
    <w:pPr>
      <w:ind w:firstLine="830" w:firstLineChars="352"/>
    </w:pPr>
    <w:rPr>
      <w:rFonts w:ascii="仿宋_GB2312" w:eastAsia="仿宋_GB2312"/>
      <w:kern w:val="0"/>
      <w:sz w:val="32"/>
      <w:szCs w:val="20"/>
    </w:rPr>
  </w:style>
  <w:style w:type="paragraph" w:styleId="15">
    <w:name w:val="List 2"/>
    <w:basedOn w:val="1"/>
    <w:autoRedefine/>
    <w:unhideWhenUsed/>
    <w:qFormat/>
    <w:uiPriority w:val="99"/>
    <w:pPr>
      <w:ind w:left="100" w:leftChars="200" w:hanging="200" w:hangingChars="200"/>
      <w:contextualSpacing/>
    </w:pPr>
  </w:style>
  <w:style w:type="paragraph" w:styleId="16">
    <w:name w:val="Plain Text"/>
    <w:basedOn w:val="1"/>
    <w:link w:val="41"/>
    <w:autoRedefine/>
    <w:qFormat/>
    <w:uiPriority w:val="0"/>
    <w:rPr>
      <w:rFonts w:ascii="宋体" w:hAnsi="Courier New"/>
      <w:kern w:val="0"/>
      <w:sz w:val="20"/>
      <w:szCs w:val="21"/>
    </w:rPr>
  </w:style>
  <w:style w:type="paragraph" w:styleId="17">
    <w:name w:val="Date"/>
    <w:basedOn w:val="1"/>
    <w:next w:val="1"/>
    <w:link w:val="42"/>
    <w:autoRedefine/>
    <w:unhideWhenUsed/>
    <w:qFormat/>
    <w:uiPriority w:val="99"/>
    <w:pPr>
      <w:ind w:left="100" w:leftChars="2500"/>
    </w:pPr>
  </w:style>
  <w:style w:type="paragraph" w:styleId="18">
    <w:name w:val="Balloon Text"/>
    <w:basedOn w:val="1"/>
    <w:autoRedefine/>
    <w:semiHidden/>
    <w:qFormat/>
    <w:uiPriority w:val="0"/>
    <w:rPr>
      <w:sz w:val="18"/>
      <w:szCs w:val="18"/>
    </w:rPr>
  </w:style>
  <w:style w:type="paragraph" w:styleId="19">
    <w:name w:val="header"/>
    <w:basedOn w:val="1"/>
    <w:link w:val="44"/>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autoRedefine/>
    <w:unhideWhenUsed/>
    <w:qFormat/>
    <w:uiPriority w:val="39"/>
  </w:style>
  <w:style w:type="paragraph" w:styleId="21">
    <w:name w:val="toc 2"/>
    <w:basedOn w:val="1"/>
    <w:next w:val="1"/>
    <w:autoRedefine/>
    <w:unhideWhenUsed/>
    <w:qFormat/>
    <w:uiPriority w:val="39"/>
    <w:pPr>
      <w:tabs>
        <w:tab w:val="right" w:leader="dot" w:pos="8296"/>
      </w:tabs>
      <w:ind w:left="420" w:leftChars="200"/>
    </w:pPr>
  </w:style>
  <w:style w:type="paragraph" w:styleId="22">
    <w:name w:val="Body Text 2"/>
    <w:basedOn w:val="1"/>
    <w:qFormat/>
    <w:uiPriority w:val="0"/>
    <w:pPr>
      <w:spacing w:after="120" w:line="480" w:lineRule="auto"/>
    </w:pPr>
  </w:style>
  <w:style w:type="paragraph" w:styleId="23">
    <w:name w:val="Normal (Web)"/>
    <w:basedOn w:val="1"/>
    <w:autoRedefine/>
    <w:unhideWhenUsed/>
    <w:qFormat/>
    <w:uiPriority w:val="99"/>
    <w:rPr>
      <w:rFonts w:ascii="Calibri" w:hAnsi="Calibri"/>
      <w:kern w:val="0"/>
      <w:sz w:val="24"/>
    </w:rPr>
  </w:style>
  <w:style w:type="paragraph" w:styleId="24">
    <w:name w:val="annotation subject"/>
    <w:basedOn w:val="11"/>
    <w:next w:val="11"/>
    <w:link w:val="45"/>
    <w:autoRedefine/>
    <w:qFormat/>
    <w:uiPriority w:val="99"/>
    <w:rPr>
      <w:b/>
      <w:bCs/>
    </w:rPr>
  </w:style>
  <w:style w:type="paragraph" w:styleId="25">
    <w:name w:val="Body Text First Indent"/>
    <w:basedOn w:val="13"/>
    <w:autoRedefine/>
    <w:qFormat/>
    <w:uiPriority w:val="0"/>
    <w:pPr>
      <w:ind w:firstLine="420" w:firstLineChars="100"/>
    </w:pPr>
  </w:style>
  <w:style w:type="paragraph" w:styleId="26">
    <w:name w:val="Body Text First Indent 2"/>
    <w:basedOn w:val="1"/>
    <w:autoRedefine/>
    <w:unhideWhenUsed/>
    <w:qFormat/>
    <w:uiPriority w:val="99"/>
    <w:pPr>
      <w:spacing w:after="120"/>
      <w:ind w:left="420" w:leftChars="200" w:firstLine="420" w:firstLineChars="200"/>
    </w:pPr>
  </w:style>
  <w:style w:type="table" w:styleId="28">
    <w:name w:val="Table Grid"/>
    <w:basedOn w:val="27"/>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0">
    <w:name w:val="Hyperlink"/>
    <w:autoRedefine/>
    <w:unhideWhenUsed/>
    <w:qFormat/>
    <w:uiPriority w:val="99"/>
    <w:rPr>
      <w:color w:val="0000FF"/>
      <w:u w:val="single"/>
    </w:rPr>
  </w:style>
  <w:style w:type="character" w:styleId="31">
    <w:name w:val="annotation reference"/>
    <w:autoRedefine/>
    <w:qFormat/>
    <w:uiPriority w:val="0"/>
    <w:rPr>
      <w:sz w:val="21"/>
      <w:szCs w:val="21"/>
    </w:rPr>
  </w:style>
  <w:style w:type="paragraph" w:customStyle="1" w:styleId="32">
    <w:name w:val="Default"/>
    <w:next w:val="1"/>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33">
    <w:name w:val="正文-公1"/>
    <w:basedOn w:val="1"/>
    <w:qFormat/>
    <w:uiPriority w:val="0"/>
    <w:pPr>
      <w:ind w:firstLine="200" w:firstLineChars="200"/>
    </w:pPr>
    <w:rPr>
      <w:rFonts w:ascii="Calibri" w:hAnsi="Calibri" w:cs="Calibri"/>
      <w:color w:val="000000"/>
      <w:szCs w:val="21"/>
    </w:rPr>
  </w:style>
  <w:style w:type="character" w:customStyle="1" w:styleId="34">
    <w:name w:val="标题 1 Char"/>
    <w:link w:val="3"/>
    <w:autoRedefine/>
    <w:qFormat/>
    <w:uiPriority w:val="0"/>
    <w:rPr>
      <w:b/>
      <w:bCs/>
      <w:kern w:val="44"/>
      <w:sz w:val="44"/>
      <w:szCs w:val="44"/>
    </w:rPr>
  </w:style>
  <w:style w:type="character" w:customStyle="1" w:styleId="35">
    <w:name w:val="标题 2 Char"/>
    <w:link w:val="4"/>
    <w:autoRedefine/>
    <w:qFormat/>
    <w:uiPriority w:val="9"/>
    <w:rPr>
      <w:rFonts w:ascii="Cambria" w:hAnsi="Cambria" w:eastAsia="宋体" w:cs="Times New Roman"/>
      <w:b/>
      <w:bCs/>
      <w:kern w:val="2"/>
      <w:sz w:val="32"/>
      <w:szCs w:val="32"/>
    </w:rPr>
  </w:style>
  <w:style w:type="character" w:customStyle="1" w:styleId="36">
    <w:name w:val="标题 5 Char"/>
    <w:link w:val="6"/>
    <w:autoRedefine/>
    <w:semiHidden/>
    <w:qFormat/>
    <w:uiPriority w:val="9"/>
    <w:rPr>
      <w:rFonts w:ascii="Times New Roman" w:hAnsi="Times New Roman"/>
      <w:b/>
      <w:bCs/>
      <w:kern w:val="2"/>
      <w:sz w:val="28"/>
      <w:szCs w:val="28"/>
    </w:rPr>
  </w:style>
  <w:style w:type="character" w:customStyle="1" w:styleId="37">
    <w:name w:val="批注文字 Char"/>
    <w:link w:val="11"/>
    <w:autoRedefine/>
    <w:qFormat/>
    <w:uiPriority w:val="0"/>
    <w:rPr>
      <w:rFonts w:ascii="Times New Roman" w:hAnsi="Times New Roman"/>
      <w:kern w:val="2"/>
      <w:sz w:val="21"/>
      <w:szCs w:val="24"/>
    </w:rPr>
  </w:style>
  <w:style w:type="character" w:customStyle="1" w:styleId="38">
    <w:name w:val="正文文本 3 Char"/>
    <w:link w:val="12"/>
    <w:autoRedefine/>
    <w:semiHidden/>
    <w:qFormat/>
    <w:uiPriority w:val="99"/>
    <w:rPr>
      <w:rFonts w:ascii="Times New Roman" w:hAnsi="Times New Roman"/>
      <w:kern w:val="2"/>
      <w:sz w:val="16"/>
      <w:szCs w:val="16"/>
    </w:rPr>
  </w:style>
  <w:style w:type="character" w:customStyle="1" w:styleId="39">
    <w:name w:val="正文文本 Char"/>
    <w:link w:val="13"/>
    <w:autoRedefine/>
    <w:qFormat/>
    <w:uiPriority w:val="0"/>
    <w:rPr>
      <w:rFonts w:ascii="Times New Roman" w:hAnsi="Times New Roman"/>
      <w:kern w:val="2"/>
      <w:sz w:val="21"/>
      <w:szCs w:val="24"/>
    </w:rPr>
  </w:style>
  <w:style w:type="character" w:customStyle="1" w:styleId="40">
    <w:name w:val="正文文本缩进 Char"/>
    <w:link w:val="14"/>
    <w:autoRedefine/>
    <w:qFormat/>
    <w:uiPriority w:val="0"/>
    <w:rPr>
      <w:rFonts w:ascii="仿宋_GB2312" w:hAnsi="Times New Roman" w:eastAsia="仿宋_GB2312" w:cs="Times New Roman"/>
      <w:sz w:val="32"/>
      <w:szCs w:val="20"/>
    </w:rPr>
  </w:style>
  <w:style w:type="character" w:customStyle="1" w:styleId="41">
    <w:name w:val="纯文本 Char"/>
    <w:link w:val="16"/>
    <w:autoRedefine/>
    <w:qFormat/>
    <w:uiPriority w:val="0"/>
    <w:rPr>
      <w:rFonts w:ascii="宋体" w:hAnsi="Courier New" w:eastAsia="宋体" w:cs="Courier New"/>
      <w:szCs w:val="21"/>
    </w:rPr>
  </w:style>
  <w:style w:type="character" w:customStyle="1" w:styleId="42">
    <w:name w:val="日期 Char"/>
    <w:link w:val="17"/>
    <w:autoRedefine/>
    <w:semiHidden/>
    <w:qFormat/>
    <w:uiPriority w:val="99"/>
    <w:rPr>
      <w:rFonts w:ascii="Times New Roman" w:hAnsi="Times New Roman"/>
      <w:kern w:val="2"/>
      <w:sz w:val="21"/>
      <w:szCs w:val="24"/>
    </w:rPr>
  </w:style>
  <w:style w:type="character" w:customStyle="1" w:styleId="43">
    <w:name w:val="页脚 Char1"/>
    <w:link w:val="2"/>
    <w:autoRedefine/>
    <w:qFormat/>
    <w:uiPriority w:val="99"/>
    <w:rPr>
      <w:sz w:val="18"/>
      <w:szCs w:val="18"/>
    </w:rPr>
  </w:style>
  <w:style w:type="character" w:customStyle="1" w:styleId="44">
    <w:name w:val="页眉 Char"/>
    <w:link w:val="19"/>
    <w:autoRedefine/>
    <w:qFormat/>
    <w:uiPriority w:val="99"/>
    <w:rPr>
      <w:sz w:val="18"/>
      <w:szCs w:val="18"/>
    </w:rPr>
  </w:style>
  <w:style w:type="character" w:customStyle="1" w:styleId="45">
    <w:name w:val="批注主题 Char"/>
    <w:link w:val="24"/>
    <w:autoRedefine/>
    <w:qFormat/>
    <w:uiPriority w:val="99"/>
    <w:rPr>
      <w:rFonts w:ascii="Times New Roman" w:hAnsi="Times New Roman"/>
      <w:b/>
      <w:bCs/>
      <w:kern w:val="2"/>
      <w:sz w:val="21"/>
      <w:szCs w:val="24"/>
    </w:rPr>
  </w:style>
  <w:style w:type="character" w:customStyle="1" w:styleId="46">
    <w:name w:val="font11"/>
    <w:basedOn w:val="29"/>
    <w:autoRedefine/>
    <w:qFormat/>
    <w:uiPriority w:val="0"/>
    <w:rPr>
      <w:rFonts w:hint="default" w:ascii="Times New Roman" w:hAnsi="Times New Roman" w:cs="Times New Roman"/>
      <w:color w:val="000000"/>
      <w:sz w:val="20"/>
      <w:szCs w:val="20"/>
      <w:u w:val="none"/>
    </w:rPr>
  </w:style>
  <w:style w:type="character" w:customStyle="1" w:styleId="47">
    <w:name w:val="font81"/>
    <w:basedOn w:val="29"/>
    <w:autoRedefine/>
    <w:qFormat/>
    <w:uiPriority w:val="0"/>
    <w:rPr>
      <w:rFonts w:hint="eastAsia" w:ascii="宋体" w:hAnsi="宋体" w:eastAsia="宋体" w:cs="宋体"/>
      <w:color w:val="000000"/>
      <w:sz w:val="20"/>
      <w:szCs w:val="20"/>
      <w:u w:val="none"/>
    </w:rPr>
  </w:style>
  <w:style w:type="character" w:customStyle="1" w:styleId="48">
    <w:name w:val="正文文本 (26) + 间距 0 pt"/>
    <w:autoRedefine/>
    <w:qFormat/>
    <w:uiPriority w:val="0"/>
    <w:rPr>
      <w:rFonts w:hint="eastAsia" w:ascii="宋体" w:hAnsi="宋体" w:eastAsia="宋体" w:cs="宋体"/>
      <w:color w:val="000000"/>
      <w:spacing w:val="0"/>
      <w:w w:val="100"/>
      <w:position w:val="0"/>
      <w:sz w:val="22"/>
      <w:szCs w:val="22"/>
      <w:u w:val="none"/>
      <w:lang w:val="zh-CN" w:eastAsia="zh-CN" w:bidi="zh-CN"/>
    </w:rPr>
  </w:style>
  <w:style w:type="character" w:customStyle="1" w:styleId="49">
    <w:name w:val="批注文字 Char1"/>
    <w:autoRedefine/>
    <w:qFormat/>
    <w:uiPriority w:val="0"/>
    <w:rPr>
      <w:rFonts w:ascii="Times New Roman" w:hAnsi="Times New Roman"/>
      <w:kern w:val="2"/>
      <w:sz w:val="21"/>
      <w:szCs w:val="24"/>
    </w:rPr>
  </w:style>
  <w:style w:type="character" w:customStyle="1" w:styleId="50">
    <w:name w:val="纯文本 Char1"/>
    <w:autoRedefine/>
    <w:qFormat/>
    <w:uiPriority w:val="0"/>
    <w:rPr>
      <w:rFonts w:ascii="宋体" w:hAnsi="Courier New" w:eastAsia="宋体" w:cs="Courier New"/>
      <w:szCs w:val="21"/>
    </w:rPr>
  </w:style>
  <w:style w:type="character" w:customStyle="1" w:styleId="51">
    <w:name w:val="批注文字 Char2"/>
    <w:autoRedefine/>
    <w:qFormat/>
    <w:uiPriority w:val="0"/>
    <w:rPr>
      <w:rFonts w:ascii="Times New Roman" w:hAnsi="Times New Roman"/>
      <w:kern w:val="2"/>
      <w:sz w:val="21"/>
      <w:szCs w:val="24"/>
    </w:rPr>
  </w:style>
  <w:style w:type="character" w:customStyle="1" w:styleId="52">
    <w:name w:val="批注文字 字符2"/>
    <w:autoRedefine/>
    <w:qFormat/>
    <w:uiPriority w:val="0"/>
    <w:rPr>
      <w:rFonts w:ascii="Times New Roman" w:hAnsi="Times New Roman"/>
      <w:kern w:val="2"/>
      <w:sz w:val="21"/>
      <w:szCs w:val="24"/>
    </w:rPr>
  </w:style>
  <w:style w:type="character" w:customStyle="1" w:styleId="53">
    <w:name w:val="页脚 Char"/>
    <w:autoRedefine/>
    <w:qFormat/>
    <w:uiPriority w:val="99"/>
    <w:rPr>
      <w:lang w:eastAsia="zh-CN"/>
    </w:rPr>
  </w:style>
  <w:style w:type="character" w:customStyle="1" w:styleId="54">
    <w:name w:val="纯文本 字符1"/>
    <w:autoRedefine/>
    <w:qFormat/>
    <w:uiPriority w:val="0"/>
    <w:rPr>
      <w:rFonts w:ascii="宋体" w:hAnsi="Courier New"/>
    </w:rPr>
  </w:style>
  <w:style w:type="character" w:customStyle="1" w:styleId="55">
    <w:name w:val="纯文本 字符2"/>
    <w:autoRedefine/>
    <w:qFormat/>
    <w:uiPriority w:val="0"/>
    <w:rPr>
      <w:rFonts w:ascii="宋体" w:hAnsi="Courier New" w:eastAsia="宋体" w:cs="Courier New"/>
      <w:szCs w:val="21"/>
    </w:rPr>
  </w:style>
  <w:style w:type="character" w:customStyle="1" w:styleId="56">
    <w:name w:val="批注文字 字符1"/>
    <w:autoRedefine/>
    <w:qFormat/>
    <w:uiPriority w:val="0"/>
    <w:rPr>
      <w:kern w:val="2"/>
      <w:sz w:val="21"/>
      <w:szCs w:val="24"/>
    </w:rPr>
  </w:style>
  <w:style w:type="character" w:customStyle="1" w:styleId="57">
    <w:name w:val="textcontents"/>
    <w:autoRedefine/>
    <w:qFormat/>
    <w:uiPriority w:val="0"/>
  </w:style>
  <w:style w:type="character" w:customStyle="1" w:styleId="58">
    <w:name w:val="标题 1 字符"/>
    <w:autoRedefine/>
    <w:qFormat/>
    <w:uiPriority w:val="9"/>
    <w:rPr>
      <w:b/>
      <w:bCs/>
      <w:kern w:val="44"/>
      <w:sz w:val="44"/>
      <w:szCs w:val="44"/>
    </w:rPr>
  </w:style>
  <w:style w:type="character" w:customStyle="1" w:styleId="59">
    <w:name w:val="apple-style-span"/>
    <w:autoRedefine/>
    <w:qFormat/>
    <w:uiPriority w:val="0"/>
  </w:style>
  <w:style w:type="character" w:customStyle="1" w:styleId="60">
    <w:name w:val="正文文本缩进 字符1"/>
    <w:autoRedefine/>
    <w:qFormat/>
    <w:uiPriority w:val="0"/>
    <w:rPr>
      <w:rFonts w:ascii="仿宋_GB2312" w:hAnsi="Times New Roman" w:eastAsia="仿宋_GB2312" w:cs="Times New Roman"/>
      <w:sz w:val="32"/>
      <w:szCs w:val="20"/>
    </w:rPr>
  </w:style>
  <w:style w:type="paragraph" w:customStyle="1" w:styleId="61">
    <w:name w:val="默认段落字体 Para Char Char Char Char Char Char Char Char Char1 Char Char Char Char"/>
    <w:basedOn w:val="1"/>
    <w:autoRedefine/>
    <w:qFormat/>
    <w:uiPriority w:val="0"/>
    <w:rPr>
      <w:rFonts w:ascii="Tahoma" w:hAnsi="Tahoma"/>
      <w:sz w:val="24"/>
      <w:szCs w:val="20"/>
    </w:rPr>
  </w:style>
  <w:style w:type="paragraph" w:customStyle="1" w:styleId="62">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styleId="63">
    <w:name w:val="List Paragraph"/>
    <w:basedOn w:val="1"/>
    <w:autoRedefine/>
    <w:qFormat/>
    <w:uiPriority w:val="34"/>
    <w:pPr>
      <w:ind w:firstLine="420" w:firstLineChars="200"/>
    </w:pPr>
  </w:style>
  <w:style w:type="paragraph" w:customStyle="1" w:styleId="64">
    <w:name w:val="Table Paragraph"/>
    <w:basedOn w:val="1"/>
    <w:autoRedefine/>
    <w:qFormat/>
    <w:uiPriority w:val="1"/>
    <w:pPr>
      <w:jc w:val="left"/>
    </w:pPr>
    <w:rPr>
      <w:rFonts w:ascii="Calibri" w:hAnsi="Calibri"/>
      <w:kern w:val="0"/>
      <w:sz w:val="22"/>
      <w:szCs w:val="22"/>
      <w:lang w:eastAsia="en-US"/>
    </w:rPr>
  </w:style>
  <w:style w:type="paragraph" w:customStyle="1" w:styleId="65">
    <w:name w:val="表格文字"/>
    <w:basedOn w:val="13"/>
    <w:autoRedefine/>
    <w:qFormat/>
    <w:uiPriority w:val="99"/>
    <w:pPr>
      <w:spacing w:before="25" w:after="25"/>
    </w:pPr>
    <w:rPr>
      <w:bCs/>
      <w:spacing w:val="10"/>
      <w:kern w:val="0"/>
    </w:rPr>
  </w:style>
  <w:style w:type="paragraph" w:customStyle="1" w:styleId="66">
    <w:name w:val="列表段落1"/>
    <w:basedOn w:val="1"/>
    <w:autoRedefine/>
    <w:qFormat/>
    <w:uiPriority w:val="34"/>
    <w:pPr>
      <w:ind w:firstLine="420" w:firstLineChars="200"/>
    </w:pPr>
  </w:style>
  <w:style w:type="paragraph" w:customStyle="1" w:styleId="67">
    <w:name w:val="List Paragraph1"/>
    <w:basedOn w:val="1"/>
    <w:autoRedefine/>
    <w:qFormat/>
    <w:uiPriority w:val="34"/>
    <w:pPr>
      <w:pBdr>
        <w:top w:val="none" w:color="000000" w:sz="0" w:space="0"/>
        <w:left w:val="none" w:color="000000" w:sz="0" w:space="0"/>
        <w:bottom w:val="none" w:color="000000" w:sz="0" w:space="0"/>
        <w:right w:val="none" w:color="000000" w:sz="0" w:space="0"/>
        <w:between w:val="none" w:color="000000" w:sz="0" w:space="0"/>
      </w:pBdr>
      <w:ind w:left="720"/>
      <w:contextualSpacing/>
    </w:pPr>
    <w:rPr>
      <w:kern w:val="1"/>
    </w:rPr>
  </w:style>
  <w:style w:type="paragraph" w:customStyle="1" w:styleId="68">
    <w:name w:val="标2"/>
    <w:basedOn w:val="1"/>
    <w:autoRedefine/>
    <w:qFormat/>
    <w:uiPriority w:val="0"/>
    <w:pPr>
      <w:numPr>
        <w:ilvl w:val="1"/>
        <w:numId w:val="1"/>
      </w:numPr>
      <w:adjustRightInd w:val="0"/>
      <w:snapToGrid w:val="0"/>
      <w:spacing w:beforeLines="50" w:afterLines="50"/>
      <w:ind w:left="2448"/>
      <w:outlineLvl w:val="1"/>
    </w:pPr>
    <w:rPr>
      <w:rFonts w:ascii="Arial Narrow" w:hAnsi="Arial Narrow" w:eastAsia="仿宋_GB2312"/>
      <w:b/>
      <w:kern w:val="0"/>
      <w:sz w:val="32"/>
      <w:szCs w:val="32"/>
    </w:rPr>
  </w:style>
  <w:style w:type="paragraph" w:customStyle="1" w:styleId="69">
    <w:name w:val="标3"/>
    <w:basedOn w:val="1"/>
    <w:autoRedefine/>
    <w:qFormat/>
    <w:uiPriority w:val="0"/>
    <w:pPr>
      <w:numPr>
        <w:ilvl w:val="2"/>
        <w:numId w:val="1"/>
      </w:numPr>
      <w:adjustRightInd w:val="0"/>
      <w:snapToGrid w:val="0"/>
      <w:spacing w:beforeLines="50"/>
      <w:ind w:left="2448"/>
      <w:outlineLvl w:val="2"/>
    </w:pPr>
    <w:rPr>
      <w:rFonts w:ascii="Arial Narrow" w:hAnsi="Arial Narrow" w:eastAsia="仿宋_GB2312"/>
      <w:sz w:val="32"/>
      <w:szCs w:val="32"/>
    </w:rPr>
  </w:style>
  <w:style w:type="paragraph" w:customStyle="1" w:styleId="70">
    <w:name w:val="标1"/>
    <w:basedOn w:val="1"/>
    <w:autoRedefine/>
    <w:qFormat/>
    <w:uiPriority w:val="0"/>
    <w:pPr>
      <w:widowControl/>
      <w:numPr>
        <w:ilvl w:val="0"/>
        <w:numId w:val="1"/>
      </w:numPr>
      <w:adjustRightInd w:val="0"/>
      <w:snapToGrid w:val="0"/>
      <w:spacing w:beforeLines="100" w:line="360" w:lineRule="auto"/>
      <w:ind w:left="2448"/>
      <w:jc w:val="left"/>
      <w:outlineLvl w:val="0"/>
    </w:pPr>
    <w:rPr>
      <w:rFonts w:ascii="Arial Narrow" w:hAnsi="Arial Narrow" w:eastAsia="仿宋_GB2312"/>
      <w:b/>
      <w:bCs/>
      <w:color w:val="FF0000"/>
      <w:spacing w:val="20"/>
      <w:sz w:val="32"/>
      <w:szCs w:val="32"/>
    </w:rPr>
  </w:style>
  <w:style w:type="paragraph" w:customStyle="1" w:styleId="71">
    <w:name w:val="CM17"/>
    <w:basedOn w:val="32"/>
    <w:next w:val="32"/>
    <w:unhideWhenUsed/>
    <w:qFormat/>
    <w:uiPriority w:val="99"/>
    <w:rPr>
      <w:rFonts w:hint="default"/>
    </w:rPr>
  </w:style>
  <w:style w:type="character" w:customStyle="1" w:styleId="72">
    <w:name w:val="font01"/>
    <w:basedOn w:val="2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KWZB;</Company>
  <Pages>63</Pages>
  <Words>15680</Words>
  <Characters>16722</Characters>
  <Lines>337</Lines>
  <Paragraphs>94</Paragraphs>
  <TotalTime>4</TotalTime>
  <ScaleCrop>false</ScaleCrop>
  <LinksUpToDate>false</LinksUpToDate>
  <CharactersWithSpaces>16913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2023-09-05T10:47:00Z</dcterms:created>
  <dc:creator>KWZB</dc:creator>
  <cp:lastModifiedBy>櫻桃</cp:lastModifiedBy>
  <cp:lastPrinted>2025-07-31T02:24:00Z</cp:lastPrinted>
  <dcterms:modified xsi:type="dcterms:W3CDTF">2025-07-31T03:22:01Z</dcterms:modified>
  <dc:title>竞争性谈判文件规范</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1A46E9CC2E544447915CB653DE346A28_13</vt:lpwstr>
  </property>
  <property fmtid="{D5CDD505-2E9C-101B-9397-08002B2CF9AE}" pid="4" name="KSOTemplateDocerSaveRecord">
    <vt:lpwstr>eyJoZGlkIjoiMzYxZDBhNDk4YWQ4MzFjN2Q1NGQxYjU1MGRkYjRjNTQiLCJ1c2VySWQiOiIzNDI2ODgzNDQifQ==</vt:lpwstr>
  </property>
</Properties>
</file>