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2BBAC">
      <w:pPr>
        <w:pStyle w:val="15"/>
        <w:ind w:left="-70" w:firstLine="490"/>
        <w:jc w:val="center"/>
        <w:rPr>
          <w:rFonts w:ascii="Times New Roman" w:hAnsi="Times New Roman" w:eastAsia="华文新魏"/>
          <w:color w:val="auto"/>
          <w:spacing w:val="30"/>
          <w:kern w:val="52"/>
          <w:sz w:val="64"/>
          <w:szCs w:val="64"/>
        </w:rPr>
      </w:pPr>
      <w:bookmarkStart w:id="51" w:name="_GoBack"/>
      <w:bookmarkEnd w:id="51"/>
      <w:r>
        <w:rPr>
          <w:color w:val="auto"/>
        </w:rPr>
        <w:drawing>
          <wp:inline distT="0" distB="0" distL="114300" distR="114300">
            <wp:extent cx="893445" cy="932815"/>
            <wp:effectExtent l="0" t="0" r="1905" b="635"/>
            <wp:docPr id="4" name="图片 2"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科文名片"/>
                    <pic:cNvPicPr>
                      <a:picLocks noChangeAspect="1"/>
                    </pic:cNvPicPr>
                  </pic:nvPicPr>
                  <pic:blipFill>
                    <a:blip r:embed="rId7" cstate="print"/>
                    <a:stretch>
                      <a:fillRect/>
                    </a:stretch>
                  </pic:blipFill>
                  <pic:spPr>
                    <a:xfrm>
                      <a:off x="0" y="0"/>
                      <a:ext cx="893445" cy="932815"/>
                    </a:xfrm>
                    <a:prstGeom prst="rect">
                      <a:avLst/>
                    </a:prstGeom>
                    <a:noFill/>
                    <a:ln>
                      <a:noFill/>
                    </a:ln>
                  </pic:spPr>
                </pic:pic>
              </a:graphicData>
            </a:graphic>
          </wp:inline>
        </w:drawing>
      </w:r>
    </w:p>
    <w:p w14:paraId="09E11037">
      <w:pPr>
        <w:pStyle w:val="15"/>
        <w:ind w:firstLine="1400" w:firstLineChars="200"/>
        <w:rPr>
          <w:rFonts w:ascii="黑体" w:hAnsi="黑体" w:eastAsia="黑体"/>
          <w:color w:val="auto"/>
          <w:spacing w:val="30"/>
          <w:kern w:val="52"/>
          <w:sz w:val="64"/>
          <w:szCs w:val="64"/>
        </w:rPr>
      </w:pPr>
      <w:r>
        <w:rPr>
          <w:rFonts w:hint="eastAsia" w:ascii="黑体" w:hAnsi="黑体" w:eastAsia="黑体"/>
          <w:color w:val="auto"/>
          <w:spacing w:val="30"/>
          <w:kern w:val="52"/>
          <w:sz w:val="64"/>
          <w:szCs w:val="64"/>
        </w:rPr>
        <w:t>广西科文招标有限公司</w:t>
      </w:r>
    </w:p>
    <w:p w14:paraId="701F6B4E">
      <w:pPr>
        <w:pStyle w:val="15"/>
        <w:ind w:left="-70" w:firstLine="1574"/>
        <w:jc w:val="center"/>
        <w:rPr>
          <w:rFonts w:ascii="黑体" w:hAnsi="黑体" w:eastAsia="黑体" w:cs="方正小标宋简体"/>
          <w:b/>
          <w:color w:val="auto"/>
          <w:sz w:val="44"/>
          <w:szCs w:val="44"/>
        </w:rPr>
      </w:pPr>
      <w:r>
        <w:rPr>
          <w:rFonts w:ascii="黑体" w:hAnsi="黑体" w:eastAsia="黑体"/>
          <w:b/>
          <w:color w:val="auto"/>
          <w:spacing w:val="-18"/>
          <w:sz w:val="64"/>
          <w:szCs w:val="64"/>
        </w:rPr>
        <mc:AlternateContent>
          <mc:Choice Requires="wps">
            <w:drawing>
              <wp:anchor distT="0" distB="0" distL="114300" distR="114300" simplePos="0" relativeHeight="251659264" behindDoc="0" locked="0" layoutInCell="1" allowOverlap="1">
                <wp:simplePos x="0" y="0"/>
                <wp:positionH relativeFrom="column">
                  <wp:posOffset>276225</wp:posOffset>
                </wp:positionH>
                <wp:positionV relativeFrom="paragraph">
                  <wp:posOffset>99060</wp:posOffset>
                </wp:positionV>
                <wp:extent cx="5486400" cy="0"/>
                <wp:effectExtent l="0" t="6350" r="0" b="6350"/>
                <wp:wrapNone/>
                <wp:docPr id="2" name="直线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cmpd="sng">
                          <a:solidFill>
                            <a:srgbClr val="000000"/>
                          </a:solidFill>
                          <a:round/>
                        </a:ln>
                        <a:effectLst/>
                      </wps:spPr>
                      <wps:bodyPr/>
                    </wps:wsp>
                  </a:graphicData>
                </a:graphic>
              </wp:anchor>
            </w:drawing>
          </mc:Choice>
          <mc:Fallback>
            <w:pict>
              <v:line id="直线 2" o:spid="_x0000_s1026" o:spt="20" style="position:absolute;left:0pt;margin-left:21.75pt;margin-top:7.8pt;height:0pt;width:432pt;z-index:251659264;mso-width-relative:page;mso-height-relative:page;" filled="f" stroked="t" coordsize="21600,21600" o:gfxdata="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jEtbNcAAAAIAQAA&#10;DwAAAAAAAAABACAAAAAiAAAAZHJzL2Rvd25yZXYueG1sUEsBAhQAFAAAAAgAh07iQPtMU1jhAQAA&#10;uwMAAA4AAAAAAAAAAQAgAAAAJgEAAGRycy9lMm9Eb2MueG1sUEsFBgAAAAAGAAYAWQEAAHkFAAAA&#10;AA==&#10;">
                <v:fill on="f" focussize="0,0"/>
                <v:stroke weight="1pt" color="#000000" joinstyle="round"/>
                <v:imagedata o:title=""/>
                <o:lock v:ext="edit" aspectratio="f"/>
              </v:line>
            </w:pict>
          </mc:Fallback>
        </mc:AlternateContent>
      </w:r>
    </w:p>
    <w:p w14:paraId="2D7C6867">
      <w:pPr>
        <w:snapToGrid w:val="0"/>
        <w:spacing w:beforeLines="50" w:line="360" w:lineRule="auto"/>
        <w:ind w:left="-70" w:firstLine="2058"/>
        <w:jc w:val="center"/>
        <w:rPr>
          <w:rFonts w:ascii="黑体" w:hAnsi="黑体" w:eastAsia="黑体"/>
          <w:color w:val="auto"/>
          <w:sz w:val="84"/>
          <w:szCs w:val="84"/>
        </w:rPr>
      </w:pPr>
    </w:p>
    <w:p w14:paraId="67E9C04C">
      <w:pPr>
        <w:snapToGrid w:val="0"/>
        <w:spacing w:beforeLines="50" w:line="360" w:lineRule="auto"/>
        <w:jc w:val="center"/>
        <w:rPr>
          <w:rFonts w:ascii="仿宋_GB2312" w:hAnsi="宋体" w:eastAsia="仿宋_GB2312"/>
          <w:color w:val="auto"/>
          <w:sz w:val="30"/>
          <w:szCs w:val="72"/>
        </w:rPr>
      </w:pPr>
      <w:r>
        <w:rPr>
          <w:rFonts w:hint="eastAsia" w:ascii="黑体" w:hAnsi="黑体" w:eastAsia="黑体"/>
          <w:color w:val="auto"/>
          <w:sz w:val="84"/>
          <w:szCs w:val="84"/>
        </w:rPr>
        <w:t>竞争性谈判文件</w:t>
      </w:r>
    </w:p>
    <w:p w14:paraId="3506E429">
      <w:pPr>
        <w:pStyle w:val="15"/>
        <w:snapToGrid w:val="0"/>
        <w:spacing w:line="360" w:lineRule="auto"/>
        <w:ind w:left="-70" w:firstLine="1193" w:firstLineChars="396"/>
        <w:rPr>
          <w:rFonts w:ascii="仿宋_GB2312" w:hAnsi="宋体" w:eastAsia="仿宋_GB2312"/>
          <w:b/>
          <w:bCs/>
          <w:color w:val="auto"/>
          <w:sz w:val="30"/>
          <w:szCs w:val="30"/>
        </w:rPr>
      </w:pPr>
    </w:p>
    <w:p w14:paraId="1B9F6E5D">
      <w:pPr>
        <w:pStyle w:val="15"/>
        <w:snapToGrid w:val="0"/>
        <w:spacing w:line="360" w:lineRule="auto"/>
        <w:ind w:left="-70" w:firstLine="1807" w:firstLineChars="600"/>
        <w:jc w:val="center"/>
        <w:rPr>
          <w:rFonts w:ascii="仿宋_GB2312" w:hAnsi="宋体" w:eastAsia="仿宋_GB2312"/>
          <w:b/>
          <w:bCs/>
          <w:color w:val="auto"/>
          <w:sz w:val="30"/>
          <w:szCs w:val="30"/>
        </w:rPr>
      </w:pPr>
    </w:p>
    <w:p w14:paraId="39C0D363">
      <w:pPr>
        <w:pStyle w:val="15"/>
        <w:snapToGrid w:val="0"/>
        <w:spacing w:line="360" w:lineRule="auto"/>
        <w:ind w:left="-70" w:firstLine="2084" w:firstLineChars="692"/>
        <w:rPr>
          <w:rFonts w:ascii="仿宋_GB2312" w:hAnsi="宋体" w:eastAsia="仿宋_GB2312" w:cs="Courier New"/>
          <w:b/>
          <w:bCs/>
          <w:color w:val="auto"/>
          <w:w w:val="95"/>
          <w:sz w:val="30"/>
          <w:szCs w:val="30"/>
        </w:rPr>
      </w:pPr>
      <w:r>
        <w:rPr>
          <w:rFonts w:hint="eastAsia" w:ascii="仿宋_GB2312" w:hAnsi="宋体" w:eastAsia="仿宋_GB2312"/>
          <w:b/>
          <w:bCs/>
          <w:color w:val="auto"/>
          <w:sz w:val="30"/>
          <w:szCs w:val="30"/>
        </w:rPr>
        <w:t>项目</w:t>
      </w:r>
      <w:r>
        <w:rPr>
          <w:rFonts w:hint="eastAsia" w:ascii="仿宋_GB2312" w:hAnsi="宋体" w:eastAsia="仿宋_GB2312" w:cs="Courier New"/>
          <w:b/>
          <w:bCs/>
          <w:color w:val="auto"/>
          <w:w w:val="95"/>
          <w:sz w:val="30"/>
          <w:szCs w:val="30"/>
        </w:rPr>
        <w:t>名称：玉林市公安局交通警察支队机动车</w:t>
      </w:r>
    </w:p>
    <w:p w14:paraId="1473D924">
      <w:pPr>
        <w:pStyle w:val="15"/>
        <w:snapToGrid w:val="0"/>
        <w:spacing w:line="360" w:lineRule="auto"/>
        <w:ind w:left="-70" w:firstLine="3697" w:firstLineChars="1292"/>
        <w:rPr>
          <w:rFonts w:hAnsi="宋体" w:eastAsia="仿宋_GB2312" w:cs="宋体"/>
          <w:b/>
          <w:bCs/>
          <w:color w:val="auto"/>
          <w:kern w:val="2"/>
          <w:sz w:val="30"/>
          <w:szCs w:val="30"/>
        </w:rPr>
      </w:pPr>
      <w:r>
        <w:rPr>
          <w:rFonts w:hint="eastAsia" w:ascii="仿宋_GB2312" w:hAnsi="宋体" w:eastAsia="仿宋_GB2312" w:cs="Courier New"/>
          <w:b/>
          <w:bCs/>
          <w:color w:val="auto"/>
          <w:w w:val="95"/>
          <w:sz w:val="30"/>
          <w:szCs w:val="30"/>
        </w:rPr>
        <w:t>驾驶人理论考场设备采购</w:t>
      </w:r>
    </w:p>
    <w:p w14:paraId="186A5C96">
      <w:pPr>
        <w:pStyle w:val="15"/>
        <w:snapToGrid w:val="0"/>
        <w:spacing w:line="360" w:lineRule="auto"/>
        <w:ind w:left="-70" w:firstLine="2084" w:firstLineChars="692"/>
        <w:rPr>
          <w:rFonts w:ascii="仿宋_GB2312" w:hAnsi="宋体" w:eastAsia="仿宋_GB2312"/>
          <w:b/>
          <w:bCs/>
          <w:color w:val="auto"/>
          <w:sz w:val="30"/>
          <w:szCs w:val="30"/>
        </w:rPr>
      </w:pPr>
      <w:r>
        <w:rPr>
          <w:rFonts w:hint="eastAsia" w:ascii="仿宋_GB2312" w:hAnsi="宋体" w:eastAsia="仿宋_GB2312"/>
          <w:b/>
          <w:bCs/>
          <w:color w:val="auto"/>
          <w:sz w:val="30"/>
          <w:szCs w:val="30"/>
        </w:rPr>
        <w:t>项目编号：YLZC2025-J1-990402-KWZB</w:t>
      </w:r>
    </w:p>
    <w:p w14:paraId="41A28BF4">
      <w:pPr>
        <w:pStyle w:val="15"/>
        <w:snapToGrid w:val="0"/>
        <w:spacing w:line="360" w:lineRule="auto"/>
        <w:ind w:left="-70" w:firstLine="1125" w:firstLineChars="393"/>
        <w:rPr>
          <w:rFonts w:ascii="仿宋_GB2312" w:hAnsi="宋体" w:eastAsia="仿宋_GB2312"/>
          <w:b/>
          <w:bCs/>
          <w:color w:val="auto"/>
          <w:w w:val="95"/>
          <w:sz w:val="30"/>
          <w:szCs w:val="30"/>
        </w:rPr>
      </w:pPr>
    </w:p>
    <w:p w14:paraId="5F66F76F">
      <w:pPr>
        <w:pStyle w:val="15"/>
        <w:snapToGrid w:val="0"/>
        <w:spacing w:line="360" w:lineRule="auto"/>
        <w:ind w:left="-70" w:firstLine="1125" w:firstLineChars="393"/>
        <w:rPr>
          <w:rFonts w:ascii="仿宋_GB2312" w:hAnsi="宋体" w:eastAsia="仿宋_GB2312"/>
          <w:b/>
          <w:bCs/>
          <w:color w:val="auto"/>
          <w:w w:val="95"/>
          <w:sz w:val="30"/>
          <w:szCs w:val="30"/>
        </w:rPr>
      </w:pPr>
    </w:p>
    <w:p w14:paraId="0D03C926">
      <w:pPr>
        <w:pStyle w:val="15"/>
        <w:snapToGrid w:val="0"/>
        <w:spacing w:line="360" w:lineRule="auto"/>
        <w:ind w:left="-70" w:firstLine="1125" w:firstLineChars="393"/>
        <w:rPr>
          <w:rFonts w:ascii="仿宋_GB2312" w:hAnsi="宋体" w:eastAsia="仿宋_GB2312"/>
          <w:b/>
          <w:bCs/>
          <w:color w:val="auto"/>
          <w:w w:val="95"/>
          <w:sz w:val="30"/>
          <w:szCs w:val="30"/>
        </w:rPr>
      </w:pPr>
    </w:p>
    <w:p w14:paraId="703C9A61">
      <w:pPr>
        <w:pStyle w:val="15"/>
        <w:snapToGrid w:val="0"/>
        <w:spacing w:line="360" w:lineRule="auto"/>
        <w:ind w:left="-70" w:firstLine="2266" w:firstLineChars="792"/>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   购   人：</w:t>
      </w:r>
      <w:r>
        <w:rPr>
          <w:rFonts w:hint="eastAsia" w:ascii="仿宋_GB2312" w:hAnsi="宋体" w:eastAsia="仿宋_GB2312"/>
          <w:b/>
          <w:color w:val="auto"/>
          <w:sz w:val="32"/>
          <w:szCs w:val="32"/>
        </w:rPr>
        <w:t>玉林市公安局交通管理支队</w:t>
      </w:r>
    </w:p>
    <w:p w14:paraId="21D88E18">
      <w:pPr>
        <w:pStyle w:val="15"/>
        <w:snapToGrid w:val="0"/>
        <w:spacing w:line="360" w:lineRule="auto"/>
        <w:ind w:left="-70" w:firstLine="2266" w:firstLineChars="792"/>
        <w:rPr>
          <w:rFonts w:ascii="仿宋_GB2312" w:hAnsi="宋体" w:eastAsia="仿宋_GB2312"/>
          <w:b/>
          <w:bCs/>
          <w:color w:val="auto"/>
          <w:w w:val="95"/>
          <w:sz w:val="30"/>
          <w:szCs w:val="30"/>
        </w:rPr>
      </w:pPr>
      <w:r>
        <w:rPr>
          <w:rFonts w:hint="eastAsia" w:ascii="仿宋_GB2312" w:hAnsi="宋体" w:eastAsia="仿宋_GB2312"/>
          <w:b/>
          <w:bCs/>
          <w:color w:val="auto"/>
          <w:w w:val="95"/>
          <w:sz w:val="30"/>
          <w:szCs w:val="30"/>
        </w:rPr>
        <w:t>采购代理机构：</w:t>
      </w:r>
      <w:r>
        <w:rPr>
          <w:rFonts w:hint="eastAsia" w:ascii="仿宋_GB2312" w:hAnsi="宋体" w:eastAsia="仿宋_GB2312"/>
          <w:b/>
          <w:color w:val="auto"/>
          <w:sz w:val="32"/>
          <w:szCs w:val="32"/>
        </w:rPr>
        <w:t>广西科文招标有限公司</w:t>
      </w:r>
    </w:p>
    <w:p w14:paraId="2B890A8B">
      <w:pPr>
        <w:pStyle w:val="15"/>
        <w:snapToGrid w:val="0"/>
        <w:spacing w:line="360" w:lineRule="auto"/>
        <w:ind w:left="-70" w:firstLine="1125" w:firstLineChars="393"/>
        <w:rPr>
          <w:rFonts w:ascii="仿宋_GB2312" w:hAnsi="宋体" w:eastAsia="仿宋_GB2312"/>
          <w:b/>
          <w:bCs/>
          <w:color w:val="auto"/>
          <w:w w:val="95"/>
          <w:sz w:val="30"/>
          <w:szCs w:val="30"/>
        </w:rPr>
      </w:pPr>
    </w:p>
    <w:p w14:paraId="04E0437B">
      <w:pPr>
        <w:pStyle w:val="15"/>
        <w:snapToGrid w:val="0"/>
        <w:spacing w:line="360" w:lineRule="auto"/>
        <w:ind w:left="-70" w:firstLine="703"/>
        <w:jc w:val="center"/>
        <w:rPr>
          <w:rFonts w:ascii="仿宋_GB2312" w:eastAsia="仿宋_GB2312"/>
          <w:color w:val="auto"/>
          <w:szCs w:val="20"/>
        </w:rPr>
      </w:pPr>
      <w:r>
        <w:rPr>
          <w:rFonts w:hint="eastAsia" w:ascii="仿宋_GB2312" w:hAnsi="宋体" w:eastAsia="仿宋_GB2312"/>
          <w:b/>
          <w:bCs/>
          <w:color w:val="auto"/>
          <w:w w:val="95"/>
          <w:sz w:val="30"/>
          <w:szCs w:val="30"/>
        </w:rPr>
        <w:t>2025年11月</w:t>
      </w:r>
    </w:p>
    <w:p w14:paraId="4317004D">
      <w:pPr>
        <w:spacing w:line="360" w:lineRule="auto"/>
        <w:ind w:left="-70" w:firstLine="1082"/>
        <w:rPr>
          <w:rFonts w:ascii="宋体" w:hAnsi="宋体"/>
          <w:b/>
          <w:color w:val="auto"/>
          <w:sz w:val="44"/>
          <w:szCs w:val="44"/>
        </w:rPr>
      </w:pPr>
    </w:p>
    <w:p w14:paraId="7E8ABB7B">
      <w:pPr>
        <w:spacing w:line="360" w:lineRule="auto"/>
        <w:ind w:left="-70" w:firstLine="1082"/>
        <w:jc w:val="center"/>
        <w:rPr>
          <w:rFonts w:ascii="宋体" w:hAnsi="宋体"/>
          <w:b/>
          <w:color w:val="auto"/>
          <w:sz w:val="44"/>
          <w:szCs w:val="44"/>
        </w:rPr>
      </w:pPr>
    </w:p>
    <w:p w14:paraId="260C1AFB">
      <w:pPr>
        <w:pStyle w:val="3"/>
        <w:spacing w:before="156"/>
        <w:ind w:left="-70" w:firstLine="787"/>
        <w:rPr>
          <w:color w:val="auto"/>
        </w:rPr>
      </w:pPr>
    </w:p>
    <w:p w14:paraId="75C7D846">
      <w:pPr>
        <w:spacing w:line="360" w:lineRule="auto"/>
        <w:ind w:left="-70" w:firstLine="1082"/>
        <w:jc w:val="center"/>
        <w:rPr>
          <w:rFonts w:ascii="宋体" w:hAnsi="宋体"/>
          <w:b/>
          <w:color w:val="auto"/>
          <w:sz w:val="44"/>
          <w:szCs w:val="44"/>
        </w:rPr>
      </w:pPr>
      <w:r>
        <w:rPr>
          <w:rFonts w:hint="eastAsia" w:ascii="宋体" w:hAnsi="宋体"/>
          <w:b/>
          <w:color w:val="auto"/>
          <w:sz w:val="44"/>
          <w:szCs w:val="44"/>
        </w:rPr>
        <w:t>目  录</w:t>
      </w:r>
    </w:p>
    <w:p w14:paraId="4721AB49">
      <w:pPr>
        <w:spacing w:line="400" w:lineRule="exact"/>
        <w:ind w:left="-70" w:firstLine="1082"/>
        <w:jc w:val="center"/>
        <w:rPr>
          <w:rFonts w:ascii="宋体" w:hAnsi="宋体"/>
          <w:b/>
          <w:color w:val="auto"/>
          <w:sz w:val="44"/>
          <w:szCs w:val="44"/>
        </w:rPr>
      </w:pPr>
    </w:p>
    <w:p w14:paraId="3D246528">
      <w:pPr>
        <w:pStyle w:val="21"/>
        <w:tabs>
          <w:tab w:val="right" w:leader="dot" w:pos="8869"/>
        </w:tabs>
        <w:snapToGrid w:val="0"/>
        <w:spacing w:line="500" w:lineRule="atLeast"/>
        <w:jc w:val="center"/>
        <w:rPr>
          <w:rFonts w:ascii="宋体" w:hAnsi="宋体"/>
          <w:b/>
          <w:color w:val="auto"/>
          <w:sz w:val="24"/>
        </w:rPr>
      </w:pPr>
      <w:r>
        <w:rPr>
          <w:rFonts w:ascii="宋体" w:hAnsi="宋体"/>
          <w:b/>
          <w:color w:val="auto"/>
          <w:sz w:val="24"/>
        </w:rPr>
        <w:fldChar w:fldCharType="begin"/>
      </w:r>
      <w:r>
        <w:rPr>
          <w:rFonts w:ascii="宋体" w:hAnsi="宋体"/>
          <w:b/>
          <w:color w:val="auto"/>
          <w:sz w:val="24"/>
        </w:rPr>
        <w:instrText xml:space="preserve"> </w:instrText>
      </w:r>
      <w:r>
        <w:rPr>
          <w:rFonts w:hint="eastAsia" w:ascii="宋体" w:hAnsi="宋体"/>
          <w:b/>
          <w:color w:val="auto"/>
          <w:sz w:val="24"/>
        </w:rPr>
        <w:instrText xml:space="preserve">TOC \o "1-3" \h \z \u</w:instrText>
      </w:r>
      <w:r>
        <w:rPr>
          <w:rFonts w:ascii="宋体" w:hAnsi="宋体"/>
          <w:b/>
          <w:color w:val="auto"/>
          <w:sz w:val="24"/>
        </w:rPr>
        <w:instrText xml:space="preserve"> </w:instrText>
      </w:r>
      <w:r>
        <w:rPr>
          <w:rFonts w:ascii="宋体" w:hAnsi="宋体"/>
          <w:b/>
          <w:color w:val="auto"/>
          <w:sz w:val="24"/>
        </w:rPr>
        <w:fldChar w:fldCharType="separate"/>
      </w:r>
      <w:r>
        <w:rPr>
          <w:color w:val="auto"/>
        </w:rPr>
        <w:fldChar w:fldCharType="begin"/>
      </w:r>
      <w:r>
        <w:rPr>
          <w:color w:val="auto"/>
        </w:rPr>
        <w:instrText xml:space="preserve"> HYPERLINK \l "_Toc74322008" </w:instrText>
      </w:r>
      <w:r>
        <w:rPr>
          <w:color w:val="auto"/>
        </w:rPr>
        <w:fldChar w:fldCharType="separate"/>
      </w:r>
      <w:r>
        <w:rPr>
          <w:rStyle w:val="31"/>
          <w:rFonts w:hint="eastAsia" w:ascii="宋体" w:hAnsi="宋体"/>
          <w:b/>
          <w:color w:val="auto"/>
          <w:sz w:val="24"/>
        </w:rPr>
        <w:t>第一章</w:t>
      </w:r>
      <w:r>
        <w:rPr>
          <w:rStyle w:val="31"/>
          <w:rFonts w:ascii="宋体" w:hAnsi="宋体"/>
          <w:b/>
          <w:color w:val="auto"/>
          <w:sz w:val="24"/>
        </w:rPr>
        <w:t xml:space="preserve"> </w:t>
      </w:r>
      <w:r>
        <w:rPr>
          <w:rStyle w:val="31"/>
          <w:rFonts w:hint="eastAsia" w:ascii="宋体" w:hAnsi="宋体"/>
          <w:b/>
          <w:color w:val="auto"/>
          <w:sz w:val="24"/>
        </w:rPr>
        <w:t>竞争性谈判公告</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_Toc74322008 \h </w:instrText>
      </w:r>
      <w:r>
        <w:rPr>
          <w:rFonts w:ascii="宋体" w:hAnsi="宋体"/>
          <w:b/>
          <w:color w:val="auto"/>
          <w:sz w:val="24"/>
        </w:rPr>
        <w:fldChar w:fldCharType="separate"/>
      </w:r>
      <w:r>
        <w:rPr>
          <w:rFonts w:ascii="宋体" w:hAnsi="宋体"/>
          <w:b/>
          <w:color w:val="auto"/>
          <w:sz w:val="24"/>
        </w:rPr>
        <w:t>2</w:t>
      </w:r>
      <w:r>
        <w:rPr>
          <w:rFonts w:ascii="宋体" w:hAnsi="宋体"/>
          <w:b/>
          <w:color w:val="auto"/>
          <w:sz w:val="24"/>
        </w:rPr>
        <w:fldChar w:fldCharType="end"/>
      </w:r>
      <w:r>
        <w:rPr>
          <w:rFonts w:ascii="宋体" w:hAnsi="宋体"/>
          <w:b/>
          <w:color w:val="auto"/>
          <w:sz w:val="24"/>
        </w:rPr>
        <w:fldChar w:fldCharType="end"/>
      </w:r>
    </w:p>
    <w:p w14:paraId="4DA654BF">
      <w:pPr>
        <w:pStyle w:val="21"/>
        <w:tabs>
          <w:tab w:val="right" w:leader="dot" w:pos="8869"/>
        </w:tabs>
        <w:snapToGrid w:val="0"/>
        <w:spacing w:line="500" w:lineRule="atLeast"/>
        <w:jc w:val="center"/>
        <w:rPr>
          <w:rFonts w:hint="eastAsia" w:ascii="宋体" w:hAnsi="宋体" w:eastAsia="宋体"/>
          <w:b/>
          <w:color w:val="auto"/>
          <w:sz w:val="24"/>
          <w:lang w:val="en-US" w:eastAsia="zh-CN"/>
        </w:rPr>
      </w:pPr>
      <w:r>
        <w:rPr>
          <w:color w:val="auto"/>
        </w:rPr>
        <w:fldChar w:fldCharType="begin"/>
      </w:r>
      <w:r>
        <w:rPr>
          <w:color w:val="auto"/>
        </w:rPr>
        <w:instrText xml:space="preserve"> HYPERLINK \l "_Toc74322009" </w:instrText>
      </w:r>
      <w:r>
        <w:rPr>
          <w:color w:val="auto"/>
        </w:rPr>
        <w:fldChar w:fldCharType="separate"/>
      </w:r>
      <w:r>
        <w:rPr>
          <w:rStyle w:val="31"/>
          <w:rFonts w:hint="eastAsia" w:ascii="宋体" w:hAnsi="宋体"/>
          <w:b/>
          <w:color w:val="auto"/>
          <w:sz w:val="24"/>
        </w:rPr>
        <w:t>第二章</w:t>
      </w:r>
      <w:r>
        <w:rPr>
          <w:rStyle w:val="31"/>
          <w:rFonts w:ascii="宋体" w:hAnsi="宋体"/>
          <w:b/>
          <w:color w:val="auto"/>
          <w:sz w:val="24"/>
        </w:rPr>
        <w:t xml:space="preserve"> </w:t>
      </w:r>
      <w:r>
        <w:rPr>
          <w:rStyle w:val="31"/>
          <w:rFonts w:hint="eastAsia" w:ascii="宋体" w:hAnsi="宋体"/>
          <w:b/>
          <w:color w:val="auto"/>
          <w:sz w:val="24"/>
        </w:rPr>
        <w:t>供应商须知</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7</w:t>
      </w:r>
    </w:p>
    <w:p w14:paraId="56E9AABA">
      <w:pPr>
        <w:pStyle w:val="21"/>
        <w:tabs>
          <w:tab w:val="right" w:leader="dot" w:pos="8869"/>
        </w:tabs>
        <w:snapToGrid w:val="0"/>
        <w:spacing w:line="500" w:lineRule="atLeast"/>
        <w:jc w:val="center"/>
        <w:rPr>
          <w:rFonts w:hint="eastAsia" w:ascii="宋体" w:hAnsi="宋体" w:eastAsia="宋体"/>
          <w:b/>
          <w:color w:val="auto"/>
          <w:sz w:val="24"/>
          <w:lang w:val="en-US" w:eastAsia="zh-CN"/>
        </w:rPr>
      </w:pPr>
      <w:r>
        <w:rPr>
          <w:color w:val="auto"/>
        </w:rPr>
        <w:fldChar w:fldCharType="begin"/>
      </w:r>
      <w:r>
        <w:rPr>
          <w:color w:val="auto"/>
        </w:rPr>
        <w:instrText xml:space="preserve"> HYPERLINK \l "_Toc74322010" </w:instrText>
      </w:r>
      <w:r>
        <w:rPr>
          <w:color w:val="auto"/>
        </w:rPr>
        <w:fldChar w:fldCharType="separate"/>
      </w:r>
      <w:r>
        <w:rPr>
          <w:rStyle w:val="31"/>
          <w:rFonts w:hint="eastAsia" w:ascii="宋体" w:hAnsi="宋体"/>
          <w:b/>
          <w:color w:val="auto"/>
          <w:sz w:val="24"/>
        </w:rPr>
        <w:t>第三章</w:t>
      </w:r>
      <w:r>
        <w:rPr>
          <w:rStyle w:val="31"/>
          <w:rFonts w:ascii="宋体" w:hAnsi="宋体"/>
          <w:b/>
          <w:color w:val="auto"/>
          <w:sz w:val="24"/>
        </w:rPr>
        <w:t xml:space="preserve"> </w:t>
      </w:r>
      <w:r>
        <w:rPr>
          <w:rStyle w:val="31"/>
          <w:rFonts w:hint="eastAsia" w:ascii="宋体" w:hAnsi="宋体"/>
          <w:b/>
          <w:color w:val="auto"/>
          <w:sz w:val="24"/>
        </w:rPr>
        <w:t>采购需求</w:t>
      </w:r>
      <w:bookmarkStart w:id="0" w:name="_Hlt82166985"/>
      <w:r>
        <w:rPr>
          <w:rFonts w:ascii="宋体" w:hAnsi="宋体"/>
          <w:b/>
          <w:color w:val="auto"/>
          <w:sz w:val="24"/>
        </w:rPr>
        <w:tab/>
      </w:r>
      <w:bookmarkEnd w:id="0"/>
      <w:r>
        <w:rPr>
          <w:rFonts w:ascii="宋体" w:hAnsi="宋体"/>
          <w:b/>
          <w:color w:val="auto"/>
          <w:sz w:val="24"/>
        </w:rPr>
        <w:fldChar w:fldCharType="end"/>
      </w:r>
      <w:r>
        <w:rPr>
          <w:rFonts w:hint="eastAsia" w:ascii="宋体" w:hAnsi="宋体"/>
          <w:b/>
          <w:color w:val="auto"/>
          <w:sz w:val="24"/>
        </w:rPr>
        <w:t>2</w:t>
      </w:r>
      <w:r>
        <w:rPr>
          <w:rFonts w:hint="eastAsia" w:ascii="宋体" w:hAnsi="宋体"/>
          <w:b/>
          <w:color w:val="auto"/>
          <w:sz w:val="24"/>
          <w:lang w:val="en-US" w:eastAsia="zh-CN"/>
        </w:rPr>
        <w:t>5</w:t>
      </w:r>
    </w:p>
    <w:p w14:paraId="414F787D">
      <w:pPr>
        <w:pStyle w:val="21"/>
        <w:tabs>
          <w:tab w:val="right" w:leader="dot" w:pos="8869"/>
        </w:tabs>
        <w:snapToGrid w:val="0"/>
        <w:spacing w:line="500" w:lineRule="atLeast"/>
        <w:jc w:val="center"/>
        <w:rPr>
          <w:rFonts w:hint="default" w:ascii="宋体" w:hAnsi="宋体" w:eastAsia="宋体"/>
          <w:b/>
          <w:color w:val="auto"/>
          <w:sz w:val="24"/>
          <w:lang w:val="en-US" w:eastAsia="zh-CN"/>
        </w:rPr>
      </w:pPr>
      <w:r>
        <w:rPr>
          <w:color w:val="auto"/>
        </w:rPr>
        <w:fldChar w:fldCharType="begin"/>
      </w:r>
      <w:r>
        <w:rPr>
          <w:color w:val="auto"/>
        </w:rPr>
        <w:instrText xml:space="preserve"> HYPERLINK \l "_Toc74322011" </w:instrText>
      </w:r>
      <w:r>
        <w:rPr>
          <w:color w:val="auto"/>
        </w:rPr>
        <w:fldChar w:fldCharType="separate"/>
      </w:r>
      <w:r>
        <w:rPr>
          <w:rStyle w:val="31"/>
          <w:rFonts w:hint="eastAsia" w:ascii="宋体" w:hAnsi="宋体"/>
          <w:b/>
          <w:color w:val="auto"/>
          <w:sz w:val="24"/>
        </w:rPr>
        <w:t>第四章</w:t>
      </w:r>
      <w:r>
        <w:rPr>
          <w:rStyle w:val="31"/>
          <w:rFonts w:ascii="宋体" w:hAnsi="宋体"/>
          <w:b/>
          <w:color w:val="auto"/>
          <w:sz w:val="24"/>
        </w:rPr>
        <w:t xml:space="preserve"> </w:t>
      </w:r>
      <w:r>
        <w:rPr>
          <w:rStyle w:val="31"/>
          <w:rFonts w:hint="eastAsia" w:ascii="宋体" w:hAnsi="宋体"/>
          <w:b/>
          <w:color w:val="auto"/>
          <w:sz w:val="24"/>
        </w:rPr>
        <w:t>评审程序和评定成交的标准</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38</w:t>
      </w:r>
    </w:p>
    <w:p w14:paraId="3A9E58BE">
      <w:pPr>
        <w:pStyle w:val="21"/>
        <w:tabs>
          <w:tab w:val="right" w:leader="dot" w:pos="8869"/>
        </w:tabs>
        <w:snapToGrid w:val="0"/>
        <w:spacing w:line="500" w:lineRule="atLeast"/>
        <w:jc w:val="center"/>
        <w:rPr>
          <w:rFonts w:hint="default" w:ascii="宋体" w:hAnsi="宋体" w:eastAsia="宋体"/>
          <w:b/>
          <w:color w:val="auto"/>
          <w:sz w:val="24"/>
          <w:lang w:val="en-US" w:eastAsia="zh-CN"/>
        </w:rPr>
      </w:pPr>
      <w:r>
        <w:rPr>
          <w:color w:val="auto"/>
        </w:rPr>
        <w:fldChar w:fldCharType="begin"/>
      </w:r>
      <w:r>
        <w:rPr>
          <w:color w:val="auto"/>
        </w:rPr>
        <w:instrText xml:space="preserve"> HYPERLINK \l "_Toc74322012" </w:instrText>
      </w:r>
      <w:r>
        <w:rPr>
          <w:color w:val="auto"/>
        </w:rPr>
        <w:fldChar w:fldCharType="separate"/>
      </w:r>
      <w:r>
        <w:rPr>
          <w:rStyle w:val="31"/>
          <w:rFonts w:hint="eastAsia" w:ascii="宋体" w:hAnsi="宋体"/>
          <w:b/>
          <w:color w:val="auto"/>
          <w:sz w:val="24"/>
        </w:rPr>
        <w:t>第五章</w:t>
      </w:r>
      <w:r>
        <w:rPr>
          <w:rStyle w:val="31"/>
          <w:rFonts w:ascii="宋体" w:hAnsi="宋体"/>
          <w:b/>
          <w:color w:val="auto"/>
          <w:sz w:val="24"/>
        </w:rPr>
        <w:t xml:space="preserve"> </w:t>
      </w:r>
      <w:r>
        <w:rPr>
          <w:rStyle w:val="31"/>
          <w:rFonts w:hint="eastAsia" w:ascii="宋体" w:hAnsi="宋体"/>
          <w:b/>
          <w:color w:val="auto"/>
          <w:sz w:val="24"/>
        </w:rPr>
        <w:t>响应文件格式</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43</w:t>
      </w:r>
    </w:p>
    <w:p w14:paraId="2FB4C3C5">
      <w:pPr>
        <w:pStyle w:val="21"/>
        <w:tabs>
          <w:tab w:val="right" w:leader="dot" w:pos="8869"/>
        </w:tabs>
        <w:snapToGrid w:val="0"/>
        <w:spacing w:line="500" w:lineRule="atLeast"/>
        <w:jc w:val="center"/>
        <w:rPr>
          <w:rFonts w:hint="default" w:ascii="宋体" w:hAnsi="宋体" w:eastAsia="宋体"/>
          <w:b/>
          <w:color w:val="auto"/>
          <w:sz w:val="24"/>
          <w:lang w:val="en-US" w:eastAsia="zh-CN"/>
        </w:rPr>
      </w:pPr>
      <w:r>
        <w:rPr>
          <w:color w:val="auto"/>
        </w:rPr>
        <w:fldChar w:fldCharType="begin"/>
      </w:r>
      <w:r>
        <w:rPr>
          <w:color w:val="auto"/>
        </w:rPr>
        <w:instrText xml:space="preserve"> HYPERLINK \l "_Toc74322013" </w:instrText>
      </w:r>
      <w:r>
        <w:rPr>
          <w:color w:val="auto"/>
        </w:rPr>
        <w:fldChar w:fldCharType="separate"/>
      </w:r>
      <w:r>
        <w:rPr>
          <w:rStyle w:val="31"/>
          <w:rFonts w:hint="eastAsia" w:ascii="宋体" w:hAnsi="宋体"/>
          <w:b/>
          <w:color w:val="auto"/>
          <w:sz w:val="24"/>
        </w:rPr>
        <w:t>第六章</w:t>
      </w:r>
      <w:r>
        <w:rPr>
          <w:rStyle w:val="31"/>
          <w:rFonts w:ascii="宋体" w:hAnsi="宋体"/>
          <w:b/>
          <w:color w:val="auto"/>
          <w:sz w:val="24"/>
        </w:rPr>
        <w:t xml:space="preserve"> </w:t>
      </w:r>
      <w:r>
        <w:rPr>
          <w:rStyle w:val="31"/>
          <w:rFonts w:hint="eastAsia" w:ascii="宋体" w:hAnsi="宋体"/>
          <w:b/>
          <w:color w:val="auto"/>
          <w:sz w:val="24"/>
        </w:rPr>
        <w:t>合同文本</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72</w:t>
      </w:r>
    </w:p>
    <w:p w14:paraId="78417B84">
      <w:pPr>
        <w:pStyle w:val="22"/>
        <w:tabs>
          <w:tab w:val="right" w:leader="dot" w:pos="8931"/>
          <w:tab w:val="clear" w:pos="8296"/>
        </w:tabs>
        <w:snapToGrid w:val="0"/>
        <w:spacing w:line="500" w:lineRule="atLeast"/>
        <w:ind w:left="0" w:leftChars="0" w:firstLine="590"/>
        <w:jc w:val="center"/>
        <w:rPr>
          <w:rFonts w:ascii="宋体" w:hAnsi="宋体"/>
          <w:b/>
          <w:color w:val="auto"/>
          <w:sz w:val="24"/>
        </w:rPr>
      </w:pPr>
      <w:r>
        <w:rPr>
          <w:rFonts w:ascii="宋体" w:hAnsi="宋体"/>
          <w:b/>
          <w:color w:val="auto"/>
          <w:sz w:val="24"/>
        </w:rPr>
        <w:fldChar w:fldCharType="end"/>
      </w:r>
    </w:p>
    <w:p w14:paraId="107B740D">
      <w:pPr>
        <w:spacing w:line="400" w:lineRule="exact"/>
        <w:ind w:left="-70" w:firstLine="787"/>
        <w:jc w:val="left"/>
        <w:rPr>
          <w:rFonts w:ascii="宋体" w:hAnsi="宋体"/>
          <w:b/>
          <w:color w:val="auto"/>
          <w:sz w:val="32"/>
          <w:szCs w:val="32"/>
        </w:rPr>
      </w:pPr>
    </w:p>
    <w:p w14:paraId="10D55A69">
      <w:pPr>
        <w:spacing w:line="400" w:lineRule="exact"/>
        <w:ind w:left="-70" w:firstLine="787"/>
        <w:jc w:val="center"/>
        <w:rPr>
          <w:rFonts w:ascii="宋体" w:hAnsi="宋体"/>
          <w:b/>
          <w:color w:val="auto"/>
          <w:sz w:val="32"/>
          <w:szCs w:val="32"/>
        </w:rPr>
      </w:pPr>
    </w:p>
    <w:p w14:paraId="4542F860">
      <w:pPr>
        <w:spacing w:line="400" w:lineRule="exact"/>
        <w:ind w:left="-70" w:firstLine="787"/>
        <w:jc w:val="center"/>
        <w:rPr>
          <w:rFonts w:ascii="宋体" w:hAnsi="宋体"/>
          <w:b/>
          <w:color w:val="auto"/>
          <w:sz w:val="32"/>
          <w:szCs w:val="32"/>
        </w:rPr>
      </w:pPr>
    </w:p>
    <w:p w14:paraId="40C015A5">
      <w:pPr>
        <w:spacing w:line="400" w:lineRule="exact"/>
        <w:ind w:left="-70" w:firstLine="787"/>
        <w:jc w:val="center"/>
        <w:rPr>
          <w:rFonts w:ascii="宋体" w:hAnsi="宋体"/>
          <w:b/>
          <w:color w:val="auto"/>
          <w:sz w:val="32"/>
          <w:szCs w:val="32"/>
        </w:rPr>
      </w:pPr>
    </w:p>
    <w:p w14:paraId="75BD07B4">
      <w:pPr>
        <w:spacing w:line="400" w:lineRule="exact"/>
        <w:ind w:left="-70" w:firstLine="787"/>
        <w:jc w:val="center"/>
        <w:rPr>
          <w:rFonts w:ascii="宋体" w:hAnsi="宋体"/>
          <w:b/>
          <w:color w:val="auto"/>
          <w:sz w:val="32"/>
          <w:szCs w:val="32"/>
        </w:rPr>
      </w:pPr>
    </w:p>
    <w:p w14:paraId="71A37531">
      <w:pPr>
        <w:spacing w:line="400" w:lineRule="exact"/>
        <w:ind w:left="-70" w:firstLine="787"/>
        <w:rPr>
          <w:rFonts w:ascii="宋体" w:hAnsi="宋体"/>
          <w:b/>
          <w:color w:val="auto"/>
          <w:sz w:val="32"/>
          <w:szCs w:val="32"/>
        </w:rPr>
        <w:sectPr>
          <w:headerReference r:id="rId3" w:type="default"/>
          <w:footerReference r:id="rId4" w:type="default"/>
          <w:pgSz w:w="11906" w:h="16838"/>
          <w:pgMar w:top="1134" w:right="1134" w:bottom="1134" w:left="1134" w:header="851" w:footer="992" w:gutter="0"/>
          <w:pgNumType w:start="0"/>
          <w:cols w:space="720" w:num="1"/>
          <w:titlePg/>
          <w:docGrid w:type="lines" w:linePitch="312" w:charSpace="0"/>
        </w:sectPr>
      </w:pPr>
    </w:p>
    <w:p w14:paraId="686413C6">
      <w:pPr>
        <w:pStyle w:val="2"/>
        <w:spacing w:before="120" w:line="360" w:lineRule="atLeast"/>
        <w:ind w:left="-70" w:firstLine="1082"/>
        <w:jc w:val="center"/>
        <w:rPr>
          <w:rFonts w:ascii="宋体" w:hAnsi="宋体"/>
          <w:b w:val="0"/>
          <w:bCs w:val="0"/>
          <w:color w:val="auto"/>
          <w:sz w:val="32"/>
          <w:szCs w:val="32"/>
        </w:rPr>
      </w:pPr>
      <w:bookmarkStart w:id="1" w:name="_Toc74322008"/>
      <w:r>
        <w:rPr>
          <w:rFonts w:hint="eastAsia"/>
          <w:color w:val="auto"/>
        </w:rPr>
        <w:t>第一章 竞争性谈判公告</w:t>
      </w:r>
      <w:bookmarkEnd w:id="1"/>
    </w:p>
    <w:p w14:paraId="76CDEFD5">
      <w:pPr>
        <w:pStyle w:val="15"/>
        <w:spacing w:before="120" w:line="360" w:lineRule="atLeast"/>
        <w:ind w:left="-70" w:firstLine="787"/>
        <w:jc w:val="center"/>
        <w:rPr>
          <w:b/>
          <w:color w:val="auto"/>
          <w:sz w:val="32"/>
          <w:szCs w:val="32"/>
        </w:rPr>
      </w:pPr>
      <w:r>
        <w:rPr>
          <w:rFonts w:hint="eastAsia"/>
          <w:b/>
          <w:color w:val="auto"/>
          <w:sz w:val="32"/>
          <w:szCs w:val="32"/>
        </w:rPr>
        <w:t>广西科文招标有限公司</w:t>
      </w:r>
    </w:p>
    <w:p w14:paraId="52D330F3">
      <w:pPr>
        <w:spacing w:before="120" w:line="360" w:lineRule="atLeast"/>
        <w:ind w:left="-70" w:firstLine="787"/>
        <w:jc w:val="center"/>
        <w:rPr>
          <w:rFonts w:ascii="宋体" w:hAnsi="Courier New"/>
          <w:b/>
          <w:color w:val="auto"/>
          <w:kern w:val="0"/>
          <w:sz w:val="32"/>
          <w:szCs w:val="32"/>
        </w:rPr>
      </w:pPr>
      <w:r>
        <w:rPr>
          <w:rFonts w:hint="eastAsia" w:ascii="宋体" w:hAnsi="Courier New"/>
          <w:b/>
          <w:color w:val="auto"/>
          <w:kern w:val="0"/>
          <w:sz w:val="32"/>
          <w:szCs w:val="32"/>
        </w:rPr>
        <w:t>玉林市公安局交通警察支队机动车驾驶人理论考场设备采购(YLZC2025-J1-990402-KWZB)</w:t>
      </w:r>
    </w:p>
    <w:p w14:paraId="29BE0AF3">
      <w:pPr>
        <w:spacing w:before="120" w:line="360" w:lineRule="atLeast"/>
        <w:ind w:left="-70" w:firstLine="787"/>
        <w:jc w:val="center"/>
        <w:rPr>
          <w:rFonts w:ascii="宋体" w:hAnsi="Courier New"/>
          <w:b/>
          <w:color w:val="auto"/>
          <w:kern w:val="0"/>
          <w:sz w:val="32"/>
          <w:szCs w:val="32"/>
        </w:rPr>
      </w:pPr>
      <w:r>
        <w:rPr>
          <w:rFonts w:hint="eastAsia" w:ascii="宋体" w:hAnsi="Courier New"/>
          <w:b/>
          <w:color w:val="auto"/>
          <w:kern w:val="0"/>
          <w:sz w:val="32"/>
          <w:szCs w:val="32"/>
        </w:rPr>
        <w:t>竞争性谈判公告</w:t>
      </w:r>
    </w:p>
    <w:p w14:paraId="13B312A2">
      <w:pPr>
        <w:spacing w:before="120" w:line="360" w:lineRule="auto"/>
        <w:ind w:left="-70" w:firstLine="588"/>
        <w:rPr>
          <w:rFonts w:ascii="宋体" w:hAnsi="宋体"/>
          <w:color w:val="auto"/>
          <w:szCs w:val="21"/>
        </w:rPr>
      </w:pPr>
    </w:p>
    <w:p w14:paraId="3E209967">
      <w:pPr>
        <w:pBdr>
          <w:top w:val="single" w:color="auto" w:sz="4" w:space="1"/>
          <w:left w:val="single" w:color="auto" w:sz="4" w:space="4"/>
          <w:bottom w:val="single" w:color="auto" w:sz="4" w:space="1"/>
          <w:right w:val="single" w:color="auto" w:sz="4" w:space="4"/>
        </w:pBdr>
        <w:spacing w:before="120" w:line="360" w:lineRule="auto"/>
        <w:ind w:left="-70" w:firstLine="420" w:firstLineChars="200"/>
        <w:rPr>
          <w:rFonts w:ascii="宋体" w:hAnsi="宋体"/>
          <w:color w:val="auto"/>
          <w:szCs w:val="21"/>
        </w:rPr>
      </w:pPr>
      <w:bookmarkStart w:id="2" w:name="_Hlk37430271"/>
      <w:r>
        <w:rPr>
          <w:rFonts w:hint="eastAsia" w:ascii="宋体" w:hAnsi="宋体"/>
          <w:color w:val="auto"/>
          <w:szCs w:val="21"/>
        </w:rPr>
        <w:t>项目概况</w:t>
      </w:r>
    </w:p>
    <w:p w14:paraId="392DCF88">
      <w:pPr>
        <w:pBdr>
          <w:top w:val="single" w:color="auto" w:sz="4" w:space="1"/>
          <w:left w:val="single" w:color="auto" w:sz="4" w:space="4"/>
          <w:bottom w:val="single" w:color="auto" w:sz="4" w:space="1"/>
          <w:right w:val="single" w:color="auto" w:sz="4" w:space="4"/>
        </w:pBdr>
        <w:spacing w:before="120" w:line="360" w:lineRule="auto"/>
        <w:ind w:left="-70" w:firstLine="420" w:firstLineChars="200"/>
        <w:rPr>
          <w:rFonts w:ascii="宋体" w:hAnsi="宋体"/>
          <w:color w:val="auto"/>
          <w:szCs w:val="21"/>
        </w:rPr>
      </w:pPr>
      <w:r>
        <w:rPr>
          <w:rFonts w:hint="eastAsia" w:ascii="宋体" w:hAnsi="宋体"/>
          <w:color w:val="auto"/>
          <w:szCs w:val="21"/>
        </w:rPr>
        <w:t>玉林市公安局交通警察支队机动车驾驶人理论考场设备采购项目的潜在供应商应在广西政府采购云平台（https://www.gcy.zfcg.gxzf.gov.cn/）获取（下载）竞争性谈判文件，并于2025年</w:t>
      </w:r>
      <w:r>
        <w:rPr>
          <w:rFonts w:hint="eastAsia" w:ascii="宋体" w:hAnsi="宋体"/>
          <w:color w:val="auto"/>
          <w:szCs w:val="21"/>
          <w:lang w:eastAsia="zh-CN"/>
        </w:rPr>
        <w:t>11月14日</w:t>
      </w:r>
      <w:r>
        <w:rPr>
          <w:rFonts w:hint="eastAsia" w:ascii="宋体" w:hAnsi="宋体"/>
          <w:color w:val="auto"/>
          <w:szCs w:val="21"/>
        </w:rPr>
        <w:t>9时00分（北京时间）前提交响应</w:t>
      </w:r>
      <w:r>
        <w:rPr>
          <w:rFonts w:ascii="宋体" w:hAnsi="宋体"/>
          <w:color w:val="auto"/>
          <w:szCs w:val="21"/>
        </w:rPr>
        <w:t>文件</w:t>
      </w:r>
      <w:r>
        <w:rPr>
          <w:rFonts w:hint="eastAsia" w:ascii="宋体" w:hAnsi="宋体"/>
          <w:color w:val="auto"/>
          <w:szCs w:val="21"/>
        </w:rPr>
        <w:t>。</w:t>
      </w:r>
    </w:p>
    <w:p w14:paraId="1E039A19">
      <w:pPr>
        <w:spacing w:before="120" w:line="380" w:lineRule="exact"/>
        <w:ind w:left="-70" w:firstLine="361" w:firstLineChars="150"/>
        <w:rPr>
          <w:rFonts w:ascii="黑体" w:hAnsi="黑体" w:eastAsia="黑体"/>
          <w:b/>
          <w:bCs/>
          <w:color w:val="auto"/>
          <w:sz w:val="24"/>
        </w:rPr>
      </w:pPr>
      <w:bookmarkStart w:id="3" w:name="_Toc28359095"/>
      <w:bookmarkStart w:id="4" w:name="_Toc35393805"/>
      <w:bookmarkStart w:id="5" w:name="_Toc28359018"/>
      <w:bookmarkStart w:id="6" w:name="_Toc71365369"/>
      <w:bookmarkStart w:id="7" w:name="_Toc35393636"/>
      <w:bookmarkStart w:id="8" w:name="_Toc71366047"/>
      <w:r>
        <w:rPr>
          <w:rFonts w:hint="eastAsia" w:ascii="黑体" w:hAnsi="黑体" w:eastAsia="黑体"/>
          <w:b/>
          <w:bCs/>
          <w:color w:val="auto"/>
          <w:sz w:val="24"/>
        </w:rPr>
        <w:t>一、项目基本情况</w:t>
      </w:r>
    </w:p>
    <w:p w14:paraId="5E7E101F">
      <w:pPr>
        <w:spacing w:before="120" w:line="380" w:lineRule="exact"/>
        <w:ind w:left="-70" w:firstLine="420" w:firstLineChars="200"/>
        <w:rPr>
          <w:rFonts w:ascii="宋体" w:hAnsi="宋体"/>
          <w:color w:val="auto"/>
          <w:szCs w:val="21"/>
        </w:rPr>
      </w:pPr>
      <w:r>
        <w:rPr>
          <w:rFonts w:hint="eastAsia" w:ascii="宋体" w:hAnsi="宋体"/>
          <w:color w:val="auto"/>
          <w:szCs w:val="21"/>
        </w:rPr>
        <w:t>项目编号：YLZC2025-J1-990402-KWZB</w:t>
      </w:r>
    </w:p>
    <w:p w14:paraId="26B8D486">
      <w:pPr>
        <w:spacing w:before="120" w:line="380" w:lineRule="exact"/>
        <w:ind w:left="-70" w:firstLine="420" w:firstLineChars="200"/>
        <w:rPr>
          <w:rFonts w:ascii="宋体" w:hAnsi="宋体"/>
          <w:color w:val="auto"/>
          <w:szCs w:val="21"/>
        </w:rPr>
      </w:pPr>
      <w:r>
        <w:rPr>
          <w:rFonts w:hint="eastAsia" w:ascii="宋体" w:hAnsi="宋体"/>
          <w:color w:val="auto"/>
          <w:szCs w:val="21"/>
        </w:rPr>
        <w:t>项目名称：玉林市公安局交通警察支队机动车驾驶人理论考场设备采购</w:t>
      </w:r>
    </w:p>
    <w:p w14:paraId="52F6BB2C">
      <w:pPr>
        <w:spacing w:before="120" w:line="380" w:lineRule="exact"/>
        <w:ind w:left="-70" w:firstLine="420" w:firstLineChars="200"/>
        <w:rPr>
          <w:rFonts w:ascii="宋体" w:hAnsi="宋体"/>
          <w:color w:val="auto"/>
          <w:szCs w:val="21"/>
        </w:rPr>
      </w:pPr>
      <w:r>
        <w:rPr>
          <w:rFonts w:hint="eastAsia" w:ascii="宋体" w:hAnsi="宋体"/>
          <w:color w:val="auto"/>
          <w:szCs w:val="21"/>
        </w:rPr>
        <w:t>采购方式：竞争性谈判</w:t>
      </w:r>
    </w:p>
    <w:p w14:paraId="27A4A795">
      <w:pPr>
        <w:spacing w:before="120" w:line="380" w:lineRule="exact"/>
        <w:ind w:left="-70" w:firstLine="420" w:firstLineChars="200"/>
        <w:rPr>
          <w:rFonts w:ascii="宋体" w:hAnsi="宋体"/>
          <w:color w:val="auto"/>
          <w:szCs w:val="21"/>
        </w:rPr>
      </w:pPr>
      <w:r>
        <w:rPr>
          <w:rFonts w:hint="eastAsia" w:ascii="宋体" w:hAnsi="宋体"/>
          <w:color w:val="auto"/>
          <w:szCs w:val="21"/>
        </w:rPr>
        <w:t>预算金额：108.1010万元</w:t>
      </w:r>
    </w:p>
    <w:p w14:paraId="47B256F2">
      <w:pPr>
        <w:spacing w:before="120" w:line="380" w:lineRule="exact"/>
        <w:ind w:left="-70" w:firstLine="420" w:firstLineChars="200"/>
        <w:rPr>
          <w:rFonts w:ascii="宋体" w:hAnsi="宋体"/>
          <w:color w:val="auto"/>
          <w:szCs w:val="21"/>
        </w:rPr>
      </w:pPr>
      <w:r>
        <w:rPr>
          <w:rFonts w:hint="eastAsia" w:ascii="宋体" w:hAnsi="宋体"/>
          <w:color w:val="auto"/>
          <w:szCs w:val="21"/>
        </w:rPr>
        <w:t>最高限价：/</w:t>
      </w:r>
    </w:p>
    <w:p w14:paraId="2FD949A2">
      <w:pPr>
        <w:spacing w:before="120" w:line="380" w:lineRule="exact"/>
        <w:ind w:left="-70" w:firstLine="420" w:firstLineChars="200"/>
        <w:rPr>
          <w:rFonts w:ascii="宋体" w:hAnsi="宋体"/>
          <w:color w:val="auto"/>
          <w:szCs w:val="21"/>
        </w:rPr>
      </w:pPr>
      <w:r>
        <w:rPr>
          <w:rFonts w:hint="eastAsia" w:ascii="宋体" w:hAnsi="宋体"/>
          <w:color w:val="auto"/>
          <w:szCs w:val="21"/>
        </w:rPr>
        <w:t>采购需求：</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09"/>
        <w:gridCol w:w="1199"/>
        <w:gridCol w:w="1307"/>
        <w:gridCol w:w="6526"/>
      </w:tblGrid>
      <w:tr w14:paraId="53FA4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841" w:type="dxa"/>
            <w:gridSpan w:val="4"/>
            <w:tcBorders>
              <w:top w:val="single" w:color="auto" w:sz="4" w:space="0"/>
              <w:left w:val="single" w:color="auto" w:sz="4" w:space="0"/>
              <w:bottom w:val="single" w:color="auto" w:sz="4" w:space="0"/>
              <w:right w:val="single" w:color="auto" w:sz="4" w:space="0"/>
            </w:tcBorders>
            <w:vAlign w:val="bottom"/>
          </w:tcPr>
          <w:p w14:paraId="4BF81687">
            <w:pPr>
              <w:snapToGrid w:val="0"/>
              <w:spacing w:before="120" w:line="360" w:lineRule="auto"/>
              <w:jc w:val="left"/>
              <w:rPr>
                <w:rFonts w:ascii="宋体" w:hAnsi="宋体" w:cs="宋体"/>
                <w:color w:val="auto"/>
                <w:szCs w:val="21"/>
              </w:rPr>
            </w:pPr>
            <w:r>
              <w:rPr>
                <w:rFonts w:hint="eastAsia" w:ascii="宋体" w:hAnsi="宋体" w:cs="宋体"/>
                <w:color w:val="auto"/>
                <w:szCs w:val="21"/>
              </w:rPr>
              <w:t>预算金额：108.1010万元</w:t>
            </w:r>
          </w:p>
        </w:tc>
      </w:tr>
      <w:tr w14:paraId="67317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6B4AFC7D">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序号</w:t>
            </w:r>
          </w:p>
        </w:tc>
        <w:tc>
          <w:tcPr>
            <w:tcW w:w="1199" w:type="dxa"/>
            <w:tcBorders>
              <w:top w:val="single" w:color="auto" w:sz="4" w:space="0"/>
              <w:left w:val="single" w:color="auto" w:sz="4" w:space="0"/>
              <w:bottom w:val="single" w:color="auto" w:sz="4" w:space="0"/>
              <w:right w:val="single" w:color="auto" w:sz="4" w:space="0"/>
            </w:tcBorders>
            <w:vAlign w:val="center"/>
          </w:tcPr>
          <w:p w14:paraId="13C2F01E">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标的的名称</w:t>
            </w:r>
          </w:p>
        </w:tc>
        <w:tc>
          <w:tcPr>
            <w:tcW w:w="1307" w:type="dxa"/>
            <w:tcBorders>
              <w:top w:val="single" w:color="auto" w:sz="4" w:space="0"/>
              <w:left w:val="single" w:color="auto" w:sz="4" w:space="0"/>
              <w:bottom w:val="single" w:color="auto" w:sz="4" w:space="0"/>
              <w:right w:val="single" w:color="auto" w:sz="4" w:space="0"/>
            </w:tcBorders>
            <w:vAlign w:val="center"/>
          </w:tcPr>
          <w:p w14:paraId="16BF1313">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数量/单位</w:t>
            </w:r>
          </w:p>
        </w:tc>
        <w:tc>
          <w:tcPr>
            <w:tcW w:w="6526" w:type="dxa"/>
            <w:tcBorders>
              <w:top w:val="single" w:color="auto" w:sz="4" w:space="0"/>
              <w:left w:val="single" w:color="auto" w:sz="4" w:space="0"/>
              <w:bottom w:val="single" w:color="auto" w:sz="4" w:space="0"/>
              <w:right w:val="single" w:color="auto" w:sz="4" w:space="0"/>
            </w:tcBorders>
            <w:vAlign w:val="bottom"/>
          </w:tcPr>
          <w:p w14:paraId="67CEC158">
            <w:pPr>
              <w:snapToGrid w:val="0"/>
              <w:spacing w:before="120" w:line="360" w:lineRule="auto"/>
              <w:ind w:left="-70" w:firstLine="588"/>
              <w:jc w:val="center"/>
              <w:rPr>
                <w:rFonts w:ascii="宋体" w:hAnsi="宋体" w:cs="宋体"/>
                <w:color w:val="auto"/>
                <w:szCs w:val="21"/>
              </w:rPr>
            </w:pPr>
            <w:r>
              <w:rPr>
                <w:rFonts w:hint="eastAsia" w:ascii="宋体" w:hAnsi="宋体" w:cs="宋体"/>
                <w:color w:val="auto"/>
                <w:szCs w:val="21"/>
              </w:rPr>
              <w:t>简要技术需求或者货物要求</w:t>
            </w:r>
          </w:p>
        </w:tc>
      </w:tr>
      <w:tr w14:paraId="79DC90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1A4AE916">
            <w:pPr>
              <w:snapToGrid w:val="0"/>
              <w:spacing w:before="120" w:line="360" w:lineRule="auto"/>
              <w:jc w:val="center"/>
              <w:rPr>
                <w:rFonts w:ascii="宋体" w:hAnsi="宋体" w:cs="宋体"/>
                <w:color w:val="auto"/>
                <w:szCs w:val="21"/>
              </w:rPr>
            </w:pPr>
            <w:bookmarkStart w:id="9" w:name="_Hlk213264769"/>
            <w:r>
              <w:rPr>
                <w:rFonts w:hint="eastAsia" w:ascii="宋体" w:hAnsi="宋体" w:cs="宋体"/>
                <w:color w:val="auto"/>
                <w:szCs w:val="21"/>
              </w:rPr>
              <w:t>1</w:t>
            </w:r>
          </w:p>
        </w:tc>
        <w:tc>
          <w:tcPr>
            <w:tcW w:w="1199" w:type="dxa"/>
            <w:tcBorders>
              <w:top w:val="single" w:color="auto" w:sz="4" w:space="0"/>
              <w:left w:val="single" w:color="auto" w:sz="4" w:space="0"/>
              <w:bottom w:val="single" w:color="auto" w:sz="4" w:space="0"/>
              <w:right w:val="single" w:color="auto" w:sz="4" w:space="0"/>
            </w:tcBorders>
            <w:vAlign w:val="center"/>
          </w:tcPr>
          <w:p w14:paraId="22BC9E1C">
            <w:pPr>
              <w:spacing w:before="120"/>
              <w:ind w:left="-70"/>
              <w:jc w:val="center"/>
              <w:rPr>
                <w:rFonts w:ascii="宋体" w:hAnsi="宋体" w:cs="宋体"/>
                <w:color w:val="auto"/>
                <w:szCs w:val="21"/>
              </w:rPr>
            </w:pPr>
            <w:r>
              <w:rPr>
                <w:rFonts w:hint="eastAsia" w:ascii="宋体" w:hAnsi="宋体" w:cs="宋体"/>
                <w:color w:val="auto"/>
                <w:kern w:val="0"/>
                <w:szCs w:val="21"/>
              </w:rPr>
              <w:t>无盘工作站系统配套软硬件</w:t>
            </w:r>
          </w:p>
        </w:tc>
        <w:tc>
          <w:tcPr>
            <w:tcW w:w="1307" w:type="dxa"/>
            <w:tcBorders>
              <w:top w:val="single" w:color="auto" w:sz="4" w:space="0"/>
              <w:left w:val="single" w:color="auto" w:sz="4" w:space="0"/>
              <w:bottom w:val="single" w:color="auto" w:sz="4" w:space="0"/>
              <w:right w:val="single" w:color="auto" w:sz="4" w:space="0"/>
            </w:tcBorders>
            <w:vAlign w:val="center"/>
          </w:tcPr>
          <w:p w14:paraId="135C5A3C">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1套</w:t>
            </w:r>
          </w:p>
        </w:tc>
        <w:tc>
          <w:tcPr>
            <w:tcW w:w="6526" w:type="dxa"/>
            <w:tcBorders>
              <w:top w:val="single" w:color="auto" w:sz="4" w:space="0"/>
              <w:left w:val="single" w:color="auto" w:sz="4" w:space="0"/>
              <w:bottom w:val="single" w:color="auto" w:sz="4" w:space="0"/>
              <w:right w:val="single" w:color="auto" w:sz="4" w:space="0"/>
            </w:tcBorders>
            <w:vAlign w:val="center"/>
          </w:tcPr>
          <w:p w14:paraId="2419167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1、CPU：2颗国内信创处理器，单颗主频：≥2.5GHz，≥16 核。</w:t>
            </w:r>
          </w:p>
          <w:p w14:paraId="2DAB5DA6">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s="宋体"/>
                <w:color w:val="auto"/>
                <w:szCs w:val="21"/>
              </w:rPr>
            </w:pPr>
            <w:r>
              <w:rPr>
                <w:rFonts w:hint="eastAsia" w:ascii="宋体" w:hAnsi="宋体" w:eastAsia="宋体" w:cs="宋体"/>
                <w:color w:val="auto"/>
                <w:szCs w:val="21"/>
              </w:rPr>
              <w:t>……</w:t>
            </w:r>
          </w:p>
        </w:tc>
      </w:tr>
      <w:tr w14:paraId="28879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12B98A86">
            <w:pPr>
              <w:snapToGrid w:val="0"/>
              <w:spacing w:before="120" w:line="360" w:lineRule="auto"/>
              <w:jc w:val="center"/>
              <w:rPr>
                <w:rFonts w:ascii="宋体" w:hAnsi="宋体" w:cs="宋体"/>
                <w:color w:val="auto"/>
                <w:szCs w:val="21"/>
              </w:rPr>
            </w:pPr>
            <w:r>
              <w:rPr>
                <w:rFonts w:hint="eastAsia" w:ascii="宋体" w:hAnsi="宋体" w:cs="宋体"/>
                <w:color w:val="auto"/>
                <w:szCs w:val="21"/>
              </w:rPr>
              <w:t>2</w:t>
            </w:r>
          </w:p>
        </w:tc>
        <w:tc>
          <w:tcPr>
            <w:tcW w:w="1199" w:type="dxa"/>
            <w:tcBorders>
              <w:top w:val="single" w:color="auto" w:sz="4" w:space="0"/>
              <w:left w:val="single" w:color="auto" w:sz="4" w:space="0"/>
              <w:bottom w:val="single" w:color="auto" w:sz="4" w:space="0"/>
              <w:right w:val="single" w:color="auto" w:sz="4" w:space="0"/>
            </w:tcBorders>
            <w:vAlign w:val="center"/>
          </w:tcPr>
          <w:p w14:paraId="191E85D7">
            <w:pPr>
              <w:spacing w:before="120"/>
              <w:ind w:left="-70"/>
              <w:jc w:val="center"/>
              <w:rPr>
                <w:rFonts w:ascii="宋体" w:hAnsi="宋体" w:cs="宋体"/>
                <w:color w:val="auto"/>
                <w:szCs w:val="21"/>
              </w:rPr>
            </w:pPr>
            <w:r>
              <w:rPr>
                <w:rFonts w:hint="eastAsia" w:ascii="宋体" w:hAnsi="宋体" w:cs="宋体"/>
                <w:color w:val="auto"/>
                <w:kern w:val="0"/>
                <w:szCs w:val="21"/>
              </w:rPr>
              <w:t>考试管理系统配套软硬件</w:t>
            </w:r>
          </w:p>
        </w:tc>
        <w:tc>
          <w:tcPr>
            <w:tcW w:w="1307" w:type="dxa"/>
            <w:tcBorders>
              <w:top w:val="single" w:color="auto" w:sz="4" w:space="0"/>
              <w:left w:val="single" w:color="auto" w:sz="4" w:space="0"/>
              <w:bottom w:val="single" w:color="auto" w:sz="4" w:space="0"/>
              <w:right w:val="single" w:color="auto" w:sz="4" w:space="0"/>
            </w:tcBorders>
            <w:vAlign w:val="center"/>
          </w:tcPr>
          <w:p w14:paraId="2D8A8E51">
            <w:pPr>
              <w:widowControl/>
              <w:spacing w:before="120"/>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rPr>
              <w:t>1</w:t>
            </w:r>
            <w:r>
              <w:rPr>
                <w:rFonts w:hint="eastAsia" w:ascii="宋体" w:hAnsi="宋体" w:cs="宋体"/>
                <w:color w:val="auto"/>
                <w:kern w:val="0"/>
                <w:szCs w:val="21"/>
                <w:lang w:eastAsia="zh-CN"/>
              </w:rPr>
              <w:t>套</w:t>
            </w:r>
          </w:p>
        </w:tc>
        <w:tc>
          <w:tcPr>
            <w:tcW w:w="6526" w:type="dxa"/>
            <w:tcBorders>
              <w:top w:val="single" w:color="auto" w:sz="4" w:space="0"/>
              <w:left w:val="single" w:color="auto" w:sz="4" w:space="0"/>
              <w:bottom w:val="single" w:color="auto" w:sz="4" w:space="0"/>
              <w:right w:val="single" w:color="auto" w:sz="4" w:space="0"/>
            </w:tcBorders>
            <w:vAlign w:val="center"/>
          </w:tcPr>
          <w:p w14:paraId="2649B37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1、CPU：2颗国内信创处理器，单颗主频：≥2.5GHz，≥16 核。</w:t>
            </w:r>
          </w:p>
          <w:p w14:paraId="57CF9F7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1A5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0DA4F369">
            <w:pPr>
              <w:snapToGrid w:val="0"/>
              <w:spacing w:before="120" w:line="360" w:lineRule="auto"/>
              <w:jc w:val="center"/>
              <w:rPr>
                <w:rFonts w:ascii="宋体" w:hAnsi="宋体" w:cs="宋体"/>
                <w:color w:val="auto"/>
                <w:szCs w:val="21"/>
              </w:rPr>
            </w:pPr>
            <w:r>
              <w:rPr>
                <w:rFonts w:hint="eastAsia" w:ascii="宋体" w:hAnsi="宋体" w:cs="宋体"/>
                <w:color w:val="auto"/>
                <w:szCs w:val="21"/>
              </w:rPr>
              <w:t>3</w:t>
            </w:r>
          </w:p>
        </w:tc>
        <w:tc>
          <w:tcPr>
            <w:tcW w:w="1199" w:type="dxa"/>
            <w:tcBorders>
              <w:top w:val="single" w:color="auto" w:sz="4" w:space="0"/>
              <w:left w:val="single" w:color="auto" w:sz="4" w:space="0"/>
              <w:bottom w:val="single" w:color="auto" w:sz="4" w:space="0"/>
              <w:right w:val="single" w:color="auto" w:sz="4" w:space="0"/>
            </w:tcBorders>
            <w:vAlign w:val="center"/>
          </w:tcPr>
          <w:p w14:paraId="4DFEE2DC">
            <w:pPr>
              <w:spacing w:before="120"/>
              <w:ind w:left="-70"/>
              <w:jc w:val="center"/>
              <w:rPr>
                <w:rFonts w:hint="eastAsia" w:ascii="宋体" w:hAnsi="宋体" w:cs="宋体"/>
                <w:color w:val="auto"/>
                <w:kern w:val="0"/>
                <w:szCs w:val="21"/>
              </w:rPr>
            </w:pPr>
            <w:r>
              <w:rPr>
                <w:rFonts w:hint="eastAsia" w:ascii="宋体" w:hAnsi="宋体" w:cs="宋体"/>
                <w:color w:val="auto"/>
                <w:kern w:val="0"/>
                <w:szCs w:val="21"/>
              </w:rPr>
              <w:t>触摸式</w:t>
            </w:r>
          </w:p>
          <w:p w14:paraId="15C50415">
            <w:pPr>
              <w:spacing w:before="120"/>
              <w:ind w:left="-70"/>
              <w:jc w:val="center"/>
              <w:rPr>
                <w:rFonts w:ascii="宋体" w:hAnsi="宋体" w:cs="宋体"/>
                <w:color w:val="auto"/>
                <w:szCs w:val="21"/>
              </w:rPr>
            </w:pPr>
            <w:r>
              <w:rPr>
                <w:rFonts w:hint="eastAsia" w:ascii="宋体" w:hAnsi="宋体" w:cs="宋体"/>
                <w:color w:val="auto"/>
                <w:kern w:val="0"/>
                <w:szCs w:val="21"/>
              </w:rPr>
              <w:t>无盘一体机</w:t>
            </w:r>
          </w:p>
        </w:tc>
        <w:tc>
          <w:tcPr>
            <w:tcW w:w="1307" w:type="dxa"/>
            <w:tcBorders>
              <w:top w:val="single" w:color="auto" w:sz="4" w:space="0"/>
              <w:left w:val="single" w:color="auto" w:sz="4" w:space="0"/>
              <w:bottom w:val="single" w:color="auto" w:sz="4" w:space="0"/>
              <w:right w:val="single" w:color="auto" w:sz="4" w:space="0"/>
            </w:tcBorders>
            <w:vAlign w:val="center"/>
          </w:tcPr>
          <w:p w14:paraId="0CCF465E">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90台</w:t>
            </w:r>
          </w:p>
        </w:tc>
        <w:tc>
          <w:tcPr>
            <w:tcW w:w="6526" w:type="dxa"/>
            <w:tcBorders>
              <w:top w:val="single" w:color="auto" w:sz="4" w:space="0"/>
              <w:left w:val="single" w:color="auto" w:sz="4" w:space="0"/>
              <w:bottom w:val="single" w:color="auto" w:sz="4" w:space="0"/>
              <w:right w:val="single" w:color="auto" w:sz="4" w:space="0"/>
            </w:tcBorders>
            <w:vAlign w:val="center"/>
          </w:tcPr>
          <w:p w14:paraId="52FA8BB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1、外观要求：全钢制标准化一体式机身，符合人体工学设计，适用于身高1.4M-2.1M之间任何身高使用，操作简单便捷。</w:t>
            </w:r>
          </w:p>
          <w:p w14:paraId="1FB0C6E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6C524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AC574E0">
            <w:pPr>
              <w:snapToGrid w:val="0"/>
              <w:spacing w:before="120" w:line="360" w:lineRule="auto"/>
              <w:jc w:val="center"/>
              <w:rPr>
                <w:rFonts w:ascii="宋体" w:hAnsi="宋体" w:cs="宋体"/>
                <w:color w:val="auto"/>
                <w:szCs w:val="21"/>
              </w:rPr>
            </w:pPr>
            <w:r>
              <w:rPr>
                <w:rFonts w:hint="eastAsia" w:ascii="宋体" w:hAnsi="宋体" w:cs="宋体"/>
                <w:color w:val="auto"/>
                <w:szCs w:val="21"/>
              </w:rPr>
              <w:t>4</w:t>
            </w:r>
          </w:p>
        </w:tc>
        <w:tc>
          <w:tcPr>
            <w:tcW w:w="1199" w:type="dxa"/>
            <w:tcBorders>
              <w:top w:val="single" w:color="auto" w:sz="4" w:space="0"/>
              <w:left w:val="single" w:color="auto" w:sz="4" w:space="0"/>
              <w:bottom w:val="single" w:color="auto" w:sz="4" w:space="0"/>
              <w:right w:val="single" w:color="auto" w:sz="4" w:space="0"/>
            </w:tcBorders>
            <w:vAlign w:val="center"/>
          </w:tcPr>
          <w:p w14:paraId="227F2211">
            <w:pPr>
              <w:spacing w:before="120"/>
              <w:ind w:left="-70"/>
              <w:jc w:val="center"/>
              <w:rPr>
                <w:rFonts w:ascii="宋体" w:hAnsi="宋体" w:cs="宋体"/>
                <w:color w:val="auto"/>
                <w:szCs w:val="21"/>
              </w:rPr>
            </w:pPr>
            <w:r>
              <w:rPr>
                <w:rFonts w:hint="eastAsia" w:ascii="宋体" w:hAnsi="宋体" w:cs="宋体"/>
                <w:color w:val="auto"/>
                <w:kern w:val="0"/>
                <w:szCs w:val="21"/>
              </w:rPr>
              <w:t>防火墙</w:t>
            </w:r>
          </w:p>
        </w:tc>
        <w:tc>
          <w:tcPr>
            <w:tcW w:w="1307" w:type="dxa"/>
            <w:tcBorders>
              <w:top w:val="single" w:color="auto" w:sz="4" w:space="0"/>
              <w:left w:val="single" w:color="auto" w:sz="4" w:space="0"/>
              <w:bottom w:val="single" w:color="auto" w:sz="4" w:space="0"/>
              <w:right w:val="single" w:color="auto" w:sz="4" w:space="0"/>
            </w:tcBorders>
            <w:vAlign w:val="center"/>
          </w:tcPr>
          <w:p w14:paraId="2152A649">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6526" w:type="dxa"/>
            <w:tcBorders>
              <w:top w:val="single" w:color="auto" w:sz="4" w:space="0"/>
              <w:left w:val="single" w:color="auto" w:sz="4" w:space="0"/>
              <w:bottom w:val="single" w:color="auto" w:sz="4" w:space="0"/>
              <w:right w:val="single" w:color="auto" w:sz="4" w:space="0"/>
            </w:tcBorders>
            <w:vAlign w:val="center"/>
          </w:tcPr>
          <w:p w14:paraId="42122EAF">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1、端口信息</w:t>
            </w:r>
          </w:p>
          <w:p w14:paraId="77C8390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1.1 千兆以太网光口≥2 个；</w:t>
            </w:r>
          </w:p>
          <w:p w14:paraId="35C4DE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51CCC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2E7A38B">
            <w:pPr>
              <w:snapToGrid w:val="0"/>
              <w:spacing w:before="120" w:line="360" w:lineRule="auto"/>
              <w:jc w:val="center"/>
              <w:rPr>
                <w:rFonts w:ascii="宋体" w:hAnsi="宋体" w:cs="宋体"/>
                <w:color w:val="auto"/>
                <w:szCs w:val="21"/>
              </w:rPr>
            </w:pPr>
            <w:r>
              <w:rPr>
                <w:rFonts w:hint="eastAsia" w:ascii="宋体" w:hAnsi="宋体" w:cs="宋体"/>
                <w:color w:val="auto"/>
                <w:szCs w:val="21"/>
              </w:rPr>
              <w:t>5</w:t>
            </w:r>
          </w:p>
        </w:tc>
        <w:tc>
          <w:tcPr>
            <w:tcW w:w="1199" w:type="dxa"/>
            <w:tcBorders>
              <w:top w:val="single" w:color="auto" w:sz="4" w:space="0"/>
              <w:left w:val="single" w:color="auto" w:sz="4" w:space="0"/>
              <w:bottom w:val="single" w:color="auto" w:sz="4" w:space="0"/>
              <w:right w:val="single" w:color="auto" w:sz="4" w:space="0"/>
            </w:tcBorders>
            <w:vAlign w:val="center"/>
          </w:tcPr>
          <w:p w14:paraId="452C1EF7">
            <w:pPr>
              <w:spacing w:before="120"/>
              <w:ind w:left="-70"/>
              <w:jc w:val="center"/>
              <w:rPr>
                <w:rFonts w:ascii="宋体" w:hAnsi="宋体" w:cs="宋体"/>
                <w:color w:val="auto"/>
                <w:szCs w:val="21"/>
              </w:rPr>
            </w:pPr>
            <w:r>
              <w:rPr>
                <w:rFonts w:hint="eastAsia" w:ascii="宋体" w:hAnsi="宋体" w:cs="宋体"/>
                <w:color w:val="auto"/>
                <w:kern w:val="0"/>
                <w:szCs w:val="21"/>
              </w:rPr>
              <w:t>交换机</w:t>
            </w:r>
          </w:p>
        </w:tc>
        <w:tc>
          <w:tcPr>
            <w:tcW w:w="1307" w:type="dxa"/>
            <w:tcBorders>
              <w:top w:val="single" w:color="auto" w:sz="4" w:space="0"/>
              <w:left w:val="single" w:color="auto" w:sz="4" w:space="0"/>
              <w:bottom w:val="single" w:color="auto" w:sz="4" w:space="0"/>
              <w:right w:val="single" w:color="auto" w:sz="4" w:space="0"/>
            </w:tcBorders>
            <w:vAlign w:val="center"/>
          </w:tcPr>
          <w:p w14:paraId="37DC9EDB">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2台</w:t>
            </w:r>
          </w:p>
        </w:tc>
        <w:tc>
          <w:tcPr>
            <w:tcW w:w="6526" w:type="dxa"/>
            <w:tcBorders>
              <w:top w:val="single" w:color="auto" w:sz="4" w:space="0"/>
              <w:left w:val="single" w:color="auto" w:sz="4" w:space="0"/>
              <w:bottom w:val="single" w:color="auto" w:sz="4" w:space="0"/>
              <w:right w:val="single" w:color="auto" w:sz="4" w:space="0"/>
            </w:tcBorders>
            <w:vAlign w:val="center"/>
          </w:tcPr>
          <w:p w14:paraId="6241204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1、应用层级：三层。</w:t>
            </w:r>
          </w:p>
          <w:p w14:paraId="3668062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2、传输速率：10/100/1000/10000Mbps。</w:t>
            </w:r>
          </w:p>
          <w:p w14:paraId="4DB3EC8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18D3F1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7CD15578">
            <w:pPr>
              <w:snapToGrid w:val="0"/>
              <w:spacing w:before="120" w:line="360" w:lineRule="auto"/>
              <w:jc w:val="center"/>
              <w:rPr>
                <w:rFonts w:ascii="宋体" w:hAnsi="宋体" w:cs="宋体"/>
                <w:color w:val="auto"/>
                <w:szCs w:val="21"/>
              </w:rPr>
            </w:pPr>
            <w:r>
              <w:rPr>
                <w:rFonts w:hint="eastAsia" w:ascii="宋体" w:hAnsi="宋体" w:cs="宋体"/>
                <w:color w:val="auto"/>
                <w:szCs w:val="21"/>
              </w:rPr>
              <w:t>6</w:t>
            </w:r>
          </w:p>
        </w:tc>
        <w:tc>
          <w:tcPr>
            <w:tcW w:w="1199" w:type="dxa"/>
            <w:tcBorders>
              <w:top w:val="single" w:color="auto" w:sz="4" w:space="0"/>
              <w:left w:val="single" w:color="auto" w:sz="4" w:space="0"/>
              <w:bottom w:val="single" w:color="auto" w:sz="4" w:space="0"/>
              <w:right w:val="single" w:color="auto" w:sz="4" w:space="0"/>
            </w:tcBorders>
            <w:vAlign w:val="center"/>
          </w:tcPr>
          <w:p w14:paraId="30220017">
            <w:pPr>
              <w:spacing w:before="120"/>
              <w:ind w:left="-70"/>
              <w:jc w:val="center"/>
              <w:rPr>
                <w:rFonts w:ascii="宋体" w:hAnsi="宋体" w:cs="宋体"/>
                <w:color w:val="auto"/>
                <w:szCs w:val="21"/>
              </w:rPr>
            </w:pPr>
            <w:r>
              <w:rPr>
                <w:rFonts w:hint="eastAsia" w:ascii="宋体" w:hAnsi="宋体" w:cs="宋体"/>
                <w:color w:val="auto"/>
                <w:kern w:val="0"/>
                <w:szCs w:val="21"/>
              </w:rPr>
              <w:t>理论考试自助签名机</w:t>
            </w:r>
          </w:p>
        </w:tc>
        <w:tc>
          <w:tcPr>
            <w:tcW w:w="1307" w:type="dxa"/>
            <w:tcBorders>
              <w:top w:val="single" w:color="auto" w:sz="4" w:space="0"/>
              <w:left w:val="single" w:color="auto" w:sz="4" w:space="0"/>
              <w:bottom w:val="single" w:color="auto" w:sz="4" w:space="0"/>
              <w:right w:val="single" w:color="auto" w:sz="4" w:space="0"/>
            </w:tcBorders>
            <w:vAlign w:val="center"/>
          </w:tcPr>
          <w:p w14:paraId="4C8C712A">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3台</w:t>
            </w:r>
          </w:p>
        </w:tc>
        <w:tc>
          <w:tcPr>
            <w:tcW w:w="6526" w:type="dxa"/>
            <w:tcBorders>
              <w:top w:val="single" w:color="auto" w:sz="4" w:space="0"/>
              <w:left w:val="single" w:color="auto" w:sz="4" w:space="0"/>
              <w:bottom w:val="single" w:color="auto" w:sz="4" w:space="0"/>
              <w:right w:val="single" w:color="auto" w:sz="4" w:space="0"/>
            </w:tcBorders>
            <w:vAlign w:val="center"/>
          </w:tcPr>
          <w:p w14:paraId="6410D520">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1、一体化设计：CPU 主频 ≥2.4GHZ； 内存 ≥4G；硬盘 ≥500G。</w:t>
            </w:r>
          </w:p>
          <w:p w14:paraId="5030E67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600E39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088A918">
            <w:pPr>
              <w:snapToGrid w:val="0"/>
              <w:spacing w:before="120" w:line="360" w:lineRule="auto"/>
              <w:jc w:val="center"/>
              <w:rPr>
                <w:rFonts w:ascii="宋体" w:hAnsi="宋体" w:cs="宋体"/>
                <w:color w:val="auto"/>
                <w:szCs w:val="21"/>
              </w:rPr>
            </w:pPr>
            <w:r>
              <w:rPr>
                <w:rFonts w:hint="eastAsia" w:ascii="宋体" w:hAnsi="宋体" w:cs="宋体"/>
                <w:color w:val="auto"/>
                <w:szCs w:val="21"/>
              </w:rPr>
              <w:t>7</w:t>
            </w:r>
          </w:p>
        </w:tc>
        <w:tc>
          <w:tcPr>
            <w:tcW w:w="1199" w:type="dxa"/>
            <w:tcBorders>
              <w:top w:val="single" w:color="auto" w:sz="4" w:space="0"/>
              <w:left w:val="single" w:color="auto" w:sz="4" w:space="0"/>
              <w:bottom w:val="single" w:color="auto" w:sz="4" w:space="0"/>
              <w:right w:val="single" w:color="auto" w:sz="4" w:space="0"/>
            </w:tcBorders>
            <w:vAlign w:val="center"/>
          </w:tcPr>
          <w:p w14:paraId="27A46176">
            <w:pPr>
              <w:spacing w:before="120"/>
              <w:ind w:left="-70"/>
              <w:jc w:val="center"/>
              <w:rPr>
                <w:rFonts w:ascii="宋体" w:hAnsi="宋体" w:cs="宋体"/>
                <w:color w:val="auto"/>
                <w:szCs w:val="21"/>
              </w:rPr>
            </w:pPr>
            <w:r>
              <w:rPr>
                <w:rFonts w:hint="eastAsia" w:ascii="宋体" w:hAnsi="宋体" w:cs="宋体"/>
                <w:color w:val="auto"/>
                <w:kern w:val="0"/>
                <w:szCs w:val="21"/>
              </w:rPr>
              <w:t>排号55寸显示屏幕</w:t>
            </w:r>
          </w:p>
        </w:tc>
        <w:tc>
          <w:tcPr>
            <w:tcW w:w="1307" w:type="dxa"/>
            <w:tcBorders>
              <w:top w:val="single" w:color="auto" w:sz="4" w:space="0"/>
              <w:left w:val="single" w:color="auto" w:sz="4" w:space="0"/>
              <w:bottom w:val="single" w:color="auto" w:sz="4" w:space="0"/>
              <w:right w:val="single" w:color="auto" w:sz="4" w:space="0"/>
            </w:tcBorders>
            <w:vAlign w:val="center"/>
          </w:tcPr>
          <w:p w14:paraId="67DE659E">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4台</w:t>
            </w:r>
          </w:p>
        </w:tc>
        <w:tc>
          <w:tcPr>
            <w:tcW w:w="6526" w:type="dxa"/>
            <w:tcBorders>
              <w:top w:val="single" w:color="auto" w:sz="4" w:space="0"/>
              <w:left w:val="single" w:color="auto" w:sz="4" w:space="0"/>
              <w:bottom w:val="single" w:color="auto" w:sz="4" w:space="0"/>
              <w:right w:val="single" w:color="auto" w:sz="4" w:space="0"/>
            </w:tcBorders>
            <w:vAlign w:val="center"/>
          </w:tcPr>
          <w:p w14:paraId="4C1E4E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1、屏幕尺寸：≥55 英寸。</w:t>
            </w:r>
          </w:p>
          <w:p w14:paraId="0ADE0AA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2、刷屏率：≥60Hz。</w:t>
            </w:r>
          </w:p>
          <w:p w14:paraId="34D4A9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3D94E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9E6CA9F">
            <w:pPr>
              <w:snapToGrid w:val="0"/>
              <w:spacing w:before="120" w:line="360" w:lineRule="auto"/>
              <w:jc w:val="center"/>
              <w:rPr>
                <w:rFonts w:ascii="宋体" w:hAnsi="宋体" w:cs="宋体"/>
                <w:color w:val="auto"/>
                <w:szCs w:val="21"/>
              </w:rPr>
            </w:pPr>
            <w:r>
              <w:rPr>
                <w:rFonts w:hint="eastAsia" w:ascii="宋体" w:hAnsi="宋体" w:cs="宋体"/>
                <w:color w:val="auto"/>
                <w:szCs w:val="21"/>
              </w:rPr>
              <w:t>8</w:t>
            </w:r>
          </w:p>
        </w:tc>
        <w:tc>
          <w:tcPr>
            <w:tcW w:w="1199" w:type="dxa"/>
            <w:tcBorders>
              <w:top w:val="single" w:color="auto" w:sz="4" w:space="0"/>
              <w:left w:val="single" w:color="auto" w:sz="4" w:space="0"/>
              <w:bottom w:val="single" w:color="auto" w:sz="4" w:space="0"/>
              <w:right w:val="single" w:color="auto" w:sz="4" w:space="0"/>
            </w:tcBorders>
            <w:vAlign w:val="center"/>
          </w:tcPr>
          <w:p w14:paraId="6E0ABBC6">
            <w:pPr>
              <w:rPr>
                <w:rFonts w:ascii="宋体" w:hAnsi="宋体" w:cs="宋体"/>
                <w:color w:val="auto"/>
                <w:szCs w:val="21"/>
              </w:rPr>
            </w:pPr>
            <w:r>
              <w:rPr>
                <w:rFonts w:hint="eastAsia" w:ascii="宋体" w:hAnsi="宋体" w:cs="宋体"/>
                <w:color w:val="auto"/>
                <w:szCs w:val="21"/>
                <w:lang w:eastAsia="zh-CN"/>
              </w:rPr>
              <w:t>离线人脸</w:t>
            </w:r>
            <w:r>
              <w:rPr>
                <w:rFonts w:hint="eastAsia" w:ascii="宋体" w:hAnsi="宋体" w:cs="宋体"/>
                <w:color w:val="auto"/>
                <w:szCs w:val="21"/>
                <w:lang w:val="en-US" w:eastAsia="zh-CN"/>
              </w:rPr>
              <w:t>SDK识别头</w:t>
            </w:r>
          </w:p>
        </w:tc>
        <w:tc>
          <w:tcPr>
            <w:tcW w:w="1307" w:type="dxa"/>
            <w:tcBorders>
              <w:top w:val="single" w:color="auto" w:sz="4" w:space="0"/>
              <w:left w:val="single" w:color="auto" w:sz="4" w:space="0"/>
              <w:bottom w:val="single" w:color="auto" w:sz="4" w:space="0"/>
              <w:right w:val="single" w:color="auto" w:sz="4" w:space="0"/>
            </w:tcBorders>
            <w:vAlign w:val="center"/>
          </w:tcPr>
          <w:p w14:paraId="6C9AEA53">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2台</w:t>
            </w:r>
          </w:p>
        </w:tc>
        <w:tc>
          <w:tcPr>
            <w:tcW w:w="6526" w:type="dxa"/>
            <w:tcBorders>
              <w:top w:val="single" w:color="auto" w:sz="4" w:space="0"/>
              <w:left w:val="single" w:color="auto" w:sz="4" w:space="0"/>
              <w:bottom w:val="single" w:color="auto" w:sz="4" w:space="0"/>
              <w:right w:val="single" w:color="auto" w:sz="4" w:space="0"/>
            </w:tcBorders>
            <w:vAlign w:val="center"/>
          </w:tcPr>
          <w:p w14:paraId="5909E86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cs="宋体"/>
                <w:color w:val="auto"/>
                <w:kern w:val="0"/>
                <w:szCs w:val="21"/>
                <w:lang w:val="en-US" w:eastAsia="zh-CN"/>
              </w:rPr>
              <w:t>支持在线远程控制,内置人证识别读取证件信息并进行人证比对，验证通过开闸门。</w:t>
            </w:r>
            <w:r>
              <w:rPr>
                <w:rFonts w:hint="eastAsia" w:ascii="宋体" w:hAnsi="宋体" w:eastAsia="宋体" w:cs="宋体"/>
                <w:color w:val="auto"/>
                <w:szCs w:val="21"/>
              </w:rPr>
              <w:t>……</w:t>
            </w:r>
          </w:p>
        </w:tc>
      </w:tr>
      <w:tr w14:paraId="2E106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CBC658D">
            <w:pPr>
              <w:snapToGrid w:val="0"/>
              <w:spacing w:before="120" w:line="360" w:lineRule="auto"/>
              <w:jc w:val="center"/>
              <w:rPr>
                <w:rFonts w:ascii="宋体" w:hAnsi="宋体" w:cs="宋体"/>
                <w:color w:val="auto"/>
                <w:szCs w:val="21"/>
              </w:rPr>
            </w:pPr>
            <w:r>
              <w:rPr>
                <w:rFonts w:hint="eastAsia" w:ascii="宋体" w:hAnsi="宋体" w:cs="宋体"/>
                <w:color w:val="auto"/>
                <w:szCs w:val="21"/>
              </w:rPr>
              <w:t>9</w:t>
            </w:r>
          </w:p>
        </w:tc>
        <w:tc>
          <w:tcPr>
            <w:tcW w:w="1199" w:type="dxa"/>
            <w:tcBorders>
              <w:top w:val="single" w:color="auto" w:sz="4" w:space="0"/>
              <w:left w:val="single" w:color="auto" w:sz="4" w:space="0"/>
              <w:bottom w:val="single" w:color="auto" w:sz="4" w:space="0"/>
              <w:right w:val="single" w:color="auto" w:sz="4" w:space="0"/>
            </w:tcBorders>
            <w:vAlign w:val="center"/>
          </w:tcPr>
          <w:p w14:paraId="5ED68781">
            <w:pPr>
              <w:spacing w:before="120"/>
              <w:jc w:val="center"/>
              <w:rPr>
                <w:rFonts w:ascii="宋体" w:hAnsi="宋体" w:cs="宋体"/>
                <w:color w:val="auto"/>
                <w:szCs w:val="21"/>
              </w:rPr>
            </w:pPr>
            <w:r>
              <w:rPr>
                <w:rFonts w:hint="eastAsia" w:ascii="宋体" w:hAnsi="宋体" w:cs="宋体"/>
                <w:color w:val="auto"/>
                <w:kern w:val="0"/>
                <w:szCs w:val="21"/>
              </w:rPr>
              <w:t>闸机</w:t>
            </w:r>
          </w:p>
        </w:tc>
        <w:tc>
          <w:tcPr>
            <w:tcW w:w="1307" w:type="dxa"/>
            <w:tcBorders>
              <w:top w:val="single" w:color="auto" w:sz="4" w:space="0"/>
              <w:left w:val="single" w:color="auto" w:sz="4" w:space="0"/>
              <w:bottom w:val="single" w:color="auto" w:sz="4" w:space="0"/>
              <w:right w:val="single" w:color="auto" w:sz="4" w:space="0"/>
            </w:tcBorders>
            <w:vAlign w:val="center"/>
          </w:tcPr>
          <w:p w14:paraId="6655229A">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1套</w:t>
            </w:r>
          </w:p>
        </w:tc>
        <w:tc>
          <w:tcPr>
            <w:tcW w:w="6526" w:type="dxa"/>
            <w:tcBorders>
              <w:top w:val="single" w:color="auto" w:sz="4" w:space="0"/>
              <w:left w:val="single" w:color="auto" w:sz="4" w:space="0"/>
              <w:bottom w:val="single" w:color="auto" w:sz="4" w:space="0"/>
              <w:right w:val="single" w:color="auto" w:sz="4" w:space="0"/>
            </w:tcBorders>
            <w:vAlign w:val="center"/>
          </w:tcPr>
          <w:p w14:paraId="2295A0F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cs="宋体"/>
                <w:color w:val="auto"/>
                <w:kern w:val="0"/>
                <w:szCs w:val="21"/>
                <w:lang w:val="en-US" w:eastAsia="zh-CN"/>
              </w:rPr>
              <w:t>单通道，国产通用。包含通道周围不锈钢围栏安装。</w:t>
            </w:r>
          </w:p>
        </w:tc>
      </w:tr>
      <w:tr w14:paraId="209852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6C198FF">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10</w:t>
            </w:r>
          </w:p>
        </w:tc>
        <w:tc>
          <w:tcPr>
            <w:tcW w:w="1199" w:type="dxa"/>
            <w:tcBorders>
              <w:top w:val="single" w:color="auto" w:sz="4" w:space="0"/>
              <w:left w:val="single" w:color="auto" w:sz="4" w:space="0"/>
              <w:bottom w:val="single" w:color="auto" w:sz="4" w:space="0"/>
              <w:right w:val="single" w:color="auto" w:sz="4" w:space="0"/>
            </w:tcBorders>
            <w:vAlign w:val="center"/>
          </w:tcPr>
          <w:p w14:paraId="04708B82">
            <w:pPr>
              <w:jc w:val="center"/>
              <w:rPr>
                <w:rFonts w:ascii="宋体" w:hAnsi="宋体" w:cs="宋体"/>
                <w:color w:val="auto"/>
                <w:kern w:val="0"/>
                <w:szCs w:val="21"/>
              </w:rPr>
            </w:pPr>
            <w:r>
              <w:rPr>
                <w:rFonts w:hint="eastAsia" w:ascii="宋体" w:hAnsi="宋体" w:cs="宋体"/>
                <w:color w:val="auto"/>
                <w:kern w:val="0"/>
                <w:szCs w:val="21"/>
                <w:lang w:val="en-US" w:eastAsia="zh-CN"/>
              </w:rPr>
              <w:t>身份证</w:t>
            </w:r>
            <w:r>
              <w:rPr>
                <w:rFonts w:hint="eastAsia" w:ascii="宋体" w:hAnsi="宋体" w:cs="宋体"/>
                <w:color w:val="auto"/>
                <w:kern w:val="0"/>
                <w:szCs w:val="21"/>
              </w:rPr>
              <w:t xml:space="preserve"> </w:t>
            </w:r>
          </w:p>
          <w:p w14:paraId="722D0CE6">
            <w:pPr>
              <w:spacing w:before="120"/>
              <w:ind w:left="-70"/>
              <w:jc w:val="center"/>
              <w:rPr>
                <w:rFonts w:ascii="宋体" w:hAnsi="宋体" w:cs="宋体"/>
                <w:color w:val="auto"/>
                <w:szCs w:val="21"/>
              </w:rPr>
            </w:pPr>
            <w:r>
              <w:rPr>
                <w:rFonts w:hint="eastAsia" w:ascii="宋体" w:hAnsi="宋体" w:cs="宋体"/>
                <w:color w:val="auto"/>
                <w:kern w:val="0"/>
                <w:szCs w:val="21"/>
              </w:rPr>
              <w:t>阅读器</w:t>
            </w:r>
          </w:p>
        </w:tc>
        <w:tc>
          <w:tcPr>
            <w:tcW w:w="1307" w:type="dxa"/>
            <w:tcBorders>
              <w:top w:val="single" w:color="auto" w:sz="4" w:space="0"/>
              <w:left w:val="single" w:color="auto" w:sz="4" w:space="0"/>
              <w:bottom w:val="single" w:color="auto" w:sz="4" w:space="0"/>
              <w:right w:val="single" w:color="auto" w:sz="4" w:space="0"/>
            </w:tcBorders>
            <w:vAlign w:val="center"/>
          </w:tcPr>
          <w:p w14:paraId="11DB586B">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3台</w:t>
            </w:r>
          </w:p>
        </w:tc>
        <w:tc>
          <w:tcPr>
            <w:tcW w:w="6526" w:type="dxa"/>
            <w:tcBorders>
              <w:top w:val="single" w:color="auto" w:sz="4" w:space="0"/>
              <w:left w:val="single" w:color="auto" w:sz="4" w:space="0"/>
              <w:bottom w:val="single" w:color="auto" w:sz="4" w:space="0"/>
              <w:right w:val="single" w:color="auto" w:sz="4" w:space="0"/>
            </w:tcBorders>
            <w:vAlign w:val="center"/>
          </w:tcPr>
          <w:p w14:paraId="0FC3C05B">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cs="宋体"/>
                <w:color w:val="auto"/>
                <w:kern w:val="0"/>
                <w:szCs w:val="21"/>
                <w:lang w:val="en-US" w:eastAsia="zh-CN"/>
              </w:rPr>
              <w:t>第二代身份证阅读器，车驾管业务通用款。</w:t>
            </w:r>
          </w:p>
        </w:tc>
      </w:tr>
      <w:tr w14:paraId="22915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4992AC4">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11</w:t>
            </w:r>
          </w:p>
        </w:tc>
        <w:tc>
          <w:tcPr>
            <w:tcW w:w="1199" w:type="dxa"/>
            <w:tcBorders>
              <w:top w:val="single" w:color="auto" w:sz="4" w:space="0"/>
              <w:left w:val="single" w:color="auto" w:sz="4" w:space="0"/>
              <w:bottom w:val="single" w:color="auto" w:sz="4" w:space="0"/>
              <w:right w:val="single" w:color="auto" w:sz="4" w:space="0"/>
            </w:tcBorders>
            <w:vAlign w:val="center"/>
          </w:tcPr>
          <w:p w14:paraId="0ABE3385">
            <w:pPr>
              <w:spacing w:before="120"/>
              <w:ind w:left="-70"/>
              <w:jc w:val="center"/>
              <w:rPr>
                <w:rFonts w:ascii="宋体" w:hAnsi="宋体" w:cs="宋体"/>
                <w:color w:val="auto"/>
                <w:szCs w:val="21"/>
              </w:rPr>
            </w:pPr>
            <w:r>
              <w:rPr>
                <w:rFonts w:hint="eastAsia" w:ascii="宋体" w:hAnsi="宋体" w:cs="宋体"/>
                <w:color w:val="auto"/>
                <w:kern w:val="0"/>
                <w:szCs w:val="21"/>
              </w:rPr>
              <w:t>24口监控 POE交换机</w:t>
            </w:r>
          </w:p>
        </w:tc>
        <w:tc>
          <w:tcPr>
            <w:tcW w:w="1307" w:type="dxa"/>
            <w:tcBorders>
              <w:top w:val="single" w:color="auto" w:sz="4" w:space="0"/>
              <w:left w:val="single" w:color="auto" w:sz="4" w:space="0"/>
              <w:bottom w:val="single" w:color="auto" w:sz="4" w:space="0"/>
              <w:right w:val="single" w:color="auto" w:sz="4" w:space="0"/>
            </w:tcBorders>
            <w:vAlign w:val="center"/>
          </w:tcPr>
          <w:p w14:paraId="37CC7E47">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6526" w:type="dxa"/>
            <w:tcBorders>
              <w:top w:val="single" w:color="auto" w:sz="4" w:space="0"/>
              <w:left w:val="single" w:color="auto" w:sz="4" w:space="0"/>
              <w:bottom w:val="single" w:color="auto" w:sz="4" w:space="0"/>
              <w:right w:val="single" w:color="auto" w:sz="4" w:space="0"/>
            </w:tcBorders>
            <w:vAlign w:val="center"/>
          </w:tcPr>
          <w:p w14:paraId="33FA539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1、应用层级：二层。</w:t>
            </w:r>
          </w:p>
          <w:p w14:paraId="6AD997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2、传输速率：10/100/1000Mbps。</w:t>
            </w:r>
          </w:p>
          <w:p w14:paraId="2EB9531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1D724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31F7A8C6">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12</w:t>
            </w:r>
          </w:p>
        </w:tc>
        <w:tc>
          <w:tcPr>
            <w:tcW w:w="1199" w:type="dxa"/>
            <w:tcBorders>
              <w:top w:val="single" w:color="auto" w:sz="4" w:space="0"/>
              <w:left w:val="single" w:color="auto" w:sz="4" w:space="0"/>
              <w:bottom w:val="single" w:color="auto" w:sz="4" w:space="0"/>
              <w:right w:val="single" w:color="auto" w:sz="4" w:space="0"/>
            </w:tcBorders>
            <w:vAlign w:val="center"/>
          </w:tcPr>
          <w:p w14:paraId="6F9C7CE3">
            <w:pPr>
              <w:spacing w:before="120"/>
              <w:ind w:left="-70"/>
              <w:jc w:val="center"/>
              <w:rPr>
                <w:rFonts w:ascii="宋体" w:hAnsi="宋体" w:cs="宋体"/>
                <w:color w:val="auto"/>
                <w:szCs w:val="21"/>
              </w:rPr>
            </w:pPr>
            <w:r>
              <w:rPr>
                <w:rFonts w:hint="eastAsia" w:ascii="宋体" w:hAnsi="宋体" w:cs="宋体"/>
                <w:color w:val="auto"/>
                <w:kern w:val="0"/>
                <w:szCs w:val="21"/>
              </w:rPr>
              <w:t>400W星光级 POE摄像头</w:t>
            </w:r>
          </w:p>
        </w:tc>
        <w:tc>
          <w:tcPr>
            <w:tcW w:w="1307" w:type="dxa"/>
            <w:tcBorders>
              <w:top w:val="single" w:color="auto" w:sz="4" w:space="0"/>
              <w:left w:val="single" w:color="auto" w:sz="4" w:space="0"/>
              <w:bottom w:val="single" w:color="auto" w:sz="4" w:space="0"/>
              <w:right w:val="single" w:color="auto" w:sz="4" w:space="0"/>
            </w:tcBorders>
            <w:vAlign w:val="center"/>
          </w:tcPr>
          <w:p w14:paraId="4A306964">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16台</w:t>
            </w:r>
          </w:p>
        </w:tc>
        <w:tc>
          <w:tcPr>
            <w:tcW w:w="6526" w:type="dxa"/>
            <w:tcBorders>
              <w:top w:val="single" w:color="auto" w:sz="4" w:space="0"/>
              <w:left w:val="single" w:color="auto" w:sz="4" w:space="0"/>
              <w:bottom w:val="single" w:color="auto" w:sz="4" w:space="0"/>
              <w:right w:val="single" w:color="auto" w:sz="4" w:space="0"/>
            </w:tcBorders>
            <w:vAlign w:val="center"/>
          </w:tcPr>
          <w:p w14:paraId="248B457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1、存储编码：H.264/H.265 存储方式。</w:t>
            </w:r>
          </w:p>
          <w:p w14:paraId="40DC853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2、硬盘焦距：2.8mm。</w:t>
            </w:r>
          </w:p>
          <w:p w14:paraId="7649794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45F2D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0A6D4150">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13</w:t>
            </w:r>
          </w:p>
        </w:tc>
        <w:tc>
          <w:tcPr>
            <w:tcW w:w="1199" w:type="dxa"/>
            <w:tcBorders>
              <w:top w:val="single" w:color="auto" w:sz="4" w:space="0"/>
              <w:left w:val="single" w:color="auto" w:sz="4" w:space="0"/>
              <w:bottom w:val="single" w:color="auto" w:sz="4" w:space="0"/>
              <w:right w:val="single" w:color="auto" w:sz="4" w:space="0"/>
            </w:tcBorders>
            <w:vAlign w:val="center"/>
          </w:tcPr>
          <w:p w14:paraId="4A2ED2B1">
            <w:pPr>
              <w:spacing w:before="120"/>
              <w:ind w:left="-70"/>
              <w:jc w:val="center"/>
              <w:rPr>
                <w:rFonts w:ascii="宋体" w:hAnsi="宋体" w:cs="宋体"/>
                <w:color w:val="auto"/>
                <w:szCs w:val="21"/>
              </w:rPr>
            </w:pPr>
            <w:r>
              <w:rPr>
                <w:rFonts w:hint="eastAsia" w:ascii="宋体" w:hAnsi="宋体" w:cs="宋体"/>
                <w:color w:val="auto"/>
                <w:kern w:val="0"/>
                <w:szCs w:val="21"/>
              </w:rPr>
              <w:t>NVR录像机</w:t>
            </w:r>
          </w:p>
        </w:tc>
        <w:tc>
          <w:tcPr>
            <w:tcW w:w="1307" w:type="dxa"/>
            <w:tcBorders>
              <w:top w:val="single" w:color="auto" w:sz="4" w:space="0"/>
              <w:left w:val="single" w:color="auto" w:sz="4" w:space="0"/>
              <w:bottom w:val="single" w:color="auto" w:sz="4" w:space="0"/>
              <w:right w:val="single" w:color="auto" w:sz="4" w:space="0"/>
            </w:tcBorders>
            <w:vAlign w:val="center"/>
          </w:tcPr>
          <w:p w14:paraId="4AC50462">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6526" w:type="dxa"/>
            <w:tcBorders>
              <w:top w:val="single" w:color="auto" w:sz="4" w:space="0"/>
              <w:left w:val="single" w:color="auto" w:sz="4" w:space="0"/>
              <w:bottom w:val="single" w:color="auto" w:sz="4" w:space="0"/>
              <w:right w:val="single" w:color="auto" w:sz="4" w:space="0"/>
            </w:tcBorders>
            <w:vAlign w:val="center"/>
          </w:tcPr>
          <w:p w14:paraId="5969BDAE">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1、规格：32路16盘位。</w:t>
            </w:r>
          </w:p>
          <w:p w14:paraId="7FA56CB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cs="宋体"/>
                <w:color w:val="auto"/>
                <w:kern w:val="0"/>
                <w:szCs w:val="21"/>
                <w:lang w:val="en-US" w:eastAsia="zh-CN"/>
              </w:rPr>
              <w:t>┅┅</w:t>
            </w:r>
          </w:p>
        </w:tc>
      </w:tr>
      <w:tr w14:paraId="67535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223726C5">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14</w:t>
            </w:r>
          </w:p>
        </w:tc>
        <w:tc>
          <w:tcPr>
            <w:tcW w:w="1199" w:type="dxa"/>
            <w:tcBorders>
              <w:top w:val="single" w:color="auto" w:sz="4" w:space="0"/>
              <w:left w:val="single" w:color="auto" w:sz="4" w:space="0"/>
              <w:bottom w:val="single" w:color="auto" w:sz="4" w:space="0"/>
              <w:right w:val="single" w:color="auto" w:sz="4" w:space="0"/>
            </w:tcBorders>
            <w:vAlign w:val="center"/>
          </w:tcPr>
          <w:p w14:paraId="1CB46CC8">
            <w:pPr>
              <w:spacing w:before="120"/>
              <w:ind w:left="-70"/>
              <w:jc w:val="center"/>
              <w:rPr>
                <w:rFonts w:hint="eastAsia" w:ascii="宋体" w:hAnsi="宋体" w:cs="宋体"/>
                <w:color w:val="auto"/>
                <w:kern w:val="0"/>
                <w:szCs w:val="21"/>
              </w:rPr>
            </w:pPr>
            <w:r>
              <w:rPr>
                <w:rFonts w:hint="eastAsia" w:ascii="宋体" w:hAnsi="宋体" w:cs="宋体"/>
                <w:color w:val="auto"/>
                <w:kern w:val="0"/>
                <w:szCs w:val="21"/>
              </w:rPr>
              <w:t>企业级</w:t>
            </w:r>
          </w:p>
          <w:p w14:paraId="2A646C55">
            <w:pPr>
              <w:spacing w:before="120"/>
              <w:ind w:left="-70"/>
              <w:jc w:val="center"/>
              <w:rPr>
                <w:rFonts w:ascii="宋体" w:hAnsi="宋体" w:cs="宋体"/>
                <w:color w:val="auto"/>
                <w:szCs w:val="21"/>
              </w:rPr>
            </w:pPr>
            <w:r>
              <w:rPr>
                <w:rFonts w:hint="eastAsia" w:ascii="宋体" w:hAnsi="宋体" w:cs="宋体"/>
                <w:color w:val="auto"/>
                <w:kern w:val="0"/>
                <w:szCs w:val="21"/>
              </w:rPr>
              <w:t>监控硬盘</w:t>
            </w:r>
          </w:p>
        </w:tc>
        <w:tc>
          <w:tcPr>
            <w:tcW w:w="1307" w:type="dxa"/>
            <w:tcBorders>
              <w:top w:val="single" w:color="auto" w:sz="4" w:space="0"/>
              <w:left w:val="single" w:color="auto" w:sz="4" w:space="0"/>
              <w:bottom w:val="single" w:color="auto" w:sz="4" w:space="0"/>
              <w:right w:val="single" w:color="auto" w:sz="4" w:space="0"/>
            </w:tcBorders>
            <w:vAlign w:val="center"/>
          </w:tcPr>
          <w:p w14:paraId="1A4D6F14">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16块</w:t>
            </w:r>
          </w:p>
        </w:tc>
        <w:tc>
          <w:tcPr>
            <w:tcW w:w="6526" w:type="dxa"/>
            <w:tcBorders>
              <w:top w:val="single" w:color="auto" w:sz="4" w:space="0"/>
              <w:left w:val="single" w:color="auto" w:sz="4" w:space="0"/>
              <w:bottom w:val="single" w:color="auto" w:sz="4" w:space="0"/>
              <w:right w:val="single" w:color="auto" w:sz="4" w:space="0"/>
            </w:tcBorders>
            <w:vAlign w:val="center"/>
          </w:tcPr>
          <w:p w14:paraId="6CDD873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1、容量：10TB。</w:t>
            </w:r>
          </w:p>
          <w:p w14:paraId="3FCDD26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2、接口：SATA。</w:t>
            </w:r>
          </w:p>
          <w:p w14:paraId="02752DF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4C352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57CA8EFE">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15</w:t>
            </w:r>
          </w:p>
        </w:tc>
        <w:tc>
          <w:tcPr>
            <w:tcW w:w="1199" w:type="dxa"/>
            <w:tcBorders>
              <w:top w:val="single" w:color="auto" w:sz="4" w:space="0"/>
              <w:left w:val="single" w:color="auto" w:sz="4" w:space="0"/>
              <w:bottom w:val="single" w:color="auto" w:sz="4" w:space="0"/>
              <w:right w:val="single" w:color="auto" w:sz="4" w:space="0"/>
            </w:tcBorders>
            <w:vAlign w:val="center"/>
          </w:tcPr>
          <w:p w14:paraId="7B1DFDDE">
            <w:pPr>
              <w:spacing w:before="120"/>
              <w:ind w:left="-70"/>
              <w:jc w:val="center"/>
              <w:rPr>
                <w:rFonts w:hint="eastAsia" w:ascii="宋体" w:hAnsi="宋体" w:eastAsia="宋体" w:cs="宋体"/>
                <w:color w:val="auto"/>
                <w:szCs w:val="21"/>
                <w:lang w:eastAsia="zh-CN"/>
              </w:rPr>
            </w:pPr>
            <w:r>
              <w:rPr>
                <w:rFonts w:hint="eastAsia" w:ascii="宋体" w:hAnsi="宋体" w:cs="宋体"/>
                <w:color w:val="auto"/>
                <w:kern w:val="0"/>
                <w:szCs w:val="21"/>
              </w:rPr>
              <w:t>屏蔽</w:t>
            </w:r>
            <w:r>
              <w:rPr>
                <w:rFonts w:hint="eastAsia" w:ascii="宋体" w:hAnsi="宋体" w:cs="宋体"/>
                <w:color w:val="auto"/>
                <w:kern w:val="0"/>
                <w:szCs w:val="21"/>
                <w:lang w:eastAsia="zh-CN"/>
              </w:rPr>
              <w:t>墙</w:t>
            </w:r>
          </w:p>
        </w:tc>
        <w:tc>
          <w:tcPr>
            <w:tcW w:w="1307" w:type="dxa"/>
            <w:tcBorders>
              <w:top w:val="single" w:color="auto" w:sz="4" w:space="0"/>
              <w:left w:val="single" w:color="auto" w:sz="4" w:space="0"/>
              <w:bottom w:val="single" w:color="auto" w:sz="4" w:space="0"/>
              <w:right w:val="single" w:color="auto" w:sz="4" w:space="0"/>
            </w:tcBorders>
            <w:vAlign w:val="center"/>
          </w:tcPr>
          <w:p w14:paraId="74141DA2">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250㎡</w:t>
            </w:r>
          </w:p>
        </w:tc>
        <w:tc>
          <w:tcPr>
            <w:tcW w:w="6526" w:type="dxa"/>
            <w:tcBorders>
              <w:top w:val="single" w:color="auto" w:sz="4" w:space="0"/>
              <w:left w:val="single" w:color="auto" w:sz="4" w:space="0"/>
              <w:bottom w:val="single" w:color="auto" w:sz="4" w:space="0"/>
              <w:right w:val="single" w:color="auto" w:sz="4" w:space="0"/>
            </w:tcBorders>
            <w:vAlign w:val="center"/>
          </w:tcPr>
          <w:p w14:paraId="7223D4E8">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cs="宋体"/>
                <w:color w:val="auto"/>
                <w:kern w:val="0"/>
                <w:szCs w:val="21"/>
                <w:lang w:val="en-US" w:eastAsia="zh-CN"/>
              </w:rPr>
              <w:t>1、封闭候考区四周墙面，总面积250㎡，设置一级候考区（待考区）和二级候考区（准备区）。</w:t>
            </w:r>
            <w:r>
              <w:rPr>
                <w:rFonts w:hint="eastAsia" w:ascii="宋体" w:hAnsi="宋体" w:eastAsia="宋体" w:cs="宋体"/>
                <w:color w:val="auto"/>
                <w:szCs w:val="21"/>
              </w:rPr>
              <w:t>……</w:t>
            </w:r>
          </w:p>
        </w:tc>
      </w:tr>
      <w:tr w14:paraId="002F9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354D44A">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16</w:t>
            </w:r>
          </w:p>
        </w:tc>
        <w:tc>
          <w:tcPr>
            <w:tcW w:w="1199" w:type="dxa"/>
            <w:tcBorders>
              <w:top w:val="single" w:color="auto" w:sz="4" w:space="0"/>
              <w:left w:val="single" w:color="auto" w:sz="4" w:space="0"/>
              <w:bottom w:val="single" w:color="auto" w:sz="4" w:space="0"/>
              <w:right w:val="single" w:color="auto" w:sz="4" w:space="0"/>
            </w:tcBorders>
            <w:vAlign w:val="center"/>
          </w:tcPr>
          <w:p w14:paraId="03DBF24F">
            <w:pPr>
              <w:spacing w:before="120"/>
              <w:ind w:left="-70"/>
              <w:jc w:val="center"/>
              <w:rPr>
                <w:rFonts w:hint="eastAsia" w:ascii="宋体" w:hAnsi="宋体" w:cs="宋体"/>
                <w:color w:val="auto"/>
                <w:kern w:val="0"/>
                <w:szCs w:val="21"/>
              </w:rPr>
            </w:pPr>
            <w:r>
              <w:rPr>
                <w:rFonts w:hint="eastAsia" w:ascii="宋体" w:hAnsi="宋体" w:cs="宋体"/>
                <w:color w:val="auto"/>
                <w:kern w:val="0"/>
                <w:szCs w:val="21"/>
              </w:rPr>
              <w:t>考场静</w:t>
            </w:r>
          </w:p>
          <w:p w14:paraId="39CC9600">
            <w:pPr>
              <w:spacing w:before="120"/>
              <w:ind w:left="-70"/>
              <w:jc w:val="center"/>
              <w:rPr>
                <w:rFonts w:ascii="宋体" w:hAnsi="宋体" w:cs="宋体"/>
                <w:color w:val="auto"/>
                <w:szCs w:val="21"/>
              </w:rPr>
            </w:pPr>
            <w:r>
              <w:rPr>
                <w:rFonts w:hint="eastAsia" w:ascii="宋体" w:hAnsi="宋体" w:cs="宋体"/>
                <w:color w:val="auto"/>
                <w:kern w:val="0"/>
                <w:szCs w:val="21"/>
              </w:rPr>
              <w:t>电地板</w:t>
            </w:r>
          </w:p>
        </w:tc>
        <w:tc>
          <w:tcPr>
            <w:tcW w:w="1307" w:type="dxa"/>
            <w:tcBorders>
              <w:top w:val="single" w:color="auto" w:sz="4" w:space="0"/>
              <w:left w:val="single" w:color="auto" w:sz="4" w:space="0"/>
              <w:bottom w:val="single" w:color="auto" w:sz="4" w:space="0"/>
              <w:right w:val="single" w:color="auto" w:sz="4" w:space="0"/>
            </w:tcBorders>
            <w:vAlign w:val="center"/>
          </w:tcPr>
          <w:p w14:paraId="687B5850">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280㎡</w:t>
            </w:r>
          </w:p>
        </w:tc>
        <w:tc>
          <w:tcPr>
            <w:tcW w:w="6526" w:type="dxa"/>
            <w:tcBorders>
              <w:top w:val="single" w:color="auto" w:sz="4" w:space="0"/>
              <w:left w:val="single" w:color="auto" w:sz="4" w:space="0"/>
              <w:bottom w:val="single" w:color="auto" w:sz="4" w:space="0"/>
              <w:right w:val="single" w:color="auto" w:sz="4" w:space="0"/>
            </w:tcBorders>
            <w:vAlign w:val="center"/>
          </w:tcPr>
          <w:p w14:paraId="306AE59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国标全钢防静电地板（280㎡含人工施工）</w:t>
            </w:r>
          </w:p>
          <w:p w14:paraId="3C815B49">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1、规格：600mm*600mm。</w:t>
            </w:r>
          </w:p>
          <w:p w14:paraId="7ECD489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146B4E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5B992CA9">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17</w:t>
            </w:r>
          </w:p>
        </w:tc>
        <w:tc>
          <w:tcPr>
            <w:tcW w:w="1199" w:type="dxa"/>
            <w:tcBorders>
              <w:top w:val="single" w:color="auto" w:sz="4" w:space="0"/>
              <w:left w:val="single" w:color="auto" w:sz="4" w:space="0"/>
              <w:bottom w:val="single" w:color="auto" w:sz="4" w:space="0"/>
              <w:right w:val="single" w:color="auto" w:sz="4" w:space="0"/>
            </w:tcBorders>
            <w:vAlign w:val="center"/>
          </w:tcPr>
          <w:p w14:paraId="4A37C2E8">
            <w:pPr>
              <w:spacing w:before="120"/>
              <w:ind w:left="-70"/>
              <w:jc w:val="center"/>
              <w:rPr>
                <w:rFonts w:ascii="宋体" w:hAnsi="宋体" w:cs="宋体"/>
                <w:color w:val="auto"/>
                <w:szCs w:val="21"/>
              </w:rPr>
            </w:pPr>
            <w:r>
              <w:rPr>
                <w:rFonts w:hint="eastAsia" w:ascii="宋体" w:hAnsi="宋体" w:cs="宋体"/>
                <w:color w:val="auto"/>
                <w:kern w:val="0"/>
                <w:szCs w:val="21"/>
              </w:rPr>
              <w:t>UPS不间断电源主机</w:t>
            </w:r>
          </w:p>
        </w:tc>
        <w:tc>
          <w:tcPr>
            <w:tcW w:w="1307" w:type="dxa"/>
            <w:tcBorders>
              <w:top w:val="single" w:color="auto" w:sz="4" w:space="0"/>
              <w:left w:val="single" w:color="auto" w:sz="4" w:space="0"/>
              <w:bottom w:val="single" w:color="auto" w:sz="4" w:space="0"/>
              <w:right w:val="single" w:color="auto" w:sz="4" w:space="0"/>
            </w:tcBorders>
            <w:vAlign w:val="center"/>
          </w:tcPr>
          <w:p w14:paraId="7FD8BC9C">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6526" w:type="dxa"/>
            <w:tcBorders>
              <w:top w:val="single" w:color="auto" w:sz="4" w:space="0"/>
              <w:left w:val="single" w:color="auto" w:sz="4" w:space="0"/>
              <w:bottom w:val="single" w:color="auto" w:sz="4" w:space="0"/>
              <w:right w:val="single" w:color="auto" w:sz="4" w:space="0"/>
            </w:tcBorders>
            <w:vAlign w:val="center"/>
          </w:tcPr>
          <w:p w14:paraId="5C33D34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根据总队考场改造要求增加UPS不间断电源。（需满足考场2小时供电）</w:t>
            </w:r>
          </w:p>
          <w:p w14:paraId="54FC57D1">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1、采用双变换在线式设计、输出零转换时间、单进单出电压。功率≥ 10KVA/5400W。</w:t>
            </w:r>
          </w:p>
          <w:p w14:paraId="13D6B842">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eastAsia="宋体" w:cs="宋体"/>
                <w:color w:val="auto"/>
                <w:szCs w:val="21"/>
              </w:rPr>
              <w:t>……</w:t>
            </w:r>
          </w:p>
        </w:tc>
      </w:tr>
      <w:tr w14:paraId="3880F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42CC6AD9">
            <w:pPr>
              <w:snapToGrid w:val="0"/>
              <w:spacing w:before="120" w:line="360" w:lineRule="auto"/>
              <w:ind w:left="-70"/>
              <w:jc w:val="center"/>
              <w:rPr>
                <w:rFonts w:ascii="宋体" w:hAnsi="宋体" w:cs="宋体"/>
                <w:color w:val="auto"/>
                <w:szCs w:val="21"/>
              </w:rPr>
            </w:pPr>
            <w:r>
              <w:rPr>
                <w:rFonts w:hint="eastAsia" w:ascii="宋体" w:hAnsi="宋体" w:cs="宋体"/>
                <w:color w:val="auto"/>
                <w:szCs w:val="21"/>
              </w:rPr>
              <w:t>18</w:t>
            </w:r>
          </w:p>
        </w:tc>
        <w:tc>
          <w:tcPr>
            <w:tcW w:w="1199" w:type="dxa"/>
            <w:tcBorders>
              <w:top w:val="single" w:color="auto" w:sz="4" w:space="0"/>
              <w:left w:val="single" w:color="auto" w:sz="4" w:space="0"/>
              <w:bottom w:val="single" w:color="auto" w:sz="4" w:space="0"/>
              <w:right w:val="single" w:color="auto" w:sz="4" w:space="0"/>
            </w:tcBorders>
            <w:vAlign w:val="center"/>
          </w:tcPr>
          <w:p w14:paraId="03C5441E">
            <w:pPr>
              <w:spacing w:before="120"/>
              <w:ind w:left="-70"/>
              <w:jc w:val="center"/>
              <w:rPr>
                <w:rFonts w:hint="eastAsia" w:ascii="宋体" w:hAnsi="宋体" w:eastAsia="宋体" w:cs="宋体"/>
                <w:color w:val="auto"/>
                <w:kern w:val="0"/>
                <w:szCs w:val="21"/>
              </w:rPr>
            </w:pPr>
            <w:r>
              <w:rPr>
                <w:rFonts w:hint="eastAsia" w:ascii="宋体" w:hAnsi="宋体" w:eastAsia="宋体" w:cs="宋体"/>
                <w:color w:val="auto"/>
                <w:kern w:val="0"/>
                <w:szCs w:val="21"/>
              </w:rPr>
              <w:t>UPS不间断电源蓄电池</w:t>
            </w:r>
          </w:p>
        </w:tc>
        <w:tc>
          <w:tcPr>
            <w:tcW w:w="1307" w:type="dxa"/>
            <w:tcBorders>
              <w:top w:val="single" w:color="auto" w:sz="4" w:space="0"/>
              <w:left w:val="single" w:color="auto" w:sz="4" w:space="0"/>
              <w:bottom w:val="single" w:color="auto" w:sz="4" w:space="0"/>
              <w:right w:val="single" w:color="auto" w:sz="4" w:space="0"/>
            </w:tcBorders>
            <w:vAlign w:val="center"/>
          </w:tcPr>
          <w:p w14:paraId="432E85F5">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24块</w:t>
            </w:r>
          </w:p>
        </w:tc>
        <w:tc>
          <w:tcPr>
            <w:tcW w:w="6526" w:type="dxa"/>
            <w:tcBorders>
              <w:top w:val="single" w:color="auto" w:sz="4" w:space="0"/>
              <w:left w:val="single" w:color="auto" w:sz="4" w:space="0"/>
              <w:bottom w:val="single" w:color="auto" w:sz="4" w:space="0"/>
              <w:right w:val="single" w:color="auto" w:sz="4" w:space="0"/>
            </w:tcBorders>
            <w:vAlign w:val="center"/>
          </w:tcPr>
          <w:p w14:paraId="499FC61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1、蓄电池浮充设计寿命为5年。</w:t>
            </w:r>
          </w:p>
          <w:p w14:paraId="4A9FB755">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2、蓄电池类型为：免维护铅酸蓄电池。</w:t>
            </w:r>
          </w:p>
          <w:p w14:paraId="5E6186A7">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tr w14:paraId="7270E5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99"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14:paraId="16684180">
            <w:pPr>
              <w:snapToGrid w:val="0"/>
              <w:spacing w:before="120" w:line="360" w:lineRule="auto"/>
              <w:ind w:left="-70"/>
              <w:jc w:val="center"/>
              <w:rPr>
                <w:rFonts w:ascii="宋体" w:hAnsi="宋体" w:cs="宋体"/>
                <w:color w:val="auto"/>
                <w:szCs w:val="21"/>
              </w:rPr>
            </w:pPr>
            <w:bookmarkStart w:id="10" w:name="_Hlk213273139"/>
            <w:r>
              <w:rPr>
                <w:rFonts w:hint="eastAsia" w:ascii="宋体" w:hAnsi="宋体" w:cs="宋体"/>
                <w:color w:val="auto"/>
                <w:szCs w:val="21"/>
              </w:rPr>
              <w:t>19</w:t>
            </w:r>
          </w:p>
        </w:tc>
        <w:tc>
          <w:tcPr>
            <w:tcW w:w="1199" w:type="dxa"/>
            <w:tcBorders>
              <w:top w:val="single" w:color="auto" w:sz="4" w:space="0"/>
              <w:left w:val="single" w:color="auto" w:sz="4" w:space="0"/>
              <w:bottom w:val="single" w:color="auto" w:sz="4" w:space="0"/>
              <w:right w:val="single" w:color="auto" w:sz="4" w:space="0"/>
            </w:tcBorders>
            <w:vAlign w:val="center"/>
          </w:tcPr>
          <w:p w14:paraId="319BFE2A">
            <w:pPr>
              <w:spacing w:before="120"/>
              <w:ind w:left="-70"/>
              <w:jc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线材</w:t>
            </w:r>
          </w:p>
        </w:tc>
        <w:tc>
          <w:tcPr>
            <w:tcW w:w="1307" w:type="dxa"/>
            <w:tcBorders>
              <w:top w:val="single" w:color="auto" w:sz="4" w:space="0"/>
              <w:left w:val="single" w:color="auto" w:sz="4" w:space="0"/>
              <w:bottom w:val="single" w:color="auto" w:sz="4" w:space="0"/>
              <w:right w:val="single" w:color="auto" w:sz="4" w:space="0"/>
            </w:tcBorders>
            <w:vAlign w:val="center"/>
          </w:tcPr>
          <w:p w14:paraId="4ACB70BE">
            <w:pPr>
              <w:widowControl/>
              <w:spacing w:before="120"/>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rPr>
              <w:t>1</w:t>
            </w:r>
            <w:r>
              <w:rPr>
                <w:rFonts w:hint="eastAsia" w:ascii="宋体" w:hAnsi="宋体" w:cs="宋体"/>
                <w:color w:val="auto"/>
                <w:kern w:val="0"/>
                <w:szCs w:val="21"/>
                <w:lang w:eastAsia="zh-CN"/>
              </w:rPr>
              <w:t>批</w:t>
            </w:r>
          </w:p>
        </w:tc>
        <w:tc>
          <w:tcPr>
            <w:tcW w:w="6526" w:type="dxa"/>
            <w:tcBorders>
              <w:top w:val="single" w:color="auto" w:sz="4" w:space="0"/>
              <w:left w:val="single" w:color="auto" w:sz="4" w:space="0"/>
              <w:bottom w:val="single" w:color="auto" w:sz="4" w:space="0"/>
              <w:right w:val="single" w:color="auto" w:sz="4" w:space="0"/>
            </w:tcBorders>
            <w:vAlign w:val="center"/>
          </w:tcPr>
          <w:p w14:paraId="0DB9ADE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1、90台无盘工作站一体机、考官主控电脑、16台摄像头连接至汇聚交换机的六类网线。</w:t>
            </w:r>
          </w:p>
          <w:p w14:paraId="228CB16D">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2、4台叫号队列显示屏连接至主控电脑的HDMI连接线。</w:t>
            </w:r>
          </w:p>
          <w:p w14:paraId="235E1A0A">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cs="宋体"/>
                <w:color w:val="auto"/>
                <w:kern w:val="0"/>
                <w:szCs w:val="21"/>
                <w:lang w:val="zh-CN" w:eastAsia="zh-CN"/>
              </w:rPr>
            </w:pPr>
            <w:r>
              <w:rPr>
                <w:rFonts w:hint="eastAsia" w:ascii="宋体" w:hAnsi="宋体" w:eastAsia="宋体" w:cs="宋体"/>
                <w:color w:val="auto"/>
                <w:szCs w:val="21"/>
              </w:rPr>
              <w:t>……</w:t>
            </w:r>
          </w:p>
        </w:tc>
      </w:tr>
      <w:bookmarkEnd w:id="9"/>
      <w:bookmarkEnd w:id="10"/>
    </w:tbl>
    <w:p w14:paraId="0F826796">
      <w:pPr>
        <w:spacing w:before="120" w:line="360" w:lineRule="exact"/>
        <w:ind w:left="-70" w:firstLine="420" w:firstLineChars="200"/>
        <w:rPr>
          <w:rFonts w:ascii="宋体" w:hAnsi="宋体"/>
          <w:color w:val="auto"/>
          <w:szCs w:val="21"/>
        </w:rPr>
      </w:pPr>
      <w:r>
        <w:rPr>
          <w:rFonts w:hint="eastAsia" w:ascii="宋体" w:hAnsi="宋体"/>
          <w:color w:val="auto"/>
          <w:szCs w:val="21"/>
        </w:rPr>
        <w:t>合同</w:t>
      </w:r>
      <w:r>
        <w:rPr>
          <w:rFonts w:hint="eastAsia" w:ascii="宋体" w:hAnsi="宋体" w:eastAsia="宋体" w:cs="Times New Roman"/>
          <w:color w:val="auto"/>
          <w:szCs w:val="21"/>
        </w:rPr>
        <w:t>履约期限：</w:t>
      </w:r>
      <w:r>
        <w:rPr>
          <w:rFonts w:hint="eastAsia" w:ascii="宋体" w:hAnsi="宋体"/>
          <w:color w:val="auto"/>
          <w:szCs w:val="21"/>
        </w:rPr>
        <w:t>自签订合同之日起45天（日历天）内交货安装调试完毕并验收合格。</w:t>
      </w:r>
    </w:p>
    <w:p w14:paraId="242FA387">
      <w:pPr>
        <w:spacing w:before="120" w:line="360" w:lineRule="exact"/>
        <w:ind w:left="-70" w:firstLine="420" w:firstLineChars="200"/>
        <w:rPr>
          <w:rFonts w:ascii="宋体" w:hAnsi="宋体"/>
          <w:color w:val="auto"/>
          <w:szCs w:val="21"/>
        </w:rPr>
      </w:pPr>
      <w:r>
        <w:rPr>
          <w:rFonts w:hint="eastAsia" w:ascii="宋体" w:hAnsi="宋体"/>
          <w:color w:val="auto"/>
          <w:szCs w:val="21"/>
        </w:rPr>
        <w:t>本项目不接受联合体。</w:t>
      </w:r>
    </w:p>
    <w:p w14:paraId="31514BF7">
      <w:pPr>
        <w:spacing w:before="120" w:line="360" w:lineRule="exact"/>
        <w:ind w:left="-70" w:firstLine="361" w:firstLineChars="150"/>
        <w:rPr>
          <w:rFonts w:ascii="黑体" w:hAnsi="黑体" w:eastAsia="黑体"/>
          <w:b/>
          <w:bCs/>
          <w:color w:val="auto"/>
          <w:sz w:val="24"/>
        </w:rPr>
      </w:pPr>
      <w:r>
        <w:rPr>
          <w:rFonts w:hint="eastAsia" w:ascii="黑体" w:hAnsi="黑体" w:eastAsia="黑体"/>
          <w:b/>
          <w:bCs/>
          <w:color w:val="auto"/>
          <w:sz w:val="24"/>
        </w:rPr>
        <w:t>二、申请人的资格条件：</w:t>
      </w:r>
    </w:p>
    <w:p w14:paraId="6A2B7DD1">
      <w:pPr>
        <w:spacing w:before="120" w:line="360" w:lineRule="exact"/>
        <w:ind w:left="-70" w:firstLine="420" w:firstLineChars="200"/>
        <w:rPr>
          <w:rFonts w:ascii="宋体" w:hAnsi="宋体" w:cs="宋体"/>
          <w:bCs/>
          <w:color w:val="auto"/>
          <w:kern w:val="0"/>
          <w:szCs w:val="21"/>
        </w:rPr>
      </w:pPr>
      <w:bookmarkStart w:id="11" w:name="_Hlk51746371"/>
      <w:r>
        <w:rPr>
          <w:rFonts w:hint="eastAsia" w:ascii="宋体" w:hAnsi="宋体" w:cs="宋体"/>
          <w:bCs/>
          <w:color w:val="auto"/>
          <w:kern w:val="0"/>
          <w:szCs w:val="21"/>
        </w:rPr>
        <w:t xml:space="preserve">1、满足《中华人民共和国政府采购法》第二十二条规定；                                                                    </w:t>
      </w:r>
    </w:p>
    <w:p w14:paraId="3E2189C2">
      <w:pPr>
        <w:spacing w:before="120" w:line="400" w:lineRule="exact"/>
        <w:ind w:left="-70" w:firstLine="420" w:firstLineChars="200"/>
        <w:rPr>
          <w:rFonts w:ascii="宋体" w:hAnsi="宋体"/>
          <w:color w:val="auto"/>
          <w:szCs w:val="21"/>
        </w:rPr>
      </w:pPr>
      <w:r>
        <w:rPr>
          <w:rFonts w:hint="eastAsia" w:ascii="宋体" w:hAnsi="宋体" w:cs="宋体"/>
          <w:bCs/>
          <w:color w:val="auto"/>
          <w:kern w:val="0"/>
          <w:szCs w:val="21"/>
        </w:rPr>
        <w:t>2、落实政府采购政策需满足的资格要求：</w:t>
      </w:r>
      <w:r>
        <w:rPr>
          <w:rFonts w:hint="eastAsia" w:ascii="宋体" w:hAnsi="宋体"/>
          <w:color w:val="auto"/>
          <w:szCs w:val="21"/>
        </w:rPr>
        <w:t>本项目属于部分预留份额专门面向中小企业采购的项目，预留预算总金额</w:t>
      </w:r>
      <w:r>
        <w:rPr>
          <w:rFonts w:hint="eastAsia" w:ascii="宋体" w:hAnsi="宋体"/>
          <w:color w:val="auto"/>
          <w:szCs w:val="21"/>
          <w:lang w:eastAsia="zh-CN"/>
        </w:rPr>
        <w:t>不低于</w:t>
      </w:r>
      <w:r>
        <w:rPr>
          <w:rFonts w:hint="eastAsia" w:ascii="宋体" w:hAnsi="宋体"/>
          <w:color w:val="auto"/>
          <w:szCs w:val="21"/>
          <w:lang w:val="en-US" w:eastAsia="zh-CN"/>
        </w:rPr>
        <w:t>70.14</w:t>
      </w:r>
      <w:r>
        <w:rPr>
          <w:rFonts w:hint="eastAsia" w:ascii="宋体" w:hAnsi="宋体"/>
          <w:color w:val="auto"/>
          <w:szCs w:val="21"/>
        </w:rPr>
        <w:t>%专门面向中小企业采购。预留份额部分货物制造商应为中小微企业或监狱企业或残疾人福利性单位</w:t>
      </w:r>
      <w:r>
        <w:rPr>
          <w:rFonts w:hint="eastAsia" w:ascii="宋体" w:hAnsi="宋体" w:cs="宋体"/>
          <w:bCs/>
          <w:color w:val="auto"/>
          <w:kern w:val="0"/>
          <w:szCs w:val="21"/>
        </w:rPr>
        <w:t>；</w:t>
      </w:r>
    </w:p>
    <w:p w14:paraId="1E8568C4">
      <w:pPr>
        <w:spacing w:before="120" w:line="360" w:lineRule="exact"/>
        <w:ind w:left="-70" w:firstLine="420" w:firstLineChars="200"/>
        <w:rPr>
          <w:rFonts w:ascii="宋体" w:hAnsi="宋体" w:cs="宋体"/>
          <w:bCs/>
          <w:color w:val="auto"/>
          <w:kern w:val="0"/>
          <w:szCs w:val="21"/>
        </w:rPr>
      </w:pPr>
      <w:r>
        <w:rPr>
          <w:rFonts w:hint="eastAsia" w:ascii="宋体" w:hAnsi="宋体" w:cs="宋体"/>
          <w:bCs/>
          <w:color w:val="auto"/>
          <w:kern w:val="0"/>
          <w:szCs w:val="21"/>
        </w:rPr>
        <w:t>3、本项目的特定资格要求：</w:t>
      </w:r>
      <w:bookmarkEnd w:id="11"/>
      <w:r>
        <w:rPr>
          <w:rFonts w:hint="eastAsia" w:ascii="宋体" w:hAnsi="宋体" w:cs="宋体"/>
          <w:bCs/>
          <w:color w:val="auto"/>
          <w:kern w:val="0"/>
          <w:szCs w:val="21"/>
        </w:rPr>
        <w:t xml:space="preserve">无。  </w:t>
      </w:r>
    </w:p>
    <w:p w14:paraId="345F367F">
      <w:pPr>
        <w:spacing w:before="120" w:line="360" w:lineRule="exact"/>
        <w:ind w:left="-70" w:firstLine="361" w:firstLineChars="150"/>
        <w:rPr>
          <w:rFonts w:ascii="黑体" w:hAnsi="黑体" w:eastAsia="黑体"/>
          <w:b/>
          <w:bCs/>
          <w:color w:val="auto"/>
          <w:sz w:val="24"/>
        </w:rPr>
      </w:pPr>
      <w:r>
        <w:rPr>
          <w:rFonts w:hint="eastAsia" w:ascii="黑体" w:hAnsi="黑体" w:eastAsia="黑体"/>
          <w:b/>
          <w:bCs/>
          <w:color w:val="auto"/>
          <w:sz w:val="24"/>
        </w:rPr>
        <w:t>三、获取竞争性谈判文件</w:t>
      </w:r>
    </w:p>
    <w:p w14:paraId="67DC2DD5">
      <w:pPr>
        <w:spacing w:before="120" w:line="360" w:lineRule="exact"/>
        <w:ind w:left="-70" w:firstLine="420" w:firstLineChars="200"/>
        <w:rPr>
          <w:rFonts w:ascii="宋体" w:hAnsi="宋体" w:cs="宋体"/>
          <w:bCs/>
          <w:color w:val="auto"/>
          <w:kern w:val="0"/>
          <w:szCs w:val="21"/>
        </w:rPr>
      </w:pPr>
      <w:r>
        <w:rPr>
          <w:rFonts w:hint="eastAsia" w:ascii="宋体" w:hAnsi="宋体" w:cs="宋体"/>
          <w:bCs/>
          <w:color w:val="auto"/>
          <w:kern w:val="0"/>
          <w:szCs w:val="21"/>
        </w:rPr>
        <w:t>时间：</w:t>
      </w:r>
      <w:r>
        <w:rPr>
          <w:rFonts w:hint="eastAsia" w:ascii="宋体" w:hAnsi="宋体" w:cs="Arial"/>
          <w:color w:val="auto"/>
        </w:rPr>
        <w:t>2025年11月</w:t>
      </w:r>
      <w:r>
        <w:rPr>
          <w:rFonts w:hint="eastAsia" w:ascii="宋体" w:hAnsi="宋体" w:cs="Arial"/>
          <w:color w:val="auto"/>
          <w:lang w:val="en-US" w:eastAsia="zh-CN"/>
        </w:rPr>
        <w:t>10</w:t>
      </w:r>
      <w:r>
        <w:rPr>
          <w:rFonts w:hint="eastAsia" w:ascii="宋体" w:hAnsi="宋体" w:cs="Arial"/>
          <w:color w:val="auto"/>
        </w:rPr>
        <w:t>日</w:t>
      </w:r>
      <w:r>
        <w:rPr>
          <w:rFonts w:hint="eastAsia" w:ascii="宋体" w:hAnsi="宋体" w:cs="Arial"/>
          <w:color w:val="auto"/>
          <w:szCs w:val="21"/>
        </w:rPr>
        <w:t>至</w:t>
      </w:r>
      <w:r>
        <w:rPr>
          <w:rFonts w:hint="eastAsia" w:ascii="宋体" w:hAnsi="宋体" w:cs="Arial"/>
          <w:color w:val="auto"/>
        </w:rPr>
        <w:t>2025年</w:t>
      </w:r>
      <w:r>
        <w:rPr>
          <w:rFonts w:hint="eastAsia" w:ascii="宋体" w:hAnsi="宋体" w:cs="Arial"/>
          <w:color w:val="auto"/>
          <w:lang w:eastAsia="zh-CN"/>
        </w:rPr>
        <w:t>11月13日</w:t>
      </w:r>
      <w:r>
        <w:rPr>
          <w:rFonts w:hint="eastAsia" w:ascii="宋体" w:hAnsi="宋体" w:cs="Arial"/>
          <w:color w:val="auto"/>
          <w:szCs w:val="21"/>
        </w:rPr>
        <w:t>，每天08:00-12:00；1</w:t>
      </w:r>
      <w:r>
        <w:rPr>
          <w:rFonts w:hint="eastAsia" w:ascii="宋体" w:hAnsi="宋体" w:cs="Arial"/>
          <w:color w:val="auto"/>
        </w:rPr>
        <w:t>5</w:t>
      </w:r>
      <w:r>
        <w:rPr>
          <w:rFonts w:hint="eastAsia" w:ascii="宋体" w:hAnsi="宋体" w:cs="Arial"/>
          <w:color w:val="auto"/>
          <w:szCs w:val="21"/>
        </w:rPr>
        <w:t>:</w:t>
      </w:r>
      <w:r>
        <w:rPr>
          <w:rFonts w:hint="eastAsia" w:ascii="宋体" w:hAnsi="宋体" w:cs="Arial"/>
          <w:color w:val="auto"/>
        </w:rPr>
        <w:t>00</w:t>
      </w:r>
      <w:r>
        <w:rPr>
          <w:rFonts w:hint="eastAsia" w:ascii="宋体" w:hAnsi="宋体" w:cs="Arial"/>
          <w:color w:val="auto"/>
          <w:szCs w:val="21"/>
        </w:rPr>
        <w:t>-18:</w:t>
      </w:r>
      <w:r>
        <w:rPr>
          <w:rFonts w:hint="eastAsia" w:ascii="宋体" w:hAnsi="宋体" w:cs="Arial"/>
          <w:color w:val="auto"/>
        </w:rPr>
        <w:t>00</w:t>
      </w:r>
      <w:r>
        <w:rPr>
          <w:rFonts w:hint="eastAsia" w:ascii="宋体" w:hAnsi="宋体" w:cs="Arial"/>
          <w:color w:val="auto"/>
          <w:szCs w:val="21"/>
        </w:rPr>
        <w:t>（北京时间，</w:t>
      </w:r>
      <w:r>
        <w:rPr>
          <w:rFonts w:ascii="宋体" w:hAnsi="宋体" w:cs="Arial"/>
          <w:color w:val="auto"/>
          <w:szCs w:val="21"/>
        </w:rPr>
        <w:t>法定节假日</w:t>
      </w:r>
      <w:r>
        <w:rPr>
          <w:rFonts w:hint="eastAsia" w:ascii="宋体" w:hAnsi="宋体" w:cs="Arial"/>
          <w:color w:val="auto"/>
          <w:szCs w:val="21"/>
        </w:rPr>
        <w:t>除外）。</w:t>
      </w:r>
    </w:p>
    <w:p w14:paraId="1DD8AF18">
      <w:pPr>
        <w:spacing w:before="120" w:line="360" w:lineRule="exact"/>
        <w:ind w:left="-70" w:firstLine="420" w:firstLineChars="200"/>
        <w:rPr>
          <w:rFonts w:ascii="宋体" w:hAnsi="宋体" w:cs="宋体"/>
          <w:bCs/>
          <w:color w:val="auto"/>
          <w:kern w:val="0"/>
          <w:szCs w:val="21"/>
        </w:rPr>
      </w:pPr>
      <w:r>
        <w:rPr>
          <w:rFonts w:hint="eastAsia" w:ascii="宋体" w:hAnsi="宋体" w:cs="宋体"/>
          <w:bCs/>
          <w:color w:val="auto"/>
          <w:kern w:val="0"/>
          <w:szCs w:val="21"/>
        </w:rPr>
        <w:t>地点：</w:t>
      </w:r>
      <w:r>
        <w:rPr>
          <w:rFonts w:hint="eastAsia" w:ascii="宋体" w:hAnsi="宋体"/>
          <w:color w:val="auto"/>
          <w:szCs w:val="21"/>
        </w:rPr>
        <w:t>广西政府采购云平台（https://www.gcy.zfcg.gxzf.gov.cn/）</w:t>
      </w:r>
      <w:r>
        <w:rPr>
          <w:rFonts w:hint="eastAsia" w:ascii="宋体" w:hAnsi="宋体" w:cs="宋体"/>
          <w:bCs/>
          <w:color w:val="auto"/>
          <w:kern w:val="0"/>
          <w:szCs w:val="21"/>
        </w:rPr>
        <w:t>。</w:t>
      </w:r>
    </w:p>
    <w:p w14:paraId="4F0C53FC">
      <w:pPr>
        <w:spacing w:before="120" w:line="360" w:lineRule="exact"/>
        <w:ind w:left="-70" w:firstLine="420" w:firstLineChars="200"/>
        <w:rPr>
          <w:rFonts w:ascii="宋体" w:hAnsi="宋体" w:cs="宋体"/>
          <w:bCs/>
          <w:color w:val="auto"/>
          <w:kern w:val="0"/>
          <w:szCs w:val="21"/>
        </w:rPr>
      </w:pPr>
      <w:r>
        <w:rPr>
          <w:rFonts w:hint="eastAsia" w:ascii="宋体" w:hAnsi="宋体" w:cs="宋体"/>
          <w:bCs/>
          <w:color w:val="auto"/>
          <w:kern w:val="0"/>
          <w:szCs w:val="21"/>
        </w:rPr>
        <w:t>方式：网上下载。本项目不发放纸质文件，供应商应自行在</w:t>
      </w:r>
      <w:r>
        <w:rPr>
          <w:rFonts w:hint="eastAsia" w:ascii="宋体" w:hAnsi="宋体"/>
          <w:color w:val="auto"/>
          <w:szCs w:val="21"/>
        </w:rPr>
        <w:t>广西政府采购云平台（https://www.gcy.zfcg.gxzf.gov.cn/）</w:t>
      </w:r>
      <w:r>
        <w:rPr>
          <w:rFonts w:hint="eastAsia" w:ascii="宋体" w:hAnsi="宋体" w:cs="宋体"/>
          <w:bCs/>
          <w:color w:val="auto"/>
          <w:kern w:val="0"/>
          <w:szCs w:val="21"/>
        </w:rPr>
        <w:t>下载竞争性谈判文件（操作路径：登录</w:t>
      </w:r>
      <w:r>
        <w:rPr>
          <w:rFonts w:hint="eastAsia" w:ascii="宋体" w:hAnsi="宋体"/>
          <w:color w:val="auto"/>
          <w:szCs w:val="21"/>
        </w:rPr>
        <w:t>广西政府采购云平台</w:t>
      </w:r>
      <w:r>
        <w:rPr>
          <w:rFonts w:hint="eastAsia" w:ascii="宋体" w:hAnsi="宋体" w:cs="宋体"/>
          <w:bCs/>
          <w:color w:val="auto"/>
          <w:kern w:val="0"/>
          <w:szCs w:val="21"/>
        </w:rPr>
        <w:t>-项目采购-获取采购文件-找到本项目-点击“申请获取采购文件”），电子响应文件制作需要基于</w:t>
      </w:r>
      <w:r>
        <w:rPr>
          <w:rFonts w:hint="eastAsia" w:ascii="宋体" w:hAnsi="宋体"/>
          <w:color w:val="auto"/>
          <w:szCs w:val="21"/>
        </w:rPr>
        <w:t>广西政府采购云平台</w:t>
      </w:r>
      <w:r>
        <w:rPr>
          <w:rFonts w:hint="eastAsia" w:ascii="宋体" w:hAnsi="宋体" w:cs="宋体"/>
          <w:bCs/>
          <w:color w:val="auto"/>
          <w:kern w:val="0"/>
          <w:szCs w:val="21"/>
        </w:rPr>
        <w:t>获取的竞争性谈判文件编制。</w:t>
      </w:r>
    </w:p>
    <w:p w14:paraId="183EB4E3">
      <w:pPr>
        <w:spacing w:before="120" w:line="360" w:lineRule="exact"/>
        <w:ind w:left="-70" w:firstLine="420" w:firstLineChars="200"/>
        <w:rPr>
          <w:rFonts w:ascii="宋体" w:hAnsi="宋体" w:cs="宋体"/>
          <w:color w:val="auto"/>
          <w:szCs w:val="21"/>
        </w:rPr>
      </w:pPr>
      <w:r>
        <w:rPr>
          <w:rFonts w:hint="eastAsia" w:ascii="宋体" w:hAnsi="宋体" w:cs="宋体"/>
          <w:bCs/>
          <w:color w:val="auto"/>
          <w:kern w:val="0"/>
          <w:szCs w:val="21"/>
        </w:rPr>
        <w:t>售价：0.00元。</w:t>
      </w:r>
    </w:p>
    <w:p w14:paraId="4DE509EB">
      <w:pPr>
        <w:spacing w:before="120" w:line="360" w:lineRule="exact"/>
        <w:ind w:left="-70" w:firstLine="361" w:firstLineChars="150"/>
        <w:rPr>
          <w:rFonts w:ascii="黑体" w:hAnsi="黑体" w:eastAsia="黑体"/>
          <w:b/>
          <w:bCs/>
          <w:color w:val="auto"/>
          <w:sz w:val="24"/>
        </w:rPr>
      </w:pPr>
      <w:r>
        <w:rPr>
          <w:rFonts w:hint="eastAsia" w:ascii="黑体" w:hAnsi="黑体" w:eastAsia="黑体"/>
          <w:b/>
          <w:bCs/>
          <w:color w:val="auto"/>
          <w:sz w:val="24"/>
        </w:rPr>
        <w:t>四、响应文件提交</w:t>
      </w:r>
    </w:p>
    <w:p w14:paraId="1CBD8D8D">
      <w:pPr>
        <w:spacing w:before="120" w:line="360" w:lineRule="exact"/>
        <w:ind w:left="-70" w:firstLine="588"/>
        <w:rPr>
          <w:rFonts w:ascii="宋体" w:hAnsi="宋体"/>
          <w:bCs/>
          <w:color w:val="auto"/>
          <w:szCs w:val="21"/>
          <w:u w:val="single"/>
        </w:rPr>
      </w:pPr>
      <w:r>
        <w:rPr>
          <w:rFonts w:hint="eastAsia" w:ascii="宋体" w:hAnsi="宋体" w:cs="宋体"/>
          <w:color w:val="auto"/>
          <w:szCs w:val="21"/>
        </w:rPr>
        <w:t>1、首次响应文件提交截止时间</w:t>
      </w:r>
      <w:r>
        <w:rPr>
          <w:rFonts w:hint="eastAsia" w:ascii="宋体" w:hAnsi="宋体"/>
          <w:color w:val="auto"/>
          <w:szCs w:val="21"/>
        </w:rPr>
        <w:t>：2025年</w:t>
      </w:r>
      <w:r>
        <w:rPr>
          <w:rFonts w:hint="eastAsia" w:ascii="宋体" w:hAnsi="宋体"/>
          <w:color w:val="auto"/>
          <w:szCs w:val="21"/>
          <w:lang w:eastAsia="zh-CN"/>
        </w:rPr>
        <w:t>11月14日</w:t>
      </w:r>
      <w:r>
        <w:rPr>
          <w:rFonts w:hint="eastAsia" w:ascii="宋体" w:hAnsi="宋体"/>
          <w:color w:val="auto"/>
          <w:szCs w:val="21"/>
        </w:rPr>
        <w:t>9时00分（北京时间）</w:t>
      </w:r>
    </w:p>
    <w:p w14:paraId="09C7C42D">
      <w:pPr>
        <w:spacing w:before="120" w:line="360" w:lineRule="exact"/>
        <w:ind w:left="-70" w:firstLine="588"/>
        <w:rPr>
          <w:rFonts w:ascii="宋体" w:hAnsi="宋体"/>
          <w:color w:val="auto"/>
          <w:szCs w:val="21"/>
        </w:rPr>
      </w:pPr>
      <w:r>
        <w:rPr>
          <w:rFonts w:hint="eastAsia" w:ascii="宋体" w:hAnsi="宋体"/>
          <w:color w:val="auto"/>
          <w:szCs w:val="21"/>
        </w:rPr>
        <w:t>2、地点：</w:t>
      </w:r>
      <w:r>
        <w:rPr>
          <w:rFonts w:hint="eastAsia" w:ascii="宋体" w:hAnsi="宋体" w:cs="宋体"/>
          <w:color w:val="auto"/>
          <w:szCs w:val="21"/>
        </w:rPr>
        <w:t>通过广西政府采购云平台在线提交。</w:t>
      </w:r>
    </w:p>
    <w:p w14:paraId="3D7942ED">
      <w:pPr>
        <w:spacing w:before="120" w:line="360" w:lineRule="exact"/>
        <w:ind w:left="-70" w:firstLine="361" w:firstLineChars="150"/>
        <w:rPr>
          <w:rFonts w:ascii="黑体" w:hAnsi="黑体" w:eastAsia="黑体"/>
          <w:b/>
          <w:bCs/>
          <w:color w:val="auto"/>
          <w:sz w:val="24"/>
        </w:rPr>
      </w:pPr>
      <w:r>
        <w:rPr>
          <w:rFonts w:hint="eastAsia" w:ascii="黑体" w:hAnsi="黑体" w:eastAsia="黑体"/>
          <w:b/>
          <w:bCs/>
          <w:color w:val="auto"/>
          <w:sz w:val="24"/>
        </w:rPr>
        <w:t>五、开启</w:t>
      </w:r>
    </w:p>
    <w:p w14:paraId="4748AE24">
      <w:pPr>
        <w:spacing w:before="120" w:line="360" w:lineRule="exact"/>
        <w:ind w:left="-70" w:firstLine="420" w:firstLineChars="200"/>
        <w:rPr>
          <w:rFonts w:ascii="宋体" w:hAnsi="宋体"/>
          <w:bCs/>
          <w:color w:val="auto"/>
          <w:szCs w:val="21"/>
          <w:u w:val="single"/>
        </w:rPr>
      </w:pPr>
      <w:r>
        <w:rPr>
          <w:rFonts w:hint="eastAsia" w:ascii="宋体" w:hAnsi="宋体"/>
          <w:color w:val="auto"/>
          <w:szCs w:val="21"/>
        </w:rPr>
        <w:t>1、首次响应文件开启时间：</w:t>
      </w:r>
      <w:r>
        <w:rPr>
          <w:rFonts w:hint="eastAsia" w:ascii="宋体" w:hAnsi="宋体" w:cs="宋体"/>
          <w:bCs/>
          <w:color w:val="auto"/>
          <w:kern w:val="0"/>
          <w:szCs w:val="21"/>
        </w:rPr>
        <w:t>2025年</w:t>
      </w:r>
      <w:r>
        <w:rPr>
          <w:rFonts w:hint="eastAsia" w:ascii="宋体" w:hAnsi="宋体" w:cs="宋体"/>
          <w:bCs/>
          <w:color w:val="auto"/>
          <w:kern w:val="0"/>
          <w:szCs w:val="21"/>
          <w:lang w:eastAsia="zh-CN"/>
        </w:rPr>
        <w:t>11月14日</w:t>
      </w:r>
      <w:r>
        <w:rPr>
          <w:rFonts w:hint="eastAsia" w:ascii="宋体" w:hAnsi="宋体" w:cs="宋体"/>
          <w:bCs/>
          <w:color w:val="auto"/>
          <w:kern w:val="0"/>
          <w:szCs w:val="21"/>
        </w:rPr>
        <w:t>9时00分（北京时间）</w:t>
      </w:r>
    </w:p>
    <w:p w14:paraId="21195024">
      <w:pPr>
        <w:spacing w:before="120" w:line="360" w:lineRule="exact"/>
        <w:ind w:left="-70" w:firstLine="420" w:firstLineChars="200"/>
        <w:rPr>
          <w:rFonts w:ascii="宋体" w:hAnsi="宋体"/>
          <w:color w:val="auto"/>
          <w:szCs w:val="21"/>
        </w:rPr>
      </w:pPr>
      <w:r>
        <w:rPr>
          <w:rFonts w:hint="eastAsia" w:ascii="宋体" w:hAnsi="宋体"/>
          <w:color w:val="auto"/>
          <w:szCs w:val="21"/>
        </w:rPr>
        <w:t>2、地点：</w:t>
      </w:r>
      <w:r>
        <w:rPr>
          <w:rFonts w:hint="eastAsia" w:ascii="宋体" w:hAnsi="宋体" w:cs="宋体"/>
          <w:color w:val="auto"/>
          <w:szCs w:val="21"/>
        </w:rPr>
        <w:t>本项目将在</w:t>
      </w:r>
      <w:r>
        <w:rPr>
          <w:rFonts w:hint="eastAsia" w:ascii="宋体" w:hAnsi="宋体"/>
          <w:color w:val="auto"/>
          <w:szCs w:val="21"/>
        </w:rPr>
        <w:t>广西政府采购云平台</w:t>
      </w:r>
      <w:r>
        <w:rPr>
          <w:rFonts w:hint="eastAsia" w:ascii="宋体" w:hAnsi="宋体" w:cs="宋体"/>
          <w:color w:val="auto"/>
          <w:szCs w:val="21"/>
        </w:rPr>
        <w:t>电子开标大厅解密、开启。</w:t>
      </w:r>
    </w:p>
    <w:p w14:paraId="3217F227">
      <w:pPr>
        <w:spacing w:before="120" w:line="360" w:lineRule="exact"/>
        <w:ind w:left="-70" w:firstLine="361" w:firstLineChars="150"/>
        <w:rPr>
          <w:rFonts w:ascii="黑体" w:hAnsi="黑体" w:eastAsia="黑体"/>
          <w:b/>
          <w:bCs/>
          <w:color w:val="auto"/>
          <w:sz w:val="24"/>
        </w:rPr>
      </w:pPr>
      <w:r>
        <w:rPr>
          <w:rFonts w:hint="eastAsia" w:ascii="黑体" w:hAnsi="黑体" w:eastAsia="黑体"/>
          <w:b/>
          <w:bCs/>
          <w:color w:val="auto"/>
          <w:sz w:val="24"/>
        </w:rPr>
        <w:t>六、公告期限</w:t>
      </w:r>
    </w:p>
    <w:p w14:paraId="28DF5377">
      <w:pPr>
        <w:spacing w:before="120" w:line="360" w:lineRule="exact"/>
        <w:ind w:left="-70" w:firstLine="420" w:firstLineChars="200"/>
        <w:rPr>
          <w:rFonts w:ascii="宋体" w:hAnsi="宋体" w:cs="宋体"/>
          <w:color w:val="auto"/>
          <w:kern w:val="0"/>
          <w:szCs w:val="21"/>
        </w:rPr>
      </w:pPr>
      <w:r>
        <w:rPr>
          <w:rFonts w:hint="eastAsia" w:ascii="宋体" w:hAnsi="宋体" w:cs="宋体"/>
          <w:color w:val="auto"/>
          <w:kern w:val="0"/>
          <w:szCs w:val="21"/>
        </w:rPr>
        <w:t>自本公告发布之日起3个工作日。</w:t>
      </w:r>
    </w:p>
    <w:p w14:paraId="0199887D">
      <w:pPr>
        <w:spacing w:before="120" w:line="360" w:lineRule="exact"/>
        <w:ind w:left="-70" w:firstLine="361" w:firstLineChars="150"/>
        <w:rPr>
          <w:rFonts w:ascii="黑体" w:hAnsi="黑体" w:eastAsia="黑体"/>
          <w:b/>
          <w:bCs/>
          <w:color w:val="auto"/>
          <w:sz w:val="24"/>
        </w:rPr>
      </w:pPr>
      <w:r>
        <w:rPr>
          <w:rFonts w:hint="eastAsia" w:ascii="黑体" w:hAnsi="黑体" w:eastAsia="黑体"/>
          <w:b/>
          <w:bCs/>
          <w:color w:val="auto"/>
          <w:sz w:val="24"/>
        </w:rPr>
        <w:t>七、其他补充事宜</w:t>
      </w:r>
    </w:p>
    <w:p w14:paraId="33B3B280">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1、竞标保证金（人民币）：10000.00元。</w:t>
      </w:r>
    </w:p>
    <w:p w14:paraId="567294A8">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FF755D">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3、根据财政部《关于在政府采购活动中查询及使用信用记录有关问题的通知》（财库〔2016〕125号）的规定，对在“信用中国”网站(www.creditchina.gov.cn)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264553A">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4、网上查询地址：中国政府采购网（www.ccgp.gov.cn）、广西壮族自治区政府采购网（zfcg.gxzf.gov.cn）、广西玉林市人民政府门户网（</w:t>
      </w:r>
      <w:r>
        <w:rPr>
          <w:color w:val="auto"/>
        </w:rPr>
        <w:fldChar w:fldCharType="begin"/>
      </w:r>
      <w:r>
        <w:rPr>
          <w:color w:val="auto"/>
        </w:rPr>
        <w:instrText xml:space="preserve"> HYPERLINK "http://www.yulin.gov.cn/" </w:instrText>
      </w:r>
      <w:r>
        <w:rPr>
          <w:color w:val="auto"/>
        </w:rPr>
        <w:fldChar w:fldCharType="separate"/>
      </w:r>
      <w:r>
        <w:rPr>
          <w:rFonts w:hint="eastAsia" w:ascii="宋体" w:hAnsi="宋体" w:cs="宋体"/>
          <w:color w:val="auto"/>
          <w:szCs w:val="21"/>
        </w:rPr>
        <w:t>www.yulin.gov.cn</w:t>
      </w:r>
      <w:r>
        <w:rPr>
          <w:rFonts w:hint="eastAsia" w:ascii="宋体" w:hAnsi="宋体" w:cs="宋体"/>
          <w:color w:val="auto"/>
          <w:szCs w:val="21"/>
        </w:rPr>
        <w:fldChar w:fldCharType="end"/>
      </w:r>
      <w:r>
        <w:rPr>
          <w:rFonts w:hint="eastAsia" w:ascii="宋体" w:hAnsi="宋体" w:cs="宋体"/>
          <w:color w:val="auto"/>
          <w:szCs w:val="21"/>
        </w:rPr>
        <w:t>）。</w:t>
      </w:r>
    </w:p>
    <w:p w14:paraId="0B82882D">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5、本项目需要落实的政府采购政策：</w:t>
      </w:r>
    </w:p>
    <w:p w14:paraId="4B6442D6">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（1）政府采购促进中小企业发展。</w:t>
      </w:r>
    </w:p>
    <w:p w14:paraId="25844B16">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（2）政府采购支持采用本国产品的政策。</w:t>
      </w:r>
    </w:p>
    <w:p w14:paraId="0B6D9A16">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（3）强制采购节能产品；优先采购节能产品、环境标志产品。</w:t>
      </w:r>
    </w:p>
    <w:p w14:paraId="43FF406F">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（4）政府采购促进残疾人就业政策。</w:t>
      </w:r>
    </w:p>
    <w:p w14:paraId="4D2E41FA">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（5）政府采购支持监狱企业发展。</w:t>
      </w:r>
    </w:p>
    <w:p w14:paraId="3013C7FD">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6、谈判注意事项：</w:t>
      </w:r>
    </w:p>
    <w:p w14:paraId="1C7BFC77">
      <w:pPr>
        <w:widowControl/>
        <w:spacing w:before="120" w:line="360" w:lineRule="exact"/>
        <w:ind w:left="-70" w:firstLine="420" w:firstLineChars="200"/>
        <w:rPr>
          <w:rFonts w:ascii="宋体" w:hAnsi="宋体" w:cs="宋体"/>
          <w:bCs/>
          <w:color w:val="auto"/>
          <w:szCs w:val="21"/>
        </w:rPr>
      </w:pPr>
      <w:r>
        <w:rPr>
          <w:rFonts w:hint="eastAsia" w:ascii="宋体" w:hAnsi="宋体" w:cs="宋体"/>
          <w:color w:val="auto"/>
          <w:szCs w:val="21"/>
        </w:rPr>
        <w:t>（1）响应文件提交方式：本项目为全流程电子化政府采购项目，通过广西政府采购云平台（https://www.gcy.zfcg.gxzf.gov.cn/）实行在线电子竞标，供应商应先安装“广西政府采购云平台电子交易客户端”（请自行前往广西政府采购云平台电子交易客户端进行下载），并按照本项目竞争性谈判文件和广西政府采购云平台的要求编制、加密后在首次响应文件提交截止时间前通过网络上传至广西政府采购云平台，</w:t>
      </w:r>
      <w:r>
        <w:rPr>
          <w:rFonts w:hint="eastAsia" w:ascii="宋体" w:hAnsi="宋体" w:cs="宋体"/>
          <w:b/>
          <w:color w:val="auto"/>
          <w:szCs w:val="21"/>
        </w:rPr>
        <w:t>供应商在广西政府采购云平台提交电子版响应文件时，请填写参加远程开标活动经办人联系方式。</w:t>
      </w:r>
    </w:p>
    <w:p w14:paraId="19279AEC">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供应商应及时熟悉掌握电子标系统操作指南（见</w:t>
      </w:r>
      <w:r>
        <w:rPr>
          <w:rFonts w:hint="eastAsia" w:ascii="宋体" w:hAnsi="宋体" w:cs="宋体"/>
          <w:color w:val="auto"/>
          <w:szCs w:val="21"/>
        </w:rPr>
        <w:t>广西政府采购云平台</w:t>
      </w:r>
      <w:r>
        <w:rPr>
          <w:rFonts w:ascii="宋体" w:hAnsi="宋体" w:cs="宋体"/>
          <w:color w:val="auto"/>
          <w:szCs w:val="21"/>
        </w:rPr>
        <w:t>电子卖场首页右上角—服务中心—帮助文档—项目采购）：</w:t>
      </w:r>
      <w:r>
        <w:rPr>
          <w:color w:val="auto"/>
        </w:rPr>
        <w:fldChar w:fldCharType="begin"/>
      </w:r>
      <w:r>
        <w:rPr>
          <w:color w:val="auto"/>
        </w:rPr>
        <w:instrText xml:space="preserve"> HYPERLINK "https://service.zcygov.cn/" \l "/knowledges/tree?tag=AG1DtGwBFdiHxlNdhY0r" </w:instrText>
      </w:r>
      <w:r>
        <w:rPr>
          <w:color w:val="auto"/>
        </w:rPr>
        <w:fldChar w:fldCharType="separate"/>
      </w:r>
      <w:r>
        <w:rPr>
          <w:color w:val="auto"/>
        </w:rPr>
        <w:t>https://service.zcygov.cn/#/knowledges/tree?tag=AG1DtGwBFdiHxlNdhY0r</w:t>
      </w:r>
      <w:r>
        <w:rPr>
          <w:color w:val="auto"/>
        </w:rPr>
        <w:fldChar w:fldCharType="end"/>
      </w:r>
      <w:r>
        <w:rPr>
          <w:rFonts w:hint="eastAsia" w:ascii="宋体" w:hAnsi="宋体" w:cs="宋体"/>
          <w:color w:val="auto"/>
          <w:szCs w:val="21"/>
        </w:rPr>
        <w:t>；</w:t>
      </w:r>
      <w:r>
        <w:rPr>
          <w:rFonts w:ascii="宋体" w:hAnsi="宋体" w:cs="宋体"/>
          <w:color w:val="auto"/>
          <w:szCs w:val="21"/>
        </w:rPr>
        <w:t>及时完成CA申领和绑定（见广西壮族自治区政府采购网—办事服务—下载专区-</w:t>
      </w:r>
      <w:r>
        <w:rPr>
          <w:rFonts w:hint="eastAsia" w:ascii="宋体" w:hAnsi="宋体" w:cs="宋体"/>
          <w:color w:val="auto"/>
          <w:szCs w:val="21"/>
        </w:rPr>
        <w:t>广西政府采购云平台</w:t>
      </w:r>
      <w:r>
        <w:rPr>
          <w:rFonts w:ascii="宋体" w:hAnsi="宋体" w:cs="宋体"/>
          <w:color w:val="auto"/>
          <w:szCs w:val="21"/>
        </w:rPr>
        <w:t>CA证书办理操作指南）。</w:t>
      </w:r>
    </w:p>
    <w:p w14:paraId="61ECBFE0">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1389E581">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（4）为确保网上操作合法、有效和安全，请供应商确保在电子竞标过程中能够对相关数据电文进行加密和使用电子签章，妥善保管CA数字证书并使用有效的CA数字证书参与整个采购活动。</w:t>
      </w:r>
    </w:p>
    <w:p w14:paraId="275F9579">
      <w:pPr>
        <w:spacing w:before="120" w:line="360" w:lineRule="exact"/>
        <w:ind w:left="-70" w:firstLine="422" w:firstLineChars="200"/>
        <w:rPr>
          <w:rFonts w:ascii="宋体" w:hAnsi="宋体" w:cs="宋体"/>
          <w:b/>
          <w:bCs/>
          <w:color w:val="auto"/>
          <w:szCs w:val="21"/>
        </w:rPr>
      </w:pPr>
      <w:r>
        <w:rPr>
          <w:rFonts w:hint="eastAsia" w:ascii="宋体" w:hAnsi="宋体" w:cs="宋体"/>
          <w:b/>
          <w:bCs/>
          <w:color w:val="auto"/>
          <w:szCs w:val="21"/>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将予以拒收。</w:t>
      </w:r>
    </w:p>
    <w:p w14:paraId="6D80E5DC">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7、CA证书在线解密：首次响应文件开启时，须要供应商携带制作响应文件时用来加密的有效数字证书（CA认证）登录广西政府采购云平台电子开标大厅现场按规定时间对加密的响应文件进行解密，否则后果自负。</w:t>
      </w:r>
    </w:p>
    <w:p w14:paraId="72DD2219">
      <w:pPr>
        <w:widowControl/>
        <w:spacing w:before="120" w:line="360" w:lineRule="exact"/>
        <w:ind w:left="-70" w:firstLine="420" w:firstLineChars="200"/>
        <w:rPr>
          <w:rFonts w:ascii="宋体" w:hAnsi="宋体"/>
          <w:bCs/>
          <w:color w:val="auto"/>
          <w:szCs w:val="21"/>
          <w:u w:val="single"/>
        </w:rPr>
      </w:pPr>
      <w:r>
        <w:rPr>
          <w:rFonts w:hint="eastAsia" w:ascii="宋体" w:hAnsi="宋体" w:cs="宋体"/>
          <w:color w:val="auto"/>
          <w:szCs w:val="21"/>
        </w:rPr>
        <w:t>8、供应商需要在具备有摄像头及语音功能且互联网网络状况良好的电脑登录广西政府采购云平台远程开标大厅参与本次谈判，否则后果自负。</w:t>
      </w:r>
    </w:p>
    <w:p w14:paraId="53AB39D2">
      <w:pPr>
        <w:widowControl/>
        <w:spacing w:before="120" w:line="360" w:lineRule="exact"/>
        <w:ind w:left="-70" w:firstLine="420" w:firstLineChars="200"/>
        <w:rPr>
          <w:color w:val="auto"/>
        </w:rPr>
      </w:pPr>
      <w:r>
        <w:rPr>
          <w:rFonts w:hint="eastAsia" w:ascii="宋体" w:hAnsi="宋体" w:cs="宋体"/>
          <w:color w:val="auto"/>
          <w:szCs w:val="21"/>
        </w:rPr>
        <w:t>9、若对项目采购电子交易系统操作有疑问，可登录</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广西政府采购云平台（https://www.gcy.zfcg.gxzf.gov.cn/），点击右侧咨询小采，获取采小蜜智能服务管家帮助，或拨打</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广西政府采购云平台服务热线95763获取热线服务帮助。</w:t>
      </w:r>
    </w:p>
    <w:p w14:paraId="555A2A24">
      <w:pPr>
        <w:spacing w:before="120" w:line="360" w:lineRule="exact"/>
        <w:ind w:left="-70" w:firstLine="361" w:firstLineChars="150"/>
        <w:rPr>
          <w:rFonts w:ascii="黑体" w:hAnsi="黑体" w:eastAsia="黑体"/>
          <w:b/>
          <w:bCs/>
          <w:color w:val="auto"/>
          <w:sz w:val="24"/>
        </w:rPr>
      </w:pPr>
      <w:r>
        <w:rPr>
          <w:rFonts w:hint="eastAsia" w:ascii="黑体" w:hAnsi="黑体" w:eastAsia="黑体"/>
          <w:b/>
          <w:bCs/>
          <w:color w:val="auto"/>
          <w:sz w:val="24"/>
        </w:rPr>
        <w:t>八、凡对本次采购提出询问，请按以下方式联系。</w:t>
      </w:r>
      <w:bookmarkEnd w:id="3"/>
      <w:bookmarkEnd w:id="4"/>
      <w:bookmarkEnd w:id="5"/>
      <w:bookmarkEnd w:id="6"/>
      <w:bookmarkEnd w:id="7"/>
      <w:bookmarkEnd w:id="8"/>
      <w:bookmarkStart w:id="12" w:name="_Toc35393806"/>
      <w:bookmarkStart w:id="13" w:name="_Toc35393637"/>
      <w:bookmarkStart w:id="14" w:name="_Toc28359096"/>
      <w:bookmarkStart w:id="15" w:name="_Toc28359019"/>
    </w:p>
    <w:p w14:paraId="303DFAD5">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1.采购人信息</w:t>
      </w:r>
    </w:p>
    <w:p w14:paraId="5253FB06">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名称：玉林市公安局交通管理支队</w:t>
      </w:r>
    </w:p>
    <w:p w14:paraId="51F65043">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地址：</w:t>
      </w:r>
      <w:r>
        <w:rPr>
          <w:rFonts w:ascii="宋体" w:hAnsi="宋体" w:cs="宋体"/>
          <w:color w:val="auto"/>
          <w:szCs w:val="21"/>
        </w:rPr>
        <w:t xml:space="preserve"> </w:t>
      </w:r>
      <w:r>
        <w:rPr>
          <w:rFonts w:hint="eastAsia" w:ascii="宋体" w:hAnsi="宋体" w:cs="宋体"/>
          <w:color w:val="auto"/>
          <w:szCs w:val="21"/>
        </w:rPr>
        <w:t>广西玉林市勤政路39号</w:t>
      </w:r>
    </w:p>
    <w:p w14:paraId="5CE4FBCE">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联系人：冯展瑞</w:t>
      </w:r>
      <w:r>
        <w:rPr>
          <w:rFonts w:ascii="宋体" w:hAnsi="宋体" w:cs="宋体"/>
          <w:color w:val="auto"/>
          <w:szCs w:val="21"/>
        </w:rPr>
        <w:t xml:space="preserve"> </w:t>
      </w:r>
    </w:p>
    <w:p w14:paraId="751F782D">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联系方式：</w:t>
      </w:r>
      <w:bookmarkStart w:id="16" w:name="_Toc28359009"/>
      <w:bookmarkStart w:id="17" w:name="_Toc28359086"/>
      <w:r>
        <w:rPr>
          <w:rFonts w:hint="eastAsia" w:ascii="宋体" w:hAnsi="宋体" w:cs="宋体"/>
          <w:color w:val="auto"/>
          <w:szCs w:val="21"/>
        </w:rPr>
        <w:t>0775-2582966</w:t>
      </w:r>
    </w:p>
    <w:p w14:paraId="477C775E">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2.采购代理机构信息</w:t>
      </w:r>
      <w:bookmarkEnd w:id="16"/>
      <w:bookmarkEnd w:id="17"/>
    </w:p>
    <w:p w14:paraId="08A664B7">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名称：广西科文招标有限公司</w:t>
      </w:r>
    </w:p>
    <w:p w14:paraId="099323AB">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地址：广西玉林市文体北路5号富林·双泉雅苑商住小区1幢03号商铺</w:t>
      </w:r>
    </w:p>
    <w:p w14:paraId="269AF3B3">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项目联系人：文庆金</w:t>
      </w:r>
    </w:p>
    <w:p w14:paraId="5496A4DB">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联系方式：</w:t>
      </w:r>
      <w:bookmarkStart w:id="18" w:name="_Toc28359010"/>
      <w:bookmarkStart w:id="19" w:name="_Toc28359087"/>
      <w:r>
        <w:rPr>
          <w:rFonts w:hint="eastAsia" w:ascii="宋体" w:hAnsi="宋体" w:cs="宋体"/>
          <w:color w:val="auto"/>
          <w:szCs w:val="21"/>
        </w:rPr>
        <w:t>0775-2685857</w:t>
      </w:r>
    </w:p>
    <w:p w14:paraId="5C1640BC">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3.</w:t>
      </w:r>
      <w:bookmarkEnd w:id="18"/>
      <w:bookmarkEnd w:id="19"/>
      <w:r>
        <w:rPr>
          <w:rFonts w:hint="eastAsia" w:ascii="宋体" w:hAnsi="宋体" w:cs="宋体"/>
          <w:color w:val="auto"/>
          <w:szCs w:val="21"/>
        </w:rPr>
        <w:t>监督单位</w:t>
      </w:r>
    </w:p>
    <w:p w14:paraId="37508090">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 xml:space="preserve">名称：玉林市财政局 </w:t>
      </w:r>
    </w:p>
    <w:p w14:paraId="4129E1BE">
      <w:pPr>
        <w:widowControl/>
        <w:spacing w:before="120" w:line="360" w:lineRule="exact"/>
        <w:ind w:left="-70" w:firstLine="420" w:firstLineChars="200"/>
        <w:rPr>
          <w:rFonts w:ascii="宋体" w:hAnsi="宋体" w:cs="宋体"/>
          <w:color w:val="auto"/>
          <w:szCs w:val="21"/>
        </w:rPr>
      </w:pPr>
      <w:r>
        <w:rPr>
          <w:rFonts w:hint="eastAsia" w:ascii="宋体" w:hAnsi="宋体" w:cs="宋体"/>
          <w:color w:val="auto"/>
          <w:szCs w:val="21"/>
        </w:rPr>
        <w:t>电话：0775-2697961</w:t>
      </w:r>
    </w:p>
    <w:p w14:paraId="6C5A47CF">
      <w:pPr>
        <w:spacing w:before="120" w:line="400" w:lineRule="exact"/>
        <w:ind w:left="-70" w:firstLine="7245" w:firstLineChars="3450"/>
        <w:rPr>
          <w:rFonts w:hint="eastAsia" w:ascii="宋体" w:hAnsi="宋体" w:cs="Arial"/>
          <w:color w:val="auto"/>
          <w:szCs w:val="21"/>
        </w:rPr>
      </w:pPr>
    </w:p>
    <w:p w14:paraId="696B816D">
      <w:pPr>
        <w:spacing w:before="120" w:line="400" w:lineRule="exact"/>
        <w:ind w:left="-70" w:firstLine="7245" w:firstLineChars="3450"/>
        <w:rPr>
          <w:rFonts w:hint="eastAsia" w:ascii="宋体" w:hAnsi="宋体" w:cs="Arial"/>
          <w:color w:val="auto"/>
          <w:szCs w:val="21"/>
        </w:rPr>
      </w:pPr>
    </w:p>
    <w:p w14:paraId="209F25B2">
      <w:pPr>
        <w:spacing w:before="120" w:line="400" w:lineRule="exact"/>
        <w:ind w:left="-70" w:firstLine="7245" w:firstLineChars="3450"/>
        <w:rPr>
          <w:rFonts w:ascii="宋体" w:hAnsi="宋体"/>
          <w:color w:val="auto"/>
          <w:szCs w:val="21"/>
        </w:rPr>
      </w:pPr>
      <w:r>
        <w:rPr>
          <w:rFonts w:hint="eastAsia" w:ascii="宋体" w:hAnsi="宋体" w:cs="Arial"/>
          <w:color w:val="auto"/>
          <w:szCs w:val="21"/>
        </w:rPr>
        <w:t>广西科文招标有限公司</w:t>
      </w:r>
    </w:p>
    <w:bookmarkEnd w:id="2"/>
    <w:bookmarkEnd w:id="12"/>
    <w:bookmarkEnd w:id="13"/>
    <w:bookmarkEnd w:id="14"/>
    <w:bookmarkEnd w:id="15"/>
    <w:p w14:paraId="4B48F25C">
      <w:pPr>
        <w:spacing w:before="120" w:line="400" w:lineRule="exact"/>
        <w:ind w:left="-70" w:firstLine="7665" w:firstLineChars="3650"/>
        <w:jc w:val="left"/>
        <w:rPr>
          <w:rFonts w:ascii="宋体" w:hAnsi="宋体"/>
          <w:b/>
          <w:color w:val="auto"/>
          <w:sz w:val="44"/>
          <w:szCs w:val="44"/>
        </w:rPr>
      </w:pPr>
      <w:r>
        <w:rPr>
          <w:rFonts w:hint="eastAsia" w:ascii="宋体" w:hAnsi="宋体"/>
          <w:color w:val="auto"/>
        </w:rPr>
        <w:t>2025年11月</w:t>
      </w:r>
      <w:r>
        <w:rPr>
          <w:rFonts w:hint="eastAsia" w:ascii="宋体" w:hAnsi="宋体"/>
          <w:color w:val="auto"/>
          <w:lang w:val="en-US" w:eastAsia="zh-CN"/>
        </w:rPr>
        <w:t>10</w:t>
      </w:r>
      <w:r>
        <w:rPr>
          <w:rFonts w:hint="eastAsia" w:ascii="宋体" w:hAnsi="宋体"/>
          <w:color w:val="auto"/>
        </w:rPr>
        <w:t>日</w:t>
      </w:r>
    </w:p>
    <w:p w14:paraId="1527147B">
      <w:pPr>
        <w:spacing w:before="120" w:line="280" w:lineRule="atLeast"/>
        <w:jc w:val="center"/>
        <w:rPr>
          <w:rFonts w:hint="eastAsia" w:ascii="宋体" w:hAnsi="宋体"/>
          <w:b/>
          <w:color w:val="auto"/>
          <w:sz w:val="44"/>
          <w:szCs w:val="44"/>
        </w:rPr>
      </w:pPr>
    </w:p>
    <w:p w14:paraId="338CBEB6">
      <w:pPr>
        <w:spacing w:before="120" w:line="280" w:lineRule="atLeast"/>
        <w:jc w:val="center"/>
        <w:rPr>
          <w:rFonts w:hint="eastAsia" w:ascii="宋体" w:hAnsi="宋体"/>
          <w:b/>
          <w:color w:val="auto"/>
          <w:sz w:val="44"/>
          <w:szCs w:val="44"/>
        </w:rPr>
      </w:pPr>
    </w:p>
    <w:p w14:paraId="210DBDB7">
      <w:pPr>
        <w:spacing w:before="120" w:line="280" w:lineRule="atLeast"/>
        <w:jc w:val="center"/>
        <w:rPr>
          <w:rFonts w:hint="eastAsia" w:ascii="宋体" w:hAnsi="宋体"/>
          <w:b/>
          <w:color w:val="auto"/>
          <w:sz w:val="44"/>
          <w:szCs w:val="44"/>
        </w:rPr>
      </w:pPr>
    </w:p>
    <w:p w14:paraId="371F5783">
      <w:pPr>
        <w:spacing w:before="120" w:line="280" w:lineRule="atLeast"/>
        <w:jc w:val="center"/>
        <w:rPr>
          <w:rFonts w:hint="eastAsia" w:ascii="宋体" w:hAnsi="宋体"/>
          <w:b/>
          <w:color w:val="auto"/>
          <w:sz w:val="44"/>
          <w:szCs w:val="44"/>
        </w:rPr>
      </w:pPr>
    </w:p>
    <w:p w14:paraId="01BBAF39">
      <w:pPr>
        <w:spacing w:before="120" w:line="280" w:lineRule="atLeast"/>
        <w:jc w:val="center"/>
        <w:rPr>
          <w:rFonts w:hint="eastAsia" w:ascii="宋体" w:hAnsi="宋体"/>
          <w:b/>
          <w:color w:val="auto"/>
          <w:sz w:val="44"/>
          <w:szCs w:val="44"/>
        </w:rPr>
      </w:pPr>
    </w:p>
    <w:p w14:paraId="53A0DE6C">
      <w:pPr>
        <w:spacing w:before="120" w:line="280" w:lineRule="atLeast"/>
        <w:jc w:val="center"/>
        <w:rPr>
          <w:rFonts w:hint="eastAsia" w:ascii="宋体" w:hAnsi="宋体"/>
          <w:b/>
          <w:color w:val="auto"/>
          <w:sz w:val="44"/>
          <w:szCs w:val="44"/>
        </w:rPr>
      </w:pPr>
    </w:p>
    <w:p w14:paraId="549E563B">
      <w:pPr>
        <w:spacing w:before="120" w:line="280" w:lineRule="atLeast"/>
        <w:jc w:val="center"/>
        <w:rPr>
          <w:rFonts w:hint="eastAsia" w:ascii="宋体" w:hAnsi="宋体"/>
          <w:b/>
          <w:color w:val="auto"/>
          <w:sz w:val="44"/>
          <w:szCs w:val="44"/>
        </w:rPr>
      </w:pPr>
    </w:p>
    <w:p w14:paraId="66EE842C">
      <w:pPr>
        <w:spacing w:before="120" w:line="280" w:lineRule="atLeast"/>
        <w:jc w:val="center"/>
        <w:rPr>
          <w:rFonts w:hint="eastAsia" w:ascii="宋体" w:hAnsi="宋体"/>
          <w:b/>
          <w:color w:val="auto"/>
          <w:sz w:val="44"/>
          <w:szCs w:val="44"/>
        </w:rPr>
      </w:pPr>
    </w:p>
    <w:p w14:paraId="7A7EB79D">
      <w:pPr>
        <w:spacing w:before="120" w:line="280" w:lineRule="atLeast"/>
        <w:jc w:val="center"/>
        <w:rPr>
          <w:rFonts w:hint="eastAsia" w:ascii="宋体" w:hAnsi="宋体"/>
          <w:b/>
          <w:color w:val="auto"/>
          <w:sz w:val="44"/>
          <w:szCs w:val="44"/>
        </w:rPr>
      </w:pPr>
    </w:p>
    <w:p w14:paraId="6DC44DBF">
      <w:pPr>
        <w:spacing w:before="120" w:line="280" w:lineRule="atLeast"/>
        <w:jc w:val="center"/>
        <w:rPr>
          <w:rFonts w:hint="eastAsia" w:ascii="宋体" w:hAnsi="宋体"/>
          <w:b/>
          <w:color w:val="auto"/>
          <w:sz w:val="44"/>
          <w:szCs w:val="44"/>
        </w:rPr>
      </w:pPr>
    </w:p>
    <w:p w14:paraId="33847F82">
      <w:pPr>
        <w:spacing w:before="120" w:line="280" w:lineRule="atLeast"/>
        <w:jc w:val="both"/>
        <w:rPr>
          <w:rFonts w:hint="eastAsia" w:ascii="宋体" w:hAnsi="宋体"/>
          <w:b/>
          <w:color w:val="auto"/>
          <w:sz w:val="44"/>
          <w:szCs w:val="44"/>
        </w:rPr>
      </w:pPr>
    </w:p>
    <w:p w14:paraId="5BD33452">
      <w:pPr>
        <w:spacing w:before="120" w:line="280" w:lineRule="atLeast"/>
        <w:jc w:val="center"/>
        <w:rPr>
          <w:rFonts w:ascii="宋体" w:hAnsi="宋体"/>
          <w:b/>
          <w:color w:val="auto"/>
          <w:sz w:val="44"/>
          <w:szCs w:val="44"/>
        </w:rPr>
      </w:pPr>
      <w:r>
        <w:rPr>
          <w:rFonts w:hint="eastAsia" w:ascii="宋体" w:hAnsi="宋体"/>
          <w:b/>
          <w:color w:val="auto"/>
          <w:sz w:val="44"/>
          <w:szCs w:val="44"/>
        </w:rPr>
        <w:t>第二章 供应商须知</w:t>
      </w:r>
    </w:p>
    <w:p w14:paraId="5E9D4DA9">
      <w:pPr>
        <w:spacing w:before="120" w:line="280" w:lineRule="atLeast"/>
        <w:jc w:val="both"/>
        <w:rPr>
          <w:rFonts w:ascii="宋体" w:hAnsi="宋体"/>
          <w:b/>
          <w:color w:val="auto"/>
          <w:sz w:val="32"/>
          <w:szCs w:val="32"/>
        </w:rPr>
      </w:pPr>
    </w:p>
    <w:p w14:paraId="6EBBAF1D">
      <w:pPr>
        <w:spacing w:before="120" w:line="280" w:lineRule="atLeast"/>
        <w:jc w:val="center"/>
        <w:rPr>
          <w:rFonts w:ascii="宋体" w:hAnsi="宋体"/>
          <w:b/>
          <w:color w:val="auto"/>
          <w:sz w:val="32"/>
          <w:szCs w:val="32"/>
        </w:rPr>
      </w:pPr>
      <w:r>
        <w:rPr>
          <w:rFonts w:hint="eastAsia" w:ascii="宋体" w:hAnsi="宋体"/>
          <w:b/>
          <w:color w:val="auto"/>
          <w:sz w:val="32"/>
          <w:szCs w:val="32"/>
        </w:rPr>
        <w:t>供应商须知前附表</w:t>
      </w:r>
    </w:p>
    <w:p w14:paraId="7496316B">
      <w:pPr>
        <w:spacing w:before="120" w:line="280" w:lineRule="atLeast"/>
        <w:ind w:left="-70" w:firstLine="787"/>
        <w:jc w:val="center"/>
        <w:rPr>
          <w:rFonts w:ascii="宋体" w:hAnsi="宋体"/>
          <w:b/>
          <w:color w:val="auto"/>
          <w:sz w:val="32"/>
          <w:szCs w:val="32"/>
        </w:rPr>
      </w:pPr>
    </w:p>
    <w:tbl>
      <w:tblPr>
        <w:tblStyle w:val="28"/>
        <w:tblW w:w="96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695"/>
      </w:tblGrid>
      <w:tr w14:paraId="76F6E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3271108D">
            <w:pPr>
              <w:spacing w:before="120" w:line="360" w:lineRule="auto"/>
              <w:jc w:val="center"/>
              <w:rPr>
                <w:rFonts w:ascii="宋体" w:hAnsi="宋体" w:cs="宋体"/>
                <w:color w:val="auto"/>
                <w:szCs w:val="21"/>
              </w:rPr>
            </w:pPr>
            <w:r>
              <w:rPr>
                <w:rFonts w:hint="eastAsia" w:ascii="宋体" w:hAnsi="宋体" w:cs="宋体"/>
                <w:b/>
                <w:bCs/>
                <w:color w:val="auto"/>
                <w:szCs w:val="21"/>
              </w:rPr>
              <w:t>条款号</w:t>
            </w:r>
          </w:p>
        </w:tc>
        <w:tc>
          <w:tcPr>
            <w:tcW w:w="8695" w:type="dxa"/>
          </w:tcPr>
          <w:p w14:paraId="23A89924">
            <w:pPr>
              <w:spacing w:before="120" w:line="360" w:lineRule="auto"/>
              <w:ind w:left="-70" w:firstLine="590"/>
              <w:jc w:val="center"/>
              <w:rPr>
                <w:rFonts w:ascii="宋体" w:hAnsi="宋体" w:cs="宋体"/>
                <w:b/>
                <w:color w:val="auto"/>
                <w:szCs w:val="21"/>
              </w:rPr>
            </w:pPr>
            <w:r>
              <w:rPr>
                <w:rFonts w:hint="eastAsia" w:ascii="宋体" w:hAnsi="宋体" w:cs="宋体"/>
                <w:b/>
                <w:color w:val="auto"/>
                <w:szCs w:val="21"/>
              </w:rPr>
              <w:t>内    容</w:t>
            </w:r>
          </w:p>
        </w:tc>
      </w:tr>
      <w:tr w14:paraId="78CC3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E907F3">
            <w:pPr>
              <w:spacing w:before="120" w:line="360" w:lineRule="auto"/>
              <w:jc w:val="center"/>
              <w:rPr>
                <w:rFonts w:ascii="宋体" w:hAnsi="宋体" w:cs="宋体"/>
                <w:color w:val="auto"/>
                <w:szCs w:val="21"/>
              </w:rPr>
            </w:pPr>
            <w:r>
              <w:rPr>
                <w:rFonts w:hint="eastAsia" w:ascii="宋体" w:hAnsi="宋体" w:cs="宋体"/>
                <w:color w:val="auto"/>
                <w:szCs w:val="21"/>
              </w:rPr>
              <w:t>3</w:t>
            </w:r>
          </w:p>
        </w:tc>
        <w:tc>
          <w:tcPr>
            <w:tcW w:w="8695" w:type="dxa"/>
            <w:vAlign w:val="center"/>
          </w:tcPr>
          <w:p w14:paraId="77A9C2D3">
            <w:pPr>
              <w:spacing w:before="120" w:line="360" w:lineRule="auto"/>
              <w:jc w:val="left"/>
              <w:rPr>
                <w:rFonts w:ascii="宋体" w:hAnsi="宋体" w:cs="宋体"/>
                <w:color w:val="auto"/>
                <w:szCs w:val="21"/>
              </w:rPr>
            </w:pPr>
            <w:r>
              <w:rPr>
                <w:rFonts w:hint="eastAsia" w:ascii="宋体" w:hAnsi="宋体" w:cs="宋体"/>
                <w:color w:val="auto"/>
                <w:szCs w:val="21"/>
              </w:rPr>
              <w:t>供应商的资格条件：详见竞争性谈判公告</w:t>
            </w:r>
          </w:p>
        </w:tc>
      </w:tr>
      <w:tr w14:paraId="26083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DC566AA">
            <w:pPr>
              <w:spacing w:before="120" w:line="360" w:lineRule="auto"/>
              <w:ind w:left="-70"/>
              <w:jc w:val="center"/>
              <w:rPr>
                <w:rFonts w:ascii="宋体" w:hAnsi="宋体" w:cs="宋体"/>
                <w:color w:val="auto"/>
                <w:szCs w:val="21"/>
              </w:rPr>
            </w:pPr>
            <w:r>
              <w:rPr>
                <w:rFonts w:hint="eastAsia" w:ascii="宋体" w:hAnsi="宋体" w:cs="宋体"/>
                <w:color w:val="auto"/>
                <w:szCs w:val="21"/>
              </w:rPr>
              <w:t>5.1</w:t>
            </w:r>
          </w:p>
        </w:tc>
        <w:tc>
          <w:tcPr>
            <w:tcW w:w="8695" w:type="dxa"/>
            <w:vAlign w:val="center"/>
          </w:tcPr>
          <w:p w14:paraId="6025EEC5">
            <w:pPr>
              <w:spacing w:before="120" w:line="360" w:lineRule="auto"/>
              <w:jc w:val="left"/>
              <w:rPr>
                <w:rFonts w:ascii="宋体" w:hAnsi="宋体" w:cs="宋体"/>
                <w:color w:val="auto"/>
                <w:szCs w:val="21"/>
              </w:rPr>
            </w:pPr>
            <w:r>
              <w:rPr>
                <w:rFonts w:hint="eastAsia" w:ascii="宋体" w:hAnsi="宋体" w:cs="宋体"/>
                <w:color w:val="auto"/>
                <w:szCs w:val="21"/>
              </w:rPr>
              <w:t>是否接受联合体竞标: 详见竞争性谈判公告</w:t>
            </w:r>
          </w:p>
        </w:tc>
      </w:tr>
      <w:tr w14:paraId="4A725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79121F9">
            <w:pPr>
              <w:spacing w:before="120" w:line="360" w:lineRule="auto"/>
              <w:ind w:left="-70"/>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8695" w:type="dxa"/>
            <w:vAlign w:val="center"/>
          </w:tcPr>
          <w:p w14:paraId="1F04C29E">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如接受联合体竞标，联合体竞标要求如下：</w:t>
            </w:r>
          </w:p>
          <w:p w14:paraId="76405838">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1、两个以上供应商可以组成一个竞标联合体，以一个供应商的身份共同参加竞标，联合体供应商的名称应统一按“XXX 公司与 XXX 公司的联合体”的规则填写。</w:t>
            </w:r>
            <w:r>
              <w:rPr>
                <w:rFonts w:hint="eastAsia" w:ascii="宋体" w:hAnsi="宋体" w:cs="宋体"/>
                <w:color w:val="auto"/>
                <w:szCs w:val="21"/>
              </w:rPr>
              <w:tab/>
            </w:r>
          </w:p>
          <w:p w14:paraId="5FAA08CD">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本项目竞争性谈判公告“申请人的资格条件”第3点 “3、本项目的特定资格要求”的要求。</w:t>
            </w:r>
          </w:p>
          <w:p w14:paraId="570293F5">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3、联合体竞标的，须提供《联合体竞标协议书》（格式后附），协议书必须明确主体方（或者牵头方）并明确约定联合体各方承担的工作和相应的责任（各方承担责任与义务的分工必须符合采购需求，否则，联合体响应无效），并将联合竞标协议放入响应文件。联合体各方必须共同与采购人签订采购合同，就采购合同约定的事项对采购人承担连带责任。</w:t>
            </w:r>
            <w:r>
              <w:rPr>
                <w:rFonts w:hint="eastAsia" w:ascii="宋体" w:hAnsi="宋体" w:cs="宋体"/>
                <w:color w:val="auto"/>
                <w:szCs w:val="21"/>
              </w:rPr>
              <w:tab/>
            </w:r>
          </w:p>
          <w:p w14:paraId="261C53DD">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4、以联合体形式参加政府采购活动的，联合体各方不得再单独参加或者与其他供应商另外组成联合体参加同一合同项下的政府采购活动，否则与之相关的响应文件作废。</w:t>
            </w:r>
            <w:r>
              <w:rPr>
                <w:rFonts w:hint="eastAsia" w:ascii="宋体" w:hAnsi="宋体" w:cs="宋体"/>
                <w:color w:val="auto"/>
                <w:szCs w:val="21"/>
              </w:rPr>
              <w:tab/>
            </w:r>
            <w:r>
              <w:rPr>
                <w:rFonts w:hint="eastAsia" w:ascii="宋体" w:hAnsi="宋体" w:cs="宋体"/>
                <w:color w:val="auto"/>
                <w:szCs w:val="21"/>
              </w:rPr>
              <w:tab/>
            </w:r>
          </w:p>
          <w:p w14:paraId="7A9CA674">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5、联合体中有同类资质的供应商按照联合体分工承担相同工作的，应当按照资质等级较低的供应商确定资质等级。</w:t>
            </w:r>
            <w:r>
              <w:rPr>
                <w:rFonts w:hint="eastAsia" w:ascii="宋体" w:hAnsi="宋体" w:cs="宋体"/>
                <w:color w:val="auto"/>
                <w:szCs w:val="21"/>
              </w:rPr>
              <w:tab/>
            </w:r>
            <w:r>
              <w:rPr>
                <w:rFonts w:hint="eastAsia" w:ascii="宋体" w:hAnsi="宋体" w:cs="宋体"/>
                <w:color w:val="auto"/>
                <w:szCs w:val="21"/>
              </w:rPr>
              <w:tab/>
            </w:r>
          </w:p>
          <w:p w14:paraId="6D6BE690">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6、联合体竞标业绩、履约能力按照联合体各方其中较高的一方认定并计算（竞争性谈判文件另规定的除外）。</w:t>
            </w:r>
            <w:r>
              <w:rPr>
                <w:rFonts w:hint="eastAsia" w:ascii="宋体" w:hAnsi="宋体" w:cs="宋体"/>
                <w:color w:val="auto"/>
                <w:szCs w:val="21"/>
              </w:rPr>
              <w:tab/>
            </w:r>
            <w:r>
              <w:rPr>
                <w:rFonts w:hint="eastAsia" w:ascii="宋体" w:hAnsi="宋体" w:cs="宋体"/>
                <w:color w:val="auto"/>
                <w:szCs w:val="21"/>
              </w:rPr>
              <w:tab/>
            </w:r>
            <w:r>
              <w:rPr>
                <w:rFonts w:hint="eastAsia" w:ascii="宋体" w:hAnsi="宋体" w:cs="宋体"/>
                <w:color w:val="auto"/>
                <w:szCs w:val="21"/>
              </w:rPr>
              <w:tab/>
            </w:r>
          </w:p>
          <w:p w14:paraId="079E835F">
            <w:pPr>
              <w:snapToGrid w:val="0"/>
              <w:spacing w:before="120" w:line="360" w:lineRule="auto"/>
              <w:ind w:left="-70"/>
              <w:jc w:val="left"/>
              <w:rPr>
                <w:rFonts w:ascii="宋体" w:hAnsi="宋体" w:cs="宋体"/>
                <w:color w:val="auto"/>
                <w:szCs w:val="21"/>
              </w:rPr>
            </w:pPr>
            <w:r>
              <w:rPr>
                <w:rFonts w:hint="eastAsia" w:ascii="宋体" w:hAnsi="宋体" w:cs="宋体"/>
                <w:color w:val="auto"/>
                <w:szCs w:val="21"/>
              </w:rPr>
              <w:t>7、联合体各方均应按照竞争性谈判文件的规定提交资格证明文件。</w:t>
            </w:r>
          </w:p>
        </w:tc>
      </w:tr>
      <w:tr w14:paraId="77645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0E9DE1">
            <w:pPr>
              <w:spacing w:before="120" w:line="360" w:lineRule="auto"/>
              <w:ind w:left="-70"/>
              <w:jc w:val="center"/>
              <w:rPr>
                <w:rFonts w:ascii="宋体" w:hAnsi="宋体" w:cs="宋体"/>
                <w:color w:val="auto"/>
                <w:szCs w:val="21"/>
              </w:rPr>
            </w:pPr>
            <w:r>
              <w:rPr>
                <w:rFonts w:hint="eastAsia" w:ascii="宋体" w:hAnsi="宋体" w:cs="宋体"/>
                <w:color w:val="auto"/>
                <w:szCs w:val="21"/>
              </w:rPr>
              <w:t>6.2</w:t>
            </w:r>
          </w:p>
        </w:tc>
        <w:tc>
          <w:tcPr>
            <w:tcW w:w="8695" w:type="dxa"/>
            <w:vAlign w:val="center"/>
          </w:tcPr>
          <w:p w14:paraId="6DA42AE4">
            <w:pPr>
              <w:pStyle w:val="10"/>
              <w:spacing w:before="120" w:line="400" w:lineRule="exact"/>
              <w:ind w:left="-70"/>
              <w:rPr>
                <w:rFonts w:ascii="宋体" w:hAnsi="宋体"/>
                <w:color w:val="auto"/>
                <w:szCs w:val="21"/>
                <w:u w:val="single"/>
              </w:rPr>
            </w:pPr>
            <w:r>
              <w:rPr>
                <w:rFonts w:hint="eastAsia" w:ascii="宋体" w:hAnsi="宋体"/>
                <w:color w:val="auto"/>
                <w:szCs w:val="21"/>
              </w:rPr>
              <w:t>本项目不允许分包。</w:t>
            </w:r>
          </w:p>
        </w:tc>
      </w:tr>
      <w:tr w14:paraId="4FDAF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1439791">
            <w:pPr>
              <w:spacing w:before="120" w:line="360" w:lineRule="auto"/>
              <w:ind w:left="-70"/>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8695" w:type="dxa"/>
            <w:vAlign w:val="center"/>
          </w:tcPr>
          <w:p w14:paraId="276AF91F">
            <w:pPr>
              <w:snapToGrid w:val="0"/>
              <w:spacing w:before="120" w:line="360" w:lineRule="auto"/>
              <w:jc w:val="left"/>
              <w:rPr>
                <w:rFonts w:ascii="宋体" w:hAnsi="宋体" w:cs="宋体"/>
                <w:b/>
                <w:color w:val="auto"/>
                <w:szCs w:val="21"/>
              </w:rPr>
            </w:pPr>
            <w:r>
              <w:rPr>
                <w:rFonts w:hint="eastAsia" w:ascii="宋体" w:hAnsi="宋体" w:cs="宋体"/>
                <w:b/>
                <w:color w:val="auto"/>
                <w:szCs w:val="21"/>
              </w:rPr>
              <w:t>资格证明文件</w:t>
            </w:r>
          </w:p>
          <w:p w14:paraId="508395C3">
            <w:pPr>
              <w:snapToGrid w:val="0"/>
              <w:spacing w:before="120" w:line="360" w:lineRule="auto"/>
              <w:ind w:left="-70"/>
              <w:jc w:val="left"/>
              <w:rPr>
                <w:rFonts w:ascii="宋体" w:hAnsi="宋体" w:cs="宋体"/>
                <w:color w:val="auto"/>
                <w:szCs w:val="21"/>
              </w:rPr>
            </w:pPr>
            <w:r>
              <w:rPr>
                <w:rFonts w:hint="eastAsia" w:ascii="宋体" w:hAnsi="宋体" w:cs="宋体"/>
                <w:color w:val="auto"/>
                <w:szCs w:val="21"/>
              </w:rPr>
              <w:t>1、供应商为法人或者其他组织的，</w:t>
            </w:r>
            <w:r>
              <w:rPr>
                <w:rFonts w:hint="eastAsia" w:ascii="宋体" w:hAnsi="宋体"/>
                <w:color w:val="auto"/>
                <w:szCs w:val="21"/>
              </w:rPr>
              <w:t>证明文件为其营业执照复印件（如营业执照或者事业单位法人证书或者执业许可证等）；供应商为自然人的，证明文件为其身份证复印件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34B7E0E">
            <w:pPr>
              <w:spacing w:before="120" w:line="360" w:lineRule="auto"/>
              <w:ind w:left="-70"/>
              <w:contextualSpacing/>
              <w:jc w:val="left"/>
              <w:rPr>
                <w:rFonts w:ascii="宋体" w:hAnsi="宋体" w:cs="宋体"/>
                <w:color w:val="auto"/>
                <w:szCs w:val="21"/>
              </w:rPr>
            </w:pPr>
            <w:r>
              <w:rPr>
                <w:rFonts w:hint="eastAsia" w:ascii="宋体" w:hAnsi="宋体" w:cs="宋体"/>
                <w:color w:val="auto"/>
                <w:szCs w:val="21"/>
              </w:rPr>
              <w:t>2、供应商依法缴纳税收的相关材料（2025年5月至截标前任意1个月的依法缴纳税收的凭据复印件；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E75F631">
            <w:pPr>
              <w:spacing w:before="120" w:line="360" w:lineRule="auto"/>
              <w:ind w:left="-70"/>
              <w:contextualSpacing/>
              <w:jc w:val="left"/>
              <w:rPr>
                <w:rFonts w:ascii="宋体" w:hAnsi="宋体" w:cs="宋体"/>
                <w:color w:val="auto"/>
                <w:szCs w:val="21"/>
              </w:rPr>
            </w:pPr>
            <w:r>
              <w:rPr>
                <w:rFonts w:hint="eastAsia" w:ascii="宋体" w:hAnsi="宋体" w:cs="宋体"/>
                <w:color w:val="auto"/>
                <w:szCs w:val="21"/>
              </w:rPr>
              <w:t>3、供应商依法缴纳社会保障资金的相关材料（2025年5月至截标前任意1个月的依法缴纳社会保障资金的缴费凭证（完税证明或者社会保险缴费证明）复印件。供应商</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352AE380">
            <w:pPr>
              <w:spacing w:before="120" w:line="360" w:lineRule="auto"/>
              <w:ind w:left="-70"/>
              <w:contextualSpacing/>
              <w:jc w:val="left"/>
              <w:rPr>
                <w:rFonts w:ascii="宋体" w:hAnsi="宋体" w:cs="宋体"/>
                <w:b/>
                <w:color w:val="auto"/>
                <w:szCs w:val="21"/>
              </w:rPr>
            </w:pPr>
            <w:r>
              <w:rPr>
                <w:rFonts w:hint="eastAsia" w:ascii="宋体" w:hAnsi="宋体" w:cs="宋体"/>
                <w:color w:val="auto"/>
                <w:szCs w:val="21"/>
              </w:rPr>
              <w:t>4、竞标人财务状况报告（2024年度财务报表复印件或者银行出具的资信证明；竞标人属于成立</w:t>
            </w:r>
            <w:r>
              <w:rPr>
                <w:rFonts w:ascii="宋体" w:hAnsi="宋体" w:cs="宋体"/>
                <w:color w:val="auto"/>
                <w:szCs w:val="21"/>
              </w:rPr>
              <w:t>时间</w:t>
            </w:r>
            <w:r>
              <w:rPr>
                <w:rFonts w:hint="eastAsia" w:ascii="宋体" w:hAnsi="宋体" w:cs="宋体"/>
                <w:color w:val="auto"/>
                <w:szCs w:val="21"/>
              </w:rPr>
              <w:t>在规定年度之后</w:t>
            </w:r>
            <w:r>
              <w:rPr>
                <w:rFonts w:ascii="宋体" w:hAnsi="宋体" w:cs="宋体"/>
                <w:color w:val="auto"/>
                <w:szCs w:val="21"/>
              </w:rPr>
              <w:t>的</w:t>
            </w:r>
            <w:r>
              <w:rPr>
                <w:rFonts w:hint="eastAsia" w:ascii="宋体" w:hAnsi="宋体" w:cs="宋体"/>
                <w:color w:val="auto"/>
                <w:szCs w:val="21"/>
              </w:rPr>
              <w:t>法人或其他组织</w:t>
            </w:r>
            <w:r>
              <w:rPr>
                <w:rFonts w:ascii="宋体" w:hAnsi="宋体" w:cs="宋体"/>
                <w:color w:val="auto"/>
                <w:szCs w:val="21"/>
              </w:rPr>
              <w:t>，需提供成立</w:t>
            </w:r>
            <w:r>
              <w:rPr>
                <w:rFonts w:hint="eastAsia" w:ascii="宋体" w:hAnsi="宋体" w:cs="宋体"/>
                <w:color w:val="auto"/>
                <w:szCs w:val="21"/>
              </w:rPr>
              <w:t>之日起至竞标截止时间前</w:t>
            </w:r>
            <w:r>
              <w:rPr>
                <w:rFonts w:ascii="宋体" w:hAnsi="宋体" w:cs="宋体"/>
                <w:color w:val="auto"/>
                <w:szCs w:val="21"/>
              </w:rPr>
              <w:t>的月报表</w:t>
            </w:r>
            <w:r>
              <w:rPr>
                <w:rFonts w:hint="eastAsia" w:ascii="宋体" w:hAnsi="宋体" w:cs="宋体"/>
                <w:color w:val="auto"/>
                <w:szCs w:val="21"/>
              </w:rPr>
              <w:t>或银行出具的资信证明；资信证明应在有效期内，未注明有效期的，银行出具时间至竞标截止时间不超过一年；</w:t>
            </w:r>
            <w:r>
              <w:rPr>
                <w:rFonts w:hint="eastAsia" w:ascii="宋体" w:hAnsi="宋体" w:cs="宋体"/>
                <w:bCs/>
                <w:color w:val="auto"/>
                <w:szCs w:val="21"/>
              </w:rPr>
              <w:t>（</w:t>
            </w:r>
            <w:r>
              <w:rPr>
                <w:rFonts w:hint="eastAsia" w:ascii="宋体" w:hAnsi="宋体"/>
                <w:b/>
                <w:color w:val="auto"/>
                <w:szCs w:val="21"/>
              </w:rPr>
              <w:t>除自然人外必须提供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14:paraId="7CF6732C">
            <w:pPr>
              <w:snapToGrid w:val="0"/>
              <w:spacing w:before="120" w:line="360" w:lineRule="auto"/>
              <w:ind w:left="-70"/>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7028C29">
            <w:pPr>
              <w:spacing w:before="120" w:line="360" w:lineRule="auto"/>
              <w:contextualSpacing/>
              <w:jc w:val="left"/>
              <w:rPr>
                <w:rFonts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p>
          <w:p w14:paraId="5C10B8B9">
            <w:pPr>
              <w:spacing w:before="120" w:line="360" w:lineRule="auto"/>
              <w:ind w:left="-70"/>
              <w:contextualSpacing/>
              <w:jc w:val="left"/>
              <w:rPr>
                <w:rFonts w:hint="eastAsia" w:ascii="宋体" w:hAnsi="宋体" w:eastAsia="宋体" w:cs="宋体"/>
                <w:color w:val="auto"/>
                <w:szCs w:val="21"/>
                <w:lang w:eastAsia="zh-CN"/>
              </w:rPr>
            </w:pPr>
            <w:r>
              <w:rPr>
                <w:rFonts w:hint="eastAsia" w:ascii="宋体" w:hAnsi="宋体" w:cs="宋体"/>
                <w:color w:val="auto"/>
                <w:szCs w:val="21"/>
              </w:rPr>
              <w:t>7、本项目属于部分预留份额专门面向中小企业采购的项目，预留预算总金额</w:t>
            </w:r>
            <w:r>
              <w:rPr>
                <w:rFonts w:hint="eastAsia" w:ascii="宋体" w:hAnsi="宋体" w:cs="宋体"/>
                <w:color w:val="auto"/>
                <w:szCs w:val="21"/>
                <w:lang w:eastAsia="zh-CN"/>
              </w:rPr>
              <w:t>不低于</w:t>
            </w:r>
            <w:r>
              <w:rPr>
                <w:rFonts w:hint="eastAsia" w:ascii="宋体" w:hAnsi="宋体" w:cs="宋体"/>
                <w:color w:val="auto"/>
                <w:szCs w:val="21"/>
                <w:lang w:val="en-US" w:eastAsia="zh-CN"/>
              </w:rPr>
              <w:t>70.14</w:t>
            </w:r>
            <w:r>
              <w:rPr>
                <w:rFonts w:hint="eastAsia" w:ascii="宋体" w:hAnsi="宋体" w:cs="宋体"/>
                <w:color w:val="auto"/>
                <w:szCs w:val="21"/>
              </w:rPr>
              <w:t>%专门面向中小企业采购，预留份额部分</w:t>
            </w:r>
            <w:r>
              <w:rPr>
                <w:rFonts w:hint="eastAsia" w:ascii="宋体" w:hAnsi="宋体" w:cs="宋体"/>
                <w:color w:val="auto"/>
                <w:szCs w:val="21"/>
                <w:lang w:val="en-US" w:eastAsia="zh-CN"/>
              </w:rPr>
              <w:t>货物制造商</w:t>
            </w:r>
            <w:r>
              <w:rPr>
                <w:rFonts w:hint="eastAsia" w:ascii="宋体" w:hAnsi="宋体" w:cs="宋体"/>
                <w:color w:val="auto"/>
                <w:szCs w:val="21"/>
              </w:rPr>
              <w:t>应为中小型企业或监狱企业或残疾人福利性单位。（格式后附）</w:t>
            </w:r>
            <w:r>
              <w:rPr>
                <w:rFonts w:hint="eastAsia" w:ascii="宋体" w:hAnsi="宋体" w:cs="宋体"/>
                <w:b/>
                <w:bCs/>
                <w:color w:val="auto"/>
                <w:szCs w:val="21"/>
                <w:lang w:val="en-US" w:eastAsia="zh-CN"/>
              </w:rPr>
              <w:t>[</w:t>
            </w:r>
            <w:r>
              <w:rPr>
                <w:rFonts w:hint="eastAsia" w:ascii="宋体" w:hAnsi="宋体" w:cs="宋体"/>
                <w:b/>
                <w:bCs/>
                <w:color w:val="auto"/>
                <w:szCs w:val="21"/>
              </w:rPr>
              <w:t>《必须提供中小企业声明函或残疾人福利性单位声明函或属于监狱企业的证明资料》否则响应文件按无效响应处理</w:t>
            </w:r>
            <w:r>
              <w:rPr>
                <w:rFonts w:hint="eastAsia" w:ascii="宋体" w:hAnsi="宋体" w:cs="宋体"/>
                <w:b/>
                <w:bCs/>
                <w:color w:val="auto"/>
                <w:szCs w:val="21"/>
                <w:lang w:val="en-US" w:eastAsia="zh-CN"/>
              </w:rPr>
              <w:t>]</w:t>
            </w:r>
          </w:p>
          <w:p w14:paraId="02058E5D">
            <w:pPr>
              <w:snapToGrid w:val="0"/>
              <w:spacing w:before="120" w:line="360" w:lineRule="auto"/>
              <w:jc w:val="left"/>
              <w:rPr>
                <w:rFonts w:ascii="宋体" w:hAnsi="宋体" w:cs="宋体"/>
                <w:color w:val="auto"/>
                <w:szCs w:val="21"/>
              </w:rPr>
            </w:pPr>
            <w:r>
              <w:rPr>
                <w:rFonts w:hint="eastAsia"/>
                <w:color w:val="auto"/>
              </w:rPr>
              <w:t>8</w:t>
            </w:r>
            <w:r>
              <w:rPr>
                <w:rFonts w:hint="eastAsia" w:ascii="宋体" w:hAnsi="宋体" w:cs="宋体"/>
                <w:color w:val="auto"/>
                <w:szCs w:val="21"/>
              </w:rPr>
              <w:t>、除谈判文件规定必须提供以外，供应商认为需要提供的其他证明材料。</w:t>
            </w:r>
          </w:p>
          <w:p w14:paraId="12FBFF68">
            <w:pPr>
              <w:snapToGrid w:val="0"/>
              <w:spacing w:before="120" w:line="360" w:lineRule="auto"/>
              <w:jc w:val="left"/>
              <w:rPr>
                <w:rFonts w:ascii="宋体" w:hAnsi="宋体" w:cs="宋体"/>
                <w:b/>
                <w:color w:val="auto"/>
                <w:szCs w:val="21"/>
              </w:rPr>
            </w:pPr>
            <w:r>
              <w:rPr>
                <w:rFonts w:hint="eastAsia" w:ascii="宋体" w:hAnsi="宋体" w:cs="宋体"/>
                <w:b/>
                <w:color w:val="auto"/>
                <w:szCs w:val="21"/>
              </w:rPr>
              <w:t>注：</w:t>
            </w:r>
          </w:p>
          <w:p w14:paraId="152B7666">
            <w:pPr>
              <w:snapToGrid w:val="0"/>
              <w:spacing w:before="120" w:line="360" w:lineRule="auto"/>
              <w:ind w:left="-70"/>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1.以上标明“必须提供”的材料属于复印件的，必须加盖供应商公章，否则响应文件按无效响应处理。</w:t>
            </w:r>
          </w:p>
          <w:p w14:paraId="6EFEBC5A">
            <w:pPr>
              <w:snapToGrid w:val="0"/>
              <w:spacing w:before="120" w:line="360" w:lineRule="auto"/>
              <w:ind w:left="-70"/>
              <w:jc w:val="left"/>
              <w:rPr>
                <w:rFonts w:ascii="宋体" w:hAnsi="宋体" w:cs="宋体"/>
                <w:b/>
                <w:color w:val="auto"/>
                <w:szCs w:val="21"/>
              </w:rPr>
            </w:pPr>
            <w:r>
              <w:rPr>
                <w:rFonts w:hint="eastAsia" w:ascii="宋体" w:hAnsi="宋体" w:cs="宋体"/>
                <w:b/>
                <w:color w:val="auto"/>
                <w:szCs w:val="21"/>
              </w:rPr>
              <w:t>2.竞标声明必须由法定代表人在规定签章处逐一签字并加盖供应商公章，否则响应文件按无效响应处理。</w:t>
            </w:r>
          </w:p>
          <w:p w14:paraId="6E46F641">
            <w:pPr>
              <w:snapToGrid w:val="0"/>
              <w:spacing w:before="120" w:line="360" w:lineRule="auto"/>
              <w:ind w:left="-70"/>
              <w:jc w:val="left"/>
              <w:rPr>
                <w:rFonts w:ascii="宋体" w:hAnsi="宋体" w:cs="宋体"/>
                <w:b/>
                <w:color w:val="auto"/>
                <w:szCs w:val="21"/>
              </w:rPr>
            </w:pPr>
            <w:r>
              <w:rPr>
                <w:rFonts w:hint="eastAsia" w:ascii="宋体" w:hAnsi="宋体" w:cs="宋体"/>
                <w:b/>
                <w:color w:val="auto"/>
                <w:szCs w:val="21"/>
              </w:rPr>
              <w:t>3.供应商直接控股、管理关系信息表必须由法定代表人或者委托代理人在规定签章处逐一签字并加盖供应商公章，否则响应文件按无效响应处理。</w:t>
            </w:r>
          </w:p>
          <w:p w14:paraId="6F7EA497">
            <w:pPr>
              <w:snapToGrid w:val="0"/>
              <w:spacing w:before="120" w:line="360" w:lineRule="auto"/>
              <w:ind w:left="-70"/>
              <w:jc w:val="left"/>
              <w:rPr>
                <w:rFonts w:ascii="宋体" w:hAnsi="宋体" w:cs="宋体"/>
                <w:b/>
                <w:color w:val="auto"/>
                <w:szCs w:val="21"/>
              </w:rPr>
            </w:pPr>
            <w:r>
              <w:rPr>
                <w:rFonts w:hint="eastAsia" w:ascii="宋体" w:hAnsi="宋体" w:cs="宋体"/>
                <w:b/>
                <w:color w:val="auto"/>
                <w:szCs w:val="21"/>
              </w:rPr>
              <w:t>4.联合体竞标时，第1-5项资格证明文件联合体各方均必须分别提供，联合体各方分别盖章和签字，否则响应文件按无效响应处理。</w:t>
            </w:r>
          </w:p>
          <w:p w14:paraId="3006CC10">
            <w:pPr>
              <w:snapToGrid w:val="0"/>
              <w:spacing w:before="120" w:line="360" w:lineRule="auto"/>
              <w:jc w:val="left"/>
              <w:rPr>
                <w:rFonts w:ascii="宋体" w:hAnsi="宋体" w:cs="宋体"/>
                <w:b/>
                <w:color w:val="auto"/>
                <w:szCs w:val="21"/>
              </w:rPr>
            </w:pPr>
            <w:r>
              <w:rPr>
                <w:rFonts w:hint="eastAsia" w:ascii="宋体" w:hAnsi="宋体" w:cs="宋体"/>
                <w:b/>
                <w:color w:val="auto"/>
                <w:szCs w:val="21"/>
              </w:rPr>
              <w:t>5.</w:t>
            </w:r>
            <w:r>
              <w:rPr>
                <w:rFonts w:hint="eastAsia" w:ascii="宋体" w:hAnsi="宋体"/>
                <w:b/>
                <w:bCs/>
                <w:color w:val="auto"/>
                <w:szCs w:val="21"/>
              </w:rPr>
              <w:t>分公司参加竞标的，应当取得总公司授权</w:t>
            </w:r>
            <w:r>
              <w:rPr>
                <w:rFonts w:hint="eastAsia" w:ascii="宋体" w:hAnsi="宋体" w:cs="宋体"/>
                <w:b/>
                <w:color w:val="auto"/>
                <w:szCs w:val="21"/>
              </w:rPr>
              <w:t>，否则响应文件按无效响应处理。</w:t>
            </w:r>
          </w:p>
        </w:tc>
      </w:tr>
      <w:tr w14:paraId="08C7A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A5330E7">
            <w:pPr>
              <w:spacing w:before="120" w:line="360" w:lineRule="auto"/>
              <w:ind w:left="-70"/>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8695" w:type="dxa"/>
            <w:vAlign w:val="center"/>
          </w:tcPr>
          <w:p w14:paraId="00CA020F">
            <w:pPr>
              <w:spacing w:before="120" w:line="360" w:lineRule="auto"/>
              <w:rPr>
                <w:rFonts w:ascii="宋体" w:hAnsi="宋体" w:cs="宋体"/>
                <w:b/>
                <w:bCs/>
                <w:color w:val="auto"/>
                <w:szCs w:val="21"/>
              </w:rPr>
            </w:pPr>
            <w:r>
              <w:rPr>
                <w:rFonts w:hint="eastAsia" w:ascii="宋体" w:hAnsi="宋体" w:cs="宋体"/>
                <w:b/>
                <w:bCs/>
                <w:color w:val="auto"/>
                <w:szCs w:val="21"/>
              </w:rPr>
              <w:t>报价文件</w:t>
            </w:r>
          </w:p>
          <w:p w14:paraId="07F6121B">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1、竞标报价表（格式后附）；（必须提供，否则响应文件按无效响应处理）</w:t>
            </w:r>
          </w:p>
          <w:p w14:paraId="0F5A8CE6">
            <w:pPr>
              <w:snapToGrid w:val="0"/>
              <w:spacing w:before="120" w:line="360" w:lineRule="auto"/>
              <w:ind w:left="-70"/>
              <w:jc w:val="left"/>
              <w:rPr>
                <w:rFonts w:hint="eastAsia" w:ascii="宋体" w:hAnsi="宋体" w:cs="宋体"/>
                <w:color w:val="auto"/>
                <w:szCs w:val="21"/>
              </w:rPr>
            </w:pPr>
            <w:r>
              <w:rPr>
                <w:rFonts w:hint="eastAsia" w:ascii="宋体" w:hAnsi="宋体" w:cs="宋体"/>
                <w:color w:val="auto"/>
                <w:szCs w:val="21"/>
              </w:rPr>
              <w:t>2、供应商认为需要提供的其他有关资料。</w:t>
            </w:r>
          </w:p>
          <w:p w14:paraId="5C3F19E5">
            <w:pPr>
              <w:snapToGrid w:val="0"/>
              <w:spacing w:before="120" w:line="360" w:lineRule="auto"/>
              <w:ind w:left="-70"/>
              <w:jc w:val="left"/>
              <w:rPr>
                <w:rFonts w:ascii="宋体" w:hAnsi="宋体" w:cs="宋体"/>
                <w:b/>
                <w:color w:val="auto"/>
                <w:szCs w:val="21"/>
              </w:rPr>
            </w:pPr>
            <w:r>
              <w:rPr>
                <w:rFonts w:hint="eastAsia" w:ascii="宋体" w:hAnsi="宋体" w:cs="宋体"/>
                <w:b/>
                <w:bCs/>
                <w:color w:val="auto"/>
                <w:szCs w:val="21"/>
              </w:rPr>
              <w:t>注：以上标明“必须提供”的材料属于复印件的，必须加盖供应商公章，否则响应文件按无效响应处理。</w:t>
            </w:r>
          </w:p>
        </w:tc>
      </w:tr>
      <w:tr w14:paraId="4F90D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92" w:type="dxa"/>
            <w:vAlign w:val="center"/>
          </w:tcPr>
          <w:p w14:paraId="3F0714CA">
            <w:pPr>
              <w:spacing w:before="120" w:line="360" w:lineRule="auto"/>
              <w:ind w:left="-70"/>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8695" w:type="dxa"/>
            <w:vAlign w:val="center"/>
          </w:tcPr>
          <w:p w14:paraId="19CCF345">
            <w:pPr>
              <w:spacing w:before="120" w:line="360" w:lineRule="auto"/>
              <w:rPr>
                <w:rFonts w:hint="eastAsia" w:ascii="宋体" w:hAnsi="宋体" w:cs="宋体"/>
                <w:b/>
                <w:color w:val="auto"/>
                <w:szCs w:val="21"/>
              </w:rPr>
            </w:pPr>
            <w:r>
              <w:rPr>
                <w:rFonts w:hint="eastAsia" w:ascii="宋体" w:hAnsi="宋体" w:cs="宋体"/>
                <w:b/>
                <w:color w:val="auto"/>
                <w:szCs w:val="21"/>
              </w:rPr>
              <w:t>商务技术文件</w:t>
            </w:r>
          </w:p>
          <w:p w14:paraId="1C105A74">
            <w:pPr>
              <w:spacing w:before="120" w:line="360" w:lineRule="auto"/>
              <w:ind w:left="-70"/>
              <w:jc w:val="left"/>
              <w:rPr>
                <w:rFonts w:hint="eastAsia" w:ascii="宋体" w:hAnsi="宋体" w:cs="宋体"/>
                <w:color w:val="auto"/>
                <w:szCs w:val="21"/>
              </w:rPr>
            </w:pPr>
            <w:r>
              <w:rPr>
                <w:rFonts w:hint="eastAsia" w:ascii="宋体" w:hAnsi="宋体" w:cs="宋体"/>
                <w:color w:val="auto"/>
                <w:szCs w:val="21"/>
                <w:lang w:val="en-US" w:eastAsia="zh-CN"/>
              </w:rPr>
              <w:t>1、无串通竞标行为的承诺函</w:t>
            </w:r>
            <w:r>
              <w:rPr>
                <w:rFonts w:hint="eastAsia" w:ascii="宋体" w:hAnsi="宋体" w:cs="宋体"/>
                <w:color w:val="auto"/>
                <w:szCs w:val="21"/>
              </w:rPr>
              <w:t>（格式后附）；</w:t>
            </w:r>
            <w:r>
              <w:rPr>
                <w:rFonts w:hint="eastAsia" w:ascii="宋体" w:hAnsi="宋体" w:cs="宋体"/>
                <w:b/>
                <w:bCs/>
                <w:color w:val="auto"/>
                <w:szCs w:val="21"/>
              </w:rPr>
              <w:t>（必须提供，否则响应文件按无效响应处理）</w:t>
            </w:r>
          </w:p>
          <w:p w14:paraId="43F3A9F7">
            <w:pPr>
              <w:spacing w:before="120" w:line="360" w:lineRule="auto"/>
              <w:ind w:left="-70"/>
              <w:jc w:val="left"/>
              <w:rPr>
                <w:color w:val="auto"/>
              </w:rPr>
            </w:pPr>
            <w:r>
              <w:rPr>
                <w:rFonts w:hint="eastAsia" w:ascii="宋体" w:hAnsi="宋体" w:cs="宋体"/>
                <w:color w:val="auto"/>
                <w:szCs w:val="21"/>
              </w:rPr>
              <w:t>2、法定代表人身份证明及法定代表人有效身份证正反面复印件（格式后附）；（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3835C54">
            <w:pPr>
              <w:snapToGrid w:val="0"/>
              <w:spacing w:before="120" w:line="360" w:lineRule="auto"/>
              <w:ind w:left="-70"/>
              <w:jc w:val="left"/>
              <w:rPr>
                <w:rFonts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14:paraId="71997C6D">
            <w:pPr>
              <w:spacing w:before="120" w:line="360" w:lineRule="auto"/>
              <w:jc w:val="left"/>
              <w:rPr>
                <w:rFonts w:ascii="宋体" w:hAnsi="宋体" w:cs="宋体"/>
                <w:color w:val="auto"/>
                <w:szCs w:val="21"/>
              </w:rPr>
            </w:pPr>
            <w:r>
              <w:rPr>
                <w:rFonts w:hint="eastAsia" w:ascii="宋体" w:hAnsi="宋体" w:cs="宋体"/>
                <w:color w:val="auto"/>
                <w:szCs w:val="21"/>
              </w:rPr>
              <w:t>4、竞标保证金提交凭证；（</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47BDE597">
            <w:pPr>
              <w:spacing w:before="120" w:line="360" w:lineRule="auto"/>
              <w:jc w:val="left"/>
              <w:rPr>
                <w:rFonts w:ascii="宋体" w:hAnsi="宋体" w:cs="宋体"/>
                <w:color w:val="auto"/>
                <w:szCs w:val="21"/>
              </w:rPr>
            </w:pPr>
            <w:r>
              <w:rPr>
                <w:rFonts w:hint="eastAsia" w:ascii="宋体" w:hAnsi="宋体" w:cs="宋体"/>
                <w:color w:val="auto"/>
                <w:szCs w:val="21"/>
              </w:rPr>
              <w:t>5、商务要求偏离表（格式后附）；（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5763FC8B">
            <w:pPr>
              <w:snapToGrid w:val="0"/>
              <w:spacing w:before="120" w:line="360" w:lineRule="auto"/>
              <w:jc w:val="left"/>
              <w:rPr>
                <w:rFonts w:ascii="宋体" w:hAnsi="宋体" w:cs="宋体"/>
                <w:b/>
                <w:color w:val="auto"/>
                <w:szCs w:val="21"/>
              </w:rPr>
            </w:pPr>
            <w:r>
              <w:rPr>
                <w:rFonts w:hint="eastAsia" w:ascii="宋体" w:hAnsi="宋体" w:cs="宋体"/>
                <w:color w:val="auto"/>
                <w:szCs w:val="21"/>
              </w:rPr>
              <w:t>6、售后服务承诺（格式自拟）；（</w:t>
            </w:r>
            <w:r>
              <w:rPr>
                <w:rFonts w:hint="eastAsia" w:ascii="宋体" w:hAnsi="宋体" w:cs="宋体"/>
                <w:b/>
                <w:color w:val="auto"/>
                <w:szCs w:val="21"/>
              </w:rPr>
              <w:t>必须提供，否则响应文件按无效响应处理）</w:t>
            </w:r>
          </w:p>
          <w:p w14:paraId="6B0D2E1D">
            <w:pPr>
              <w:snapToGrid w:val="0"/>
              <w:spacing w:before="120" w:line="360" w:lineRule="auto"/>
              <w:ind w:left="-70"/>
              <w:jc w:val="left"/>
              <w:rPr>
                <w:rFonts w:ascii="宋体" w:hAnsi="宋体" w:cs="宋体"/>
                <w:b/>
                <w:color w:val="auto"/>
                <w:szCs w:val="21"/>
              </w:rPr>
            </w:pPr>
            <w:r>
              <w:rPr>
                <w:rFonts w:hint="eastAsia" w:ascii="宋体" w:hAnsi="宋体" w:cs="宋体"/>
                <w:color w:val="auto"/>
                <w:szCs w:val="21"/>
              </w:rPr>
              <w:t>7、货物配置清单（均不含报价）（格式后附）；</w:t>
            </w:r>
            <w:r>
              <w:rPr>
                <w:rFonts w:hint="eastAsia" w:ascii="宋体" w:hAnsi="宋体" w:cs="宋体"/>
                <w:b/>
                <w:color w:val="auto"/>
                <w:szCs w:val="21"/>
              </w:rPr>
              <w:t xml:space="preserve"> </w:t>
            </w:r>
            <w:r>
              <w:rPr>
                <w:rFonts w:hint="eastAsia" w:ascii="宋体" w:hAnsi="宋体" w:cs="宋体"/>
                <w:color w:val="auto"/>
                <w:szCs w:val="21"/>
              </w:rPr>
              <w:t>（</w:t>
            </w:r>
            <w:r>
              <w:rPr>
                <w:rFonts w:hint="eastAsia" w:ascii="宋体" w:hAnsi="宋体" w:cs="宋体"/>
                <w:b/>
                <w:color w:val="auto"/>
                <w:szCs w:val="21"/>
              </w:rPr>
              <w:t>必须提供，否则响应文件按无效响应处理）</w:t>
            </w:r>
          </w:p>
          <w:p w14:paraId="28CB8BFA">
            <w:pPr>
              <w:snapToGrid w:val="0"/>
              <w:spacing w:before="120" w:line="360" w:lineRule="auto"/>
              <w:jc w:val="left"/>
              <w:rPr>
                <w:rFonts w:ascii="宋体" w:hAnsi="宋体" w:cs="宋体"/>
                <w:color w:val="auto"/>
                <w:szCs w:val="21"/>
              </w:rPr>
            </w:pPr>
            <w:r>
              <w:rPr>
                <w:rFonts w:hint="eastAsia" w:ascii="宋体" w:hAnsi="宋体" w:cs="宋体"/>
                <w:color w:val="auto"/>
                <w:szCs w:val="21"/>
              </w:rPr>
              <w:t>8、技术偏离表（格式后附）；</w:t>
            </w:r>
            <w:r>
              <w:rPr>
                <w:rFonts w:hint="eastAsia" w:ascii="宋体" w:hAnsi="宋体" w:cs="宋体"/>
                <w:b/>
                <w:color w:val="auto"/>
                <w:szCs w:val="21"/>
              </w:rPr>
              <w:t>（必须提供，否则响应文件按无效响应处理）</w:t>
            </w:r>
          </w:p>
          <w:p w14:paraId="12BBDBAE">
            <w:pPr>
              <w:snapToGrid w:val="0"/>
              <w:spacing w:before="120" w:line="360" w:lineRule="auto"/>
              <w:ind w:left="-70"/>
              <w:jc w:val="left"/>
              <w:rPr>
                <w:rFonts w:ascii="宋体" w:hAnsi="宋体" w:cs="宋体"/>
                <w:color w:val="auto"/>
                <w:szCs w:val="21"/>
              </w:rPr>
            </w:pPr>
            <w:r>
              <w:rPr>
                <w:rFonts w:hint="eastAsia" w:ascii="宋体" w:hAnsi="宋体" w:cs="宋体"/>
                <w:color w:val="auto"/>
                <w:szCs w:val="21"/>
              </w:rPr>
              <w:t>9、对应采购需求的技术要求、商务要求提供的其他文件资料（格式自拟）；(</w:t>
            </w:r>
            <w:r>
              <w:rPr>
                <w:rFonts w:hint="eastAsia" w:ascii="宋体" w:hAnsi="宋体" w:cs="宋体"/>
                <w:b/>
                <w:color w:val="auto"/>
                <w:szCs w:val="21"/>
              </w:rPr>
              <w:t>如有要求提交的则必须提供，否则响应文件按无效响应处理）</w:t>
            </w:r>
          </w:p>
          <w:p w14:paraId="3B24648F">
            <w:pPr>
              <w:snapToGrid w:val="0"/>
              <w:spacing w:before="120" w:line="360" w:lineRule="auto"/>
              <w:jc w:val="left"/>
              <w:rPr>
                <w:rFonts w:ascii="宋体" w:hAnsi="宋体" w:cs="宋体"/>
                <w:color w:val="auto"/>
                <w:szCs w:val="21"/>
              </w:rPr>
            </w:pPr>
            <w:r>
              <w:rPr>
                <w:rFonts w:hint="eastAsia" w:ascii="宋体" w:hAnsi="宋体" w:cs="宋体"/>
                <w:color w:val="auto"/>
                <w:szCs w:val="21"/>
              </w:rPr>
              <w:t>10、供应商认为需要提供的其他有关资料。</w:t>
            </w:r>
          </w:p>
          <w:p w14:paraId="60D8750E">
            <w:pPr>
              <w:snapToGrid w:val="0"/>
              <w:spacing w:before="120" w:line="360" w:lineRule="exact"/>
              <w:ind w:left="-70"/>
              <w:jc w:val="left"/>
              <w:rPr>
                <w:rFonts w:ascii="宋体" w:hAnsi="宋体" w:cs="宋体"/>
                <w:b/>
                <w:color w:val="auto"/>
                <w:szCs w:val="21"/>
              </w:rPr>
            </w:pPr>
            <w:r>
              <w:rPr>
                <w:rFonts w:hint="eastAsia" w:ascii="宋体" w:hAnsi="宋体" w:cs="宋体"/>
                <w:b/>
                <w:color w:val="auto"/>
                <w:szCs w:val="21"/>
              </w:rPr>
              <w:t>注：以上标明“必须提供”材料复印件的，必须加盖供应商公章，否则响应文件按无效响应处理。</w:t>
            </w:r>
          </w:p>
        </w:tc>
      </w:tr>
      <w:tr w14:paraId="4F247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4" w:hRule="atLeast"/>
          <w:jc w:val="center"/>
        </w:trPr>
        <w:tc>
          <w:tcPr>
            <w:tcW w:w="992" w:type="dxa"/>
            <w:vAlign w:val="center"/>
          </w:tcPr>
          <w:p w14:paraId="1D17C2D2">
            <w:pPr>
              <w:spacing w:before="120" w:line="360" w:lineRule="auto"/>
              <w:ind w:left="-70"/>
              <w:jc w:val="center"/>
              <w:rPr>
                <w:rFonts w:ascii="宋体" w:hAnsi="宋体" w:cs="宋体"/>
                <w:color w:val="auto"/>
                <w:szCs w:val="21"/>
              </w:rPr>
            </w:pPr>
            <w:r>
              <w:rPr>
                <w:rFonts w:hint="eastAsia" w:ascii="宋体" w:hAnsi="宋体" w:cs="宋体"/>
                <w:color w:val="auto"/>
                <w:szCs w:val="21"/>
              </w:rPr>
              <w:t>15.2</w:t>
            </w:r>
          </w:p>
        </w:tc>
        <w:tc>
          <w:tcPr>
            <w:tcW w:w="8695" w:type="dxa"/>
            <w:vAlign w:val="center"/>
          </w:tcPr>
          <w:p w14:paraId="301CF200">
            <w:pPr>
              <w:snapToGrid w:val="0"/>
              <w:spacing w:before="120" w:line="400" w:lineRule="exact"/>
              <w:jc w:val="left"/>
              <w:rPr>
                <w:rFonts w:ascii="宋体" w:hAnsi="宋体" w:cs="宋体"/>
                <w:color w:val="auto"/>
                <w:szCs w:val="21"/>
              </w:rPr>
            </w:pPr>
            <w:r>
              <w:rPr>
                <w:rFonts w:hint="eastAsia" w:ascii="宋体" w:hAnsi="宋体"/>
                <w:color w:val="auto"/>
                <w:szCs w:val="21"/>
              </w:rPr>
              <w:t>竞标报价必须包含满足本次竞标全部采购需求所应提供的货物，以及伴随的服务和工程（如有）的价格；包含竞标货物、工程的成本、运输（含保险）、安装（如有）、调试、检验、技术服务、培训、税费等所有费用。（采购需求另有约定的，从其约定。）</w:t>
            </w:r>
          </w:p>
        </w:tc>
      </w:tr>
      <w:tr w14:paraId="35DC7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4DC649">
            <w:pPr>
              <w:spacing w:before="120" w:line="360" w:lineRule="auto"/>
              <w:ind w:left="-70"/>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8695" w:type="dxa"/>
            <w:vAlign w:val="center"/>
          </w:tcPr>
          <w:p w14:paraId="49BB1AD5">
            <w:pPr>
              <w:pStyle w:val="9"/>
              <w:widowControl w:val="0"/>
              <w:tabs>
                <w:tab w:val="clear" w:pos="454"/>
              </w:tabs>
              <w:snapToGrid w:val="0"/>
              <w:spacing w:before="120" w:afterLines="0" w:line="400" w:lineRule="exact"/>
              <w:ind w:left="283" w:hanging="283" w:hangingChars="135"/>
              <w:rPr>
                <w:rFonts w:ascii="宋体" w:hAnsi="宋体" w:cs="宋体"/>
                <w:color w:val="auto"/>
                <w:kern w:val="2"/>
                <w:sz w:val="21"/>
                <w:szCs w:val="21"/>
              </w:rPr>
            </w:pPr>
            <w:r>
              <w:rPr>
                <w:rFonts w:hint="eastAsia" w:ascii="宋体" w:hAnsi="宋体" w:cs="宋体"/>
                <w:color w:val="auto"/>
                <w:kern w:val="2"/>
                <w:sz w:val="21"/>
                <w:szCs w:val="21"/>
              </w:rPr>
              <w:t xml:space="preserve">竞标有效期：首次响应文件提交截止之日起60天内。 </w:t>
            </w:r>
          </w:p>
        </w:tc>
      </w:tr>
      <w:tr w14:paraId="742C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619614">
            <w:pPr>
              <w:spacing w:before="120" w:line="360" w:lineRule="auto"/>
              <w:ind w:left="-70"/>
              <w:jc w:val="center"/>
              <w:rPr>
                <w:rFonts w:ascii="宋体" w:hAnsi="宋体" w:cs="宋体"/>
                <w:color w:val="auto"/>
                <w:szCs w:val="21"/>
              </w:rPr>
            </w:pPr>
            <w:r>
              <w:rPr>
                <w:rFonts w:hint="eastAsia" w:ascii="宋体" w:hAnsi="宋体" w:cs="宋体"/>
                <w:color w:val="auto"/>
                <w:szCs w:val="21"/>
              </w:rPr>
              <w:t>17.1</w:t>
            </w:r>
          </w:p>
        </w:tc>
        <w:tc>
          <w:tcPr>
            <w:tcW w:w="8695" w:type="dxa"/>
            <w:vAlign w:val="center"/>
          </w:tcPr>
          <w:p w14:paraId="12E34F37">
            <w:pPr>
              <w:spacing w:before="120" w:line="360" w:lineRule="auto"/>
              <w:rPr>
                <w:rFonts w:ascii="宋体" w:hAnsi="宋体" w:cs="宋体"/>
                <w:color w:val="auto"/>
                <w:szCs w:val="21"/>
              </w:rPr>
            </w:pPr>
            <w:r>
              <w:rPr>
                <w:rFonts w:hint="eastAsia" w:ascii="宋体" w:hAnsi="宋体" w:cs="宋体"/>
                <w:color w:val="auto"/>
                <w:szCs w:val="21"/>
              </w:rPr>
              <w:t xml:space="preserve">□本项目不收取竞标保证金。 </w:t>
            </w:r>
          </w:p>
          <w:p w14:paraId="57A280F5">
            <w:pPr>
              <w:spacing w:before="120" w:line="360" w:lineRule="auto"/>
              <w:rPr>
                <w:rFonts w:ascii="宋体" w:hAnsi="宋体" w:cs="宋体"/>
                <w:color w:val="auto"/>
                <w:szCs w:val="21"/>
              </w:rPr>
            </w:pPr>
            <w:r>
              <w:rPr>
                <w:rFonts w:hint="eastAsia" w:ascii="宋体" w:hAnsi="宋体" w:cs="宋体"/>
                <w:color w:val="auto"/>
                <w:szCs w:val="21"/>
              </w:rPr>
              <w:t>☑本项目收取竞标保证金</w:t>
            </w:r>
            <w:r>
              <w:rPr>
                <w:rFonts w:hint="eastAsia" w:ascii="宋体" w:hAnsi="宋体" w:cs="宋体"/>
                <w:color w:val="auto"/>
                <w:szCs w:val="21"/>
                <w:u w:val="single"/>
              </w:rPr>
              <w:t>10000.00</w:t>
            </w:r>
            <w:r>
              <w:rPr>
                <w:rFonts w:hint="eastAsia" w:ascii="宋体" w:hAnsi="宋体" w:cs="宋体"/>
                <w:color w:val="auto"/>
                <w:szCs w:val="21"/>
              </w:rPr>
              <w:t xml:space="preserve">元。 </w:t>
            </w:r>
          </w:p>
          <w:p w14:paraId="68BD0B83">
            <w:pPr>
              <w:spacing w:before="120" w:line="360" w:lineRule="auto"/>
              <w:ind w:left="-70"/>
              <w:rPr>
                <w:rFonts w:ascii="宋体" w:hAnsi="宋体" w:cs="宋体"/>
                <w:color w:val="auto"/>
                <w:szCs w:val="21"/>
              </w:rPr>
            </w:pPr>
            <w:r>
              <w:rPr>
                <w:rFonts w:hint="eastAsia" w:ascii="宋体" w:hAnsi="宋体" w:cs="宋体"/>
                <w:color w:val="auto"/>
                <w:szCs w:val="21"/>
              </w:rPr>
              <w:t xml:space="preserve">竞标保证金的交纳方式：银行转账、支票、汇票、本票或者银行、保险机构出具的保函（包 </w:t>
            </w:r>
          </w:p>
          <w:p w14:paraId="2E1BB920">
            <w:pPr>
              <w:spacing w:before="120" w:line="360" w:lineRule="auto"/>
              <w:ind w:left="-70"/>
              <w:rPr>
                <w:rFonts w:ascii="宋体" w:hAnsi="宋体" w:cs="宋体"/>
                <w:color w:val="auto"/>
                <w:szCs w:val="21"/>
              </w:rPr>
            </w:pPr>
            <w:r>
              <w:rPr>
                <w:rFonts w:hint="eastAsia" w:ascii="宋体" w:hAnsi="宋体" w:cs="宋体"/>
                <w:color w:val="auto"/>
                <w:szCs w:val="21"/>
              </w:rPr>
              <w:t>含电子保函），禁止采用现钞方式。采用银行转账方式的，在响应文件提交截止时间前从竞标人账户交至指定账户并且到账（开户名称：</w:t>
            </w:r>
            <w:r>
              <w:rPr>
                <w:rFonts w:hint="eastAsia" w:ascii="宋体" w:hAnsi="宋体" w:cs="宋体"/>
                <w:color w:val="auto"/>
              </w:rPr>
              <w:t>广西科文招标有限公司玉林第二分公司</w:t>
            </w:r>
            <w:r>
              <w:rPr>
                <w:rFonts w:hint="eastAsia" w:ascii="宋体" w:hAnsi="宋体" w:cs="宋体"/>
                <w:color w:val="auto"/>
                <w:szCs w:val="21"/>
              </w:rPr>
              <w:t>，开户银行：</w:t>
            </w:r>
            <w:r>
              <w:rPr>
                <w:rFonts w:hint="eastAsia" w:ascii="宋体" w:hAnsi="宋体" w:cs="宋体"/>
                <w:color w:val="auto"/>
              </w:rPr>
              <w:t>广西北部湾银行股份有限公司玉林市玉东支行</w:t>
            </w:r>
            <w:r>
              <w:rPr>
                <w:rFonts w:hint="eastAsia" w:ascii="宋体" w:hAnsi="宋体" w:cs="宋体"/>
                <w:color w:val="auto"/>
                <w:szCs w:val="21"/>
              </w:rPr>
              <w:t>，银行账号：</w:t>
            </w:r>
            <w:r>
              <w:rPr>
                <w:rFonts w:hint="eastAsia" w:ascii="宋体" w:hAnsi="宋体" w:cs="宋体"/>
                <w:color w:val="auto"/>
              </w:rPr>
              <w:t>805461433000002</w:t>
            </w:r>
            <w:r>
              <w:rPr>
                <w:rFonts w:hint="eastAsia" w:ascii="宋体" w:hAnsi="宋体" w:cs="宋体"/>
                <w:color w:val="auto"/>
                <w:szCs w:val="21"/>
              </w:rPr>
              <w:t xml:space="preserve">）。 </w:t>
            </w:r>
          </w:p>
          <w:p w14:paraId="64E1CFE7">
            <w:pPr>
              <w:spacing w:before="120" w:line="360" w:lineRule="auto"/>
              <w:rPr>
                <w:rFonts w:ascii="宋体" w:hAnsi="宋体" w:cs="宋体"/>
                <w:color w:val="auto"/>
                <w:szCs w:val="21"/>
              </w:rPr>
            </w:pPr>
            <w:r>
              <w:rPr>
                <w:rFonts w:hint="eastAsia" w:ascii="宋体" w:hAnsi="宋体" w:cs="宋体"/>
                <w:color w:val="auto"/>
                <w:szCs w:val="21"/>
              </w:rPr>
              <w:t xml:space="preserve">相关要求： </w:t>
            </w:r>
          </w:p>
          <w:p w14:paraId="7B2F65D8">
            <w:pPr>
              <w:spacing w:before="120" w:line="360" w:lineRule="auto"/>
              <w:ind w:left="-70"/>
              <w:rPr>
                <w:rFonts w:ascii="宋体" w:hAnsi="宋体" w:cs="宋体"/>
                <w:b/>
                <w:bCs/>
                <w:color w:val="auto"/>
                <w:szCs w:val="21"/>
              </w:rPr>
            </w:pPr>
            <w:r>
              <w:rPr>
                <w:rFonts w:hint="eastAsia" w:ascii="宋体" w:hAnsi="宋体" w:cs="宋体"/>
                <w:color w:val="auto"/>
                <w:szCs w:val="21"/>
              </w:rPr>
              <w:t>1.竞标保证金采用银行转账交纳方式，在响应文件提交截止时间前交至指定账户并且到账，供应商应将银行转账底单的复印件作为竞标保证金提交凭证，放置于商务及技术文件中，</w:t>
            </w:r>
            <w:r>
              <w:rPr>
                <w:rFonts w:hint="eastAsia" w:ascii="宋体" w:hAnsi="宋体" w:cs="宋体"/>
                <w:b/>
                <w:bCs/>
                <w:color w:val="auto"/>
                <w:szCs w:val="21"/>
              </w:rPr>
              <w:t xml:space="preserve">否则竞标无效。 </w:t>
            </w:r>
          </w:p>
          <w:p w14:paraId="7DCA021E">
            <w:pPr>
              <w:spacing w:before="120" w:line="360" w:lineRule="auto"/>
              <w:ind w:left="-70"/>
              <w:rPr>
                <w:rFonts w:ascii="宋体" w:hAnsi="宋体" w:cs="宋体"/>
                <w:color w:val="auto"/>
                <w:szCs w:val="21"/>
              </w:rPr>
            </w:pPr>
            <w:r>
              <w:rPr>
                <w:rFonts w:hint="eastAsia" w:ascii="宋体" w:hAnsi="宋体" w:cs="宋体"/>
                <w:color w:val="auto"/>
                <w:szCs w:val="21"/>
              </w:rPr>
              <w:t xml:space="preserve">2.竞标保证金采用支票、汇票、本票或者银行、保险机构出具的保函（包含电子保函）交纳 </w:t>
            </w:r>
          </w:p>
          <w:p w14:paraId="3DC7A17C">
            <w:pPr>
              <w:spacing w:before="120" w:line="360" w:lineRule="auto"/>
              <w:ind w:left="-70"/>
              <w:rPr>
                <w:rFonts w:ascii="宋体" w:hAnsi="宋体" w:cs="宋体"/>
                <w:color w:val="auto"/>
                <w:szCs w:val="21"/>
              </w:rPr>
            </w:pPr>
            <w:r>
              <w:rPr>
                <w:rFonts w:hint="eastAsia" w:ascii="宋体" w:hAnsi="宋体" w:cs="宋体"/>
                <w:color w:val="auto"/>
                <w:szCs w:val="21"/>
              </w:rPr>
              <w:t xml:space="preserve">方式的，供应商应将支票、汇票、本票或者银行、保险机构出具的保函（包含电子保函）的 </w:t>
            </w:r>
          </w:p>
          <w:p w14:paraId="20A992D6">
            <w:pPr>
              <w:spacing w:before="120" w:line="360" w:lineRule="auto"/>
              <w:rPr>
                <w:rFonts w:ascii="宋体" w:hAnsi="宋体" w:cs="宋体"/>
                <w:color w:val="auto"/>
                <w:szCs w:val="21"/>
              </w:rPr>
            </w:pPr>
            <w:r>
              <w:rPr>
                <w:rFonts w:hint="eastAsia" w:ascii="宋体" w:hAnsi="宋体" w:cs="宋体"/>
                <w:color w:val="auto"/>
                <w:szCs w:val="21"/>
              </w:rPr>
              <w:t>复印件作为竞标保证金提交凭证，放置于商务及技术文件中，</w:t>
            </w:r>
            <w:r>
              <w:rPr>
                <w:rFonts w:hint="eastAsia" w:ascii="宋体" w:hAnsi="宋体" w:cs="宋体"/>
                <w:b/>
                <w:bCs/>
                <w:color w:val="auto"/>
                <w:szCs w:val="21"/>
              </w:rPr>
              <w:t>否则竞标无效</w:t>
            </w:r>
            <w:r>
              <w:rPr>
                <w:rFonts w:hint="eastAsia" w:ascii="宋体" w:hAnsi="宋体" w:cs="宋体"/>
                <w:color w:val="auto"/>
                <w:szCs w:val="21"/>
              </w:rPr>
              <w:t>。</w:t>
            </w:r>
          </w:p>
          <w:p w14:paraId="37FBF8CA">
            <w:pPr>
              <w:spacing w:before="120" w:line="360" w:lineRule="auto"/>
              <w:ind w:left="-70"/>
              <w:rPr>
                <w:rFonts w:ascii="宋体" w:hAnsi="宋体" w:cs="宋体"/>
                <w:color w:val="auto"/>
                <w:szCs w:val="21"/>
              </w:rPr>
            </w:pPr>
            <w:r>
              <w:rPr>
                <w:rFonts w:hint="eastAsia" w:ascii="宋体" w:hAnsi="宋体" w:cs="宋体"/>
                <w:color w:val="auto"/>
                <w:szCs w:val="21"/>
              </w:rPr>
              <w:t xml:space="preserve">3.竞标人为联合体的，可以由联合体中的一方或者多方共同交纳竞标保证金，其交纳的保证 </w:t>
            </w:r>
          </w:p>
          <w:p w14:paraId="00602D5F">
            <w:pPr>
              <w:spacing w:before="120" w:line="360" w:lineRule="auto"/>
              <w:rPr>
                <w:rFonts w:ascii="宋体" w:hAnsi="宋体" w:cs="宋体"/>
                <w:color w:val="auto"/>
                <w:szCs w:val="21"/>
              </w:rPr>
            </w:pPr>
            <w:r>
              <w:rPr>
                <w:rFonts w:hint="eastAsia" w:ascii="宋体" w:hAnsi="宋体" w:cs="宋体"/>
                <w:color w:val="auto"/>
                <w:szCs w:val="21"/>
              </w:rPr>
              <w:t xml:space="preserve">金对联合体各方均具有约束力。 </w:t>
            </w:r>
          </w:p>
          <w:p w14:paraId="247D1FE9">
            <w:pPr>
              <w:spacing w:before="120" w:line="360" w:lineRule="auto"/>
              <w:rPr>
                <w:rFonts w:ascii="宋体" w:hAnsi="宋体" w:cs="宋体"/>
                <w:b/>
                <w:bCs/>
                <w:color w:val="auto"/>
                <w:szCs w:val="21"/>
              </w:rPr>
            </w:pPr>
            <w:r>
              <w:rPr>
                <w:rFonts w:hint="eastAsia" w:ascii="宋体" w:hAnsi="宋体" w:cs="宋体"/>
                <w:b/>
                <w:bCs/>
                <w:color w:val="auto"/>
                <w:szCs w:val="21"/>
              </w:rPr>
              <w:t xml:space="preserve">备注： </w:t>
            </w:r>
          </w:p>
          <w:p w14:paraId="18496092">
            <w:pPr>
              <w:spacing w:before="120" w:line="360" w:lineRule="auto"/>
              <w:ind w:left="-70"/>
              <w:rPr>
                <w:rFonts w:ascii="宋体" w:hAnsi="宋体" w:cs="宋体"/>
                <w:b/>
                <w:bCs/>
                <w:color w:val="auto"/>
                <w:szCs w:val="21"/>
              </w:rPr>
            </w:pPr>
            <w:r>
              <w:rPr>
                <w:rFonts w:hint="eastAsia" w:ascii="宋体" w:hAnsi="宋体" w:cs="宋体"/>
                <w:b/>
                <w:bCs/>
                <w:color w:val="auto"/>
                <w:szCs w:val="21"/>
              </w:rPr>
              <w:t xml:space="preserve">1. 竞标保证金在响应文件提交截止时间后提交的，或者不按规定交纳方式交纳的，或者未足额交纳的（包含保函额度不足的），视为无效竞标保证金。 </w:t>
            </w:r>
          </w:p>
          <w:p w14:paraId="7328043D">
            <w:pPr>
              <w:spacing w:before="120" w:line="360" w:lineRule="auto"/>
              <w:ind w:left="-70"/>
              <w:rPr>
                <w:rFonts w:ascii="宋体" w:hAnsi="宋体" w:cs="宋体"/>
                <w:b/>
                <w:bCs/>
                <w:color w:val="auto"/>
                <w:szCs w:val="21"/>
              </w:rPr>
            </w:pPr>
            <w:r>
              <w:rPr>
                <w:rFonts w:hint="eastAsia" w:ascii="宋体" w:hAnsi="宋体" w:cs="宋体"/>
                <w:b/>
                <w:bCs/>
                <w:color w:val="auto"/>
                <w:szCs w:val="21"/>
              </w:rPr>
              <w:t xml:space="preserve">2.竞标人采用现钞方式或者从个人账户（自然人竞标除外）转出的竞标保证金，视为无效竞 </w:t>
            </w:r>
          </w:p>
          <w:p w14:paraId="1849BF85">
            <w:pPr>
              <w:spacing w:before="120" w:line="360" w:lineRule="auto"/>
              <w:rPr>
                <w:rFonts w:ascii="宋体" w:hAnsi="宋体" w:cs="宋体"/>
                <w:b/>
                <w:bCs/>
                <w:color w:val="auto"/>
                <w:szCs w:val="21"/>
              </w:rPr>
            </w:pPr>
            <w:r>
              <w:rPr>
                <w:rFonts w:hint="eastAsia" w:ascii="宋体" w:hAnsi="宋体" w:cs="宋体"/>
                <w:b/>
                <w:bCs/>
                <w:color w:val="auto"/>
                <w:szCs w:val="21"/>
              </w:rPr>
              <w:t xml:space="preserve">标保证金。 </w:t>
            </w:r>
          </w:p>
          <w:p w14:paraId="65903883">
            <w:pPr>
              <w:spacing w:before="120" w:line="360" w:lineRule="auto"/>
              <w:rPr>
                <w:rFonts w:ascii="宋体" w:hAnsi="宋体" w:cs="宋体"/>
                <w:b/>
                <w:bCs/>
                <w:color w:val="auto"/>
                <w:szCs w:val="21"/>
              </w:rPr>
            </w:pPr>
            <w:r>
              <w:rPr>
                <w:rFonts w:hint="eastAsia" w:ascii="宋体" w:hAnsi="宋体" w:cs="宋体"/>
                <w:b/>
                <w:bCs/>
                <w:color w:val="auto"/>
                <w:szCs w:val="21"/>
              </w:rPr>
              <w:t xml:space="preserve">3.支票、汇票或者本票出现无效或者背书情形的，视为无效竞标保证金。 </w:t>
            </w:r>
          </w:p>
          <w:p w14:paraId="760F2EB5">
            <w:pPr>
              <w:spacing w:before="120" w:line="360" w:lineRule="auto"/>
              <w:rPr>
                <w:rFonts w:ascii="宋体" w:hAnsi="宋体" w:cs="宋体"/>
                <w:b/>
                <w:bCs/>
                <w:color w:val="auto"/>
                <w:szCs w:val="21"/>
              </w:rPr>
            </w:pPr>
            <w:r>
              <w:rPr>
                <w:rFonts w:hint="eastAsia" w:ascii="宋体" w:hAnsi="宋体" w:cs="宋体"/>
                <w:b/>
                <w:bCs/>
                <w:color w:val="auto"/>
                <w:szCs w:val="21"/>
              </w:rPr>
              <w:t xml:space="preserve">4.保函有效期低于竞标有效期的，视为无效竞标保证金。 </w:t>
            </w:r>
          </w:p>
          <w:p w14:paraId="74763D5B">
            <w:pPr>
              <w:autoSpaceDE w:val="0"/>
              <w:autoSpaceDN w:val="0"/>
              <w:snapToGrid w:val="0"/>
              <w:spacing w:before="120" w:line="400" w:lineRule="exact"/>
              <w:textAlignment w:val="bottom"/>
              <w:rPr>
                <w:rFonts w:ascii="宋体" w:hAnsi="宋体" w:cs="宋体"/>
                <w:color w:val="auto"/>
                <w:szCs w:val="21"/>
              </w:rPr>
            </w:pPr>
            <w:r>
              <w:rPr>
                <w:rFonts w:hint="eastAsia" w:ascii="宋体" w:hAnsi="宋体" w:cs="宋体"/>
                <w:b/>
                <w:bCs/>
                <w:color w:val="auto"/>
                <w:szCs w:val="21"/>
              </w:rPr>
              <w:t xml:space="preserve">5.采用银行、保险机构出具保函的，必须为无条件保函，否则视为无效竞标保证金。 </w:t>
            </w:r>
          </w:p>
        </w:tc>
      </w:tr>
      <w:tr w14:paraId="51A52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jc w:val="center"/>
        </w:trPr>
        <w:tc>
          <w:tcPr>
            <w:tcW w:w="992" w:type="dxa"/>
            <w:vAlign w:val="center"/>
          </w:tcPr>
          <w:p w14:paraId="567B1BF6">
            <w:pPr>
              <w:spacing w:before="120" w:line="360" w:lineRule="auto"/>
              <w:ind w:left="-70"/>
              <w:jc w:val="center"/>
              <w:rPr>
                <w:rFonts w:ascii="宋体" w:hAnsi="宋体" w:cs="宋体"/>
                <w:color w:val="auto"/>
                <w:szCs w:val="21"/>
              </w:rPr>
            </w:pPr>
            <w:r>
              <w:rPr>
                <w:rFonts w:hint="eastAsia" w:ascii="宋体" w:hAnsi="宋体" w:cs="宋体"/>
                <w:color w:val="auto"/>
                <w:szCs w:val="21"/>
              </w:rPr>
              <w:t>18.2</w:t>
            </w:r>
          </w:p>
        </w:tc>
        <w:tc>
          <w:tcPr>
            <w:tcW w:w="8695" w:type="dxa"/>
            <w:vAlign w:val="center"/>
          </w:tcPr>
          <w:p w14:paraId="1FB452D1">
            <w:pPr>
              <w:spacing w:before="120" w:line="400" w:lineRule="exact"/>
              <w:rPr>
                <w:rFonts w:ascii="宋体" w:hAnsi="宋体" w:cs="宋体"/>
                <w:color w:val="auto"/>
                <w:szCs w:val="21"/>
              </w:rPr>
            </w:pPr>
            <w:r>
              <w:rPr>
                <w:rFonts w:hint="eastAsia" w:ascii="宋体" w:hAnsi="宋体" w:cs="宋体"/>
                <w:color w:val="auto"/>
                <w:szCs w:val="21"/>
              </w:rPr>
              <w:t>响应文件应按资格证明文件、报价文件、商务技术文件分别编制，并按</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bCs/>
                <w:color w:val="auto"/>
                <w:kern w:val="0"/>
                <w:szCs w:val="21"/>
              </w:rPr>
              <w:t>广西政府采购云平台</w:t>
            </w:r>
            <w:r>
              <w:rPr>
                <w:rFonts w:hint="eastAsia" w:ascii="宋体" w:hAnsi="宋体" w:cs="宋体"/>
                <w:color w:val="auto"/>
                <w:szCs w:val="21"/>
              </w:rPr>
              <w:t>的要求编制、加密、上传。</w:t>
            </w:r>
          </w:p>
        </w:tc>
      </w:tr>
      <w:tr w14:paraId="703CB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A701F2">
            <w:pPr>
              <w:spacing w:before="120" w:line="360" w:lineRule="auto"/>
              <w:ind w:left="-70"/>
              <w:jc w:val="center"/>
              <w:rPr>
                <w:rFonts w:ascii="宋体" w:hAnsi="宋体" w:cs="宋体"/>
                <w:color w:val="auto"/>
                <w:szCs w:val="21"/>
              </w:rPr>
            </w:pPr>
            <w:r>
              <w:rPr>
                <w:rFonts w:hint="eastAsia" w:ascii="宋体" w:hAnsi="宋体" w:cs="宋体"/>
                <w:color w:val="auto"/>
                <w:szCs w:val="21"/>
              </w:rPr>
              <w:t>20.1</w:t>
            </w:r>
          </w:p>
        </w:tc>
        <w:tc>
          <w:tcPr>
            <w:tcW w:w="8695" w:type="dxa"/>
            <w:vAlign w:val="center"/>
          </w:tcPr>
          <w:p w14:paraId="0D80E86A">
            <w:pPr>
              <w:spacing w:before="120" w:line="400" w:lineRule="exact"/>
              <w:contextualSpacing/>
              <w:jc w:val="left"/>
              <w:rPr>
                <w:rFonts w:ascii="宋体" w:hAnsi="宋体" w:cs="宋体"/>
                <w:color w:val="auto"/>
                <w:szCs w:val="21"/>
                <w:u w:val="single"/>
              </w:rPr>
            </w:pPr>
            <w:r>
              <w:rPr>
                <w:rFonts w:hint="eastAsia" w:ascii="宋体" w:hAnsi="宋体" w:cs="宋体"/>
                <w:color w:val="auto"/>
                <w:szCs w:val="21"/>
              </w:rPr>
              <w:t>首次响应文件提交截止时间：详见竞争性谈判公告。</w:t>
            </w:r>
          </w:p>
          <w:p w14:paraId="10DE0DB5">
            <w:pPr>
              <w:spacing w:before="120" w:line="400" w:lineRule="exact"/>
              <w:contextualSpacing/>
              <w:jc w:val="left"/>
              <w:rPr>
                <w:rFonts w:ascii="宋体" w:hAnsi="宋体" w:cs="宋体"/>
                <w:color w:val="auto"/>
                <w:szCs w:val="21"/>
              </w:rPr>
            </w:pPr>
            <w:r>
              <w:rPr>
                <w:rFonts w:hint="eastAsia" w:ascii="宋体" w:hAnsi="宋体" w:cs="宋体"/>
                <w:color w:val="auto"/>
                <w:szCs w:val="21"/>
              </w:rPr>
              <w:t>首次响应文件提交地点：详见竞争性谈判公告。</w:t>
            </w:r>
          </w:p>
        </w:tc>
      </w:tr>
      <w:tr w14:paraId="03BF2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733346">
            <w:pPr>
              <w:spacing w:before="120" w:line="360" w:lineRule="auto"/>
              <w:ind w:left="-70"/>
              <w:jc w:val="center"/>
              <w:rPr>
                <w:rFonts w:ascii="宋体" w:hAnsi="宋体" w:cs="宋体"/>
                <w:color w:val="auto"/>
                <w:szCs w:val="21"/>
              </w:rPr>
            </w:pPr>
            <w:r>
              <w:rPr>
                <w:rFonts w:hint="eastAsia" w:ascii="宋体" w:hAnsi="宋体" w:cs="宋体"/>
                <w:color w:val="auto"/>
                <w:szCs w:val="21"/>
              </w:rPr>
              <w:t>24.1</w:t>
            </w:r>
          </w:p>
        </w:tc>
        <w:tc>
          <w:tcPr>
            <w:tcW w:w="8695" w:type="dxa"/>
            <w:vAlign w:val="center"/>
          </w:tcPr>
          <w:p w14:paraId="44CD43AA">
            <w:pPr>
              <w:snapToGrid w:val="0"/>
              <w:spacing w:before="120" w:line="400" w:lineRule="exact"/>
              <w:jc w:val="left"/>
              <w:rPr>
                <w:rFonts w:ascii="宋体" w:hAnsi="宋体" w:cs="宋体"/>
                <w:color w:val="auto"/>
                <w:szCs w:val="21"/>
                <w:u w:val="single"/>
              </w:rPr>
            </w:pPr>
            <w:r>
              <w:rPr>
                <w:rFonts w:hint="eastAsia" w:ascii="宋体" w:hAnsi="宋体" w:cs="宋体"/>
                <w:color w:val="auto"/>
                <w:szCs w:val="21"/>
              </w:rPr>
              <w:t>谈判小组的人数：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32D6A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1B7792D">
            <w:pPr>
              <w:spacing w:before="120" w:line="360" w:lineRule="auto"/>
              <w:ind w:left="-70"/>
              <w:jc w:val="center"/>
              <w:rPr>
                <w:rFonts w:ascii="宋体" w:hAnsi="宋体" w:cs="宋体"/>
                <w:color w:val="auto"/>
                <w:szCs w:val="21"/>
              </w:rPr>
            </w:pPr>
            <w:r>
              <w:rPr>
                <w:rFonts w:hint="eastAsia" w:ascii="宋体" w:hAnsi="宋体" w:cs="宋体"/>
                <w:color w:val="auto"/>
                <w:szCs w:val="21"/>
              </w:rPr>
              <w:t>25.2</w:t>
            </w:r>
          </w:p>
        </w:tc>
        <w:tc>
          <w:tcPr>
            <w:tcW w:w="8695" w:type="dxa"/>
            <w:vAlign w:val="center"/>
          </w:tcPr>
          <w:p w14:paraId="5547D360">
            <w:pPr>
              <w:snapToGrid w:val="0"/>
              <w:spacing w:before="120" w:line="400" w:lineRule="exact"/>
              <w:ind w:left="-70"/>
              <w:jc w:val="left"/>
              <w:rPr>
                <w:rFonts w:ascii="宋体" w:hAnsi="宋体" w:cs="宋体"/>
                <w:color w:val="auto"/>
                <w:szCs w:val="21"/>
              </w:rPr>
            </w:pPr>
            <w:r>
              <w:rPr>
                <w:rFonts w:hint="eastAsia" w:ascii="宋体" w:hAnsi="宋体" w:cs="宋体"/>
                <w:color w:val="auto"/>
                <w:szCs w:val="21"/>
              </w:rPr>
              <w:t>采购代理机构将依托电子交易平台发起开始解密指令，</w:t>
            </w:r>
            <w:r>
              <w:rPr>
                <w:rFonts w:hint="eastAsia" w:ascii="宋体" w:hAnsi="宋体" w:cs="宋体"/>
                <w:b/>
                <w:color w:val="auto"/>
                <w:szCs w:val="21"/>
              </w:rPr>
              <w:t>供应商的法定代表人或其委托代理人须携带加密时所用的CA锁按平台提示和采购文件的规定登录到</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b/>
                <w:color w:val="auto"/>
                <w:szCs w:val="21"/>
              </w:rPr>
              <w:t>广西政府采购云平台电子开标大厅签到并在发起解密指令之时起30分钟内完成对电子响应文件在线解密。</w:t>
            </w:r>
            <w:r>
              <w:rPr>
                <w:rFonts w:hint="eastAsia" w:ascii="宋体" w:hAnsi="宋体"/>
                <w:b/>
                <w:bCs/>
                <w:color w:val="auto"/>
                <w:szCs w:val="21"/>
              </w:rPr>
              <w:t>响应文件未按时解密的，视为响应文件无效。</w:t>
            </w:r>
          </w:p>
        </w:tc>
      </w:tr>
      <w:tr w14:paraId="5086C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14:paraId="514E13EA">
            <w:pPr>
              <w:spacing w:before="120" w:line="360" w:lineRule="auto"/>
              <w:jc w:val="center"/>
              <w:rPr>
                <w:rFonts w:ascii="宋体" w:hAnsi="宋体" w:cs="宋体"/>
                <w:color w:val="auto"/>
                <w:szCs w:val="21"/>
              </w:rPr>
            </w:pPr>
            <w:r>
              <w:rPr>
                <w:rFonts w:ascii="宋体" w:hAnsi="宋体" w:cs="宋体"/>
                <w:color w:val="auto"/>
                <w:szCs w:val="21"/>
              </w:rPr>
              <w:t>26</w:t>
            </w:r>
          </w:p>
        </w:tc>
        <w:tc>
          <w:tcPr>
            <w:tcW w:w="8695" w:type="dxa"/>
            <w:vAlign w:val="center"/>
          </w:tcPr>
          <w:p w14:paraId="4B9C81F9">
            <w:pPr>
              <w:snapToGrid w:val="0"/>
              <w:spacing w:before="120" w:line="400" w:lineRule="exact"/>
              <w:rPr>
                <w:color w:val="auto"/>
              </w:rPr>
            </w:pPr>
            <w:r>
              <w:rPr>
                <w:rFonts w:hint="eastAsia"/>
                <w:color w:val="auto"/>
              </w:rPr>
              <w:t>商务要求评审中允许负偏离的条款数为</w:t>
            </w:r>
            <w:r>
              <w:rPr>
                <w:rFonts w:hint="eastAsia"/>
                <w:b/>
                <w:bCs/>
                <w:color w:val="auto"/>
              </w:rPr>
              <w:fldChar w:fldCharType="begin"/>
            </w:r>
            <w:r>
              <w:rPr>
                <w:rFonts w:hint="eastAsia"/>
                <w:b/>
                <w:bCs/>
                <w:color w:val="auto"/>
              </w:rPr>
              <w:instrText xml:space="preserve"> eq \o\ac(□,</w:instrText>
            </w:r>
            <w:r>
              <w:rPr>
                <w:rFonts w:hint="eastAsia"/>
                <w:b/>
                <w:bCs/>
                <w:color w:val="auto"/>
                <w:position w:val="2"/>
                <w:sz w:val="13"/>
              </w:rPr>
              <w:instrText xml:space="preserve">√</w:instrText>
            </w:r>
            <w:r>
              <w:rPr>
                <w:rFonts w:hint="eastAsia"/>
                <w:b/>
                <w:bCs/>
                <w:color w:val="auto"/>
              </w:rPr>
              <w:instrText xml:space="preserve">)</w:instrText>
            </w:r>
            <w:r>
              <w:rPr>
                <w:rFonts w:hint="eastAsia"/>
                <w:b/>
                <w:bCs/>
                <w:color w:val="auto"/>
              </w:rPr>
              <w:fldChar w:fldCharType="end"/>
            </w:r>
            <w:r>
              <w:rPr>
                <w:rFonts w:hint="eastAsia"/>
                <w:color w:val="auto"/>
                <w:u w:val="single"/>
              </w:rPr>
              <w:t xml:space="preserve"> 0 </w:t>
            </w:r>
            <w:r>
              <w:rPr>
                <w:rFonts w:hint="eastAsia"/>
                <w:color w:val="auto"/>
              </w:rPr>
              <w:t xml:space="preserve">项 </w:t>
            </w:r>
          </w:p>
          <w:p w14:paraId="5CDBD7F1">
            <w:pPr>
              <w:snapToGrid w:val="0"/>
              <w:spacing w:before="120" w:line="400" w:lineRule="exact"/>
              <w:rPr>
                <w:rFonts w:ascii="宋体" w:hAnsi="宋体" w:cs="宋体"/>
                <w:color w:val="auto"/>
                <w:szCs w:val="21"/>
              </w:rPr>
            </w:pPr>
            <w:r>
              <w:rPr>
                <w:rFonts w:hint="eastAsia"/>
                <w:color w:val="auto"/>
              </w:rPr>
              <w:t>技术要求评审中允许负偏离的条款数为</w:t>
            </w:r>
            <w:r>
              <w:rPr>
                <w:rFonts w:hint="eastAsia" w:ascii="宋体" w:hAnsi="宋体"/>
                <w:b/>
                <w:bCs/>
                <w:color w:val="auto"/>
                <w:szCs w:val="21"/>
              </w:rPr>
              <w:fldChar w:fldCharType="begin"/>
            </w:r>
            <w:r>
              <w:rPr>
                <w:rFonts w:hint="eastAsia" w:ascii="宋体" w:hAnsi="宋体"/>
                <w:b/>
                <w:bCs/>
                <w:color w:val="auto"/>
                <w:szCs w:val="21"/>
              </w:rPr>
              <w:instrText xml:space="preserve"> eq \o\ac(□,</w:instrText>
            </w:r>
            <w:r>
              <w:rPr>
                <w:rFonts w:hint="eastAsia" w:ascii="宋体" w:hAnsi="宋体"/>
                <w:b/>
                <w:bCs/>
                <w:color w:val="auto"/>
                <w:position w:val="2"/>
                <w:sz w:val="13"/>
                <w:szCs w:val="21"/>
              </w:rPr>
              <w:instrText xml:space="preserve">√</w:instrText>
            </w:r>
            <w:r>
              <w:rPr>
                <w:rFonts w:hint="eastAsia" w:ascii="宋体" w:hAnsi="宋体"/>
                <w:b/>
                <w:bCs/>
                <w:color w:val="auto"/>
                <w:szCs w:val="21"/>
              </w:rPr>
              <w:instrText xml:space="preserve">)</w:instrText>
            </w:r>
            <w:r>
              <w:rPr>
                <w:rFonts w:hint="eastAsia" w:ascii="宋体" w:hAnsi="宋体"/>
                <w:b/>
                <w:bCs/>
                <w:color w:val="auto"/>
                <w:szCs w:val="21"/>
              </w:rPr>
              <w:fldChar w:fldCharType="end"/>
            </w:r>
            <w:r>
              <w:rPr>
                <w:rFonts w:hint="eastAsia" w:ascii="宋体" w:hAnsi="宋体"/>
                <w:color w:val="auto"/>
                <w:szCs w:val="21"/>
                <w:u w:val="single"/>
              </w:rPr>
              <w:t xml:space="preserve"> </w:t>
            </w:r>
            <w:r>
              <w:rPr>
                <w:rFonts w:hint="eastAsia" w:ascii="宋体" w:hAnsi="宋体"/>
                <w:color w:val="auto"/>
                <w:szCs w:val="21"/>
                <w:u w:val="single"/>
                <w:lang w:val="en-US" w:eastAsia="zh-CN"/>
              </w:rPr>
              <w:t>0</w:t>
            </w:r>
            <w:r>
              <w:rPr>
                <w:rFonts w:hint="eastAsia" w:ascii="宋体" w:hAnsi="宋体"/>
                <w:color w:val="auto"/>
                <w:szCs w:val="21"/>
                <w:u w:val="single"/>
              </w:rPr>
              <w:t xml:space="preserve"> </w:t>
            </w:r>
            <w:r>
              <w:rPr>
                <w:rFonts w:hint="eastAsia" w:ascii="宋体" w:hAnsi="宋体"/>
                <w:color w:val="auto"/>
                <w:szCs w:val="21"/>
              </w:rPr>
              <w:t>项</w:t>
            </w:r>
            <w:r>
              <w:rPr>
                <w:rFonts w:hint="eastAsia"/>
                <w:color w:val="auto"/>
              </w:rPr>
              <w:t xml:space="preserve"> </w:t>
            </w:r>
          </w:p>
        </w:tc>
      </w:tr>
      <w:tr w14:paraId="59D82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jc w:val="center"/>
        </w:trPr>
        <w:tc>
          <w:tcPr>
            <w:tcW w:w="992" w:type="dxa"/>
            <w:vMerge w:val="continue"/>
            <w:vAlign w:val="center"/>
          </w:tcPr>
          <w:p w14:paraId="6269DEB2">
            <w:pPr>
              <w:spacing w:before="120" w:line="360" w:lineRule="auto"/>
              <w:ind w:left="-70" w:firstLine="588"/>
              <w:jc w:val="center"/>
              <w:rPr>
                <w:rFonts w:ascii="宋体" w:hAnsi="宋体" w:cs="宋体"/>
                <w:color w:val="auto"/>
                <w:szCs w:val="21"/>
              </w:rPr>
            </w:pPr>
          </w:p>
        </w:tc>
        <w:tc>
          <w:tcPr>
            <w:tcW w:w="8695" w:type="dxa"/>
            <w:vAlign w:val="center"/>
          </w:tcPr>
          <w:p w14:paraId="495CB985">
            <w:pPr>
              <w:snapToGrid w:val="0"/>
              <w:spacing w:before="120" w:line="400" w:lineRule="exact"/>
              <w:rPr>
                <w:rFonts w:ascii="宋体" w:hAnsi="宋体" w:cs="宋体"/>
                <w:color w:val="auto"/>
                <w:szCs w:val="21"/>
              </w:rPr>
            </w:pPr>
            <w:r>
              <w:rPr>
                <w:rFonts w:hint="eastAsia" w:ascii="宋体" w:hAnsi="宋体" w:cs="宋体"/>
                <w:color w:val="auto"/>
                <w:szCs w:val="21"/>
              </w:rPr>
              <w:t>谈判的顺序：按</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广西政府采购云平台系统的编号顺序。</w:t>
            </w:r>
          </w:p>
          <w:p w14:paraId="3285966F">
            <w:pPr>
              <w:snapToGrid w:val="0"/>
              <w:spacing w:before="120" w:line="400" w:lineRule="exact"/>
              <w:ind w:left="-70"/>
              <w:rPr>
                <w:rFonts w:ascii="宋体" w:hAnsi="宋体" w:cs="宋体"/>
                <w:b/>
                <w:color w:val="auto"/>
                <w:szCs w:val="21"/>
              </w:rPr>
            </w:pPr>
            <w:r>
              <w:rPr>
                <w:rFonts w:hint="eastAsia" w:ascii="宋体" w:hAnsi="宋体" w:cs="宋体"/>
                <w:b/>
                <w:color w:val="auto"/>
                <w:szCs w:val="21"/>
              </w:rPr>
              <w:t>符合谈判资格的供应商必须在接到谈判通知后规定时间内参加谈判，未在规定时间内参加谈判的视同放弃参加谈判权利，其响应文件按无效响应处理。</w:t>
            </w:r>
          </w:p>
          <w:p w14:paraId="30C3DD93">
            <w:pPr>
              <w:snapToGrid w:val="0"/>
              <w:spacing w:before="120" w:line="400" w:lineRule="exact"/>
              <w:ind w:left="-70"/>
              <w:rPr>
                <w:rFonts w:ascii="宋体" w:hAnsi="宋体" w:cs="宋体"/>
                <w:color w:val="auto"/>
                <w:szCs w:val="21"/>
              </w:rPr>
            </w:pPr>
            <w:r>
              <w:rPr>
                <w:rFonts w:hint="eastAsia" w:ascii="宋体" w:hAnsi="宋体" w:cs="宋体"/>
                <w:b/>
                <w:color w:val="auto"/>
                <w:szCs w:val="21"/>
              </w:rPr>
              <w:t>参与谈判前，供应商法定代表人或者委托代理人必须向谈判小组出示本人有效证件原件[有效证件可以是身份证（含临时身份证明）或者护照的其中一项]。</w:t>
            </w:r>
          </w:p>
        </w:tc>
      </w:tr>
      <w:tr w14:paraId="3E710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992" w:type="dxa"/>
            <w:vMerge w:val="continue"/>
            <w:vAlign w:val="center"/>
          </w:tcPr>
          <w:p w14:paraId="109BA8DD">
            <w:pPr>
              <w:spacing w:before="120" w:line="360" w:lineRule="auto"/>
              <w:ind w:left="-70" w:firstLine="588"/>
              <w:jc w:val="center"/>
              <w:rPr>
                <w:rFonts w:ascii="宋体" w:hAnsi="宋体" w:cs="宋体"/>
                <w:color w:val="auto"/>
                <w:szCs w:val="21"/>
              </w:rPr>
            </w:pPr>
          </w:p>
        </w:tc>
        <w:tc>
          <w:tcPr>
            <w:tcW w:w="8695" w:type="dxa"/>
            <w:vAlign w:val="center"/>
          </w:tcPr>
          <w:p w14:paraId="57C07125">
            <w:pPr>
              <w:pStyle w:val="10"/>
              <w:spacing w:before="120"/>
              <w:rPr>
                <w:rFonts w:ascii="宋体" w:hAnsi="宋体" w:cs="宋体"/>
                <w:color w:val="auto"/>
                <w:szCs w:val="21"/>
              </w:rPr>
            </w:pPr>
            <w:r>
              <w:rPr>
                <w:rFonts w:hint="eastAsia" w:ascii="宋体" w:hAnsi="宋体" w:cs="宋体"/>
                <w:b/>
                <w:color w:val="auto"/>
                <w:szCs w:val="21"/>
              </w:rPr>
              <w:t>评标价相同时，按照最后报价由低到高顺序依次推荐；最后报价相同时，按节能环保优先、技术指标高优先、质保期长优先、合同履约期短优先、故障响应时间短优先的顺序依次推荐。</w:t>
            </w:r>
          </w:p>
        </w:tc>
      </w:tr>
      <w:tr w14:paraId="56D77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CE931BA">
            <w:pPr>
              <w:snapToGrid w:val="0"/>
              <w:spacing w:before="120" w:line="400" w:lineRule="exact"/>
              <w:ind w:left="-70"/>
              <w:jc w:val="center"/>
              <w:rPr>
                <w:rFonts w:ascii="宋体" w:hAnsi="宋体" w:cs="宋体"/>
                <w:color w:val="auto"/>
                <w:szCs w:val="21"/>
              </w:rPr>
            </w:pPr>
            <w:r>
              <w:rPr>
                <w:rFonts w:hint="eastAsia" w:ascii="宋体" w:hAnsi="宋体" w:cs="宋体"/>
                <w:color w:val="auto"/>
                <w:szCs w:val="21"/>
              </w:rPr>
              <w:t>28.1</w:t>
            </w:r>
          </w:p>
        </w:tc>
        <w:tc>
          <w:tcPr>
            <w:tcW w:w="8695" w:type="dxa"/>
            <w:vAlign w:val="center"/>
          </w:tcPr>
          <w:p w14:paraId="107DA749">
            <w:pPr>
              <w:autoSpaceDE w:val="0"/>
              <w:autoSpaceDN w:val="0"/>
              <w:snapToGrid w:val="0"/>
              <w:spacing w:line="400" w:lineRule="exact"/>
              <w:textAlignment w:val="bottom"/>
              <w:rPr>
                <w:rFonts w:ascii="宋体" w:hAnsi="宋体"/>
                <w:color w:val="auto"/>
                <w:szCs w:val="21"/>
              </w:rPr>
            </w:pPr>
            <w:r>
              <w:rPr>
                <w:rFonts w:hint="eastAsia" w:ascii="宋体" w:hAnsi="宋体"/>
                <w:color w:val="auto"/>
                <w:szCs w:val="21"/>
              </w:rPr>
              <w:t>本项目收取履约保证金，具体规定如下：</w:t>
            </w:r>
          </w:p>
          <w:p w14:paraId="0B633698">
            <w:pPr>
              <w:pStyle w:val="10"/>
              <w:spacing w:line="400" w:lineRule="exact"/>
              <w:rPr>
                <w:rFonts w:hint="eastAsia" w:ascii="宋体" w:hAnsi="宋体"/>
                <w:color w:val="auto"/>
                <w:szCs w:val="21"/>
                <w:lang w:val="en-US" w:eastAsia="zh-CN"/>
              </w:rPr>
            </w:pPr>
            <w:r>
              <w:rPr>
                <w:rFonts w:hint="eastAsia" w:ascii="宋体" w:hAnsi="宋体"/>
                <w:color w:val="auto"/>
                <w:szCs w:val="21"/>
                <w:lang w:val="en-US" w:eastAsia="zh-CN"/>
              </w:rPr>
              <w:t>履约保证金金额：按成交金额的</w:t>
            </w:r>
            <w:r>
              <w:rPr>
                <w:rFonts w:hint="eastAsia" w:ascii="宋体" w:hAnsi="宋体" w:cs="Arial"/>
                <w:color w:val="auto"/>
                <w:szCs w:val="21"/>
                <w:u w:val="single"/>
                <w:lang w:val="en-US" w:eastAsia="zh-CN"/>
              </w:rPr>
              <w:t xml:space="preserve"> 2 </w:t>
            </w:r>
            <w:r>
              <w:rPr>
                <w:rFonts w:hint="eastAsia" w:ascii="宋体" w:hAnsi="宋体"/>
                <w:color w:val="auto"/>
                <w:szCs w:val="21"/>
                <w:lang w:val="en-US" w:eastAsia="zh-CN"/>
              </w:rPr>
              <w:t>%。</w:t>
            </w:r>
          </w:p>
          <w:p w14:paraId="34DBF9C5">
            <w:pPr>
              <w:autoSpaceDE w:val="0"/>
              <w:autoSpaceDN w:val="0"/>
              <w:snapToGrid w:val="0"/>
              <w:spacing w:line="400" w:lineRule="exact"/>
              <w:textAlignment w:val="bottom"/>
              <w:rPr>
                <w:rFonts w:hint="eastAsia" w:ascii="宋体" w:hAnsi="宋体" w:eastAsia="宋体" w:cs="Times New Roman"/>
                <w:color w:val="auto"/>
                <w:szCs w:val="21"/>
                <w:lang w:eastAsia="zh-CN"/>
              </w:rPr>
            </w:pPr>
            <w:r>
              <w:rPr>
                <w:rFonts w:hint="eastAsia" w:ascii="宋体" w:hAnsi="宋体"/>
                <w:color w:val="auto"/>
                <w:szCs w:val="21"/>
              </w:rPr>
              <w:t>履约保证金</w:t>
            </w:r>
            <w:r>
              <w:rPr>
                <w:rFonts w:hint="eastAsia" w:ascii="宋体" w:hAnsi="宋体" w:eastAsia="宋体" w:cs="Times New Roman"/>
                <w:color w:val="auto"/>
                <w:szCs w:val="21"/>
              </w:rPr>
              <w:t>递交方式：银行转账、支票、汇票、本票或者金融、担保机构出具的保函等非现金方式</w:t>
            </w:r>
            <w:r>
              <w:rPr>
                <w:rFonts w:hint="eastAsia" w:ascii="宋体" w:hAnsi="宋体" w:eastAsia="宋体" w:cs="Times New Roman"/>
                <w:color w:val="auto"/>
                <w:szCs w:val="21"/>
                <w:lang w:eastAsia="zh-CN"/>
              </w:rPr>
              <w:t>。</w:t>
            </w:r>
          </w:p>
          <w:p w14:paraId="688A5BE2">
            <w:pPr>
              <w:autoSpaceDE w:val="0"/>
              <w:autoSpaceDN w:val="0"/>
              <w:snapToGrid w:val="0"/>
              <w:spacing w:line="400" w:lineRule="exact"/>
              <w:textAlignment w:val="bottom"/>
              <w:rPr>
                <w:rFonts w:hint="eastAsia" w:ascii="宋体" w:hAnsi="宋体" w:eastAsia="宋体" w:cs="Times New Roman"/>
                <w:color w:val="auto"/>
                <w:szCs w:val="21"/>
              </w:rPr>
            </w:pPr>
            <w:r>
              <w:rPr>
                <w:rFonts w:hint="eastAsia" w:ascii="宋体" w:hAnsi="宋体" w:eastAsia="宋体" w:cs="Times New Roman"/>
                <w:color w:val="auto"/>
                <w:szCs w:val="21"/>
              </w:rPr>
              <w:t>履约保证金提交</w:t>
            </w:r>
            <w:r>
              <w:rPr>
                <w:rFonts w:hint="eastAsia" w:ascii="宋体" w:hAnsi="宋体" w:eastAsia="宋体" w:cs="Times New Roman"/>
                <w:color w:val="auto"/>
                <w:szCs w:val="21"/>
                <w:lang w:eastAsia="zh-CN"/>
              </w:rPr>
              <w:t>时间</w:t>
            </w:r>
            <w:r>
              <w:rPr>
                <w:rFonts w:hint="eastAsia" w:ascii="宋体" w:hAnsi="宋体" w:eastAsia="宋体" w:cs="Times New Roman"/>
                <w:color w:val="auto"/>
                <w:szCs w:val="21"/>
              </w:rPr>
              <w:t>：</w:t>
            </w:r>
            <w:r>
              <w:rPr>
                <w:rFonts w:hint="eastAsia" w:ascii="宋体" w:hAnsi="宋体" w:eastAsia="宋体" w:cs="Times New Roman"/>
                <w:color w:val="auto"/>
                <w:szCs w:val="21"/>
                <w:lang w:eastAsia="zh-CN"/>
              </w:rPr>
              <w:t>在合同签订前</w:t>
            </w:r>
            <w:r>
              <w:rPr>
                <w:rFonts w:hint="eastAsia" w:ascii="宋体" w:hAnsi="宋体" w:eastAsia="宋体" w:cs="Times New Roman"/>
                <w:color w:val="auto"/>
                <w:szCs w:val="21"/>
                <w:lang w:val="en-US" w:eastAsia="zh-CN"/>
              </w:rPr>
              <w:t>3个工作日内</w:t>
            </w:r>
            <w:r>
              <w:rPr>
                <w:rFonts w:hint="eastAsia" w:ascii="宋体" w:hAnsi="宋体" w:eastAsia="宋体" w:cs="Times New Roman"/>
                <w:color w:val="auto"/>
                <w:szCs w:val="21"/>
                <w:lang w:eastAsia="zh-CN"/>
              </w:rPr>
              <w:t>。</w:t>
            </w:r>
          </w:p>
          <w:p w14:paraId="534499B2">
            <w:pPr>
              <w:autoSpaceDE w:val="0"/>
              <w:autoSpaceDN w:val="0"/>
              <w:snapToGrid w:val="0"/>
              <w:spacing w:line="400" w:lineRule="exact"/>
              <w:textAlignment w:val="bottom"/>
              <w:rPr>
                <w:rFonts w:hint="eastAsia" w:ascii="宋体" w:hAnsi="宋体" w:eastAsia="宋体" w:cs="Times New Roman"/>
                <w:color w:val="auto"/>
                <w:szCs w:val="21"/>
              </w:rPr>
            </w:pPr>
            <w:r>
              <w:rPr>
                <w:rFonts w:hint="eastAsia" w:ascii="宋体" w:hAnsi="宋体" w:eastAsia="宋体" w:cs="Times New Roman"/>
                <w:color w:val="auto"/>
                <w:szCs w:val="21"/>
              </w:rPr>
              <w:t>履约保证金退付方式、时间及条件：</w:t>
            </w:r>
            <w:r>
              <w:rPr>
                <w:rFonts w:hint="eastAsia" w:ascii="宋体" w:hAnsi="宋体" w:eastAsia="宋体" w:cs="Times New Roman"/>
                <w:color w:val="auto"/>
                <w:szCs w:val="21"/>
                <w:lang w:eastAsia="zh-CN"/>
              </w:rPr>
              <w:t>履约保证金待</w:t>
            </w:r>
            <w:r>
              <w:rPr>
                <w:rFonts w:hint="eastAsia" w:ascii="宋体" w:hAnsi="宋体"/>
                <w:color w:val="auto"/>
                <w:szCs w:val="21"/>
              </w:rPr>
              <w:t>交货验收完毕合格后由成交供应商向采购代理机构提供《广西壮族自治区政府采购项目合同验收书》（详见桂财采〔2015〕22号），采购代理机构在收到合格材料后5个工作日内办理退还手续（不计利息）。</w:t>
            </w:r>
          </w:p>
          <w:p w14:paraId="49E20ACF">
            <w:pPr>
              <w:autoSpaceDE w:val="0"/>
              <w:autoSpaceDN w:val="0"/>
              <w:snapToGrid w:val="0"/>
              <w:spacing w:line="400" w:lineRule="exact"/>
              <w:textAlignment w:val="bottom"/>
              <w:rPr>
                <w:rFonts w:hint="eastAsia" w:ascii="宋体" w:hAnsi="宋体" w:eastAsia="宋体" w:cs="Times New Roman"/>
                <w:color w:val="auto"/>
                <w:szCs w:val="21"/>
              </w:rPr>
            </w:pPr>
            <w:r>
              <w:rPr>
                <w:rFonts w:hint="eastAsia" w:ascii="宋体" w:hAnsi="宋体" w:eastAsia="宋体" w:cs="Times New Roman"/>
                <w:color w:val="auto"/>
                <w:szCs w:val="21"/>
              </w:rPr>
              <w:t>履约保证金指定账户：</w:t>
            </w:r>
          </w:p>
          <w:p w14:paraId="49F49B01">
            <w:pPr>
              <w:spacing w:line="400" w:lineRule="exact"/>
              <w:jc w:val="left"/>
              <w:rPr>
                <w:rFonts w:ascii="宋体" w:hAnsi="宋体" w:cs="Courier New"/>
                <w:color w:val="auto"/>
                <w:szCs w:val="21"/>
              </w:rPr>
            </w:pPr>
            <w:r>
              <w:rPr>
                <w:rFonts w:hint="eastAsia" w:ascii="宋体" w:hAnsi="宋体" w:cs="Courier New"/>
                <w:color w:val="auto"/>
                <w:szCs w:val="21"/>
              </w:rPr>
              <w:t>账户名称：广西科文招标有限公司玉林第二分公司</w:t>
            </w:r>
          </w:p>
          <w:p w14:paraId="1C7B5E07">
            <w:pPr>
              <w:spacing w:line="400" w:lineRule="exact"/>
              <w:jc w:val="left"/>
              <w:rPr>
                <w:rFonts w:ascii="宋体" w:hAnsi="宋体" w:cs="Courier New"/>
                <w:color w:val="auto"/>
                <w:szCs w:val="21"/>
              </w:rPr>
            </w:pPr>
            <w:r>
              <w:rPr>
                <w:rFonts w:hint="eastAsia" w:ascii="宋体" w:hAnsi="宋体" w:cs="Courier New"/>
                <w:color w:val="auto"/>
                <w:szCs w:val="21"/>
              </w:rPr>
              <w:t>开户银行：广西北部湾银行股份有限公司玉林市玉东支行</w:t>
            </w:r>
          </w:p>
          <w:p w14:paraId="68193AFE">
            <w:pPr>
              <w:spacing w:line="400" w:lineRule="exact"/>
              <w:jc w:val="left"/>
              <w:rPr>
                <w:rFonts w:hint="eastAsia" w:ascii="宋体" w:hAnsi="宋体" w:cs="Courier New"/>
                <w:color w:val="auto"/>
                <w:szCs w:val="21"/>
              </w:rPr>
            </w:pPr>
            <w:r>
              <w:rPr>
                <w:rFonts w:hint="eastAsia" w:ascii="宋体" w:hAnsi="宋体" w:cs="Courier New"/>
                <w:color w:val="auto"/>
                <w:szCs w:val="21"/>
              </w:rPr>
              <w:t>银行账号：805461433000002</w:t>
            </w:r>
          </w:p>
          <w:p w14:paraId="1EADC5EB">
            <w:pPr>
              <w:spacing w:line="400" w:lineRule="exact"/>
              <w:jc w:val="left"/>
              <w:rPr>
                <w:rFonts w:ascii="宋体" w:hAnsi="宋体" w:cs="Courier New"/>
                <w:b/>
                <w:bCs/>
                <w:color w:val="auto"/>
                <w:szCs w:val="21"/>
              </w:rPr>
            </w:pPr>
            <w:r>
              <w:rPr>
                <w:rFonts w:ascii="宋体" w:hAnsi="宋体" w:cs="Courier New"/>
                <w:b/>
                <w:bCs/>
                <w:color w:val="auto"/>
                <w:szCs w:val="21"/>
              </w:rPr>
              <w:t>备注：</w:t>
            </w:r>
          </w:p>
          <w:p w14:paraId="65750C74">
            <w:pPr>
              <w:spacing w:line="400" w:lineRule="exact"/>
              <w:jc w:val="left"/>
              <w:rPr>
                <w:rFonts w:hint="eastAsia" w:ascii="宋体" w:hAnsi="宋体" w:eastAsia="宋体" w:cs="Times New Roman"/>
                <w:b/>
                <w:color w:val="auto"/>
                <w:szCs w:val="21"/>
              </w:rPr>
            </w:pPr>
            <w:r>
              <w:rPr>
                <w:rFonts w:ascii="宋体" w:hAnsi="宋体"/>
                <w:b/>
                <w:color w:val="auto"/>
                <w:szCs w:val="21"/>
              </w:rPr>
              <w:t>1</w:t>
            </w:r>
            <w:bookmarkStart w:id="20" w:name="_Hlk54170335"/>
            <w:r>
              <w:rPr>
                <w:rFonts w:hint="eastAsia" w:ascii="宋体" w:hAnsi="宋体"/>
                <w:b/>
                <w:color w:val="auto"/>
                <w:szCs w:val="21"/>
              </w:rPr>
              <w:t>、</w:t>
            </w:r>
            <w:bookmarkEnd w:id="20"/>
            <w:r>
              <w:rPr>
                <w:rFonts w:hint="eastAsia" w:ascii="宋体" w:hAnsi="宋体"/>
                <w:b/>
                <w:color w:val="auto"/>
                <w:szCs w:val="21"/>
              </w:rPr>
              <w:t>履约保证金</w:t>
            </w:r>
            <w:r>
              <w:rPr>
                <w:rFonts w:hint="eastAsia" w:ascii="宋体" w:hAnsi="宋体" w:eastAsia="宋体" w:cs="Times New Roman"/>
                <w:b/>
                <w:color w:val="auto"/>
                <w:szCs w:val="21"/>
              </w:rPr>
              <w:t>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eastAsia="宋体" w:cs="Times New Roman"/>
                <w:b/>
                <w:color w:val="auto"/>
                <w:szCs w:val="21"/>
              </w:rPr>
              <w:br w:type="textWrapping"/>
            </w:r>
            <w:r>
              <w:rPr>
                <w:rFonts w:hint="eastAsia" w:ascii="宋体" w:hAnsi="宋体" w:eastAsia="宋体" w:cs="Times New Roman"/>
                <w:b/>
                <w:color w:val="auto"/>
                <w:szCs w:val="21"/>
                <w:lang w:val="en-US" w:eastAsia="zh-CN"/>
              </w:rPr>
              <w:t>2</w:t>
            </w:r>
            <w:r>
              <w:rPr>
                <w:rFonts w:hint="eastAsia" w:ascii="宋体" w:hAnsi="宋体" w:eastAsia="宋体" w:cs="Times New Roman"/>
                <w:b/>
                <w:color w:val="auto"/>
                <w:szCs w:val="21"/>
              </w:rPr>
              <w:t>、采用金融、担保机构出具的保函的，必须为无条件保函，否则不予签订合同。</w:t>
            </w:r>
          </w:p>
          <w:p w14:paraId="1C1D48BD">
            <w:pPr>
              <w:spacing w:line="400" w:lineRule="exact"/>
              <w:jc w:val="left"/>
              <w:rPr>
                <w:color w:val="auto"/>
              </w:rPr>
            </w:pPr>
            <w:r>
              <w:rPr>
                <w:rFonts w:hint="eastAsia" w:ascii="宋体" w:hAnsi="宋体" w:eastAsia="宋体" w:cs="Times New Roman"/>
                <w:b/>
                <w:color w:val="auto"/>
                <w:szCs w:val="21"/>
                <w:lang w:val="en-US" w:eastAsia="zh-CN"/>
              </w:rPr>
              <w:t>3</w:t>
            </w:r>
            <w:r>
              <w:rPr>
                <w:rFonts w:hint="eastAsia" w:ascii="宋体" w:hAnsi="宋体" w:eastAsia="宋体" w:cs="Times New Roman"/>
                <w:b/>
                <w:color w:val="auto"/>
                <w:szCs w:val="21"/>
              </w:rPr>
              <w:t>、</w:t>
            </w:r>
            <w:r>
              <w:rPr>
                <w:rFonts w:hint="eastAsia" w:ascii="宋体" w:hAnsi="宋体" w:eastAsia="宋体" w:cs="Times New Roman"/>
                <w:b/>
                <w:color w:val="auto"/>
                <w:szCs w:val="21"/>
                <w:lang w:eastAsia="zh-CN"/>
              </w:rPr>
              <w:t>竞标</w:t>
            </w:r>
            <w:r>
              <w:rPr>
                <w:rFonts w:hint="eastAsia" w:ascii="宋体" w:hAnsi="宋体" w:eastAsia="宋体" w:cs="Times New Roman"/>
                <w:b/>
                <w:color w:val="auto"/>
                <w:szCs w:val="21"/>
              </w:rPr>
              <w:t>人为联合体的，由联合体其中一方按规定提交的履约保证金，视为有效履约保证金。</w:t>
            </w:r>
          </w:p>
        </w:tc>
      </w:tr>
      <w:tr w14:paraId="374A2D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845BFCF">
            <w:pPr>
              <w:spacing w:before="120" w:line="360" w:lineRule="auto"/>
              <w:ind w:left="-70"/>
              <w:jc w:val="center"/>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w:t>
            </w:r>
          </w:p>
        </w:tc>
        <w:tc>
          <w:tcPr>
            <w:tcW w:w="8695" w:type="dxa"/>
            <w:vAlign w:val="center"/>
          </w:tcPr>
          <w:p w14:paraId="2FBA825A">
            <w:pPr>
              <w:autoSpaceDE w:val="0"/>
              <w:autoSpaceDN w:val="0"/>
              <w:snapToGrid w:val="0"/>
              <w:spacing w:before="120"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3590DF1B">
            <w:pPr>
              <w:autoSpaceDE w:val="0"/>
              <w:autoSpaceDN w:val="0"/>
              <w:snapToGrid w:val="0"/>
              <w:spacing w:before="120" w:line="360" w:lineRule="auto"/>
              <w:ind w:left="-70"/>
              <w:textAlignment w:val="bottom"/>
              <w:rPr>
                <w:rFonts w:ascii="宋体" w:hAnsi="宋体"/>
                <w:color w:val="auto"/>
                <w:szCs w:val="21"/>
              </w:rPr>
            </w:pPr>
            <w:r>
              <w:rPr>
                <w:rFonts w:hint="eastAsia" w:ascii="宋体" w:hAnsi="宋体"/>
                <w:color w:val="auto"/>
                <w:szCs w:val="21"/>
              </w:rPr>
              <w:t>1、委托代理人负责签订合同的，须携带授权委托书及委托代理人身份证原件等其他资格证件。</w:t>
            </w:r>
          </w:p>
          <w:p w14:paraId="5A3401A8">
            <w:pPr>
              <w:snapToGrid w:val="0"/>
              <w:spacing w:before="120" w:line="360" w:lineRule="auto"/>
              <w:ind w:left="-70"/>
              <w:rPr>
                <w:rFonts w:ascii="宋体" w:hAnsi="宋体" w:cs="宋体"/>
                <w:color w:val="auto"/>
                <w:szCs w:val="21"/>
              </w:rPr>
            </w:pPr>
            <w:r>
              <w:rPr>
                <w:rFonts w:hint="eastAsia" w:ascii="宋体" w:hAnsi="宋体"/>
                <w:color w:val="auto"/>
                <w:szCs w:val="21"/>
              </w:rPr>
              <w:t>2、法定代表人负责签订合同的，须携带法定代表人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0DFC6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62EAB2A">
            <w:pPr>
              <w:spacing w:before="120" w:line="360" w:lineRule="auto"/>
              <w:ind w:left="-70"/>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8695" w:type="dxa"/>
            <w:vAlign w:val="center"/>
          </w:tcPr>
          <w:p w14:paraId="7CC8FB34">
            <w:pPr>
              <w:snapToGrid w:val="0"/>
              <w:spacing w:before="120" w:line="360" w:lineRule="auto"/>
              <w:rPr>
                <w:rFonts w:ascii="宋体" w:hAnsi="宋体" w:cs="宋体"/>
                <w:color w:val="auto"/>
                <w:szCs w:val="21"/>
              </w:rPr>
            </w:pPr>
            <w:r>
              <w:rPr>
                <w:rFonts w:hint="eastAsia" w:ascii="宋体" w:hAnsi="宋体" w:cs="宋体"/>
                <w:color w:val="auto"/>
                <w:szCs w:val="21"/>
              </w:rPr>
              <w:t>接收质疑函方式：以纸质书面形式。</w:t>
            </w:r>
          </w:p>
          <w:p w14:paraId="448E173F">
            <w:pPr>
              <w:pStyle w:val="15"/>
              <w:snapToGrid w:val="0"/>
              <w:spacing w:before="120" w:line="360" w:lineRule="auto"/>
              <w:ind w:left="-70"/>
              <w:rPr>
                <w:rFonts w:hAnsi="宋体" w:cs="宋体"/>
                <w:color w:val="auto"/>
                <w:kern w:val="2"/>
                <w:sz w:val="21"/>
              </w:rPr>
            </w:pPr>
            <w:r>
              <w:rPr>
                <w:rFonts w:hint="eastAsia" w:hAnsi="宋体" w:cs="宋体"/>
                <w:color w:val="auto"/>
                <w:sz w:val="21"/>
              </w:rPr>
              <w:t>质疑联系部门及联系方式：广西科文招标有限公司，质疑联系人：文庆金  联系电话：0775- 2685857，</w:t>
            </w:r>
            <w:r>
              <w:rPr>
                <w:rFonts w:hAnsi="宋体" w:cs="宋体"/>
                <w:color w:val="auto"/>
                <w:sz w:val="21"/>
              </w:rPr>
              <w:t>通讯地址</w:t>
            </w:r>
            <w:r>
              <w:rPr>
                <w:rFonts w:hint="eastAsia" w:hAnsi="宋体" w:cs="宋体"/>
                <w:color w:val="auto"/>
                <w:sz w:val="21"/>
              </w:rPr>
              <w:t>：广西玉林市文体北路5号富林·双泉雅苑商住小区1幢03号商铺</w:t>
            </w:r>
            <w:r>
              <w:rPr>
                <w:rFonts w:hint="eastAsia" w:hAnsi="宋体" w:cs="宋体"/>
                <w:color w:val="auto"/>
                <w:sz w:val="21"/>
                <w:lang w:eastAsia="zh-CN"/>
              </w:rPr>
              <w:t>，</w:t>
            </w:r>
            <w:r>
              <w:rPr>
                <w:rFonts w:hint="eastAsia" w:hAnsi="宋体" w:cs="宋体"/>
                <w:color w:val="auto"/>
                <w:sz w:val="21"/>
              </w:rPr>
              <w:t>现场提交质疑办理业务时间：工作日，8:00-12:00；15:00-18:00（北京时间）</w:t>
            </w:r>
          </w:p>
        </w:tc>
      </w:tr>
      <w:tr w14:paraId="5314E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8970A3E">
            <w:pPr>
              <w:spacing w:before="120" w:line="360" w:lineRule="auto"/>
              <w:ind w:left="-70"/>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.1</w:t>
            </w:r>
          </w:p>
        </w:tc>
        <w:tc>
          <w:tcPr>
            <w:tcW w:w="8695" w:type="dxa"/>
            <w:vAlign w:val="center"/>
          </w:tcPr>
          <w:p w14:paraId="2C9114BB">
            <w:pPr>
              <w:pStyle w:val="15"/>
              <w:snapToGrid w:val="0"/>
              <w:spacing w:before="120" w:line="360" w:lineRule="auto"/>
              <w:ind w:left="-70"/>
              <w:rPr>
                <w:rFonts w:hAnsi="宋体" w:cs="宋体"/>
                <w:color w:val="auto"/>
                <w:sz w:val="21"/>
              </w:rPr>
            </w:pPr>
            <w:r>
              <w:rPr>
                <w:rFonts w:hint="eastAsia" w:hAnsi="宋体" w:cs="宋体"/>
                <w:color w:val="auto"/>
                <w:sz w:val="21"/>
              </w:rPr>
              <w:t>1、采购代理服务费支付方式：本项目的采购代理服务费按以下收费标准向成交人收取，领取成交通知书前，成交供应商应向采购代理机构一次付清采购代理服务费，否则采购代理机构有权不予以办理。</w:t>
            </w:r>
          </w:p>
          <w:p w14:paraId="07D8D3CC">
            <w:pPr>
              <w:pStyle w:val="15"/>
              <w:snapToGrid w:val="0"/>
              <w:spacing w:before="120" w:line="360" w:lineRule="auto"/>
              <w:ind w:left="-70"/>
              <w:rPr>
                <w:rFonts w:hAnsi="宋体" w:cs="宋体"/>
                <w:color w:val="auto"/>
                <w:sz w:val="21"/>
              </w:rPr>
            </w:pPr>
            <w:r>
              <w:rPr>
                <w:rFonts w:hint="eastAsia" w:hAnsi="宋体" w:cs="宋体"/>
                <w:color w:val="auto"/>
                <w:sz w:val="21"/>
              </w:rPr>
              <w:t>2、采购代理服务费收取标准：参照【2002】1980号《招标代理服务费管理暂行办法》货物类收费标准收取。</w:t>
            </w:r>
          </w:p>
          <w:p w14:paraId="2C150097">
            <w:pPr>
              <w:pStyle w:val="15"/>
              <w:snapToGrid w:val="0"/>
              <w:spacing w:before="120" w:line="360" w:lineRule="auto"/>
              <w:rPr>
                <w:rFonts w:hAnsi="宋体" w:cs="宋体"/>
                <w:color w:val="auto"/>
                <w:sz w:val="21"/>
              </w:rPr>
            </w:pPr>
            <w:r>
              <w:rPr>
                <w:rFonts w:hint="eastAsia" w:hAnsi="宋体" w:cs="宋体"/>
                <w:color w:val="auto"/>
                <w:sz w:val="21"/>
              </w:rPr>
              <w:t>3、广西科文招标有限公司玉林第二分公司</w:t>
            </w:r>
          </w:p>
          <w:p w14:paraId="57163807">
            <w:pPr>
              <w:pStyle w:val="15"/>
              <w:snapToGrid w:val="0"/>
              <w:spacing w:before="120" w:line="360" w:lineRule="auto"/>
              <w:rPr>
                <w:rFonts w:hAnsi="宋体" w:cs="宋体"/>
                <w:color w:val="auto"/>
                <w:sz w:val="21"/>
              </w:rPr>
            </w:pPr>
            <w:r>
              <w:rPr>
                <w:rFonts w:hint="eastAsia" w:hAnsi="宋体" w:cs="宋体"/>
                <w:color w:val="auto"/>
                <w:sz w:val="21"/>
              </w:rPr>
              <w:t>账户名称：广西科文招标有限公司玉林第二分公司</w:t>
            </w:r>
          </w:p>
          <w:p w14:paraId="01093093">
            <w:pPr>
              <w:pStyle w:val="15"/>
              <w:snapToGrid w:val="0"/>
              <w:spacing w:before="120" w:line="360" w:lineRule="auto"/>
              <w:rPr>
                <w:rFonts w:hAnsi="宋体" w:cs="宋体"/>
                <w:color w:val="auto"/>
                <w:sz w:val="21"/>
              </w:rPr>
            </w:pPr>
            <w:r>
              <w:rPr>
                <w:rFonts w:hint="eastAsia" w:hAnsi="宋体" w:cs="宋体"/>
                <w:color w:val="auto"/>
                <w:sz w:val="21"/>
              </w:rPr>
              <w:t>开户银行：广西北部湾银行股份有限公司玉林市玉东支行</w:t>
            </w:r>
          </w:p>
          <w:p w14:paraId="77964EFA">
            <w:pPr>
              <w:pStyle w:val="15"/>
              <w:snapToGrid w:val="0"/>
              <w:spacing w:before="120" w:line="360" w:lineRule="auto"/>
              <w:rPr>
                <w:rFonts w:hAnsi="宋体" w:cs="宋体"/>
                <w:color w:val="auto"/>
                <w:sz w:val="21"/>
                <w:u w:val="single"/>
              </w:rPr>
            </w:pPr>
            <w:r>
              <w:rPr>
                <w:rFonts w:hint="eastAsia" w:hAnsi="宋体" w:cs="宋体"/>
                <w:color w:val="auto"/>
                <w:sz w:val="21"/>
              </w:rPr>
              <w:t>银行账号：805461433000002</w:t>
            </w:r>
          </w:p>
        </w:tc>
      </w:tr>
      <w:tr w14:paraId="15603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686A1EB">
            <w:pPr>
              <w:spacing w:before="120" w:line="360" w:lineRule="auto"/>
              <w:ind w:left="-70"/>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8695" w:type="dxa"/>
            <w:vAlign w:val="center"/>
          </w:tcPr>
          <w:p w14:paraId="51684F35">
            <w:pPr>
              <w:pStyle w:val="15"/>
              <w:snapToGrid w:val="0"/>
              <w:spacing w:before="120" w:line="360" w:lineRule="auto"/>
              <w:ind w:left="-70"/>
              <w:rPr>
                <w:rFonts w:hAnsi="宋体" w:cs="宋体"/>
                <w:color w:val="auto"/>
                <w:sz w:val="21"/>
              </w:rPr>
            </w:pPr>
            <w:r>
              <w:rPr>
                <w:rFonts w:hint="eastAsia" w:hAnsi="宋体" w:cs="宋体"/>
                <w:color w:val="auto"/>
                <w:sz w:val="21"/>
              </w:rPr>
              <w:t>解释：</w:t>
            </w:r>
            <w:r>
              <w:rPr>
                <w:rFonts w:hAnsi="宋体" w:cs="宋体"/>
                <w:color w:val="auto"/>
                <w:sz w:val="21"/>
              </w:rPr>
              <w:t>构成本</w:t>
            </w:r>
            <w:r>
              <w:rPr>
                <w:rFonts w:hint="eastAsia" w:hAnsi="宋体" w:cs="宋体"/>
                <w:color w:val="auto"/>
                <w:sz w:val="21"/>
              </w:rPr>
              <w:t>谈判文件</w:t>
            </w:r>
            <w:r>
              <w:rPr>
                <w:rFonts w:hAnsi="宋体" w:cs="宋体"/>
                <w:color w:val="auto"/>
                <w:sz w:val="21"/>
              </w:rPr>
              <w:t>的各个组成文件应互为解释，互为说明；除</w:t>
            </w:r>
            <w:r>
              <w:rPr>
                <w:rFonts w:hint="eastAsia" w:hAnsi="宋体" w:cs="宋体"/>
                <w:color w:val="auto"/>
                <w:sz w:val="21"/>
              </w:rPr>
              <w:t>谈判文件</w:t>
            </w:r>
            <w:r>
              <w:rPr>
                <w:rFonts w:hAnsi="宋体" w:cs="宋体"/>
                <w:color w:val="auto"/>
                <w:sz w:val="21"/>
              </w:rPr>
              <w:t>中有特别规定外，仅适用于</w:t>
            </w:r>
            <w:r>
              <w:rPr>
                <w:rFonts w:hint="eastAsia" w:hAnsi="宋体" w:cs="宋体"/>
                <w:color w:val="auto"/>
                <w:sz w:val="21"/>
              </w:rPr>
              <w:t>竞标</w:t>
            </w:r>
            <w:r>
              <w:rPr>
                <w:rFonts w:hAnsi="宋体" w:cs="宋体"/>
                <w:color w:val="auto"/>
                <w:sz w:val="21"/>
              </w:rPr>
              <w:t>阶段的规定，按</w:t>
            </w:r>
            <w:r>
              <w:rPr>
                <w:rFonts w:hint="eastAsia" w:hAnsi="宋体" w:cs="宋体"/>
                <w:color w:val="auto"/>
                <w:sz w:val="21"/>
              </w:rPr>
              <w:t>更正公告（澄清公告）</w:t>
            </w:r>
            <w:r>
              <w:rPr>
                <w:rFonts w:hAnsi="宋体" w:cs="宋体"/>
                <w:color w:val="auto"/>
                <w:sz w:val="21"/>
              </w:rPr>
              <w:t>、</w:t>
            </w:r>
            <w:r>
              <w:rPr>
                <w:rFonts w:hint="eastAsia" w:hAnsi="宋体" w:cs="宋体"/>
                <w:color w:val="auto"/>
                <w:sz w:val="21"/>
              </w:rPr>
              <w:t>竞争性谈判</w:t>
            </w:r>
            <w:r>
              <w:rPr>
                <w:rFonts w:hAnsi="宋体" w:cs="宋体"/>
                <w:color w:val="auto"/>
                <w:sz w:val="21"/>
              </w:rPr>
              <w:t>公告、</w:t>
            </w:r>
            <w:r>
              <w:rPr>
                <w:rFonts w:hint="eastAsia" w:hAnsi="宋体" w:cs="宋体"/>
                <w:color w:val="auto"/>
                <w:sz w:val="21"/>
              </w:rPr>
              <w:t>供应商</w:t>
            </w:r>
            <w:r>
              <w:rPr>
                <w:rFonts w:hAnsi="宋体" w:cs="宋体"/>
                <w:color w:val="auto"/>
                <w:sz w:val="21"/>
              </w:rPr>
              <w:t>须知</w:t>
            </w:r>
            <w:r>
              <w:rPr>
                <w:rFonts w:hint="eastAsia" w:hAnsi="宋体" w:cs="宋体"/>
                <w:color w:val="auto"/>
                <w:sz w:val="21"/>
              </w:rPr>
              <w:t>、采购需求</w:t>
            </w:r>
            <w:r>
              <w:rPr>
                <w:rFonts w:hAnsi="宋体" w:cs="宋体"/>
                <w:color w:val="auto"/>
                <w:sz w:val="21"/>
              </w:rPr>
              <w:t>、</w:t>
            </w:r>
            <w:r>
              <w:rPr>
                <w:rFonts w:hint="eastAsia" w:hAnsi="宋体" w:cs="宋体"/>
                <w:color w:val="auto"/>
                <w:sz w:val="21"/>
              </w:rPr>
              <w:t>评审程序和评定成交的标准</w:t>
            </w:r>
            <w:r>
              <w:rPr>
                <w:rFonts w:hAnsi="宋体" w:cs="宋体"/>
                <w:color w:val="auto"/>
                <w:sz w:val="21"/>
              </w:rPr>
              <w:t>、</w:t>
            </w:r>
            <w:r>
              <w:rPr>
                <w:rFonts w:hint="eastAsia" w:hAnsi="宋体" w:cs="宋体"/>
                <w:color w:val="auto"/>
                <w:sz w:val="21"/>
              </w:rPr>
              <w:t>响应</w:t>
            </w:r>
            <w:r>
              <w:rPr>
                <w:rFonts w:hAnsi="宋体" w:cs="宋体"/>
                <w:color w:val="auto"/>
                <w:sz w:val="21"/>
              </w:rPr>
              <w:t>文件格式</w:t>
            </w:r>
            <w:r>
              <w:rPr>
                <w:rFonts w:hint="eastAsia" w:hAnsi="宋体" w:cs="宋体"/>
                <w:color w:val="auto"/>
                <w:sz w:val="21"/>
              </w:rPr>
              <w:t>、合同文本</w:t>
            </w:r>
            <w:r>
              <w:rPr>
                <w:rFonts w:hAnsi="宋体" w:cs="宋体"/>
                <w:color w:val="auto"/>
                <w:sz w:val="21"/>
              </w:rPr>
              <w:t>的先后顺序解释；同一组成文件中就同一事项的规定或约定不一致的，以编排顺序在后者为准；同一组成文件不同版本之间有不一致的，以形成时间在后者为准；</w:t>
            </w:r>
            <w:r>
              <w:rPr>
                <w:rFonts w:hint="eastAsia" w:hAnsi="宋体" w:cs="宋体"/>
                <w:color w:val="auto"/>
                <w:sz w:val="21"/>
              </w:rPr>
              <w:t>更正公告（澄清公告）</w:t>
            </w:r>
            <w:r>
              <w:rPr>
                <w:rFonts w:hAnsi="宋体" w:cs="宋体"/>
                <w:color w:val="auto"/>
                <w:sz w:val="21"/>
              </w:rPr>
              <w:t>与同步更新的</w:t>
            </w:r>
            <w:r>
              <w:rPr>
                <w:rFonts w:hint="eastAsia" w:hAnsi="宋体" w:cs="宋体"/>
                <w:color w:val="auto"/>
                <w:sz w:val="21"/>
              </w:rPr>
              <w:t>谈判文件</w:t>
            </w:r>
            <w:r>
              <w:rPr>
                <w:rFonts w:hAnsi="宋体" w:cs="宋体"/>
                <w:color w:val="auto"/>
                <w:sz w:val="21"/>
              </w:rPr>
              <w:t>不一致时以</w:t>
            </w:r>
            <w:r>
              <w:rPr>
                <w:rFonts w:hint="eastAsia" w:hAnsi="宋体" w:cs="宋体"/>
                <w:color w:val="auto"/>
                <w:sz w:val="21"/>
              </w:rPr>
              <w:t>更正公告（澄清公告）</w:t>
            </w:r>
            <w:r>
              <w:rPr>
                <w:rFonts w:hAnsi="宋体" w:cs="宋体"/>
                <w:color w:val="auto"/>
                <w:sz w:val="21"/>
              </w:rPr>
              <w:t>为准。按本款前述规定仍不能形成结论的，由</w:t>
            </w:r>
            <w:r>
              <w:rPr>
                <w:rFonts w:hint="eastAsia" w:hAnsi="宋体" w:cs="宋体"/>
                <w:color w:val="auto"/>
                <w:sz w:val="21"/>
              </w:rPr>
              <w:t>采购</w:t>
            </w:r>
            <w:r>
              <w:rPr>
                <w:rFonts w:hAnsi="宋体" w:cs="宋体"/>
                <w:color w:val="auto"/>
                <w:sz w:val="21"/>
              </w:rPr>
              <w:t>人</w:t>
            </w:r>
            <w:r>
              <w:rPr>
                <w:rFonts w:hint="eastAsia" w:hAnsi="宋体" w:cs="宋体"/>
                <w:color w:val="auto"/>
                <w:sz w:val="21"/>
              </w:rPr>
              <w:t>或者采购代理机构</w:t>
            </w:r>
            <w:r>
              <w:rPr>
                <w:rFonts w:hAnsi="宋体" w:cs="宋体"/>
                <w:color w:val="auto"/>
                <w:sz w:val="21"/>
              </w:rPr>
              <w:t>负责解释。</w:t>
            </w:r>
          </w:p>
        </w:tc>
      </w:tr>
      <w:tr w14:paraId="136FA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D744BFD">
            <w:pPr>
              <w:spacing w:before="120" w:line="360" w:lineRule="auto"/>
              <w:ind w:left="-70"/>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8695" w:type="dxa"/>
            <w:vAlign w:val="center"/>
          </w:tcPr>
          <w:p w14:paraId="216257FC">
            <w:pPr>
              <w:pStyle w:val="15"/>
              <w:snapToGrid w:val="0"/>
              <w:spacing w:before="120" w:line="360" w:lineRule="auto"/>
              <w:ind w:left="-70"/>
              <w:rPr>
                <w:rFonts w:hAnsi="宋体" w:cs="宋体"/>
                <w:color w:val="auto"/>
                <w:sz w:val="21"/>
              </w:rPr>
            </w:pPr>
            <w:r>
              <w:rPr>
                <w:rFonts w:hint="eastAsia" w:hAnsi="宋体" w:cs="宋体"/>
                <w:color w:val="auto"/>
                <w:sz w:val="21"/>
              </w:rPr>
              <w:t>1、本谈判文件中描述供应商的“公章”是指根据我国对公章的管理规定，用供应商法定主体行为名称制作的印章【含通过指定电子化政府采购平台办理数字证书（CA认证）获得的以法定主体行为名称制作的电子印章】，除本谈判文件有特殊规定外，供应商的财务章、部门章、分公司章、工会章、合同章、竞标/竞标专用章、业务专用章及银行的转账章、现金收讫章、现金付讫章等其他形式印章均不能代替公章。</w:t>
            </w:r>
          </w:p>
          <w:p w14:paraId="6C5E4E21">
            <w:pPr>
              <w:pStyle w:val="15"/>
              <w:snapToGrid w:val="0"/>
              <w:spacing w:before="120" w:line="360" w:lineRule="auto"/>
              <w:ind w:left="-70"/>
              <w:rPr>
                <w:rFonts w:hAnsi="宋体" w:cs="宋体"/>
                <w:color w:val="auto"/>
                <w:sz w:val="21"/>
              </w:rPr>
            </w:pPr>
            <w:r>
              <w:rPr>
                <w:rFonts w:hint="eastAsia" w:hAnsi="宋体" w:cs="宋体"/>
                <w:color w:val="auto"/>
                <w:sz w:val="21"/>
              </w:rPr>
              <w:t>2、供应商为其他组织或者自然人时，本谈判文件规定的法定代表人指负责人或者自然人。本谈判文件所称负责人是指参加竞标的其他组织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负责人，本谈判文件所称自然人指参与竞标的自然人本人，</w:t>
            </w:r>
            <w:r>
              <w:rPr>
                <w:rFonts w:hint="eastAsia" w:hAnsi="宋体" w:cs="宋体"/>
                <w:bCs/>
                <w:color w:val="auto"/>
                <w:sz w:val="21"/>
              </w:rPr>
              <w:t>且应具备独立承担民事责任能力，自然人应当为年满18周岁以上成年人（十六周岁以上的未成年人，以自己的劳动收入为主要生活来源的，视为完全民事行为能力人）。</w:t>
            </w:r>
          </w:p>
          <w:p w14:paraId="38B39644">
            <w:pPr>
              <w:pStyle w:val="15"/>
              <w:snapToGrid w:val="0"/>
              <w:spacing w:before="120" w:line="360" w:lineRule="auto"/>
              <w:ind w:left="-70"/>
              <w:rPr>
                <w:rFonts w:hAnsi="宋体" w:cs="宋体"/>
                <w:color w:val="auto"/>
                <w:sz w:val="21"/>
              </w:rPr>
            </w:pPr>
            <w:r>
              <w:rPr>
                <w:rFonts w:hAnsi="宋体" w:cs="宋体"/>
                <w:color w:val="auto"/>
                <w:sz w:val="21"/>
              </w:rPr>
              <w:t>3</w:t>
            </w:r>
            <w:r>
              <w:rPr>
                <w:rFonts w:hint="eastAsia" w:hAnsi="宋体" w:cs="宋体"/>
                <w:color w:val="auto"/>
                <w:sz w:val="21"/>
              </w:rPr>
              <w:t>、本谈判文件中描述供应商的“签字”是指供应商的法定代表人（或负责人）或者委托代理人在文件规定签署处签名【含通过指定电子化政府采购平台办理数字证书（CA认证）获得的以供应商法定代表人（负责人）或者委托代理人姓名制作的电子印章】的行为，私章、印鉴等其他形式均不能代替签字。</w:t>
            </w:r>
          </w:p>
          <w:p w14:paraId="34F26096">
            <w:pPr>
              <w:pStyle w:val="15"/>
              <w:snapToGrid w:val="0"/>
              <w:spacing w:before="120" w:line="360" w:lineRule="auto"/>
              <w:rPr>
                <w:rFonts w:hAnsi="宋体" w:cs="宋体"/>
                <w:color w:val="auto"/>
                <w:sz w:val="21"/>
              </w:rPr>
            </w:pPr>
            <w:r>
              <w:rPr>
                <w:rFonts w:hAnsi="宋体" w:cs="宋体"/>
                <w:color w:val="auto"/>
                <w:sz w:val="21"/>
              </w:rPr>
              <w:t>4</w:t>
            </w:r>
            <w:r>
              <w:rPr>
                <w:rFonts w:hint="eastAsia" w:hAnsi="宋体" w:cs="宋体"/>
                <w:color w:val="auto"/>
                <w:sz w:val="21"/>
              </w:rPr>
              <w:t>、自然人竞标的，谈判文件规定盖公章处由自然人摁手指指印。</w:t>
            </w:r>
          </w:p>
          <w:p w14:paraId="6ACBDF93">
            <w:pPr>
              <w:pStyle w:val="15"/>
              <w:snapToGrid w:val="0"/>
              <w:spacing w:before="120" w:line="360" w:lineRule="auto"/>
              <w:ind w:left="-70"/>
              <w:rPr>
                <w:rFonts w:hAnsi="宋体" w:cs="宋体"/>
                <w:color w:val="auto"/>
                <w:sz w:val="21"/>
              </w:rPr>
            </w:pPr>
            <w:r>
              <w:rPr>
                <w:rFonts w:hint="eastAsia" w:hAnsi="宋体" w:cs="宋体"/>
                <w:color w:val="auto"/>
                <w:sz w:val="21"/>
              </w:rPr>
              <w:t>5、本谈判文件所称的“以上”“以下”“以内”“届满”，包括本数；所称的“不满”“超过”“以外”，不包括本数。</w:t>
            </w:r>
          </w:p>
        </w:tc>
      </w:tr>
      <w:tr w14:paraId="4E1A5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ACAA04">
            <w:pPr>
              <w:spacing w:before="120" w:line="360" w:lineRule="auto"/>
              <w:ind w:left="-70"/>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33.4</w:t>
            </w:r>
          </w:p>
        </w:tc>
        <w:tc>
          <w:tcPr>
            <w:tcW w:w="8695" w:type="dxa"/>
            <w:vAlign w:val="center"/>
          </w:tcPr>
          <w:p w14:paraId="4287A5E7">
            <w:pPr>
              <w:spacing w:line="400" w:lineRule="exact"/>
              <w:jc w:val="left"/>
              <w:rPr>
                <w:rFonts w:hint="eastAsia"/>
                <w:color w:val="auto"/>
                <w:lang w:eastAsia="zh-CN"/>
              </w:rPr>
            </w:pPr>
            <w:r>
              <w:rPr>
                <w:rFonts w:hint="eastAsia"/>
                <w:color w:val="auto"/>
              </w:rPr>
              <w:t>关于</w:t>
            </w:r>
            <w:r>
              <w:rPr>
                <w:rFonts w:hint="eastAsia"/>
                <w:color w:val="auto"/>
                <w:lang w:eastAsia="zh-CN"/>
              </w:rPr>
              <w:t>中</w:t>
            </w:r>
            <w:r>
              <w:rPr>
                <w:rFonts w:hint="eastAsia"/>
                <w:color w:val="auto"/>
              </w:rPr>
              <w:t>小</w:t>
            </w:r>
            <w:r>
              <w:rPr>
                <w:rFonts w:hint="eastAsia"/>
                <w:color w:val="auto"/>
                <w:lang w:eastAsia="zh-CN"/>
              </w:rPr>
              <w:t>微</w:t>
            </w:r>
            <w:r>
              <w:rPr>
                <w:rFonts w:hint="eastAsia"/>
                <w:color w:val="auto"/>
              </w:rPr>
              <w:t>企业采购需明确的内容</w:t>
            </w:r>
            <w:r>
              <w:rPr>
                <w:rFonts w:hint="eastAsia"/>
                <w:color w:val="auto"/>
                <w:lang w:eastAsia="zh-CN"/>
              </w:rPr>
              <w:t>：</w:t>
            </w:r>
          </w:p>
          <w:p w14:paraId="363B699A">
            <w:pPr>
              <w:pStyle w:val="15"/>
              <w:numPr>
                <w:ilvl w:val="0"/>
                <w:numId w:val="2"/>
              </w:numPr>
              <w:snapToGrid w:val="0"/>
              <w:spacing w:line="380" w:lineRule="exact"/>
              <w:rPr>
                <w:rFonts w:hint="eastAsia" w:hAnsi="宋体" w:cs="宋体"/>
                <w:color w:val="auto"/>
                <w:sz w:val="21"/>
                <w:lang w:val="en-US" w:eastAsia="zh-CN"/>
              </w:rPr>
            </w:pPr>
            <w:r>
              <w:rPr>
                <w:rFonts w:ascii="宋体" w:hAnsi="宋体" w:eastAsia="宋体" w:cs="宋体"/>
                <w:color w:val="auto"/>
                <w:sz w:val="21"/>
                <w:szCs w:val="21"/>
              </w:rPr>
              <w:t>本项目属于</w:t>
            </w:r>
            <w:r>
              <w:rPr>
                <w:rFonts w:hint="eastAsia" w:ascii="宋体" w:hAnsi="宋体" w:eastAsia="宋体" w:cs="宋体"/>
                <w:color w:val="auto"/>
                <w:sz w:val="21"/>
                <w:szCs w:val="21"/>
                <w:lang w:eastAsia="zh-CN"/>
              </w:rPr>
              <w:t>部分预留份额</w:t>
            </w:r>
            <w:r>
              <w:rPr>
                <w:rFonts w:ascii="宋体" w:hAnsi="宋体" w:eastAsia="宋体" w:cs="宋体"/>
                <w:color w:val="auto"/>
                <w:sz w:val="21"/>
                <w:szCs w:val="21"/>
              </w:rPr>
              <w:t>专门面向</w:t>
            </w:r>
            <w:r>
              <w:rPr>
                <w:rFonts w:hint="eastAsia" w:hAnsi="宋体" w:cs="宋体"/>
                <w:color w:val="auto"/>
                <w:sz w:val="21"/>
                <w:szCs w:val="21"/>
                <w:lang w:eastAsia="zh-CN"/>
              </w:rPr>
              <w:t>中</w:t>
            </w:r>
            <w:r>
              <w:rPr>
                <w:rFonts w:hint="eastAsia"/>
                <w:color w:val="auto"/>
              </w:rPr>
              <w:t>小</w:t>
            </w:r>
            <w:r>
              <w:rPr>
                <w:rFonts w:hint="eastAsia"/>
                <w:color w:val="auto"/>
                <w:lang w:eastAsia="zh-CN"/>
              </w:rPr>
              <w:t>微</w:t>
            </w:r>
            <w:r>
              <w:rPr>
                <w:rFonts w:ascii="宋体" w:hAnsi="宋体" w:eastAsia="宋体" w:cs="宋体"/>
                <w:color w:val="auto"/>
                <w:sz w:val="21"/>
                <w:szCs w:val="21"/>
              </w:rPr>
              <w:t>企业采购的项目，供应商应为符合《政府采购促进中小企业发展管理办法》（财库〔2020〕46号）、《关于政府采购支持监狱企业发展有关问题的通知》（财库〔2014〕68号）、《关于促进残疾人就业政府采购政策的通知》（财库〔2017〕141号）等规定的条件的</w:t>
            </w:r>
            <w:r>
              <w:rPr>
                <w:rFonts w:hint="eastAsia" w:hAnsi="宋体" w:cs="宋体"/>
                <w:color w:val="auto"/>
                <w:sz w:val="21"/>
                <w:szCs w:val="21"/>
                <w:lang w:eastAsia="zh-CN"/>
              </w:rPr>
              <w:t>中</w:t>
            </w:r>
            <w:r>
              <w:rPr>
                <w:rFonts w:hint="eastAsia"/>
                <w:color w:val="auto"/>
              </w:rPr>
              <w:t>小</w:t>
            </w:r>
            <w:r>
              <w:rPr>
                <w:rFonts w:hint="eastAsia"/>
                <w:color w:val="auto"/>
                <w:lang w:eastAsia="zh-CN"/>
              </w:rPr>
              <w:t>微</w:t>
            </w:r>
            <w:r>
              <w:rPr>
                <w:rFonts w:ascii="宋体" w:hAnsi="宋体" w:eastAsia="宋体" w:cs="宋体"/>
                <w:color w:val="auto"/>
                <w:sz w:val="21"/>
                <w:szCs w:val="21"/>
              </w:rPr>
              <w:t>企业，或监狱企业，或残疾人福利性单位。</w:t>
            </w:r>
            <w:r>
              <w:rPr>
                <w:rFonts w:ascii="宋体" w:hAnsi="宋体" w:eastAsia="宋体" w:cs="宋体"/>
                <w:color w:val="auto"/>
                <w:sz w:val="21"/>
                <w:szCs w:val="21"/>
              </w:rPr>
              <w:br w:type="textWrapping"/>
            </w:r>
            <w:r>
              <w:rPr>
                <w:rFonts w:hint="eastAsia" w:hAnsi="宋体" w:cs="宋体"/>
                <w:color w:val="auto"/>
                <w:sz w:val="21"/>
                <w:lang w:val="en-US" w:eastAsia="zh-CN"/>
              </w:rPr>
              <w:t>2、</w:t>
            </w:r>
            <w:r>
              <w:rPr>
                <w:rFonts w:hAnsi="宋体" w:cs="宋体"/>
                <w:color w:val="auto"/>
                <w:sz w:val="21"/>
              </w:rPr>
              <w:t>标的的名称：</w:t>
            </w:r>
            <w:r>
              <w:rPr>
                <w:rFonts w:hint="eastAsia" w:hAnsi="宋体" w:cs="宋体"/>
                <w:color w:val="auto"/>
                <w:sz w:val="21"/>
              </w:rPr>
              <w:t>玉林市公安局交通警察支队机动车驾驶人理论考场设备采购</w:t>
            </w:r>
          </w:p>
          <w:p w14:paraId="7FFE7BA2">
            <w:pPr>
              <w:pStyle w:val="15"/>
              <w:numPr>
                <w:ilvl w:val="0"/>
                <w:numId w:val="0"/>
              </w:numPr>
              <w:snapToGrid w:val="0"/>
              <w:spacing w:line="380" w:lineRule="exact"/>
              <w:ind w:firstLine="420" w:firstLineChars="200"/>
              <w:rPr>
                <w:rFonts w:hAnsi="宋体" w:cs="宋体"/>
                <w:color w:val="auto"/>
                <w:sz w:val="21"/>
              </w:rPr>
            </w:pPr>
            <w:r>
              <w:rPr>
                <w:rFonts w:hint="eastAsia" w:ascii="宋体" w:hAnsi="宋体" w:eastAsia="宋体" w:cs="宋体"/>
                <w:color w:val="auto"/>
                <w:sz w:val="21"/>
                <w:lang w:val="en-US" w:eastAsia="zh-CN"/>
              </w:rPr>
              <w:t>部分预留份额专门面向中小微企业预留金额为：人民</w:t>
            </w:r>
            <w:r>
              <w:rPr>
                <w:rFonts w:hint="eastAsia" w:hAnsi="宋体" w:cs="宋体"/>
                <w:color w:val="auto"/>
                <w:sz w:val="21"/>
                <w:lang w:val="en-US" w:eastAsia="zh-CN"/>
              </w:rPr>
              <w:t>币75.82</w:t>
            </w:r>
            <w:r>
              <w:rPr>
                <w:rFonts w:hint="eastAsia" w:ascii="宋体" w:hAnsi="宋体" w:eastAsia="宋体" w:cs="宋体"/>
                <w:color w:val="auto"/>
                <w:sz w:val="21"/>
                <w:lang w:val="en-US" w:eastAsia="zh-CN"/>
              </w:rPr>
              <w:t>万</w:t>
            </w:r>
            <w:r>
              <w:rPr>
                <w:rFonts w:hint="eastAsia" w:hAnsi="宋体" w:cs="宋体"/>
                <w:color w:val="auto"/>
                <w:sz w:val="21"/>
              </w:rPr>
              <w:t>元</w:t>
            </w:r>
            <w:r>
              <w:rPr>
                <w:rFonts w:hAnsi="宋体" w:cs="宋体"/>
                <w:color w:val="auto"/>
                <w:sz w:val="21"/>
              </w:rPr>
              <w:t>；</w:t>
            </w:r>
          </w:p>
          <w:p w14:paraId="703AFDDD">
            <w:pPr>
              <w:pStyle w:val="15"/>
              <w:snapToGrid w:val="0"/>
              <w:spacing w:line="38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lang w:val="en-US" w:eastAsia="zh-CN"/>
              </w:rPr>
              <w:t>部分预留份额</w:t>
            </w:r>
            <w:r>
              <w:rPr>
                <w:rFonts w:hAnsi="宋体" w:cs="宋体"/>
                <w:color w:val="auto"/>
                <w:sz w:val="21"/>
              </w:rPr>
              <w:t>专门面向</w:t>
            </w:r>
            <w:r>
              <w:rPr>
                <w:rFonts w:hint="eastAsia" w:ascii="宋体" w:hAnsi="宋体" w:eastAsia="宋体" w:cs="宋体"/>
                <w:color w:val="auto"/>
                <w:sz w:val="21"/>
                <w:lang w:val="en-US" w:eastAsia="zh-CN"/>
              </w:rPr>
              <w:t>中</w:t>
            </w:r>
            <w:r>
              <w:rPr>
                <w:rFonts w:hint="eastAsia"/>
                <w:color w:val="auto"/>
              </w:rPr>
              <w:t>小</w:t>
            </w:r>
            <w:r>
              <w:rPr>
                <w:rFonts w:hint="eastAsia"/>
                <w:color w:val="auto"/>
                <w:lang w:eastAsia="zh-CN"/>
              </w:rPr>
              <w:t>微</w:t>
            </w:r>
            <w:r>
              <w:rPr>
                <w:rFonts w:hAnsi="宋体" w:cs="宋体"/>
                <w:color w:val="auto"/>
                <w:sz w:val="21"/>
              </w:rPr>
              <w:t>企业预留份额</w:t>
            </w:r>
            <w:r>
              <w:rPr>
                <w:rFonts w:hint="eastAsia" w:hAnsi="宋体" w:cs="宋体"/>
                <w:color w:val="auto"/>
                <w:sz w:val="21"/>
                <w:lang w:eastAsia="zh-CN"/>
              </w:rPr>
              <w:t>不低于</w:t>
            </w:r>
            <w:r>
              <w:rPr>
                <w:rFonts w:hAnsi="宋体" w:cs="宋体"/>
                <w:color w:val="auto"/>
                <w:sz w:val="21"/>
              </w:rPr>
              <w:t>：</w:t>
            </w:r>
            <w:r>
              <w:rPr>
                <w:rFonts w:hint="eastAsia" w:hAnsi="宋体" w:cs="宋体"/>
                <w:color w:val="auto"/>
                <w:sz w:val="21"/>
                <w:lang w:val="en-US" w:eastAsia="zh-CN"/>
              </w:rPr>
              <w:t>70.14%</w:t>
            </w:r>
            <w:r>
              <w:rPr>
                <w:rFonts w:hint="eastAsia" w:hAnsi="宋体" w:cs="宋体"/>
                <w:color w:val="auto"/>
                <w:sz w:val="21"/>
                <w:lang w:eastAsia="zh-CN"/>
              </w:rPr>
              <w:t>。</w:t>
            </w:r>
            <w:r>
              <w:rPr>
                <w:rFonts w:ascii="宋体" w:hAnsi="宋体" w:eastAsia="宋体" w:cs="宋体"/>
                <w:color w:val="auto"/>
                <w:sz w:val="21"/>
                <w:szCs w:val="21"/>
              </w:rPr>
              <w:br w:type="textWrapping"/>
            </w:r>
            <w:r>
              <w:rPr>
                <w:rFonts w:hint="eastAsia" w:hAnsi="宋体" w:cs="宋体"/>
                <w:color w:val="auto"/>
                <w:sz w:val="21"/>
                <w:szCs w:val="21"/>
                <w:lang w:val="en-US" w:eastAsia="zh-CN"/>
              </w:rPr>
              <w:t>3</w:t>
            </w:r>
            <w:r>
              <w:rPr>
                <w:rFonts w:hint="eastAsia" w:ascii="宋体" w:hAnsi="宋体" w:eastAsia="宋体" w:cs="宋体"/>
                <w:color w:val="auto"/>
                <w:sz w:val="21"/>
                <w:szCs w:val="21"/>
                <w:lang w:eastAsia="zh-CN"/>
              </w:rPr>
              <w:t>、</w:t>
            </w:r>
            <w:r>
              <w:rPr>
                <w:rFonts w:ascii="宋体" w:hAnsi="宋体" w:eastAsia="宋体" w:cs="宋体"/>
                <w:color w:val="auto"/>
                <w:sz w:val="21"/>
                <w:szCs w:val="21"/>
              </w:rPr>
              <w:t>本项目</w:t>
            </w:r>
            <w:r>
              <w:rPr>
                <w:rFonts w:hint="eastAsia" w:ascii="宋体" w:hAnsi="宋体" w:eastAsia="宋体" w:cs="宋体"/>
                <w:color w:val="auto"/>
                <w:sz w:val="21"/>
                <w:szCs w:val="21"/>
                <w:lang w:eastAsia="zh-CN"/>
              </w:rPr>
              <w:t>不</w:t>
            </w:r>
            <w:r>
              <w:rPr>
                <w:rFonts w:ascii="宋体" w:hAnsi="宋体" w:eastAsia="宋体" w:cs="宋体"/>
                <w:color w:val="auto"/>
                <w:sz w:val="21"/>
                <w:szCs w:val="21"/>
              </w:rPr>
              <w:t>接受联合体</w:t>
            </w:r>
            <w:r>
              <w:rPr>
                <w:rFonts w:hint="eastAsia" w:hAnsi="宋体" w:cs="宋体"/>
                <w:color w:val="auto"/>
                <w:sz w:val="21"/>
                <w:szCs w:val="21"/>
                <w:lang w:val="en-US" w:eastAsia="zh-CN"/>
              </w:rPr>
              <w:t>竞标</w:t>
            </w:r>
            <w:r>
              <w:rPr>
                <w:rFonts w:ascii="宋体" w:hAnsi="宋体" w:eastAsia="宋体" w:cs="宋体"/>
                <w:color w:val="auto"/>
                <w:sz w:val="21"/>
                <w:szCs w:val="21"/>
              </w:rPr>
              <w:t>，本项目不允许分包</w:t>
            </w:r>
            <w:r>
              <w:rPr>
                <w:rFonts w:hint="eastAsia" w:ascii="宋体" w:hAnsi="宋体" w:eastAsia="宋体" w:cs="宋体"/>
                <w:color w:val="auto"/>
                <w:sz w:val="21"/>
                <w:szCs w:val="21"/>
                <w:lang w:eastAsia="zh-CN"/>
              </w:rPr>
              <w:t>。</w:t>
            </w:r>
            <w:r>
              <w:rPr>
                <w:rFonts w:ascii="宋体" w:hAnsi="宋体" w:eastAsia="宋体" w:cs="宋体"/>
                <w:color w:val="auto"/>
                <w:sz w:val="21"/>
                <w:szCs w:val="21"/>
              </w:rPr>
              <w:br w:type="textWrapping"/>
            </w:r>
            <w:r>
              <w:rPr>
                <w:rFonts w:hint="eastAsia" w:hAnsi="宋体" w:cs="宋体"/>
                <w:color w:val="auto"/>
                <w:sz w:val="21"/>
                <w:szCs w:val="21"/>
                <w:lang w:val="en-US" w:eastAsia="zh-CN"/>
              </w:rPr>
              <w:t>4</w:t>
            </w:r>
            <w:r>
              <w:rPr>
                <w:rFonts w:hint="eastAsia" w:ascii="宋体" w:hAnsi="宋体" w:eastAsia="宋体" w:cs="宋体"/>
                <w:color w:val="auto"/>
                <w:sz w:val="21"/>
                <w:szCs w:val="21"/>
                <w:lang w:eastAsia="zh-CN"/>
              </w:rPr>
              <w:t>、</w:t>
            </w:r>
            <w:r>
              <w:rPr>
                <w:rFonts w:ascii="宋体" w:hAnsi="宋体" w:eastAsia="宋体" w:cs="宋体"/>
                <w:color w:val="auto"/>
                <w:sz w:val="21"/>
                <w:szCs w:val="21"/>
              </w:rPr>
              <w:t>本项目属于</w:t>
            </w:r>
            <w:r>
              <w:rPr>
                <w:rFonts w:hint="eastAsia" w:ascii="宋体" w:hAnsi="宋体" w:eastAsia="宋体" w:cs="宋体"/>
                <w:color w:val="auto"/>
                <w:sz w:val="21"/>
                <w:lang w:val="en-US" w:eastAsia="zh-CN"/>
              </w:rPr>
              <w:t>部分预留份额</w:t>
            </w:r>
            <w:r>
              <w:rPr>
                <w:rFonts w:ascii="宋体" w:hAnsi="宋体" w:eastAsia="宋体" w:cs="宋体"/>
                <w:color w:val="auto"/>
                <w:sz w:val="21"/>
                <w:szCs w:val="21"/>
              </w:rPr>
              <w:t>专门面向</w:t>
            </w:r>
            <w:r>
              <w:rPr>
                <w:rFonts w:hint="eastAsia" w:ascii="宋体" w:hAnsi="宋体" w:eastAsia="宋体" w:cs="宋体"/>
                <w:color w:val="auto"/>
                <w:sz w:val="21"/>
                <w:lang w:val="en-US" w:eastAsia="zh-CN"/>
              </w:rPr>
              <w:t>中</w:t>
            </w:r>
            <w:r>
              <w:rPr>
                <w:rFonts w:hint="eastAsia" w:ascii="宋体" w:hAnsi="宋体" w:eastAsia="宋体" w:cs="宋体"/>
                <w:color w:val="auto"/>
                <w:sz w:val="21"/>
                <w:szCs w:val="21"/>
              </w:rPr>
              <w:t>小</w:t>
            </w:r>
            <w:r>
              <w:rPr>
                <w:rFonts w:hint="eastAsia" w:ascii="宋体" w:hAnsi="宋体" w:eastAsia="宋体" w:cs="宋体"/>
                <w:color w:val="auto"/>
                <w:sz w:val="21"/>
                <w:szCs w:val="21"/>
                <w:lang w:eastAsia="zh-CN"/>
              </w:rPr>
              <w:t>微</w:t>
            </w:r>
            <w:r>
              <w:rPr>
                <w:rFonts w:ascii="宋体" w:hAnsi="宋体" w:eastAsia="宋体" w:cs="宋体"/>
                <w:color w:val="auto"/>
                <w:sz w:val="21"/>
                <w:szCs w:val="21"/>
              </w:rPr>
              <w:t>企业采购的项目或者采购包，不再设置价格扣除比例或者价格分加分比例</w:t>
            </w:r>
            <w:r>
              <w:rPr>
                <w:rFonts w:hint="eastAsia" w:ascii="宋体" w:hAnsi="宋体" w:eastAsia="宋体" w:cs="宋体"/>
                <w:color w:val="auto"/>
                <w:sz w:val="21"/>
                <w:szCs w:val="21"/>
                <w:lang w:eastAsia="zh-CN"/>
              </w:rPr>
              <w:t>。</w:t>
            </w:r>
            <w:r>
              <w:rPr>
                <w:rFonts w:ascii="宋体" w:hAnsi="宋体" w:eastAsia="宋体" w:cs="宋体"/>
                <w:color w:val="auto"/>
                <w:sz w:val="21"/>
                <w:szCs w:val="21"/>
              </w:rPr>
              <w:br w:type="textWrapping"/>
            </w:r>
            <w:r>
              <w:rPr>
                <w:rFonts w:hint="eastAsia" w:hAnsi="宋体" w:cs="宋体"/>
                <w:color w:val="auto"/>
                <w:sz w:val="21"/>
                <w:szCs w:val="21"/>
                <w:lang w:val="en-US" w:eastAsia="zh-CN"/>
              </w:rPr>
              <w:t>5</w:t>
            </w:r>
            <w:r>
              <w:rPr>
                <w:rFonts w:hint="eastAsia" w:ascii="宋体" w:hAnsi="宋体" w:eastAsia="宋体" w:cs="宋体"/>
                <w:color w:val="auto"/>
                <w:sz w:val="21"/>
                <w:szCs w:val="21"/>
                <w:lang w:eastAsia="zh-CN"/>
              </w:rPr>
              <w:t>、</w:t>
            </w:r>
            <w:r>
              <w:rPr>
                <w:rFonts w:ascii="宋体" w:hAnsi="宋体" w:eastAsia="宋体" w:cs="宋体"/>
                <w:color w:val="auto"/>
                <w:sz w:val="21"/>
                <w:szCs w:val="21"/>
              </w:rPr>
              <w:t>因本项目属于</w:t>
            </w:r>
            <w:r>
              <w:rPr>
                <w:rFonts w:hint="eastAsia" w:ascii="宋体" w:hAnsi="宋体" w:eastAsia="宋体" w:cs="宋体"/>
                <w:color w:val="auto"/>
                <w:sz w:val="21"/>
                <w:lang w:val="en-US" w:eastAsia="zh-CN"/>
              </w:rPr>
              <w:t>部分预留份额</w:t>
            </w:r>
            <w:r>
              <w:rPr>
                <w:rFonts w:ascii="宋体" w:hAnsi="宋体" w:eastAsia="宋体" w:cs="宋体"/>
                <w:color w:val="auto"/>
                <w:sz w:val="21"/>
                <w:szCs w:val="21"/>
              </w:rPr>
              <w:t>专门面向</w:t>
            </w:r>
            <w:r>
              <w:rPr>
                <w:rFonts w:hint="eastAsia" w:ascii="宋体" w:hAnsi="宋体" w:eastAsia="宋体" w:cs="宋体"/>
                <w:color w:val="auto"/>
                <w:sz w:val="21"/>
                <w:lang w:val="en-US" w:eastAsia="zh-CN"/>
              </w:rPr>
              <w:t>中</w:t>
            </w:r>
            <w:r>
              <w:rPr>
                <w:rFonts w:hint="eastAsia"/>
                <w:color w:val="auto"/>
              </w:rPr>
              <w:t>小</w:t>
            </w:r>
            <w:r>
              <w:rPr>
                <w:rFonts w:hint="eastAsia"/>
                <w:color w:val="auto"/>
                <w:lang w:eastAsia="zh-CN"/>
              </w:rPr>
              <w:t>微</w:t>
            </w:r>
            <w:r>
              <w:rPr>
                <w:rFonts w:ascii="宋体" w:hAnsi="宋体" w:eastAsia="宋体" w:cs="宋体"/>
                <w:color w:val="auto"/>
                <w:sz w:val="21"/>
                <w:szCs w:val="21"/>
              </w:rPr>
              <w:t>企业采购的项目，规定依据《政府采购促进中小企业发展管理办法》规定享受扶持政策获得政府采购合同的，小微企业不得将合同分包给大中型企业，中型企业不得将合同分包给大型企业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z w:val="21"/>
                <w:szCs w:val="21"/>
                <w:lang w:eastAsia="zh-CN"/>
              </w:rPr>
              <w:t>。</w:t>
            </w:r>
            <w:r>
              <w:rPr>
                <w:rFonts w:ascii="宋体" w:hAnsi="宋体" w:eastAsia="宋体" w:cs="宋体"/>
                <w:color w:val="auto"/>
                <w:sz w:val="21"/>
                <w:szCs w:val="21"/>
              </w:rPr>
              <w:br w:type="textWrapping"/>
            </w:r>
            <w:r>
              <w:rPr>
                <w:rFonts w:hint="eastAsia" w:hAnsi="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hAnsi="宋体" w:eastAsia="宋体" w:cs="宋体"/>
                <w:color w:val="auto"/>
                <w:sz w:val="21"/>
                <w:szCs w:val="21"/>
                <w:lang w:eastAsia="zh-CN"/>
              </w:rPr>
              <w:t>项目</w:t>
            </w:r>
            <w:r>
              <w:rPr>
                <w:rFonts w:hint="eastAsia" w:ascii="宋体" w:hAnsi="宋体" w:eastAsia="宋体" w:cs="宋体"/>
                <w:color w:val="auto"/>
                <w:sz w:val="21"/>
                <w:szCs w:val="21"/>
                <w:lang w:eastAsia="zh-CN"/>
              </w:rPr>
              <w:t>预付款方式：</w:t>
            </w:r>
          </w:p>
          <w:p w14:paraId="229DAA2C">
            <w:pPr>
              <w:pStyle w:val="15"/>
              <w:numPr>
                <w:ilvl w:val="0"/>
                <w:numId w:val="0"/>
              </w:num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①预付款支付比例：合同总价款</w:t>
            </w:r>
            <w:r>
              <w:rPr>
                <w:rFonts w:hint="eastAsia" w:hAnsi="宋体" w:cs="宋体"/>
                <w:color w:val="auto"/>
                <w:sz w:val="21"/>
                <w:szCs w:val="21"/>
                <w:lang w:val="en-US" w:eastAsia="zh-CN"/>
              </w:rPr>
              <w:t>3</w:t>
            </w:r>
            <w:r>
              <w:rPr>
                <w:rFonts w:hint="eastAsia" w:ascii="宋体" w:hAnsi="宋体" w:eastAsia="宋体" w:cs="宋体"/>
                <w:color w:val="auto"/>
                <w:sz w:val="21"/>
                <w:szCs w:val="21"/>
                <w:lang w:eastAsia="zh-CN"/>
              </w:rPr>
              <w:t xml:space="preserve">0%。 </w:t>
            </w:r>
          </w:p>
          <w:p w14:paraId="718C6DA0">
            <w:pPr>
              <w:pStyle w:val="15"/>
              <w:numPr>
                <w:ilvl w:val="0"/>
                <w:numId w:val="0"/>
              </w:numPr>
              <w:snapToGrid w:val="0"/>
              <w:spacing w:line="38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②预付款支付期限：签订合同</w:t>
            </w:r>
            <w:r>
              <w:rPr>
                <w:rFonts w:hint="eastAsia" w:hAnsi="宋体" w:cs="宋体"/>
                <w:color w:val="auto"/>
                <w:sz w:val="21"/>
                <w:szCs w:val="21"/>
                <w:lang w:eastAsia="zh-CN"/>
              </w:rPr>
              <w:t>后</w:t>
            </w:r>
            <w:r>
              <w:rPr>
                <w:rFonts w:hint="eastAsia" w:hAnsi="宋体" w:cs="宋体"/>
                <w:color w:val="auto"/>
                <w:sz w:val="21"/>
                <w:szCs w:val="21"/>
                <w:lang w:val="en-US" w:eastAsia="zh-CN"/>
              </w:rPr>
              <w:t>10个工作日内</w:t>
            </w:r>
            <w:r>
              <w:rPr>
                <w:rFonts w:hint="eastAsia" w:ascii="宋体" w:hAnsi="宋体" w:eastAsia="宋体" w:cs="宋体"/>
                <w:color w:val="auto"/>
                <w:sz w:val="21"/>
                <w:szCs w:val="21"/>
                <w:lang w:eastAsia="zh-CN"/>
              </w:rPr>
              <w:t>。</w:t>
            </w:r>
          </w:p>
          <w:p w14:paraId="67C55E81">
            <w:pPr>
              <w:pStyle w:val="15"/>
              <w:snapToGrid w:val="0"/>
              <w:spacing w:before="120" w:line="360" w:lineRule="auto"/>
              <w:ind w:left="-70"/>
              <w:rPr>
                <w:rFonts w:hint="eastAsia" w:hAnsi="宋体" w:cs="宋体"/>
                <w:color w:val="auto"/>
                <w:sz w:val="21"/>
              </w:rPr>
            </w:pPr>
            <w:r>
              <w:rPr>
                <w:rFonts w:hint="eastAsia" w:hAnsi="宋体" w:cs="宋体"/>
                <w:color w:val="auto"/>
                <w:sz w:val="21"/>
                <w:szCs w:val="21"/>
                <w:lang w:val="en-US" w:eastAsia="zh-CN"/>
              </w:rPr>
              <w:t>7、</w:t>
            </w:r>
            <w:r>
              <w:rPr>
                <w:rFonts w:hint="eastAsia" w:ascii="宋体" w:hAnsi="宋体" w:eastAsia="宋体" w:cs="宋体"/>
                <w:color w:val="auto"/>
                <w:sz w:val="21"/>
                <w:szCs w:val="21"/>
                <w:lang w:eastAsia="zh-CN"/>
              </w:rPr>
              <w:t>本项目采购标的对应的</w:t>
            </w:r>
            <w:r>
              <w:rPr>
                <w:rFonts w:hint="eastAsia" w:ascii="宋体" w:hAnsi="宋体" w:eastAsia="宋体" w:cs="宋体"/>
                <w:color w:val="auto"/>
                <w:sz w:val="21"/>
                <w:lang w:val="en-US" w:eastAsia="zh-CN"/>
              </w:rPr>
              <w:t>中</w:t>
            </w:r>
            <w:r>
              <w:rPr>
                <w:rFonts w:hint="eastAsia"/>
                <w:color w:val="auto"/>
              </w:rPr>
              <w:t>小</w:t>
            </w:r>
            <w:r>
              <w:rPr>
                <w:rFonts w:hint="eastAsia"/>
                <w:color w:val="auto"/>
                <w:lang w:eastAsia="zh-CN"/>
              </w:rPr>
              <w:t>微</w:t>
            </w:r>
            <w:r>
              <w:rPr>
                <w:rFonts w:hint="eastAsia" w:ascii="宋体" w:hAnsi="宋体" w:eastAsia="宋体" w:cs="宋体"/>
                <w:color w:val="auto"/>
                <w:sz w:val="21"/>
                <w:szCs w:val="21"/>
                <w:lang w:eastAsia="zh-CN"/>
              </w:rPr>
              <w:t>企业划分标准所属行业为:工业。</w:t>
            </w:r>
          </w:p>
        </w:tc>
      </w:tr>
    </w:tbl>
    <w:p w14:paraId="3298C7FA">
      <w:pPr>
        <w:spacing w:before="120" w:line="400" w:lineRule="exact"/>
        <w:ind w:left="-70" w:firstLine="787"/>
        <w:jc w:val="both"/>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lang w:val="en-US" w:eastAsia="zh-CN"/>
        </w:rPr>
        <w:t xml:space="preserve">                 </w:t>
      </w:r>
      <w:r>
        <w:rPr>
          <w:rFonts w:hint="eastAsia" w:ascii="宋体" w:hAnsi="宋体"/>
          <w:b/>
          <w:color w:val="auto"/>
          <w:sz w:val="32"/>
          <w:szCs w:val="32"/>
        </w:rPr>
        <w:t>供应商须知正文</w:t>
      </w:r>
    </w:p>
    <w:p w14:paraId="3BFDBBCB">
      <w:pPr>
        <w:keepNext w:val="0"/>
        <w:keepLines w:val="0"/>
        <w:pageBreakBefore w:val="0"/>
        <w:kinsoku/>
        <w:wordWrap/>
        <w:overflowPunct/>
        <w:topLinePunct w:val="0"/>
        <w:autoSpaceDE/>
        <w:autoSpaceDN/>
        <w:bidi w:val="0"/>
        <w:adjustRightInd/>
        <w:spacing w:before="120" w:line="396" w:lineRule="exact"/>
        <w:ind w:left="-70" w:firstLine="4086" w:firstLineChars="1272"/>
        <w:jc w:val="both"/>
        <w:textAlignment w:val="auto"/>
        <w:rPr>
          <w:rFonts w:ascii="宋体" w:hAnsi="宋体"/>
          <w:color w:val="auto"/>
          <w:szCs w:val="21"/>
        </w:rPr>
      </w:pPr>
      <w:r>
        <w:rPr>
          <w:rFonts w:hint="eastAsia" w:ascii="宋体" w:hAnsi="宋体"/>
          <w:b/>
          <w:color w:val="auto"/>
          <w:sz w:val="32"/>
          <w:szCs w:val="32"/>
        </w:rPr>
        <w:t>一、总则</w:t>
      </w:r>
    </w:p>
    <w:p w14:paraId="26F2EC3B">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 适用范围</w:t>
      </w:r>
    </w:p>
    <w:p w14:paraId="0E0502F4">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07CB3BB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本竞争性谈判文件（以下简称谈判文件）适用于本项目的所有采购程序和环节（法律、法规另有规定的，从其规定）。</w:t>
      </w:r>
    </w:p>
    <w:p w14:paraId="6BFFE2AC">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2. 定义</w:t>
      </w:r>
    </w:p>
    <w:p w14:paraId="4AF43C6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2.1“采购人”是指依法进行采购的国家机关、事业单位、团体组织。</w:t>
      </w:r>
    </w:p>
    <w:p w14:paraId="2417BFC2">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b/>
          <w:color w:val="auto"/>
          <w:szCs w:val="21"/>
        </w:rPr>
      </w:pPr>
      <w:r>
        <w:rPr>
          <w:rFonts w:hint="eastAsia" w:ascii="宋体" w:hAnsi="宋体" w:cs="宋体"/>
          <w:color w:val="auto"/>
          <w:szCs w:val="21"/>
        </w:rPr>
        <w:t>2.2“采购代理机构”</w:t>
      </w:r>
      <w:r>
        <w:rPr>
          <w:rFonts w:hint="eastAsia" w:ascii="宋体" w:hAnsi="宋体"/>
          <w:b/>
          <w:color w:val="auto"/>
          <w:szCs w:val="21"/>
        </w:rPr>
        <w:t>是指政府采购集中采购机构和集中采购机构以外的采购代理机构。</w:t>
      </w:r>
    </w:p>
    <w:p w14:paraId="242F67F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79C73DEB">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2.4“货物”是指各种形态和种类的物品，包括原材料、燃料、设备、产品等。</w:t>
      </w:r>
    </w:p>
    <w:p w14:paraId="678AE08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2.5“竞标”是指按照本项目竞争性谈判公告或者邀请函规定的方式供应商获取谈判文件、提交响应文件并希望获得标的的行为。</w:t>
      </w:r>
    </w:p>
    <w:p w14:paraId="4F431B2D">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2.6“售后服务” 是指包含但不限于供应商须承担的备品备件、包装、运输、装卸、保险、货到就位以及安装、调试、培训、保修和其他类似的义务。</w:t>
      </w:r>
    </w:p>
    <w:p w14:paraId="30FED26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2.7“书面形式”是指合同书、信件和数据电文（包括电报、电传、传真、电子数据交换和电子邮件）等可以有形地表现所载内容的形式。</w:t>
      </w:r>
    </w:p>
    <w:p w14:paraId="4BE22C15">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2.8“响应文件”</w:t>
      </w:r>
      <w:r>
        <w:rPr>
          <w:rFonts w:hint="eastAsia" w:ascii="宋体" w:hAnsi="宋体" w:cs="宋体"/>
          <w:color w:val="auto"/>
          <w:spacing w:val="-6"/>
          <w:szCs w:val="21"/>
        </w:rPr>
        <w:t>是指：供应商根据本谈判文件要求，编制包含报价、技术和服务等所有内容的文件。</w:t>
      </w:r>
    </w:p>
    <w:p w14:paraId="43B1E197">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2.9 “实质性要求”是指采购需求中带“▲”的条款或者不能负偏离的条款或者已经指明不满足按响应文件按无效响应处理的条款。</w:t>
      </w:r>
    </w:p>
    <w:p w14:paraId="1846F7F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2.10“正偏离”，是指响应文件对谈判文件“采购需求”中有关条款作出优于条款要求并有利于采购人的响应情形；</w:t>
      </w:r>
    </w:p>
    <w:p w14:paraId="3802851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2.11“负偏离”，是指响应文件对谈判文件“采购需求”中有关条款作出的响应不满足条款要求，导致采购人要求不能得到满足的情形。</w:t>
      </w:r>
    </w:p>
    <w:p w14:paraId="20B081C2">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2.12“允许负偏离的条款”是指采购需求中的不属于“实质性要求”的条款。</w:t>
      </w:r>
    </w:p>
    <w:p w14:paraId="7CB5C87E">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2.13“首次报价”是指供应商提交的首次响应文件中的竞标报价。</w:t>
      </w:r>
    </w:p>
    <w:p w14:paraId="14E72E14">
      <w:pPr>
        <w:keepNext w:val="0"/>
        <w:keepLines w:val="0"/>
        <w:pageBreakBefore w:val="0"/>
        <w:kinsoku/>
        <w:wordWrap/>
        <w:overflowPunct/>
        <w:topLinePunct w:val="0"/>
        <w:autoSpaceDE/>
        <w:autoSpaceDN/>
        <w:bidi w:val="0"/>
        <w:adjustRightInd/>
        <w:snapToGrid/>
        <w:spacing w:before="120" w:line="396" w:lineRule="exact"/>
        <w:ind w:left="-70" w:firstLine="482" w:firstLineChars="200"/>
        <w:contextualSpacing/>
        <w:textAlignment w:val="auto"/>
        <w:rPr>
          <w:rFonts w:ascii="黑体" w:hAnsi="黑体" w:eastAsia="黑体" w:cs="宋体"/>
          <w:b/>
          <w:bCs/>
          <w:color w:val="auto"/>
          <w:sz w:val="24"/>
        </w:rPr>
      </w:pPr>
      <w:r>
        <w:rPr>
          <w:rFonts w:hint="eastAsia" w:ascii="黑体" w:hAnsi="黑体" w:eastAsia="黑体" w:cs="宋体"/>
          <w:b/>
          <w:bCs/>
          <w:color w:val="auto"/>
          <w:sz w:val="24"/>
        </w:rPr>
        <w:t>3. 供应商的资格条件</w:t>
      </w:r>
    </w:p>
    <w:p w14:paraId="3893B002">
      <w:pPr>
        <w:keepNext w:val="0"/>
        <w:keepLines w:val="0"/>
        <w:pageBreakBefore w:val="0"/>
        <w:kinsoku/>
        <w:wordWrap/>
        <w:overflowPunct/>
        <w:topLinePunct w:val="0"/>
        <w:autoSpaceDE/>
        <w:autoSpaceDN/>
        <w:bidi w:val="0"/>
        <w:adjustRightInd/>
        <w:snapToGrid/>
        <w:spacing w:before="120" w:line="396" w:lineRule="exact"/>
        <w:ind w:left="-70" w:firstLine="420" w:firstLineChars="200"/>
        <w:contextualSpacing/>
        <w:textAlignment w:val="auto"/>
        <w:rPr>
          <w:rFonts w:ascii="宋体" w:hAnsi="宋体" w:cs="宋体"/>
          <w:color w:val="auto"/>
          <w:szCs w:val="21"/>
        </w:rPr>
      </w:pPr>
      <w:r>
        <w:rPr>
          <w:rFonts w:hint="eastAsia" w:ascii="宋体" w:hAnsi="宋体" w:cs="宋体"/>
          <w:color w:val="auto"/>
          <w:szCs w:val="21"/>
        </w:rPr>
        <w:t>供应商的资格条件详见“供应商须知前附表”。</w:t>
      </w:r>
    </w:p>
    <w:p w14:paraId="7592E45C">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4. 竞标费用</w:t>
      </w:r>
    </w:p>
    <w:p w14:paraId="2E8B288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竞标费用：供应商应承担参与本次采购活动有关的所有费用，包括但不限于获取谈判文件、勘查现场、编制和提交响应文件、参加谈判与应答、签订合同等，不论竞标结果如何，均应自行承担。</w:t>
      </w:r>
    </w:p>
    <w:p w14:paraId="2E40462A">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5.联合体竞标</w:t>
      </w:r>
    </w:p>
    <w:p w14:paraId="1DD37B3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51AB4F9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5.2</w:t>
      </w:r>
      <w:r>
        <w:rPr>
          <w:rFonts w:hint="eastAsia" w:ascii="宋体" w:hAnsi="宋体"/>
          <w:bCs/>
          <w:color w:val="auto"/>
          <w:szCs w:val="21"/>
        </w:rPr>
        <w:t>如接受联合体竞标，</w:t>
      </w:r>
      <w:r>
        <w:rPr>
          <w:rFonts w:hint="eastAsia" w:ascii="宋体" w:hAnsi="宋体" w:cs="宋体"/>
          <w:color w:val="auto"/>
          <w:szCs w:val="21"/>
        </w:rPr>
        <w:t>联合体竞标要求详见“供应商须知前附表”。</w:t>
      </w:r>
    </w:p>
    <w:p w14:paraId="32FCBEBB">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5.3</w:t>
      </w:r>
      <w:bookmarkStart w:id="21" w:name="_Hlk65857072"/>
      <w:r>
        <w:rPr>
          <w:rFonts w:hint="eastAsia" w:ascii="宋体" w:hAnsi="宋体"/>
          <w:color w:val="auto"/>
          <w:szCs w:val="21"/>
        </w:rPr>
        <w:t>根据《政府采购促进中小企业发展管理办法》（财库〔2020〕46号）第九条第二款的规定</w:t>
      </w:r>
      <w:r>
        <w:rPr>
          <w:rFonts w:hint="eastAsia" w:hAnsi="宋体" w:cs="宋体"/>
          <w:color w:val="auto"/>
          <w:szCs w:val="21"/>
        </w:rPr>
        <w:t>及</w:t>
      </w:r>
      <w:r>
        <w:rPr>
          <w:rFonts w:ascii="宋体" w:hAnsi="宋体" w:cs="宋体"/>
          <w:color w:val="auto"/>
          <w:szCs w:val="21"/>
        </w:rPr>
        <w:t>《</w:t>
      </w:r>
      <w:r>
        <w:rPr>
          <w:rFonts w:hint="eastAsia" w:hAnsi="宋体" w:cs="宋体"/>
          <w:color w:val="auto"/>
          <w:szCs w:val="21"/>
        </w:rPr>
        <w:t>广西壮族自治区财政厅关于持续优化政府采购营商环境推动高质量发展的通知</w:t>
      </w:r>
      <w:r>
        <w:rPr>
          <w:rFonts w:ascii="宋体" w:hAnsi="宋体" w:cs="宋体"/>
          <w:color w:val="auto"/>
          <w:szCs w:val="21"/>
        </w:rPr>
        <w:t>》</w:t>
      </w:r>
      <w:r>
        <w:rPr>
          <w:rFonts w:hint="eastAsia" w:hAnsi="宋体" w:cs="宋体"/>
          <w:color w:val="auto"/>
          <w:szCs w:val="21"/>
        </w:rPr>
        <w:t>桂财采〔2024〕55号</w:t>
      </w:r>
      <w:r>
        <w:rPr>
          <w:rFonts w:hint="eastAsia" w:ascii="宋体" w:hAnsi="宋体"/>
          <w:color w:val="auto"/>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21"/>
    </w:p>
    <w:p w14:paraId="047037B8">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14:paraId="58767120">
      <w:pPr>
        <w:pStyle w:val="5"/>
        <w:keepNext w:val="0"/>
        <w:keepLines w:val="0"/>
        <w:pageBreakBefore w:val="0"/>
        <w:kinsoku/>
        <w:wordWrap/>
        <w:overflowPunct/>
        <w:topLinePunct w:val="0"/>
        <w:autoSpaceDE/>
        <w:autoSpaceDN/>
        <w:bidi w:val="0"/>
        <w:adjustRightInd/>
        <w:snapToGrid/>
        <w:spacing w:before="120" w:after="0" w:line="396" w:lineRule="exact"/>
        <w:ind w:firstLine="420" w:firstLineChars="200"/>
        <w:textAlignment w:val="auto"/>
        <w:rPr>
          <w:rFonts w:ascii="宋体" w:hAnsi="宋体"/>
          <w:b w:val="0"/>
          <w:color w:val="auto"/>
          <w:sz w:val="21"/>
          <w:szCs w:val="21"/>
        </w:rPr>
      </w:pPr>
      <w:bookmarkStart w:id="22" w:name="_Toc254970673"/>
      <w:bookmarkStart w:id="23" w:name="_Toc254970532"/>
      <w:r>
        <w:rPr>
          <w:rFonts w:hint="eastAsia" w:ascii="宋体" w:hAnsi="宋体"/>
          <w:b w:val="0"/>
          <w:color w:val="auto"/>
          <w:sz w:val="21"/>
          <w:szCs w:val="21"/>
        </w:rPr>
        <w:t>6.1本项目不允许转包。</w:t>
      </w:r>
    </w:p>
    <w:p w14:paraId="356D9951">
      <w:pPr>
        <w:pStyle w:val="5"/>
        <w:keepNext w:val="0"/>
        <w:keepLines w:val="0"/>
        <w:pageBreakBefore w:val="0"/>
        <w:kinsoku/>
        <w:wordWrap/>
        <w:overflowPunct/>
        <w:topLinePunct w:val="0"/>
        <w:autoSpaceDE/>
        <w:autoSpaceDN/>
        <w:bidi w:val="0"/>
        <w:adjustRightInd/>
        <w:snapToGrid/>
        <w:spacing w:before="120" w:after="0" w:line="396" w:lineRule="exact"/>
        <w:ind w:left="-70" w:firstLine="315" w:firstLineChars="150"/>
        <w:textAlignment w:val="auto"/>
        <w:rPr>
          <w:rFonts w:ascii="宋体" w:hAnsi="宋体"/>
          <w:b w:val="0"/>
          <w:color w:val="auto"/>
          <w:sz w:val="21"/>
          <w:szCs w:val="21"/>
        </w:rPr>
      </w:pPr>
      <w:r>
        <w:rPr>
          <w:rFonts w:hint="eastAsia" w:ascii="宋体" w:hAnsi="宋体"/>
          <w:b w:val="0"/>
          <w:color w:val="auto"/>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F98ED03">
      <w:pPr>
        <w:pStyle w:val="5"/>
        <w:keepNext w:val="0"/>
        <w:keepLines w:val="0"/>
        <w:pageBreakBefore w:val="0"/>
        <w:kinsoku/>
        <w:wordWrap/>
        <w:overflowPunct/>
        <w:topLinePunct w:val="0"/>
        <w:autoSpaceDE/>
        <w:autoSpaceDN/>
        <w:bidi w:val="0"/>
        <w:adjustRightInd/>
        <w:snapToGrid/>
        <w:spacing w:before="120" w:after="0" w:line="396" w:lineRule="exact"/>
        <w:ind w:left="-70" w:firstLine="315" w:firstLineChars="150"/>
        <w:textAlignment w:val="auto"/>
        <w:rPr>
          <w:rFonts w:ascii="宋体" w:hAnsi="宋体"/>
          <w:b w:val="0"/>
          <w:color w:val="auto"/>
          <w:sz w:val="21"/>
          <w:szCs w:val="21"/>
        </w:rPr>
      </w:pPr>
      <w:r>
        <w:rPr>
          <w:rFonts w:hint="eastAsia" w:ascii="宋体" w:hAnsi="宋体"/>
          <w:b w:val="0"/>
          <w:color w:val="auto"/>
          <w:sz w:val="21"/>
          <w:szCs w:val="21"/>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44F1D0B8">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7.特别说明</w:t>
      </w:r>
      <w:bookmarkEnd w:id="22"/>
      <w:bookmarkEnd w:id="23"/>
    </w:p>
    <w:p w14:paraId="02F9DD2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bookmarkStart w:id="24" w:name="_8.1提供相同品牌产品且通过资格审查、符合性审查的不同投标人参加同一合"/>
      <w:bookmarkEnd w:id="24"/>
      <w:r>
        <w:rPr>
          <w:rFonts w:hint="eastAsia" w:ascii="宋体" w:hAnsi="宋体" w:cs="宋体"/>
          <w:color w:val="auto"/>
          <w:szCs w:val="21"/>
        </w:rPr>
        <w:t>7.1</w:t>
      </w:r>
      <w:r>
        <w:rPr>
          <w:rFonts w:hint="eastAsia" w:ascii="宋体" w:hAnsi="宋体"/>
          <w:color w:val="auto"/>
          <w:szCs w:val="21"/>
        </w:rPr>
        <w:t xml:space="preserve">如果本谈判文件要求提供供应商或制造商的资格、信誉、荣誉、业绩与企业认证等材料的，资格、信誉、荣誉、业绩与企业认证等必须为供应商或者制造商所拥有或自身获得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p w14:paraId="4F9BA591">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7.2供应商应仔细阅读谈判文件的所有内容，按照谈判文件的要求提交响应文件，并对所提供的全部资料的真实性承担法律责任。</w:t>
      </w:r>
    </w:p>
    <w:p w14:paraId="5235F98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7.3供应商在竞标活动中提供任何虚假材料,其响应文件按无效响应处理，并报监管部门查处；签订合同后发现的,成交供应商须依法赔偿采购人，且民事赔偿并不免除违法供应商的行政与刑事责任。</w:t>
      </w:r>
    </w:p>
    <w:p w14:paraId="7EF4BAE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7.4在政府采购活动中，采购人员及相关人员与供应商有下列利害关系之一的，应当回避：</w:t>
      </w:r>
    </w:p>
    <w:p w14:paraId="5462A51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（1）参加采购活动前3年内与供应商存在劳动关系；</w:t>
      </w:r>
    </w:p>
    <w:p w14:paraId="76723C40">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（2）参加采购活动前3年内担任供应商的董事、监事；</w:t>
      </w:r>
    </w:p>
    <w:p w14:paraId="78D6AC6E">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77846C2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1013A46D">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5BFD694B">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161E79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7.5有下列情形之一的视为供应商相互串通竞标，响应文件将被视为无效：</w:t>
      </w:r>
    </w:p>
    <w:p w14:paraId="267543F4">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（1）不同供应商的响应文件由同一单位或者个人编制；</w:t>
      </w:r>
    </w:p>
    <w:p w14:paraId="77E4180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（2）不同供应商委托同一单位或者个人办理竞标事宜；</w:t>
      </w:r>
    </w:p>
    <w:p w14:paraId="4F728372">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594D0C0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5E8BF55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（5）不同供应商的响应文件相互混装；</w:t>
      </w:r>
    </w:p>
    <w:p w14:paraId="49F1828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（6）不同供应商的竞标保证金从同一单位或者个人账户转出。</w:t>
      </w:r>
    </w:p>
    <w:p w14:paraId="4B9F45E0">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7.6供应商有下列情形之一的，属于恶意串通行为</w:t>
      </w:r>
      <w:bookmarkStart w:id="25" w:name="_Hlk54682620"/>
      <w:r>
        <w:rPr>
          <w:rFonts w:hint="eastAsia" w:ascii="宋体" w:hAnsi="宋体" w:cs="宋体"/>
          <w:color w:val="auto"/>
          <w:szCs w:val="21"/>
        </w:rPr>
        <w:t>，将报同级监督管理部门</w:t>
      </w:r>
      <w:bookmarkEnd w:id="25"/>
      <w:r>
        <w:rPr>
          <w:rFonts w:hint="eastAsia" w:ascii="宋体" w:hAnsi="宋体" w:cs="宋体"/>
          <w:color w:val="auto"/>
          <w:szCs w:val="21"/>
        </w:rPr>
        <w:t>：</w:t>
      </w:r>
    </w:p>
    <w:p w14:paraId="5C36912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1E9ECDA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304CD89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2120CCD4">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6D1F84F5">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12090C4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19157E6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olor w:val="auto"/>
        </w:rPr>
      </w:pPr>
      <w:r>
        <w:rPr>
          <w:rFonts w:hint="eastAsia" w:ascii="宋体" w:hAnsi="宋体" w:cs="宋体"/>
          <w:color w:val="auto"/>
          <w:szCs w:val="21"/>
        </w:rPr>
        <w:t>（7）供应商与采购人或者采购代理机构之间、供应商相互之间，为谋求特定供应商成交或者排斥其他供应商的其他串通行为。</w:t>
      </w:r>
      <w:bookmarkStart w:id="26" w:name="_Toc254970675"/>
      <w:bookmarkStart w:id="27" w:name="_Toc254970534"/>
    </w:p>
    <w:p w14:paraId="46B26373">
      <w:pPr>
        <w:keepNext w:val="0"/>
        <w:keepLines w:val="0"/>
        <w:pageBreakBefore w:val="0"/>
        <w:kinsoku/>
        <w:wordWrap/>
        <w:overflowPunct/>
        <w:topLinePunct w:val="0"/>
        <w:autoSpaceDE/>
        <w:autoSpaceDN/>
        <w:bidi w:val="0"/>
        <w:adjustRightInd/>
        <w:snapToGrid/>
        <w:spacing w:before="120" w:line="396" w:lineRule="exact"/>
        <w:ind w:left="-70" w:firstLine="787"/>
        <w:jc w:val="center"/>
        <w:textAlignment w:val="auto"/>
        <w:rPr>
          <w:rFonts w:ascii="宋体" w:hAnsi="宋体"/>
          <w:b/>
          <w:color w:val="auto"/>
          <w:sz w:val="32"/>
          <w:szCs w:val="32"/>
        </w:rPr>
      </w:pPr>
      <w:r>
        <w:rPr>
          <w:rFonts w:hint="eastAsia" w:ascii="宋体" w:hAnsi="宋体"/>
          <w:b/>
          <w:color w:val="auto"/>
          <w:sz w:val="32"/>
          <w:szCs w:val="32"/>
        </w:rPr>
        <w:t>二、谈判文件</w:t>
      </w:r>
      <w:bookmarkEnd w:id="26"/>
      <w:bookmarkEnd w:id="27"/>
    </w:p>
    <w:p w14:paraId="15F89F5D">
      <w:pPr>
        <w:keepNext w:val="0"/>
        <w:keepLines w:val="0"/>
        <w:pageBreakBefore w:val="0"/>
        <w:kinsoku/>
        <w:wordWrap/>
        <w:overflowPunct/>
        <w:topLinePunct w:val="0"/>
        <w:autoSpaceDE/>
        <w:autoSpaceDN/>
        <w:bidi w:val="0"/>
        <w:adjustRightInd/>
        <w:snapToGrid/>
        <w:spacing w:before="120" w:line="396" w:lineRule="exact"/>
        <w:ind w:left="-70" w:firstLine="588"/>
        <w:jc w:val="center"/>
        <w:textAlignment w:val="auto"/>
        <w:rPr>
          <w:rFonts w:ascii="宋体" w:hAnsi="宋体"/>
          <w:color w:val="auto"/>
          <w:szCs w:val="21"/>
        </w:rPr>
      </w:pPr>
    </w:p>
    <w:p w14:paraId="334C21B6">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8.谈判文件的构成</w:t>
      </w:r>
    </w:p>
    <w:p w14:paraId="5353CD95">
      <w:pPr>
        <w:keepNext w:val="0"/>
        <w:keepLines w:val="0"/>
        <w:pageBreakBefore w:val="0"/>
        <w:kinsoku/>
        <w:wordWrap/>
        <w:overflowPunct/>
        <w:topLinePunct w:val="0"/>
        <w:autoSpaceDE/>
        <w:autoSpaceDN/>
        <w:bidi w:val="0"/>
        <w:adjustRightInd/>
        <w:snapToGrid/>
        <w:spacing w:before="120" w:line="396" w:lineRule="exact"/>
        <w:ind w:left="-70" w:firstLine="420" w:firstLineChars="200"/>
        <w:jc w:val="left"/>
        <w:textAlignment w:val="auto"/>
        <w:rPr>
          <w:rFonts w:ascii="宋体" w:hAnsi="宋体"/>
          <w:color w:val="auto"/>
          <w:szCs w:val="21"/>
        </w:rPr>
      </w:pPr>
      <w:r>
        <w:rPr>
          <w:rFonts w:hint="eastAsia" w:ascii="宋体" w:hAnsi="宋体"/>
          <w:color w:val="auto"/>
          <w:szCs w:val="21"/>
        </w:rPr>
        <w:t>（1）竞争性谈判公告；</w:t>
      </w:r>
    </w:p>
    <w:p w14:paraId="2B186FBC">
      <w:pPr>
        <w:keepNext w:val="0"/>
        <w:keepLines w:val="0"/>
        <w:pageBreakBefore w:val="0"/>
        <w:kinsoku/>
        <w:wordWrap/>
        <w:overflowPunct/>
        <w:topLinePunct w:val="0"/>
        <w:autoSpaceDE/>
        <w:autoSpaceDN/>
        <w:bidi w:val="0"/>
        <w:adjustRightInd/>
        <w:snapToGrid/>
        <w:spacing w:before="120" w:line="396" w:lineRule="exact"/>
        <w:ind w:left="-70" w:firstLine="420" w:firstLineChars="200"/>
        <w:jc w:val="left"/>
        <w:textAlignment w:val="auto"/>
        <w:rPr>
          <w:rFonts w:ascii="宋体" w:hAnsi="宋体"/>
          <w:color w:val="auto"/>
          <w:szCs w:val="21"/>
        </w:rPr>
      </w:pPr>
      <w:r>
        <w:rPr>
          <w:rFonts w:hint="eastAsia" w:ascii="宋体" w:hAnsi="宋体"/>
          <w:color w:val="auto"/>
          <w:szCs w:val="21"/>
        </w:rPr>
        <w:t xml:space="preserve">（2）供应商须知； </w:t>
      </w:r>
    </w:p>
    <w:p w14:paraId="333C3FF1">
      <w:pPr>
        <w:keepNext w:val="0"/>
        <w:keepLines w:val="0"/>
        <w:pageBreakBefore w:val="0"/>
        <w:kinsoku/>
        <w:wordWrap/>
        <w:overflowPunct/>
        <w:topLinePunct w:val="0"/>
        <w:autoSpaceDE/>
        <w:autoSpaceDN/>
        <w:bidi w:val="0"/>
        <w:adjustRightInd/>
        <w:snapToGrid/>
        <w:spacing w:before="120" w:line="396" w:lineRule="exact"/>
        <w:ind w:left="-70" w:firstLine="420" w:firstLineChars="200"/>
        <w:jc w:val="left"/>
        <w:textAlignment w:val="auto"/>
        <w:rPr>
          <w:rFonts w:ascii="宋体" w:hAnsi="宋体"/>
          <w:color w:val="auto"/>
          <w:szCs w:val="21"/>
        </w:rPr>
      </w:pPr>
      <w:r>
        <w:rPr>
          <w:rFonts w:hint="eastAsia" w:ascii="宋体" w:hAnsi="宋体"/>
          <w:color w:val="auto"/>
          <w:szCs w:val="21"/>
        </w:rPr>
        <w:t>（3）采购需求；</w:t>
      </w:r>
    </w:p>
    <w:p w14:paraId="7A31E272">
      <w:pPr>
        <w:keepNext w:val="0"/>
        <w:keepLines w:val="0"/>
        <w:pageBreakBefore w:val="0"/>
        <w:kinsoku/>
        <w:wordWrap/>
        <w:overflowPunct/>
        <w:topLinePunct w:val="0"/>
        <w:autoSpaceDE/>
        <w:autoSpaceDN/>
        <w:bidi w:val="0"/>
        <w:adjustRightInd/>
        <w:snapToGrid/>
        <w:spacing w:before="120" w:line="396" w:lineRule="exact"/>
        <w:ind w:left="-70" w:firstLine="420" w:firstLineChars="200"/>
        <w:jc w:val="left"/>
        <w:textAlignment w:val="auto"/>
        <w:rPr>
          <w:rFonts w:ascii="宋体" w:hAnsi="宋体"/>
          <w:color w:val="auto"/>
          <w:szCs w:val="21"/>
        </w:rPr>
      </w:pPr>
      <w:r>
        <w:rPr>
          <w:rFonts w:hint="eastAsia" w:ascii="宋体" w:hAnsi="宋体"/>
          <w:color w:val="auto"/>
          <w:szCs w:val="21"/>
        </w:rPr>
        <w:t>（4）响应文件格式</w:t>
      </w:r>
    </w:p>
    <w:p w14:paraId="6AA31B59">
      <w:pPr>
        <w:keepNext w:val="0"/>
        <w:keepLines w:val="0"/>
        <w:pageBreakBefore w:val="0"/>
        <w:kinsoku/>
        <w:wordWrap/>
        <w:overflowPunct/>
        <w:topLinePunct w:val="0"/>
        <w:autoSpaceDE/>
        <w:autoSpaceDN/>
        <w:bidi w:val="0"/>
        <w:adjustRightInd/>
        <w:snapToGrid/>
        <w:spacing w:before="120" w:line="396" w:lineRule="exact"/>
        <w:ind w:left="-70" w:firstLine="420" w:firstLineChars="200"/>
        <w:jc w:val="left"/>
        <w:textAlignment w:val="auto"/>
        <w:rPr>
          <w:rFonts w:ascii="宋体" w:hAnsi="宋体"/>
          <w:color w:val="auto"/>
          <w:szCs w:val="21"/>
        </w:rPr>
      </w:pPr>
      <w:r>
        <w:rPr>
          <w:rFonts w:hint="eastAsia" w:ascii="宋体" w:hAnsi="宋体"/>
          <w:color w:val="auto"/>
          <w:szCs w:val="21"/>
        </w:rPr>
        <w:t>（5）合同文本；</w:t>
      </w:r>
    </w:p>
    <w:p w14:paraId="206F8BBC">
      <w:pPr>
        <w:keepNext w:val="0"/>
        <w:keepLines w:val="0"/>
        <w:pageBreakBefore w:val="0"/>
        <w:kinsoku/>
        <w:wordWrap/>
        <w:overflowPunct/>
        <w:topLinePunct w:val="0"/>
        <w:autoSpaceDE/>
        <w:autoSpaceDN/>
        <w:bidi w:val="0"/>
        <w:adjustRightInd/>
        <w:snapToGrid/>
        <w:spacing w:before="120" w:line="396" w:lineRule="exact"/>
        <w:ind w:left="-70" w:firstLine="420" w:firstLineChars="200"/>
        <w:jc w:val="left"/>
        <w:textAlignment w:val="auto"/>
        <w:rPr>
          <w:rFonts w:ascii="宋体" w:hAnsi="宋体"/>
          <w:color w:val="auto"/>
          <w:szCs w:val="21"/>
        </w:rPr>
      </w:pPr>
      <w:r>
        <w:rPr>
          <w:rFonts w:hint="eastAsia" w:ascii="宋体" w:hAnsi="宋体"/>
          <w:color w:val="auto"/>
          <w:szCs w:val="21"/>
        </w:rPr>
        <w:t>（6）评审程序和评定成交的标准；</w:t>
      </w:r>
    </w:p>
    <w:p w14:paraId="6AACB5DF">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9.供应商的询问</w:t>
      </w:r>
    </w:p>
    <w:p w14:paraId="6DAECD74">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olor w:val="auto"/>
          <w:szCs w:val="21"/>
        </w:rPr>
      </w:pPr>
      <w:r>
        <w:rPr>
          <w:rFonts w:hint="eastAsia" w:ascii="宋体" w:hAnsi="宋体"/>
          <w:color w:val="auto"/>
          <w:szCs w:val="21"/>
        </w:rPr>
        <w:t>供应商应认真阅读谈判文件的采购需求，如供应商对谈判文件有疑问的，如要求采购人作出澄清或者修改的，供应商尽可能在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，以纸质书面形式向</w:t>
      </w:r>
      <w:r>
        <w:rPr>
          <w:rFonts w:ascii="宋体" w:hAnsi="宋体"/>
          <w:color w:val="auto"/>
          <w:szCs w:val="21"/>
        </w:rPr>
        <w:t>采购人、采购代理机构</w:t>
      </w:r>
      <w:r>
        <w:rPr>
          <w:rFonts w:hint="eastAsia" w:ascii="宋体" w:hAnsi="宋体"/>
          <w:color w:val="auto"/>
          <w:szCs w:val="21"/>
        </w:rPr>
        <w:t>提出</w:t>
      </w:r>
      <w:r>
        <w:rPr>
          <w:rFonts w:hint="eastAsia" w:ascii="宋体" w:hAnsi="宋体" w:cs="宋体"/>
          <w:color w:val="auto"/>
          <w:szCs w:val="21"/>
        </w:rPr>
        <w:t>，否则，由此产生的后果由供应商自行负责。</w:t>
      </w:r>
    </w:p>
    <w:p w14:paraId="4DADDE44">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10.谈判文件的澄清和修改</w:t>
      </w:r>
    </w:p>
    <w:p w14:paraId="4B316CED">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olor w:val="auto"/>
          <w:szCs w:val="21"/>
        </w:rPr>
      </w:pPr>
      <w:r>
        <w:rPr>
          <w:rFonts w:hint="eastAsia" w:ascii="宋体" w:hAnsi="宋体" w:cs="宋体"/>
          <w:color w:val="auto"/>
          <w:szCs w:val="21"/>
        </w:rPr>
        <w:t>10.1</w:t>
      </w:r>
      <w:r>
        <w:rPr>
          <w:rFonts w:ascii="宋体" w:hAnsi="宋体"/>
          <w:color w:val="auto"/>
          <w:szCs w:val="21"/>
        </w:rPr>
        <w:t>提交首次响应文件截止之日前，采购人、采购代理机构或者谈判小组可以对已发出的谈判文件进行必要的澄清或者修改，澄清或者修改的内容作为谈判文件的组成部分。</w:t>
      </w:r>
      <w:r>
        <w:rPr>
          <w:rFonts w:hint="eastAsia" w:ascii="宋体" w:hAnsi="宋体" w:cs="宋体"/>
          <w:color w:val="auto"/>
          <w:szCs w:val="21"/>
        </w:rPr>
        <w:t>澄清或者修改将在原公告发布媒体上发布更正公告。</w:t>
      </w:r>
      <w:r>
        <w:rPr>
          <w:rFonts w:ascii="宋体" w:hAnsi="宋体"/>
          <w:color w:val="auto"/>
          <w:szCs w:val="21"/>
        </w:rPr>
        <w:t>澄清或者修改的内容可能影响响应文件编制的，采购人、采购代理机构或者谈判小组应当在提交首次响应文件截止之日3个工作日前，</w:t>
      </w:r>
      <w:r>
        <w:rPr>
          <w:rFonts w:hint="eastAsia" w:ascii="宋体" w:hAnsi="宋体" w:cs="宋体"/>
          <w:color w:val="auto"/>
          <w:szCs w:val="21"/>
        </w:rPr>
        <w:t>在原公告发布媒体上发布更正公告；</w:t>
      </w:r>
      <w:r>
        <w:rPr>
          <w:rFonts w:ascii="宋体" w:hAnsi="宋体"/>
          <w:color w:val="auto"/>
          <w:szCs w:val="21"/>
        </w:rPr>
        <w:t>不足3个工作日的，应当顺延提交首次响应文件截止之日。</w:t>
      </w:r>
    </w:p>
    <w:p w14:paraId="372D48F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olor w:val="auto"/>
          <w:szCs w:val="21"/>
        </w:rPr>
      </w:pPr>
      <w:r>
        <w:rPr>
          <w:rFonts w:hint="eastAsia" w:ascii="宋体" w:hAnsi="宋体" w:cs="宋体"/>
          <w:color w:val="auto"/>
        </w:rPr>
        <w:t>10.2采购人和采购代理机构可以视采购具体情况，变更</w:t>
      </w:r>
      <w:r>
        <w:rPr>
          <w:rFonts w:hint="eastAsia" w:ascii="宋体" w:hAnsi="宋体" w:cs="宋体"/>
          <w:color w:val="auto"/>
          <w:szCs w:val="21"/>
        </w:rPr>
        <w:t>首次响应文件提交截止时间</w:t>
      </w:r>
      <w:r>
        <w:rPr>
          <w:rFonts w:hint="eastAsia" w:ascii="宋体" w:hAnsi="宋体" w:cs="宋体"/>
          <w:color w:val="auto"/>
        </w:rPr>
        <w:t>，</w:t>
      </w:r>
      <w:r>
        <w:rPr>
          <w:rFonts w:hint="eastAsia" w:ascii="宋体" w:hAnsi="宋体"/>
          <w:color w:val="auto"/>
        </w:rPr>
        <w:t>并</w:t>
      </w:r>
      <w:r>
        <w:rPr>
          <w:rFonts w:hint="eastAsia" w:ascii="宋体" w:hAnsi="宋体"/>
          <w:color w:val="auto"/>
          <w:szCs w:val="21"/>
        </w:rPr>
        <w:t>在原公告发布媒体上发布更正公告。</w:t>
      </w:r>
    </w:p>
    <w:p w14:paraId="3D0C984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10.3</w:t>
      </w:r>
      <w:r>
        <w:rPr>
          <w:rFonts w:hint="eastAsia" w:ascii="宋体" w:hAnsi="宋体" w:cs="宋体"/>
          <w:color w:val="auto"/>
          <w:szCs w:val="21"/>
        </w:rPr>
        <w:t>谈判文件</w:t>
      </w:r>
      <w:r>
        <w:rPr>
          <w:rFonts w:hint="eastAsia" w:ascii="宋体" w:hAnsi="宋体"/>
          <w:color w:val="auto"/>
          <w:szCs w:val="21"/>
        </w:rPr>
        <w:t>澄清、答复、修改、补充的内容为</w:t>
      </w:r>
      <w:r>
        <w:rPr>
          <w:rFonts w:hint="eastAsia" w:ascii="宋体" w:hAnsi="宋体" w:cs="宋体"/>
          <w:color w:val="auto"/>
          <w:szCs w:val="21"/>
        </w:rPr>
        <w:t>谈判文件</w:t>
      </w:r>
      <w:r>
        <w:rPr>
          <w:rFonts w:hint="eastAsia" w:ascii="宋体" w:hAnsi="宋体"/>
          <w:color w:val="auto"/>
          <w:szCs w:val="21"/>
        </w:rPr>
        <w:t>的组成部分。</w:t>
      </w:r>
      <w:r>
        <w:rPr>
          <w:rFonts w:hint="eastAsia" w:ascii="宋体" w:hAnsi="宋体"/>
          <w:b/>
          <w:color w:val="auto"/>
          <w:szCs w:val="21"/>
        </w:rPr>
        <w:t>当</w:t>
      </w:r>
      <w:r>
        <w:rPr>
          <w:rFonts w:hint="eastAsia" w:ascii="宋体" w:hAnsi="宋体" w:cs="宋体"/>
          <w:b/>
          <w:color w:val="auto"/>
          <w:szCs w:val="21"/>
        </w:rPr>
        <w:t>谈判文件</w:t>
      </w:r>
      <w:r>
        <w:rPr>
          <w:rFonts w:hint="eastAsia" w:ascii="宋体" w:hAnsi="宋体"/>
          <w:b/>
          <w:color w:val="auto"/>
          <w:szCs w:val="21"/>
        </w:rPr>
        <w:t>与</w:t>
      </w:r>
      <w:r>
        <w:rPr>
          <w:rFonts w:hint="eastAsia" w:ascii="宋体" w:hAnsi="宋体" w:cs="宋体"/>
          <w:b/>
          <w:color w:val="auto"/>
          <w:szCs w:val="21"/>
        </w:rPr>
        <w:t>谈判文件</w:t>
      </w:r>
      <w:r>
        <w:rPr>
          <w:rFonts w:hint="eastAsia" w:ascii="宋体" w:hAnsi="宋体"/>
          <w:b/>
          <w:color w:val="auto"/>
          <w:szCs w:val="21"/>
        </w:rPr>
        <w:t>的澄清、答复、修改、补充通知就同一内容的表述不一致时，以最后发出的文件为准。</w:t>
      </w:r>
    </w:p>
    <w:p w14:paraId="7074E9F3">
      <w:pPr>
        <w:keepNext w:val="0"/>
        <w:keepLines w:val="0"/>
        <w:pageBreakBefore w:val="0"/>
        <w:kinsoku/>
        <w:wordWrap/>
        <w:overflowPunct/>
        <w:topLinePunct w:val="0"/>
        <w:autoSpaceDE/>
        <w:autoSpaceDN/>
        <w:bidi w:val="0"/>
        <w:adjustRightInd/>
        <w:snapToGrid/>
        <w:spacing w:before="120" w:line="396" w:lineRule="exact"/>
        <w:ind w:left="-70" w:firstLine="422" w:firstLineChars="200"/>
        <w:textAlignment w:val="auto"/>
        <w:rPr>
          <w:rFonts w:ascii="宋体" w:hAnsi="宋体"/>
          <w:color w:val="auto"/>
          <w:szCs w:val="21"/>
        </w:rPr>
      </w:pPr>
      <w:r>
        <w:rPr>
          <w:rFonts w:hint="eastAsia" w:ascii="宋体" w:hAnsi="宋体" w:cs="宋体"/>
          <w:b/>
          <w:color w:val="auto"/>
        </w:rPr>
        <w:t>10.4</w:t>
      </w:r>
      <w:r>
        <w:rPr>
          <w:rFonts w:hint="eastAsia" w:ascii="宋体" w:hAnsi="宋体"/>
          <w:b/>
          <w:color w:val="auto"/>
          <w:szCs w:val="21"/>
        </w:rPr>
        <w:t>响应文件未按谈判文件的澄清、修改后的内容编制的，其响应文件作无效响应处理。</w:t>
      </w:r>
    </w:p>
    <w:p w14:paraId="081377A3">
      <w:pPr>
        <w:keepNext w:val="0"/>
        <w:keepLines w:val="0"/>
        <w:pageBreakBefore w:val="0"/>
        <w:kinsoku/>
        <w:wordWrap/>
        <w:overflowPunct/>
        <w:topLinePunct w:val="0"/>
        <w:autoSpaceDE/>
        <w:autoSpaceDN/>
        <w:bidi w:val="0"/>
        <w:adjustRightInd/>
        <w:snapToGrid/>
        <w:spacing w:before="120" w:line="396" w:lineRule="exact"/>
        <w:ind w:left="-70" w:firstLine="588"/>
        <w:textAlignment w:val="auto"/>
        <w:rPr>
          <w:rFonts w:ascii="宋体" w:hAnsi="宋体"/>
          <w:color w:val="auto"/>
          <w:szCs w:val="21"/>
        </w:rPr>
      </w:pPr>
    </w:p>
    <w:p w14:paraId="6750AA91">
      <w:pPr>
        <w:keepNext w:val="0"/>
        <w:keepLines w:val="0"/>
        <w:pageBreakBefore w:val="0"/>
        <w:kinsoku/>
        <w:wordWrap/>
        <w:overflowPunct/>
        <w:topLinePunct w:val="0"/>
        <w:autoSpaceDE/>
        <w:autoSpaceDN/>
        <w:bidi w:val="0"/>
        <w:adjustRightInd/>
        <w:snapToGrid/>
        <w:spacing w:before="120" w:line="396" w:lineRule="exact"/>
        <w:ind w:left="-70" w:firstLine="787"/>
        <w:jc w:val="center"/>
        <w:textAlignment w:val="auto"/>
        <w:rPr>
          <w:rFonts w:ascii="宋体" w:hAnsi="宋体"/>
          <w:b/>
          <w:color w:val="auto"/>
          <w:szCs w:val="21"/>
        </w:rPr>
      </w:pPr>
      <w:r>
        <w:rPr>
          <w:rFonts w:hint="eastAsia" w:ascii="宋体" w:hAnsi="宋体"/>
          <w:b/>
          <w:color w:val="auto"/>
          <w:sz w:val="32"/>
          <w:szCs w:val="32"/>
        </w:rPr>
        <w:t>三、响应文件的编制</w:t>
      </w:r>
    </w:p>
    <w:p w14:paraId="5851A6E0">
      <w:pPr>
        <w:keepNext w:val="0"/>
        <w:keepLines w:val="0"/>
        <w:pageBreakBefore w:val="0"/>
        <w:kinsoku/>
        <w:wordWrap/>
        <w:overflowPunct/>
        <w:topLinePunct w:val="0"/>
        <w:autoSpaceDE/>
        <w:autoSpaceDN/>
        <w:bidi w:val="0"/>
        <w:adjustRightInd/>
        <w:snapToGrid/>
        <w:spacing w:before="120" w:line="396" w:lineRule="exact"/>
        <w:ind w:left="-70" w:firstLine="588"/>
        <w:textAlignment w:val="auto"/>
        <w:rPr>
          <w:rFonts w:ascii="宋体" w:hAnsi="宋体"/>
          <w:color w:val="auto"/>
          <w:szCs w:val="21"/>
        </w:rPr>
      </w:pPr>
    </w:p>
    <w:p w14:paraId="566DE0C3">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11.响应文件的编制原则</w:t>
      </w:r>
    </w:p>
    <w:p w14:paraId="49CEEA9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供应商必须按照谈判文件的要求编制响应文件，并对其提交的响应文件的真实性、合法性承担法律责任。响应文件必须对谈判文件作出实质性响应。</w:t>
      </w:r>
    </w:p>
    <w:p w14:paraId="282AF657">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12.响应文件的组成</w:t>
      </w:r>
    </w:p>
    <w:p w14:paraId="05F1F08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w:t>
      </w:r>
      <w:r>
        <w:rPr>
          <w:rFonts w:hint="eastAsia" w:ascii="宋体" w:hAnsi="宋体" w:cs="宋体"/>
          <w:color w:val="auto"/>
          <w:szCs w:val="21"/>
        </w:rPr>
        <w:t>响应文件由资格证明文件、报价文件、商务技术文件三部分组成。</w:t>
      </w:r>
    </w:p>
    <w:p w14:paraId="1A463B05">
      <w:pPr>
        <w:keepNext w:val="0"/>
        <w:keepLines w:val="0"/>
        <w:pageBreakBefore w:val="0"/>
        <w:kinsoku/>
        <w:wordWrap/>
        <w:overflowPunct/>
        <w:topLinePunct w:val="0"/>
        <w:autoSpaceDE/>
        <w:autoSpaceDN/>
        <w:bidi w:val="0"/>
        <w:adjustRightInd/>
        <w:snapToGrid/>
        <w:spacing w:before="120" w:line="396" w:lineRule="exact"/>
        <w:ind w:left="840" w:leftChars="200" w:hanging="420" w:hangingChars="200"/>
        <w:textAlignment w:val="auto"/>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r>
        <w:rPr>
          <w:rFonts w:hint="eastAsia" w:ascii="宋体" w:hAnsi="宋体" w:cs="宋体"/>
          <w:color w:val="auto"/>
          <w:szCs w:val="21"/>
        </w:rPr>
        <w:t>资格证明文件：详见“供应商须知前附表”；</w:t>
      </w:r>
    </w:p>
    <w:p w14:paraId="1C342731">
      <w:pPr>
        <w:keepNext w:val="0"/>
        <w:keepLines w:val="0"/>
        <w:pageBreakBefore w:val="0"/>
        <w:kinsoku/>
        <w:wordWrap/>
        <w:overflowPunct/>
        <w:topLinePunct w:val="0"/>
        <w:autoSpaceDE/>
        <w:autoSpaceDN/>
        <w:bidi w:val="0"/>
        <w:adjustRightInd/>
        <w:snapToGrid/>
        <w:spacing w:before="120" w:line="396" w:lineRule="exact"/>
        <w:ind w:left="840" w:leftChars="200" w:hanging="420" w:hangingChars="200"/>
        <w:textAlignment w:val="auto"/>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2报价文件：详见“供应商须知前附表”；</w:t>
      </w:r>
    </w:p>
    <w:p w14:paraId="10562265">
      <w:pPr>
        <w:keepNext w:val="0"/>
        <w:keepLines w:val="0"/>
        <w:pageBreakBefore w:val="0"/>
        <w:kinsoku/>
        <w:wordWrap/>
        <w:overflowPunct/>
        <w:topLinePunct w:val="0"/>
        <w:autoSpaceDE/>
        <w:autoSpaceDN/>
        <w:bidi w:val="0"/>
        <w:adjustRightInd/>
        <w:snapToGrid/>
        <w:spacing w:before="120" w:line="396" w:lineRule="exact"/>
        <w:ind w:left="840" w:leftChars="200" w:hanging="420" w:hangingChars="200"/>
        <w:textAlignment w:val="auto"/>
        <w:rPr>
          <w:rFonts w:ascii="宋体" w:hAnsi="宋体" w:cs="宋体"/>
          <w:color w:val="auto"/>
          <w:szCs w:val="21"/>
        </w:rPr>
      </w:pPr>
      <w:r>
        <w:rPr>
          <w:rFonts w:hint="eastAsia" w:ascii="宋体" w:hAnsi="宋体" w:cs="宋体"/>
          <w:color w:val="auto"/>
          <w:szCs w:val="21"/>
        </w:rPr>
        <w:t>12.1.3商务技术文件：详见“供应商须知前附表”。</w:t>
      </w:r>
    </w:p>
    <w:p w14:paraId="30D127AF">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13.计量单位</w:t>
      </w:r>
    </w:p>
    <w:p w14:paraId="2B17D4CE">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谈判文件已有明确规定的，使用谈判文件规定的计量单位；谈判文件没有规定的，应采用中华人民共和国法定计量单位，货币种类为人民币，否则视同未响应。</w:t>
      </w:r>
    </w:p>
    <w:p w14:paraId="679338DE">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14.竞标的风险</w:t>
      </w:r>
    </w:p>
    <w:p w14:paraId="0413EE65">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供应商没有按照谈判文件要求提供全部资料，或者供应商没有对谈判文件在各方面作出实质性响应可能导致其响应文件按无效响应处理，是供应商应当考虑的风险。</w:t>
      </w:r>
    </w:p>
    <w:p w14:paraId="13F50194">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15.竞标报价</w:t>
      </w:r>
    </w:p>
    <w:p w14:paraId="3BE326FD">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15.1竞标报价应按谈判文件中“竞标报价表”格式填写。</w:t>
      </w:r>
    </w:p>
    <w:p w14:paraId="01466F56">
      <w:pPr>
        <w:keepNext w:val="0"/>
        <w:keepLines w:val="0"/>
        <w:pageBreakBefore w:val="0"/>
        <w:tabs>
          <w:tab w:val="left" w:pos="2492"/>
        </w:tabs>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15.2竞标报价的内容详见“供应商须知前附表”。</w:t>
      </w:r>
    </w:p>
    <w:p w14:paraId="0B442285">
      <w:pPr>
        <w:keepNext w:val="0"/>
        <w:keepLines w:val="0"/>
        <w:pageBreakBefore w:val="0"/>
        <w:tabs>
          <w:tab w:val="left" w:pos="2492"/>
        </w:tabs>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15.3竞标报价要求</w:t>
      </w:r>
    </w:p>
    <w:p w14:paraId="21F2C974">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57FD7009">
      <w:pPr>
        <w:keepNext w:val="0"/>
        <w:keepLines w:val="0"/>
        <w:pageBreakBefore w:val="0"/>
        <w:kinsoku/>
        <w:wordWrap/>
        <w:overflowPunct/>
        <w:topLinePunct w:val="0"/>
        <w:autoSpaceDE/>
        <w:autoSpaceDN/>
        <w:bidi w:val="0"/>
        <w:adjustRightInd/>
        <w:snapToGrid/>
        <w:spacing w:before="120" w:line="396" w:lineRule="exact"/>
        <w:ind w:firstLine="420" w:firstLineChars="200"/>
        <w:textAlignment w:val="auto"/>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7429BB1E">
      <w:pPr>
        <w:keepNext w:val="0"/>
        <w:keepLines w:val="0"/>
        <w:pageBreakBefore w:val="0"/>
        <w:kinsoku/>
        <w:wordWrap/>
        <w:overflowPunct/>
        <w:topLinePunct w:val="0"/>
        <w:autoSpaceDE/>
        <w:autoSpaceDN/>
        <w:bidi w:val="0"/>
        <w:adjustRightInd/>
        <w:snapToGrid/>
        <w:spacing w:before="120" w:line="396" w:lineRule="exact"/>
        <w:ind w:left="-70" w:firstLine="588"/>
        <w:textAlignment w:val="auto"/>
        <w:rPr>
          <w:rFonts w:ascii="宋体" w:hAnsi="宋体" w:cs="宋体"/>
          <w:color w:val="auto"/>
          <w:szCs w:val="21"/>
        </w:rPr>
      </w:pPr>
      <w:r>
        <w:rPr>
          <w:rFonts w:hint="eastAsia" w:ascii="宋体" w:hAnsi="宋体" w:cs="宋体"/>
          <w:color w:val="auto"/>
          <w:szCs w:val="21"/>
        </w:rPr>
        <w:t>不得存在漏项报价；</w:t>
      </w:r>
    </w:p>
    <w:p w14:paraId="0AFC1038">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720619F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最后报价超过所竞标分标规定的采购预算金额或者最高限价的，其响应文件将按无效响应处理。</w:t>
      </w:r>
    </w:p>
    <w:p w14:paraId="05C7FC7B">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16.竞标有效期</w:t>
      </w:r>
    </w:p>
    <w:p w14:paraId="2820692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5B7F0B5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6BA78E3E">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16.3供应商的响应文件在竞标有效期内均保持有效。</w:t>
      </w:r>
    </w:p>
    <w:p w14:paraId="0FE466F0">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17.竞标保证金</w:t>
      </w:r>
    </w:p>
    <w:p w14:paraId="633C93C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17.1供应商须按“供应商须知前附表”的规定提交竞标保证金。</w:t>
      </w:r>
    </w:p>
    <w:p w14:paraId="7AE64F08">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17.2竞标保证金的退还</w:t>
      </w:r>
    </w:p>
    <w:p w14:paraId="12693EA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未成交供应商的竞标保证金自成交通知书发出之日起5个工作日内退还；成交供应商的竞标保证金自签订合同之日起5个工作日内退还。 </w:t>
      </w:r>
    </w:p>
    <w:p w14:paraId="765DBA4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17.3竞标保证金不计息。</w:t>
      </w:r>
    </w:p>
    <w:p w14:paraId="2D39E845">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17.4供应商有下列情形之一的，竞标保证金将不予退还： </w:t>
      </w:r>
    </w:p>
    <w:p w14:paraId="44E59A5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（1）供应商在提交首次响应文件截止时间后撤回响应文件的；</w:t>
      </w:r>
    </w:p>
    <w:p w14:paraId="600C441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（2）未按规定提交履约保证金的；</w:t>
      </w:r>
    </w:p>
    <w:p w14:paraId="6E0BCC4B">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（3）供应商在响应文件中提供虚假材料的；</w:t>
      </w:r>
    </w:p>
    <w:p w14:paraId="5C72A57D">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（4）除因不可抗力或者谈判文件认可的情形以外，成交供应商不与采购人签订合同的；</w:t>
      </w:r>
    </w:p>
    <w:p w14:paraId="2B3453B5">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14:paraId="54F98BF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（6）法律法规规定的其他情形。</w:t>
      </w:r>
    </w:p>
    <w:p w14:paraId="17589930">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18. 响应文件编制的要求</w:t>
      </w:r>
    </w:p>
    <w:p w14:paraId="5E93786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18.1供应商应按本谈判文件规定的格式和顺序编制、装订响应文件并标注页码，响应文件内容</w:t>
      </w:r>
      <w:r>
        <w:rPr>
          <w:rFonts w:hint="eastAsia" w:ascii="宋体" w:hAnsi="宋体" w:cs="宋体"/>
          <w:color w:val="auto"/>
          <w:spacing w:val="-6"/>
          <w:szCs w:val="21"/>
        </w:rPr>
        <w:t>不完整、编排混乱导致响应文件被误读、漏读或者查找不到相关内容的，</w:t>
      </w:r>
      <w:r>
        <w:rPr>
          <w:rFonts w:hint="eastAsia" w:ascii="宋体" w:hAnsi="宋体"/>
          <w:color w:val="auto"/>
        </w:rPr>
        <w:t>由此引发的</w:t>
      </w:r>
      <w:r>
        <w:rPr>
          <w:rFonts w:hint="eastAsia" w:ascii="宋体" w:hAnsi="宋体" w:cs="宋体"/>
          <w:color w:val="auto"/>
          <w:spacing w:val="-6"/>
          <w:szCs w:val="21"/>
        </w:rPr>
        <w:t>后果由供应商承担。</w:t>
      </w:r>
    </w:p>
    <w:p w14:paraId="5EDC69D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18.2响应文件应按资格证明文件、报价商务技术文件分别编制电子文件，并按</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广西政府采购云平台的要求编制、加密、上传。</w:t>
      </w:r>
    </w:p>
    <w:p w14:paraId="4F83FA15">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18.</w:t>
      </w:r>
      <w:bookmarkStart w:id="28" w:name="_Hlk65832699"/>
      <w:r>
        <w:rPr>
          <w:rFonts w:hint="eastAsia" w:ascii="宋体" w:hAnsi="宋体" w:cs="宋体"/>
          <w:color w:val="auto"/>
          <w:szCs w:val="21"/>
        </w:rPr>
        <w:t>3</w:t>
      </w:r>
      <w:bookmarkEnd w:id="28"/>
      <w:r>
        <w:rPr>
          <w:rFonts w:hint="eastAsia" w:ascii="宋体" w:hAnsi="宋体"/>
          <w:color w:val="auto"/>
          <w:szCs w:val="21"/>
        </w:rPr>
        <w:t>响应文件须由供应商在规定位置盖公章并签字</w:t>
      </w:r>
      <w:bookmarkStart w:id="29" w:name="_Hlk65832569"/>
      <w:r>
        <w:rPr>
          <w:rFonts w:hint="eastAsia" w:ascii="宋体" w:hAnsi="宋体"/>
          <w:color w:val="auto"/>
          <w:szCs w:val="21"/>
        </w:rPr>
        <w:t>（具体以供应商须知前附表或响应文件格式规定为准）</w:t>
      </w:r>
      <w:bookmarkEnd w:id="29"/>
      <w:r>
        <w:rPr>
          <w:rFonts w:hint="eastAsia" w:ascii="宋体" w:hAnsi="宋体" w:cs="宋体"/>
          <w:color w:val="auto"/>
          <w:szCs w:val="21"/>
        </w:rPr>
        <w:t>，否则其响应文件按无效响应处理。</w:t>
      </w:r>
    </w:p>
    <w:p w14:paraId="2D35DF14">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18.4响应文件成交注的供应商名称应与营业执照（事业单位法人证书、执业许可证、自然人身份证）及公章一致，否则其响应文件按无效响应处理。</w:t>
      </w:r>
    </w:p>
    <w:p w14:paraId="05B060E7">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704A7F06">
      <w:pPr>
        <w:keepNext w:val="0"/>
        <w:keepLines w:val="0"/>
        <w:pageBreakBefore w:val="0"/>
        <w:kinsoku/>
        <w:wordWrap/>
        <w:overflowPunct/>
        <w:topLinePunct w:val="0"/>
        <w:autoSpaceDE/>
        <w:autoSpaceDN/>
        <w:bidi w:val="0"/>
        <w:adjustRightInd/>
        <w:snapToGrid/>
        <w:spacing w:before="120" w:line="396" w:lineRule="exact"/>
        <w:ind w:left="-70" w:firstLine="480" w:firstLineChars="200"/>
        <w:textAlignment w:val="auto"/>
        <w:rPr>
          <w:rFonts w:ascii="黑体" w:hAnsi="黑体" w:eastAsia="黑体" w:cs="宋体"/>
          <w:b/>
          <w:bCs/>
          <w:color w:val="auto"/>
          <w:sz w:val="24"/>
        </w:rPr>
      </w:pPr>
      <w:r>
        <w:rPr>
          <w:rFonts w:hint="eastAsia" w:ascii="黑体" w:hAnsi="黑体" w:eastAsia="黑体"/>
          <w:color w:val="auto"/>
          <w:sz w:val="24"/>
        </w:rPr>
        <w:t>19.响应文件的加密、解密</w:t>
      </w:r>
    </w:p>
    <w:p w14:paraId="4E3EDD41">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olor w:val="auto"/>
          <w:szCs w:val="21"/>
        </w:rPr>
        <w:t>19.1电子</w:t>
      </w:r>
      <w:r>
        <w:rPr>
          <w:rFonts w:hint="eastAsia" w:ascii="宋体" w:hAnsi="宋体" w:cs="宋体"/>
          <w:color w:val="auto"/>
          <w:szCs w:val="21"/>
        </w:rPr>
        <w:t>响应文件</w:t>
      </w:r>
      <w:r>
        <w:rPr>
          <w:rFonts w:hint="eastAsia" w:ascii="宋体" w:hAnsi="宋体"/>
          <w:color w:val="auto"/>
          <w:szCs w:val="21"/>
        </w:rPr>
        <w:t>编制完成后，供应商应按</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olor w:val="auto"/>
          <w:szCs w:val="21"/>
        </w:rPr>
        <w:t>广西政府采购云平台的要求进行加密，并在规定时间内解密，否则，由此产生的后果由供应商自行负责。</w:t>
      </w:r>
    </w:p>
    <w:p w14:paraId="6F4A38FC">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20.响应文件的提交</w:t>
      </w:r>
    </w:p>
    <w:p w14:paraId="0E958932">
      <w:pPr>
        <w:keepNext w:val="0"/>
        <w:keepLines w:val="0"/>
        <w:pageBreakBefore w:val="0"/>
        <w:widowControl/>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b/>
          <w:color w:val="auto"/>
          <w:szCs w:val="21"/>
        </w:rPr>
      </w:pPr>
      <w:r>
        <w:rPr>
          <w:rFonts w:hint="eastAsia" w:ascii="宋体" w:hAnsi="宋体" w:cs="宋体"/>
          <w:color w:val="auto"/>
          <w:szCs w:val="21"/>
        </w:rPr>
        <w:t>20.2本项目为全流程电子化政府采购项目，通过</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广西政府采购云平台（https://www.gcy.zfcg.gxzf.gov.cn/）实行在线电子竞标，供应商应先安装“</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广西政府采购云平台电子交易客户端”（请自行前往</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广西政府采购云平台进行下载），并按照本项目竞争性谈判文件和</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广西政府采购云平台的要求编制、加密后在首次响应文件提交截止时间前通过网络上传至</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w:t>
      </w:r>
      <w:r>
        <w:rPr>
          <w:rFonts w:hint="eastAsia" w:ascii="宋体" w:hAnsi="宋体" w:cs="宋体"/>
          <w:b/>
          <w:color w:val="auto"/>
          <w:szCs w:val="21"/>
        </w:rPr>
        <w:t>供应商在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b/>
          <w:color w:val="auto"/>
          <w:szCs w:val="21"/>
        </w:rPr>
        <w:t>广西政府采购云平台提交电子版响应文件时，请填写参加远程开标活动经办人联系方式。</w:t>
      </w:r>
    </w:p>
    <w:p w14:paraId="6E8F2139">
      <w:pPr>
        <w:pStyle w:val="5"/>
        <w:keepNext w:val="0"/>
        <w:keepLines w:val="0"/>
        <w:pageBreakBefore w:val="0"/>
        <w:kinsoku/>
        <w:wordWrap/>
        <w:overflowPunct/>
        <w:topLinePunct w:val="0"/>
        <w:autoSpaceDE/>
        <w:autoSpaceDN/>
        <w:bidi w:val="0"/>
        <w:adjustRightInd/>
        <w:snapToGrid/>
        <w:spacing w:before="120" w:after="0" w:line="396" w:lineRule="exact"/>
        <w:ind w:left="-70" w:firstLine="420" w:firstLineChars="200"/>
        <w:jc w:val="left"/>
        <w:textAlignment w:val="auto"/>
        <w:rPr>
          <w:rFonts w:ascii="宋体" w:hAnsi="宋体"/>
          <w:b w:val="0"/>
          <w:color w:val="auto"/>
          <w:sz w:val="21"/>
          <w:szCs w:val="21"/>
        </w:rPr>
      </w:pPr>
      <w:r>
        <w:rPr>
          <w:rFonts w:hint="eastAsia" w:ascii="宋体" w:hAnsi="宋体"/>
          <w:b w:val="0"/>
          <w:color w:val="auto"/>
          <w:sz w:val="21"/>
          <w:szCs w:val="21"/>
        </w:rPr>
        <w:t>20.3未在规定时间内上传或者未按</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b w:val="0"/>
          <w:color w:val="auto"/>
          <w:sz w:val="21"/>
          <w:szCs w:val="21"/>
        </w:rPr>
        <w:t>广西政府采购云平台的要求编制、加密的电子响应文件，</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b w:val="0"/>
          <w:color w:val="auto"/>
          <w:sz w:val="21"/>
          <w:szCs w:val="21"/>
        </w:rPr>
        <w:t>广西政府采购云平台将拒收。</w:t>
      </w:r>
    </w:p>
    <w:p w14:paraId="268AB785">
      <w:pPr>
        <w:keepNext w:val="0"/>
        <w:keepLines w:val="0"/>
        <w:pageBreakBefore w:val="0"/>
        <w:widowControl/>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20.4电子响应文件提交方式见“竞争性谈判公告”中“四、响应文件提交”。</w:t>
      </w:r>
    </w:p>
    <w:p w14:paraId="4CE09620">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14:paraId="201242CD">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bCs/>
          <w:color w:val="auto"/>
          <w:szCs w:val="21"/>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bCs/>
          <w:color w:val="auto"/>
          <w:szCs w:val="21"/>
        </w:rPr>
        <w:t>广西政府采购云平台将予以拒收。</w:t>
      </w:r>
    </w:p>
    <w:p w14:paraId="7EBA29F7">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22.首次响应文件的退回</w:t>
      </w:r>
    </w:p>
    <w:p w14:paraId="0C8B00C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22.1在首次响应文件提交截止时间止提交响应文件的供应商不足3家时，</w:t>
      </w:r>
      <w:r>
        <w:rPr>
          <w:rFonts w:hint="eastAsia" w:ascii="宋体" w:hAnsi="宋体"/>
          <w:color w:val="auto"/>
          <w:szCs w:val="21"/>
        </w:rPr>
        <w:t>采购代理机构将根据</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olor w:val="auto"/>
          <w:szCs w:val="21"/>
        </w:rPr>
        <w:t>广西政府采购云平台的操作将电子版响应文件退回，</w:t>
      </w:r>
      <w:r>
        <w:rPr>
          <w:rFonts w:hint="eastAsia" w:ascii="宋体" w:hAnsi="宋体" w:cs="宋体"/>
          <w:color w:val="auto"/>
          <w:szCs w:val="21"/>
        </w:rPr>
        <w:t>除此之外采购人和采购代理机构对已提交的电子响应文件概不退回。</w:t>
      </w:r>
    </w:p>
    <w:p w14:paraId="7E417BE4">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23. 截止时间后的撤回</w:t>
      </w:r>
    </w:p>
    <w:p w14:paraId="09334663">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23.1供应商在首次响应文件提交截止时间后书面通知采购人、采购代理机构书面撤回响应文件的，将根据本须知正文17.4的规定不予退还其竞标保证金。</w:t>
      </w:r>
    </w:p>
    <w:p w14:paraId="7947080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olor w:val="auto"/>
          <w:szCs w:val="21"/>
        </w:rPr>
      </w:pPr>
    </w:p>
    <w:p w14:paraId="07B75A9B">
      <w:pPr>
        <w:keepNext w:val="0"/>
        <w:keepLines w:val="0"/>
        <w:pageBreakBefore w:val="0"/>
        <w:kinsoku/>
        <w:wordWrap/>
        <w:overflowPunct/>
        <w:topLinePunct w:val="0"/>
        <w:autoSpaceDE/>
        <w:autoSpaceDN/>
        <w:bidi w:val="0"/>
        <w:adjustRightInd/>
        <w:snapToGrid/>
        <w:spacing w:before="120" w:line="396" w:lineRule="exact"/>
        <w:ind w:left="-70" w:firstLine="3444" w:firstLineChars="1072"/>
        <w:jc w:val="both"/>
        <w:textAlignment w:val="auto"/>
        <w:rPr>
          <w:rFonts w:ascii="宋体" w:hAnsi="宋体"/>
          <w:b/>
          <w:color w:val="auto"/>
          <w:sz w:val="32"/>
          <w:szCs w:val="32"/>
        </w:rPr>
      </w:pPr>
      <w:r>
        <w:rPr>
          <w:rFonts w:hint="eastAsia" w:ascii="宋体" w:hAnsi="宋体"/>
          <w:b/>
          <w:color w:val="auto"/>
          <w:sz w:val="32"/>
          <w:szCs w:val="32"/>
        </w:rPr>
        <w:t>四、评审及谈判</w:t>
      </w:r>
    </w:p>
    <w:p w14:paraId="023FD428">
      <w:pPr>
        <w:keepNext w:val="0"/>
        <w:keepLines w:val="0"/>
        <w:pageBreakBefore w:val="0"/>
        <w:kinsoku/>
        <w:wordWrap/>
        <w:overflowPunct/>
        <w:topLinePunct w:val="0"/>
        <w:autoSpaceDE/>
        <w:autoSpaceDN/>
        <w:bidi w:val="0"/>
        <w:adjustRightInd/>
        <w:snapToGrid/>
        <w:spacing w:before="120" w:line="396" w:lineRule="exact"/>
        <w:ind w:left="-70" w:firstLine="588"/>
        <w:textAlignment w:val="auto"/>
        <w:rPr>
          <w:rFonts w:ascii="宋体" w:hAnsi="宋体"/>
          <w:color w:val="auto"/>
          <w:szCs w:val="21"/>
        </w:rPr>
      </w:pPr>
    </w:p>
    <w:p w14:paraId="224CA9E0">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24.谈判小组成立</w:t>
      </w:r>
    </w:p>
    <w:p w14:paraId="47E6F29E">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24.1竞争性谈判小组成立：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246F966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B15D81F">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 xml:space="preserve"> 首次响应文件的开启</w:t>
      </w:r>
    </w:p>
    <w:p w14:paraId="246969C1">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25.1首次响应文件由谈判小组或者采购代理机构在“供应商须知前附表”规定的时间开启。</w:t>
      </w:r>
    </w:p>
    <w:p w14:paraId="20343570">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25.2 响应文件解密：采购代理机构将在“供应商须知前附表”规定的时间通过电子交易平台组织响应文件开启，采购代理机构将依托电子交易平台发起开始解密指令，</w:t>
      </w:r>
      <w:r>
        <w:rPr>
          <w:rFonts w:hint="eastAsia" w:ascii="宋体" w:hAnsi="宋体" w:cs="宋体"/>
          <w:b/>
          <w:color w:val="auto"/>
          <w:szCs w:val="21"/>
        </w:rPr>
        <w:t>供应商的法定代表人或其委托代理人须携带加密时所用的CA锁按平台提示和采购文件的规定登录到</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b/>
          <w:color w:val="auto"/>
          <w:szCs w:val="21"/>
        </w:rPr>
        <w:t>广西政府采购云平台电子开标大厅签到并在发起解密指令之时起30分钟内完成对电子响应文件在线解密。</w:t>
      </w:r>
      <w:r>
        <w:rPr>
          <w:rFonts w:hint="eastAsia" w:ascii="宋体" w:hAnsi="宋体"/>
          <w:b/>
          <w:bCs/>
          <w:color w:val="auto"/>
          <w:szCs w:val="21"/>
        </w:rPr>
        <w:t>响应文件未按时解密的，视为响应文件无效。</w:t>
      </w:r>
      <w:r>
        <w:rPr>
          <w:rFonts w:hint="eastAsia" w:ascii="宋体" w:hAnsi="宋体" w:cs="宋体"/>
          <w:color w:val="auto"/>
          <w:szCs w:val="21"/>
        </w:rPr>
        <w:t>（解密异常情况处理：详见本章26.2电子交易活动的中止。）</w:t>
      </w:r>
    </w:p>
    <w:p w14:paraId="0350D4B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25.3成功解密响应文件的供应商不足3家的，不得谈判。</w:t>
      </w:r>
    </w:p>
    <w:p w14:paraId="7E713710">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 评审程序和评定成交的标准</w:t>
      </w:r>
    </w:p>
    <w:p w14:paraId="23AD50F7">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1谈判小组按照“第四章  评审程序和评定成交的标准”规定的评审程序对响应文件进行评审，并按照评定成交的标准推荐成交候选供应商。</w:t>
      </w:r>
    </w:p>
    <w:p w14:paraId="6E01C7EB">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26.2电子交易活动的中止。采购过程中出现以下情形，导致电子交易平台无法正常运行，或者无法保证电子交易的公平、公正和安全时，采购机构可中止电子交易活动：</w:t>
      </w:r>
    </w:p>
    <w:p w14:paraId="2202B384">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（1）电子交易平台发生故障而无法登录访问的； </w:t>
      </w:r>
    </w:p>
    <w:p w14:paraId="7A2140E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（2）电子交易平台应用或数据库出现错误，不能进行正常操作的；</w:t>
      </w:r>
    </w:p>
    <w:p w14:paraId="6FBBAF2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（3）电子交易平台发现严重安全漏洞，有潜在泄密危险的；</w:t>
      </w:r>
    </w:p>
    <w:p w14:paraId="6024071E">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（4）病毒发作导致不能进行正常操作的； </w:t>
      </w:r>
    </w:p>
    <w:p w14:paraId="488B48C2">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（4）其他无法保证电子交易的公平、公正和安全的情况。</w:t>
      </w:r>
    </w:p>
    <w:p w14:paraId="7D699961">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26.3出现以上情形，不影响采购公平、公正性的，采购代理机构可以待上述情形消除后继续组织电子交易活动；影响或可能影响采购公平、公正性的，经采购代理机构确认后，应当重新采购。</w:t>
      </w:r>
    </w:p>
    <w:p w14:paraId="5B244005">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14:paraId="352167F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6D530609">
      <w:pPr>
        <w:pStyle w:val="10"/>
        <w:keepNext w:val="0"/>
        <w:keepLines w:val="0"/>
        <w:pageBreakBefore w:val="0"/>
        <w:kinsoku/>
        <w:wordWrap/>
        <w:overflowPunct/>
        <w:topLinePunct w:val="0"/>
        <w:autoSpaceDE/>
        <w:autoSpaceDN/>
        <w:bidi w:val="0"/>
        <w:adjustRightInd/>
        <w:snapToGrid/>
        <w:spacing w:before="120" w:line="396" w:lineRule="exact"/>
        <w:ind w:left="-70" w:firstLine="420" w:firstLineChars="200"/>
        <w:jc w:val="both"/>
        <w:textAlignment w:val="auto"/>
        <w:rPr>
          <w:rFonts w:ascii="宋体" w:hAnsi="宋体" w:cs="宋体"/>
          <w:color w:val="auto"/>
          <w:kern w:val="0"/>
          <w:szCs w:val="21"/>
        </w:rPr>
      </w:pPr>
      <w:r>
        <w:rPr>
          <w:rFonts w:ascii="宋体" w:hAnsi="宋体" w:cs="宋体"/>
          <w:color w:val="auto"/>
          <w:kern w:val="0"/>
          <w:szCs w:val="21"/>
        </w:rPr>
        <w:t>27</w:t>
      </w:r>
      <w:r>
        <w:rPr>
          <w:rFonts w:hint="eastAsia" w:ascii="宋体" w:hAnsi="宋体" w:cs="宋体"/>
          <w:color w:val="auto"/>
          <w:kern w:val="0"/>
          <w:szCs w:val="21"/>
        </w:rPr>
        <w:t>.2采购代理机构应当在成交供应商确定后2个工作日内，在省级以上财政部门指定的媒体上公告成交结果，同时向成交供应商发出成交通知书。</w:t>
      </w:r>
      <w:r>
        <w:rPr>
          <w:rFonts w:hint="eastAsia" w:ascii="宋体" w:hAnsi="宋体" w:cs="宋体"/>
          <w:b/>
          <w:color w:val="auto"/>
          <w:kern w:val="0"/>
          <w:szCs w:val="21"/>
        </w:rPr>
        <w:t>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w:t>
      </w:r>
      <w:r>
        <w:rPr>
          <w:rFonts w:hint="eastAsia" w:ascii="宋体" w:hAnsi="宋体" w:cs="宋体"/>
          <w:color w:val="auto"/>
          <w:kern w:val="0"/>
          <w:szCs w:val="21"/>
        </w:rPr>
        <w:t>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Courier New"/>
          <w:color w:val="auto"/>
          <w:szCs w:val="21"/>
        </w:rPr>
        <w:t>成交供应商享受《政府采购促进中小企业发展管理办法》（财库〔2020〕46号）规定的中小企业扶持政策的，采购人、采购代理机构应当随成交结果公开成交供应商的《中小企业声明函》。</w:t>
      </w:r>
    </w:p>
    <w:p w14:paraId="28198898">
      <w:pPr>
        <w:pStyle w:val="10"/>
        <w:keepNext w:val="0"/>
        <w:keepLines w:val="0"/>
        <w:pageBreakBefore w:val="0"/>
        <w:kinsoku/>
        <w:wordWrap/>
        <w:overflowPunct/>
        <w:topLinePunct w:val="0"/>
        <w:autoSpaceDE/>
        <w:autoSpaceDN/>
        <w:bidi w:val="0"/>
        <w:adjustRightInd/>
        <w:snapToGrid/>
        <w:spacing w:before="120" w:line="396" w:lineRule="exact"/>
        <w:ind w:left="-70" w:firstLine="420" w:firstLineChars="200"/>
        <w:jc w:val="both"/>
        <w:textAlignment w:val="auto"/>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27.3出现下列情形之一的，采购人或者采购代理机构应当终止竞争性谈判采购活动，发布项目终止公告并说明原因，重新开展采购活动：</w:t>
      </w:r>
      <w:r>
        <w:rPr>
          <w:rFonts w:hint="eastAsia" w:ascii="宋体" w:hAnsi="宋体" w:cs="Courier New"/>
          <w:color w:val="auto"/>
          <w:szCs w:val="21"/>
        </w:rPr>
        <w:br w:type="textWrapping"/>
      </w:r>
      <w:r>
        <w:rPr>
          <w:rFonts w:hint="eastAsia" w:ascii="宋体" w:hAnsi="宋体" w:cs="Courier New"/>
          <w:color w:val="auto"/>
          <w:szCs w:val="21"/>
        </w:rPr>
        <w:t>　　（一）因情况变化，不再符合规定的竞争性谈判采购方式适用情形的；</w:t>
      </w:r>
      <w:r>
        <w:rPr>
          <w:rFonts w:hint="eastAsia" w:ascii="宋体" w:hAnsi="宋体" w:cs="Courier New"/>
          <w:color w:val="auto"/>
          <w:szCs w:val="21"/>
        </w:rPr>
        <w:br w:type="textWrapping"/>
      </w:r>
      <w:r>
        <w:rPr>
          <w:rFonts w:hint="eastAsia" w:ascii="宋体" w:hAnsi="宋体" w:cs="Courier New"/>
          <w:color w:val="auto"/>
          <w:szCs w:val="21"/>
        </w:rPr>
        <w:t>　　（二）出现影响采购公正的违法、违规行为的；</w:t>
      </w:r>
      <w:r>
        <w:rPr>
          <w:rFonts w:hint="eastAsia" w:ascii="宋体" w:hAnsi="宋体" w:cs="Courier New"/>
          <w:color w:val="auto"/>
          <w:szCs w:val="21"/>
        </w:rPr>
        <w:br w:type="textWrapping"/>
      </w:r>
      <w:r>
        <w:rPr>
          <w:rFonts w:hint="eastAsia" w:ascii="宋体" w:hAnsi="宋体" w:cs="Courier New"/>
          <w:color w:val="auto"/>
          <w:szCs w:val="21"/>
        </w:rPr>
        <w:t>　　（三）在采购过程中符合竞争要求的供应商或者报价未超过采购预算的供应商不足3家的，但</w:t>
      </w:r>
      <w:r>
        <w:rPr>
          <w:rFonts w:hint="eastAsia" w:ascii="宋体" w:hAnsi="宋体" w:cs="宋体"/>
          <w:color w:val="auto"/>
          <w:szCs w:val="21"/>
        </w:rPr>
        <w:t>“第四章 评审程序和评定成交的标准”第</w:t>
      </w:r>
      <w:r>
        <w:rPr>
          <w:rFonts w:ascii="宋体" w:hAnsi="宋体" w:cs="宋体"/>
          <w:color w:val="auto"/>
          <w:szCs w:val="21"/>
        </w:rPr>
        <w:t>3</w:t>
      </w:r>
      <w:r>
        <w:rPr>
          <w:rFonts w:hint="eastAsia" w:ascii="宋体" w:hAnsi="宋体" w:cs="宋体"/>
          <w:color w:val="auto"/>
          <w:szCs w:val="21"/>
        </w:rPr>
        <w:t>.7条规定的情形除外</w:t>
      </w:r>
      <w:r>
        <w:rPr>
          <w:rFonts w:hint="eastAsia" w:ascii="宋体" w:hAnsi="宋体" w:cs="Courier New"/>
          <w:color w:val="auto"/>
          <w:szCs w:val="21"/>
        </w:rPr>
        <w:t>。</w:t>
      </w:r>
    </w:p>
    <w:p w14:paraId="4F70A7C9">
      <w:pPr>
        <w:pStyle w:val="10"/>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Courier New"/>
          <w:color w:val="auto"/>
          <w:szCs w:val="21"/>
        </w:rPr>
      </w:pPr>
      <w:r>
        <w:rPr>
          <w:rFonts w:hint="eastAsia" w:ascii="宋体" w:hAnsi="宋体" w:cs="Courier New"/>
          <w:color w:val="auto"/>
          <w:szCs w:val="21"/>
        </w:rPr>
        <w:t>27.4在采购活动中因重大变故，采购任务取消的，采购人或者采购代理机构应当终止采购活动，通知所有参加采购活动的供应商。</w:t>
      </w:r>
    </w:p>
    <w:p w14:paraId="1443238A">
      <w:pPr>
        <w:pStyle w:val="10"/>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Courier New"/>
          <w:color w:val="auto"/>
          <w:szCs w:val="21"/>
        </w:rPr>
      </w:pPr>
      <w:r>
        <w:rPr>
          <w:rFonts w:hint="eastAsia" w:ascii="宋体" w:hAnsi="宋体"/>
          <w:bCs/>
          <w:color w:val="auto"/>
          <w:szCs w:val="21"/>
        </w:rPr>
        <w:t>2</w:t>
      </w:r>
      <w:r>
        <w:rPr>
          <w:rFonts w:ascii="宋体" w:hAnsi="宋体"/>
          <w:bCs/>
          <w:color w:val="auto"/>
          <w:szCs w:val="21"/>
        </w:rPr>
        <w:t>7.</w:t>
      </w:r>
      <w:r>
        <w:rPr>
          <w:rFonts w:hint="eastAsia" w:ascii="宋体" w:hAnsi="宋体"/>
          <w:bCs/>
          <w:color w:val="auto"/>
          <w:szCs w:val="21"/>
        </w:rPr>
        <w:t>5</w:t>
      </w:r>
      <w:r>
        <w:rPr>
          <w:rFonts w:hint="eastAsia" w:ascii="宋体" w:hAnsi="宋体" w:cs="Courier New"/>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w:t>
      </w:r>
      <w:r>
        <w:rPr>
          <w:rFonts w:ascii="宋体" w:hAnsi="宋体" w:cs="Courier New"/>
          <w:color w:val="auto"/>
          <w:szCs w:val="21"/>
        </w:rPr>
        <w:t>拒绝签订政府采购合同的成交供应商不得参加对该项目重新开展的采购活动。</w:t>
      </w:r>
    </w:p>
    <w:p w14:paraId="6228DD33">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14:paraId="3D3E4DDE">
      <w:pPr>
        <w:pStyle w:val="10"/>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color w:val="auto"/>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color w:val="auto"/>
        </w:rPr>
        <w:t>与采购人</w:t>
      </w:r>
      <w:r>
        <w:rPr>
          <w:rFonts w:hint="eastAsia" w:ascii="宋体" w:hAnsi="宋体" w:cs="宋体"/>
          <w:color w:val="auto"/>
          <w:szCs w:val="21"/>
        </w:rPr>
        <w:t>签订合同。</w:t>
      </w:r>
    </w:p>
    <w:p w14:paraId="10C06063">
      <w:pPr>
        <w:keepNext w:val="0"/>
        <w:keepLines w:val="0"/>
        <w:pageBreakBefore w:val="0"/>
        <w:kinsoku/>
        <w:wordWrap/>
        <w:overflowPunct/>
        <w:topLinePunct w:val="0"/>
        <w:autoSpaceDE/>
        <w:autoSpaceDN/>
        <w:bidi w:val="0"/>
        <w:adjustRightInd/>
        <w:snapToGrid/>
        <w:spacing w:before="120" w:line="396" w:lineRule="exact"/>
        <w:ind w:left="-70" w:firstLine="424" w:firstLineChars="202"/>
        <w:textAlignment w:val="auto"/>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.2在履约保证金退还日期前，若成交供应商的开户名称、开户银行、帐号有变动的，请以书面形式通知履约保证金收取单位，否则由此产生的后果由成交供应商自负。</w:t>
      </w:r>
    </w:p>
    <w:p w14:paraId="7DBDF3F2">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14:paraId="5B5DB193">
      <w:pPr>
        <w:keepNext w:val="0"/>
        <w:keepLines w:val="0"/>
        <w:pageBreakBefore w:val="0"/>
        <w:kinsoku/>
        <w:wordWrap/>
        <w:overflowPunct/>
        <w:topLinePunct w:val="0"/>
        <w:autoSpaceDE/>
        <w:autoSpaceDN/>
        <w:bidi w:val="0"/>
        <w:adjustRightInd/>
        <w:snapToGrid/>
        <w:spacing w:before="120" w:line="396" w:lineRule="exact"/>
        <w:ind w:left="-70" w:firstLine="424" w:firstLineChars="202"/>
        <w:textAlignment w:val="auto"/>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.1成交供应商在收到成交通知书</w:t>
      </w:r>
      <w:r>
        <w:rPr>
          <w:rFonts w:hint="eastAsia" w:ascii="宋体" w:hAnsi="宋体"/>
          <w:color w:val="auto"/>
          <w:szCs w:val="21"/>
        </w:rPr>
        <w:t>（书面或电子）</w:t>
      </w:r>
      <w:r>
        <w:rPr>
          <w:rFonts w:hint="eastAsia" w:ascii="宋体" w:hAnsi="宋体" w:cs="宋体"/>
          <w:color w:val="auto"/>
          <w:szCs w:val="21"/>
        </w:rPr>
        <w:t>后，按“供应商须知前附表”规定向采购人出示相关证明材料，经采购人核验合格后方可签订合同</w:t>
      </w:r>
      <w:r>
        <w:rPr>
          <w:rFonts w:hint="eastAsia" w:ascii="宋体" w:hAnsi="宋体"/>
          <w:color w:val="auto"/>
          <w:szCs w:val="21"/>
        </w:rPr>
        <w:t>（书面或电子）</w:t>
      </w:r>
      <w:r>
        <w:rPr>
          <w:rFonts w:hint="eastAsia" w:ascii="宋体" w:hAnsi="宋体" w:cs="宋体"/>
          <w:color w:val="auto"/>
          <w:szCs w:val="21"/>
        </w:rPr>
        <w:t>。</w:t>
      </w:r>
      <w:r>
        <w:rPr>
          <w:rFonts w:hint="eastAsia" w:ascii="宋体" w:hAnsi="宋体"/>
          <w:color w:val="auto"/>
          <w:szCs w:val="21"/>
        </w:rPr>
        <w:t>如成交供应商为联合体的，</w:t>
      </w:r>
      <w:r>
        <w:rPr>
          <w:rFonts w:ascii="宋体" w:hAnsi="宋体"/>
          <w:color w:val="auto"/>
          <w:szCs w:val="21"/>
        </w:rPr>
        <w:t>联合体各方应当共同与采购人签订采购合同，就采购合同约定的事项对采购人承担连带责任。</w:t>
      </w:r>
    </w:p>
    <w:p w14:paraId="5361EEEB">
      <w:pPr>
        <w:keepNext w:val="0"/>
        <w:keepLines w:val="0"/>
        <w:pageBreakBefore w:val="0"/>
        <w:kinsoku/>
        <w:wordWrap/>
        <w:overflowPunct/>
        <w:topLinePunct w:val="0"/>
        <w:autoSpaceDE/>
        <w:autoSpaceDN/>
        <w:bidi w:val="0"/>
        <w:adjustRightInd/>
        <w:snapToGrid/>
        <w:spacing w:before="120" w:line="396" w:lineRule="exact"/>
        <w:ind w:left="-70" w:firstLine="424" w:firstLineChars="202"/>
        <w:textAlignment w:val="auto"/>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.2 签订合同时间：按成交通知书的规定与采购人签订政府采购合同</w:t>
      </w:r>
      <w:r>
        <w:rPr>
          <w:rFonts w:hint="eastAsia" w:ascii="宋体" w:hAnsi="宋体"/>
          <w:color w:val="auto"/>
          <w:szCs w:val="21"/>
        </w:rPr>
        <w:t>（最长不能超过25日）</w:t>
      </w:r>
      <w:r>
        <w:rPr>
          <w:rFonts w:hint="eastAsia" w:ascii="宋体" w:hAnsi="宋体" w:cs="宋体"/>
          <w:color w:val="auto"/>
          <w:szCs w:val="21"/>
        </w:rPr>
        <w:t>。</w:t>
      </w:r>
    </w:p>
    <w:p w14:paraId="32154E5B">
      <w:pPr>
        <w:keepNext w:val="0"/>
        <w:keepLines w:val="0"/>
        <w:pageBreakBefore w:val="0"/>
        <w:kinsoku/>
        <w:wordWrap/>
        <w:overflowPunct/>
        <w:topLinePunct w:val="0"/>
        <w:autoSpaceDE/>
        <w:autoSpaceDN/>
        <w:bidi w:val="0"/>
        <w:adjustRightInd/>
        <w:snapToGrid/>
        <w:spacing w:before="120" w:line="396" w:lineRule="exact"/>
        <w:ind w:left="-70" w:firstLine="424" w:firstLineChars="202"/>
        <w:textAlignment w:val="auto"/>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.3</w:t>
      </w:r>
      <w:r>
        <w:rPr>
          <w:rFonts w:hint="eastAsia" w:ascii="宋体" w:hAnsi="宋体"/>
          <w:color w:val="auto"/>
          <w:szCs w:val="21"/>
        </w:rPr>
        <w:t>成交供应商拒绝与采购人签订合同的，按照本须知正文第</w:t>
      </w:r>
      <w:r>
        <w:rPr>
          <w:rFonts w:ascii="宋体" w:hAnsi="宋体"/>
          <w:color w:val="auto"/>
          <w:szCs w:val="21"/>
        </w:rPr>
        <w:t>27.</w:t>
      </w:r>
      <w:r>
        <w:rPr>
          <w:rFonts w:hint="eastAsia" w:ascii="宋体" w:hAnsi="宋体"/>
          <w:color w:val="auto"/>
          <w:szCs w:val="21"/>
        </w:rPr>
        <w:t>5</w:t>
      </w:r>
      <w:r>
        <w:rPr>
          <w:rFonts w:ascii="宋体" w:hAnsi="宋体"/>
          <w:color w:val="auto"/>
          <w:szCs w:val="21"/>
        </w:rPr>
        <w:t>条的规定</w:t>
      </w:r>
      <w:r>
        <w:rPr>
          <w:rFonts w:hint="eastAsia" w:ascii="宋体" w:hAnsi="宋体"/>
          <w:color w:val="auto"/>
          <w:szCs w:val="21"/>
        </w:rPr>
        <w:t>执行</w:t>
      </w:r>
      <w:r>
        <w:rPr>
          <w:rFonts w:hint="eastAsia" w:ascii="宋体" w:hAnsi="宋体" w:cs="宋体"/>
          <w:color w:val="auto"/>
          <w:szCs w:val="21"/>
        </w:rPr>
        <w:t>。</w:t>
      </w:r>
    </w:p>
    <w:p w14:paraId="3039AC6F">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14:paraId="0C69F43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A57400C">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14:paraId="7342305E">
      <w:pPr>
        <w:pStyle w:val="6"/>
        <w:keepNext w:val="0"/>
        <w:keepLines w:val="0"/>
        <w:pageBreakBefore w:val="0"/>
        <w:kinsoku/>
        <w:wordWrap/>
        <w:overflowPunct/>
        <w:topLinePunct w:val="0"/>
        <w:autoSpaceDE/>
        <w:autoSpaceDN/>
        <w:bidi w:val="0"/>
        <w:adjustRightInd/>
        <w:snapToGrid/>
        <w:spacing w:before="120" w:after="120" w:line="396" w:lineRule="exact"/>
        <w:ind w:left="-70" w:firstLine="588"/>
        <w:textAlignment w:val="auto"/>
        <w:rPr>
          <w:rFonts w:ascii="宋体" w:hAnsi="宋体"/>
          <w:color w:val="auto"/>
          <w:szCs w:val="21"/>
        </w:rPr>
      </w:pPr>
      <w:r>
        <w:rPr>
          <w:rFonts w:ascii="宋体" w:hAnsi="宋体" w:cs="宋体"/>
          <w:color w:val="auto"/>
        </w:rPr>
        <w:t>31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p>
    <w:p w14:paraId="43F85222">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ascii="宋体" w:hAnsi="宋体" w:cs="宋体"/>
          <w:color w:val="auto"/>
        </w:rPr>
        <w:t>31</w:t>
      </w:r>
      <w:r>
        <w:rPr>
          <w:rFonts w:hint="eastAsia" w:ascii="宋体" w:hAnsi="宋体" w:cs="宋体"/>
          <w:color w:val="auto"/>
        </w:rPr>
        <w:t>.2供应商认为谈判文件、采购过程或者成交结果使自己的合法权益受到损害的，应当在知道或者应知其权益受到损害之日起7个工作日内，以纸质书面形式向采购人、采购代理机构提出质疑，</w:t>
      </w:r>
      <w:r>
        <w:rPr>
          <w:rFonts w:ascii="Arial" w:hAnsi="Arial" w:cs="Arial"/>
          <w:color w:val="auto"/>
          <w:shd w:val="clear" w:color="auto" w:fill="FFFFFF"/>
        </w:rPr>
        <w:t>接收质疑函的方式、联系部门、联系电话和通讯地址等信息</w:t>
      </w:r>
      <w:r>
        <w:rPr>
          <w:rFonts w:hint="eastAsia" w:ascii="宋体" w:hAnsi="宋体" w:cs="宋体"/>
          <w:color w:val="auto"/>
          <w:szCs w:val="21"/>
        </w:rPr>
        <w:t>详见“供应商须知前附表”</w:t>
      </w:r>
      <w:r>
        <w:rPr>
          <w:rFonts w:hint="eastAsia" w:ascii="宋体" w:hAnsi="宋体" w:cs="宋体"/>
          <w:color w:val="auto"/>
        </w:rPr>
        <w:t>。具体质疑起算时间如下：</w:t>
      </w:r>
    </w:p>
    <w:p w14:paraId="5E9802EB">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（1）对可以质疑的谈判文件提出质疑的，为获取谈判文件之日；</w:t>
      </w:r>
    </w:p>
    <w:p w14:paraId="36DC788C">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（2）对采购过程提出质疑的，为各采购程序环节结束之日；</w:t>
      </w:r>
    </w:p>
    <w:p w14:paraId="48AB88C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（3）对成交结果提出质疑的，为成交结果公告期限届满之日。</w:t>
      </w:r>
    </w:p>
    <w:p w14:paraId="075EA269">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ascii="宋体" w:hAnsi="宋体" w:cs="宋体"/>
          <w:color w:val="auto"/>
        </w:rPr>
        <w:t>31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9E7C48">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ascii="宋体" w:hAnsi="宋体" w:cs="宋体"/>
          <w:color w:val="auto"/>
        </w:rPr>
        <w:t>31</w:t>
      </w:r>
      <w:r>
        <w:rPr>
          <w:rFonts w:hint="eastAsia" w:ascii="宋体" w:hAnsi="宋体" w:cs="宋体"/>
          <w:color w:val="auto"/>
        </w:rPr>
        <w:t>.4供应商提出质疑应当提交质疑函和必要的证明材料，针对同一采购程序环节的质疑必须在法定质疑期内一次性提出。质疑函应当包括下列内容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60C39C7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（1）供应商的姓名或者名称、地址、邮编、联系人及联系电话；</w:t>
      </w:r>
    </w:p>
    <w:p w14:paraId="19F00C5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（2）质疑项目的名称、编号；</w:t>
      </w:r>
    </w:p>
    <w:p w14:paraId="5F93A8D8">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（3）具体、明确的质疑事项和与质疑事项相关的请求；</w:t>
      </w:r>
    </w:p>
    <w:p w14:paraId="188CF360">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（4）事实依据；</w:t>
      </w:r>
    </w:p>
    <w:p w14:paraId="0AC115DA">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（5）必要的法律依据；</w:t>
      </w:r>
    </w:p>
    <w:p w14:paraId="392CC8B7">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（6）提出质疑的日期。</w:t>
      </w:r>
    </w:p>
    <w:p w14:paraId="2033C886">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C3F7218">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6194A18F">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（1）对采购文件提出的质疑，依法通过澄清或者修改可以继续开展采购活动的，澄清或者修改采购文件后继续开展采购活动；否则应当修改采购文件后重新开展采购活动。</w:t>
      </w:r>
    </w:p>
    <w:p w14:paraId="409E0FB8">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（2）对采购过程或者成交结果提出的质疑，合格供应商符合法定数量时，可以从合格的成交候选人中另行确定成交供应商的，应当依法另行确定成交供应商；否则应当重新开展采购活动。</w:t>
      </w:r>
    </w:p>
    <w:p w14:paraId="5FF00F0E">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1D767FB5">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b/>
          <w:bCs/>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DFCE5BD">
      <w:pPr>
        <w:keepNext w:val="0"/>
        <w:keepLines w:val="0"/>
        <w:pageBreakBefore w:val="0"/>
        <w:kinsoku/>
        <w:wordWrap/>
        <w:overflowPunct/>
        <w:topLinePunct w:val="0"/>
        <w:autoSpaceDE/>
        <w:autoSpaceDN/>
        <w:bidi w:val="0"/>
        <w:adjustRightInd/>
        <w:snapToGrid/>
        <w:spacing w:before="120" w:line="396" w:lineRule="exact"/>
        <w:ind w:left="-70" w:firstLine="482" w:firstLineChars="200"/>
        <w:textAlignment w:val="auto"/>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2.</w:t>
      </w:r>
      <w:r>
        <w:rPr>
          <w:rFonts w:hint="eastAsia" w:ascii="黑体" w:hAnsi="黑体" w:eastAsia="黑体" w:cs="宋体"/>
          <w:b/>
          <w:bCs/>
          <w:color w:val="auto"/>
          <w:sz w:val="24"/>
        </w:rPr>
        <w:t>其他内容</w:t>
      </w:r>
    </w:p>
    <w:p w14:paraId="68807D0B">
      <w:pPr>
        <w:keepNext w:val="0"/>
        <w:keepLines w:val="0"/>
        <w:pageBreakBefore w:val="0"/>
        <w:tabs>
          <w:tab w:val="left" w:pos="2835"/>
        </w:tabs>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.1代理服务费：代理服务收取标准及缴费账户详见“供应商须知前附表”，供应商为联合体的，可以由联合体中的一方或者多方共同交纳代理服务费。</w:t>
      </w:r>
    </w:p>
    <w:p w14:paraId="05AFDDDD">
      <w:pPr>
        <w:keepNext w:val="0"/>
        <w:keepLines w:val="0"/>
        <w:pageBreakBefore w:val="0"/>
        <w:kinsoku/>
        <w:wordWrap/>
        <w:overflowPunct/>
        <w:topLinePunct w:val="0"/>
        <w:autoSpaceDE/>
        <w:autoSpaceDN/>
        <w:bidi w:val="0"/>
        <w:adjustRightInd/>
        <w:snapToGrid/>
        <w:spacing w:before="120" w:line="396" w:lineRule="exact"/>
        <w:ind w:left="-70" w:firstLine="420" w:firstLineChars="200"/>
        <w:textAlignment w:val="auto"/>
        <w:rPr>
          <w:rFonts w:ascii="宋体" w:hAnsi="宋体" w:cs="宋体"/>
          <w:color w:val="auto"/>
        </w:rPr>
      </w:pPr>
      <w:r>
        <w:rPr>
          <w:rFonts w:ascii="宋体" w:hAnsi="宋体" w:cs="宋体"/>
          <w:color w:val="auto"/>
          <w:szCs w:val="21"/>
        </w:rPr>
        <w:t>32.2</w:t>
      </w:r>
      <w:r>
        <w:rPr>
          <w:rFonts w:hint="eastAsia" w:ascii="宋体" w:hAnsi="宋体" w:cs="宋体"/>
          <w:color w:val="auto"/>
          <w:kern w:val="0"/>
          <w:szCs w:val="21"/>
        </w:rPr>
        <w:t>代理服务费交纳</w:t>
      </w:r>
      <w:r>
        <w:rPr>
          <w:rFonts w:ascii="宋体" w:hAnsi="宋体" w:cs="宋体"/>
          <w:color w:val="auto"/>
          <w:kern w:val="0"/>
          <w:szCs w:val="21"/>
        </w:rPr>
        <w:t>银行帐号信息</w:t>
      </w:r>
    </w:p>
    <w:p w14:paraId="03C29779">
      <w:pPr>
        <w:pStyle w:val="15"/>
        <w:keepNext w:val="0"/>
        <w:keepLines w:val="0"/>
        <w:pageBreakBefore w:val="0"/>
        <w:kinsoku/>
        <w:wordWrap/>
        <w:overflowPunct/>
        <w:topLinePunct w:val="0"/>
        <w:autoSpaceDE/>
        <w:autoSpaceDN/>
        <w:bidi w:val="0"/>
        <w:adjustRightInd/>
        <w:snapToGrid/>
        <w:spacing w:before="120" w:line="396" w:lineRule="exact"/>
        <w:ind w:left="-70" w:firstLine="420" w:firstLineChars="200"/>
        <w:contextualSpacing/>
        <w:textAlignment w:val="auto"/>
        <w:rPr>
          <w:rFonts w:hAnsi="宋体" w:cs="宋体"/>
          <w:color w:val="auto"/>
          <w:sz w:val="21"/>
        </w:rPr>
      </w:pPr>
      <w:r>
        <w:rPr>
          <w:rFonts w:hint="eastAsia" w:hAnsi="宋体" w:cs="宋体"/>
          <w:color w:val="auto"/>
          <w:sz w:val="21"/>
        </w:rPr>
        <w:t>账户名称：广西科文招标有限公司玉林第二分公司</w:t>
      </w:r>
    </w:p>
    <w:p w14:paraId="5312868E">
      <w:pPr>
        <w:pStyle w:val="15"/>
        <w:keepNext w:val="0"/>
        <w:keepLines w:val="0"/>
        <w:pageBreakBefore w:val="0"/>
        <w:kinsoku/>
        <w:wordWrap/>
        <w:overflowPunct/>
        <w:topLinePunct w:val="0"/>
        <w:autoSpaceDE/>
        <w:autoSpaceDN/>
        <w:bidi w:val="0"/>
        <w:adjustRightInd/>
        <w:snapToGrid/>
        <w:spacing w:before="120" w:line="396" w:lineRule="exact"/>
        <w:ind w:left="-70" w:firstLine="420" w:firstLineChars="200"/>
        <w:contextualSpacing/>
        <w:textAlignment w:val="auto"/>
        <w:rPr>
          <w:rFonts w:hAnsi="宋体" w:cs="宋体"/>
          <w:color w:val="auto"/>
          <w:sz w:val="21"/>
        </w:rPr>
      </w:pPr>
      <w:r>
        <w:rPr>
          <w:rFonts w:hint="eastAsia" w:hAnsi="宋体" w:cs="宋体"/>
          <w:color w:val="auto"/>
          <w:sz w:val="21"/>
        </w:rPr>
        <w:t>开户银行：广西北部湾银行股份有限公司玉林市玉东支行</w:t>
      </w:r>
    </w:p>
    <w:p w14:paraId="543E20E3">
      <w:pPr>
        <w:pStyle w:val="15"/>
        <w:keepNext w:val="0"/>
        <w:keepLines w:val="0"/>
        <w:pageBreakBefore w:val="0"/>
        <w:kinsoku/>
        <w:wordWrap/>
        <w:overflowPunct/>
        <w:topLinePunct w:val="0"/>
        <w:autoSpaceDE/>
        <w:autoSpaceDN/>
        <w:bidi w:val="0"/>
        <w:adjustRightInd/>
        <w:snapToGrid/>
        <w:spacing w:before="120" w:line="396" w:lineRule="exact"/>
        <w:ind w:left="-70" w:firstLine="420" w:firstLineChars="200"/>
        <w:contextualSpacing/>
        <w:textAlignment w:val="auto"/>
        <w:rPr>
          <w:rFonts w:hAnsi="宋体" w:cs="宋体"/>
          <w:color w:val="auto"/>
          <w:sz w:val="21"/>
        </w:rPr>
      </w:pPr>
      <w:r>
        <w:rPr>
          <w:rFonts w:hint="eastAsia" w:hAnsi="宋体" w:cs="宋体"/>
          <w:color w:val="auto"/>
          <w:sz w:val="21"/>
        </w:rPr>
        <w:t>银行账号：805461433000002</w:t>
      </w:r>
    </w:p>
    <w:p w14:paraId="43F7AE8D">
      <w:pPr>
        <w:keepNext w:val="0"/>
        <w:keepLines w:val="0"/>
        <w:pageBreakBefore w:val="0"/>
        <w:kinsoku/>
        <w:wordWrap/>
        <w:overflowPunct/>
        <w:topLinePunct w:val="0"/>
        <w:autoSpaceDE/>
        <w:autoSpaceDN/>
        <w:bidi w:val="0"/>
        <w:adjustRightInd/>
        <w:spacing w:before="120" w:line="396" w:lineRule="exact"/>
        <w:ind w:left="-70" w:firstLine="482" w:firstLineChars="200"/>
        <w:contextualSpacing/>
        <w:textAlignment w:val="auto"/>
        <w:rPr>
          <w:rFonts w:ascii="黑体" w:hAnsi="黑体" w:eastAsia="黑体" w:cs="宋体"/>
          <w:b/>
          <w:bCs/>
          <w:color w:val="auto"/>
          <w:sz w:val="24"/>
        </w:rPr>
      </w:pPr>
      <w:r>
        <w:rPr>
          <w:rFonts w:ascii="黑体" w:hAnsi="黑体" w:eastAsia="黑体" w:cs="宋体"/>
          <w:b/>
          <w:bCs/>
          <w:color w:val="auto"/>
          <w:sz w:val="24"/>
        </w:rPr>
        <w:t>33. 需要补充的其他内容</w:t>
      </w:r>
    </w:p>
    <w:p w14:paraId="77ABDC12">
      <w:pPr>
        <w:pStyle w:val="15"/>
        <w:keepNext w:val="0"/>
        <w:keepLines w:val="0"/>
        <w:pageBreakBefore w:val="0"/>
        <w:widowControl w:val="0"/>
        <w:kinsoku/>
        <w:wordWrap/>
        <w:overflowPunct/>
        <w:topLinePunct w:val="0"/>
        <w:autoSpaceDE/>
        <w:autoSpaceDN/>
        <w:bidi w:val="0"/>
        <w:adjustRightInd/>
        <w:spacing w:before="120" w:line="396" w:lineRule="exact"/>
        <w:ind w:left="-70" w:firstLine="420" w:firstLineChars="200"/>
        <w:contextualSpacing/>
        <w:textAlignment w:val="auto"/>
        <w:rPr>
          <w:rFonts w:hAnsi="宋体"/>
          <w:color w:val="auto"/>
          <w:sz w:val="21"/>
        </w:rPr>
      </w:pPr>
      <w:r>
        <w:rPr>
          <w:rFonts w:hAnsi="宋体"/>
          <w:color w:val="auto"/>
          <w:sz w:val="21"/>
        </w:rPr>
        <w:t>33.1</w:t>
      </w:r>
      <w:r>
        <w:rPr>
          <w:rFonts w:hint="eastAsia" w:hAnsi="宋体" w:cs="宋体"/>
          <w:color w:val="auto"/>
          <w:sz w:val="21"/>
        </w:rPr>
        <w:t>本谈判文件解释规则详见</w:t>
      </w:r>
      <w:r>
        <w:rPr>
          <w:rFonts w:hint="eastAsia" w:hAnsi="宋体"/>
          <w:color w:val="auto"/>
          <w:sz w:val="21"/>
        </w:rPr>
        <w:t>“供应商须知前附表”。</w:t>
      </w:r>
    </w:p>
    <w:p w14:paraId="0D38CDFD">
      <w:pPr>
        <w:keepNext w:val="0"/>
        <w:keepLines w:val="0"/>
        <w:pageBreakBefore w:val="0"/>
        <w:widowControl w:val="0"/>
        <w:kinsoku/>
        <w:wordWrap/>
        <w:overflowPunct/>
        <w:topLinePunct w:val="0"/>
        <w:autoSpaceDE/>
        <w:autoSpaceDN/>
        <w:bidi w:val="0"/>
        <w:adjustRightInd/>
        <w:spacing w:before="120" w:line="396" w:lineRule="exact"/>
        <w:ind w:left="-70" w:firstLine="420" w:firstLineChars="200"/>
        <w:contextualSpacing/>
        <w:textAlignment w:val="auto"/>
        <w:rPr>
          <w:rFonts w:ascii="宋体" w:hAnsi="宋体" w:cs="宋体"/>
          <w:color w:val="auto"/>
          <w:kern w:val="0"/>
          <w:szCs w:val="21"/>
        </w:rPr>
      </w:pPr>
      <w:r>
        <w:rPr>
          <w:rFonts w:ascii="宋体" w:hAnsi="宋体" w:cs="宋体"/>
          <w:color w:val="auto"/>
          <w:kern w:val="0"/>
          <w:szCs w:val="21"/>
        </w:rPr>
        <w:t>33.2</w:t>
      </w:r>
      <w:r>
        <w:rPr>
          <w:rFonts w:hint="eastAsia" w:ascii="宋体" w:hAnsi="宋体" w:cs="宋体"/>
          <w:color w:val="auto"/>
          <w:kern w:val="0"/>
          <w:szCs w:val="21"/>
        </w:rPr>
        <w:t xml:space="preserve"> 其他事项详见“供应商须知前附表”。</w:t>
      </w:r>
    </w:p>
    <w:p w14:paraId="344CFB34">
      <w:pPr>
        <w:keepNext w:val="0"/>
        <w:keepLines w:val="0"/>
        <w:pageBreakBefore w:val="0"/>
        <w:widowControl w:val="0"/>
        <w:tabs>
          <w:tab w:val="left" w:pos="2835"/>
        </w:tabs>
        <w:kinsoku/>
        <w:wordWrap/>
        <w:overflowPunct/>
        <w:topLinePunct w:val="0"/>
        <w:autoSpaceDE/>
        <w:autoSpaceDN/>
        <w:bidi w:val="0"/>
        <w:adjustRightIn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33.3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 </w:t>
      </w:r>
    </w:p>
    <w:p w14:paraId="70138F2C">
      <w:pPr>
        <w:keepNext w:val="0"/>
        <w:keepLines w:val="0"/>
        <w:pageBreakBefore w:val="0"/>
        <w:widowControl w:val="0"/>
        <w:tabs>
          <w:tab w:val="left" w:pos="2835"/>
        </w:tabs>
        <w:kinsoku/>
        <w:wordWrap/>
        <w:overflowPunct/>
        <w:topLinePunct w:val="0"/>
        <w:autoSpaceDE/>
        <w:autoSpaceDN/>
        <w:bidi w:val="0"/>
        <w:adjustRightIn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（1）在货物采购项目中，货物由中小企业制造，即货物由中小企业生产且使用该中小企业商号或者注册商标，不对其中涉及的工程承建商和服务的承接商作出要求； </w:t>
      </w:r>
    </w:p>
    <w:p w14:paraId="1E1B9B8E">
      <w:pPr>
        <w:keepNext w:val="0"/>
        <w:keepLines w:val="0"/>
        <w:pageBreakBefore w:val="0"/>
        <w:widowControl w:val="0"/>
        <w:tabs>
          <w:tab w:val="left" w:pos="2835"/>
        </w:tabs>
        <w:kinsoku/>
        <w:wordWrap/>
        <w:overflowPunct/>
        <w:topLinePunct w:val="0"/>
        <w:autoSpaceDE/>
        <w:autoSpaceDN/>
        <w:bidi w:val="0"/>
        <w:adjustRightIn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（2）在工程采购项目中，工程由中小企业承建，即工程施工单位为中小企业，不对其中涉及的货物的制造商和服务的承接商作出要求； </w:t>
      </w:r>
    </w:p>
    <w:p w14:paraId="4657A50F">
      <w:pPr>
        <w:keepNext w:val="0"/>
        <w:keepLines w:val="0"/>
        <w:pageBreakBefore w:val="0"/>
        <w:widowControl w:val="0"/>
        <w:tabs>
          <w:tab w:val="left" w:pos="2835"/>
        </w:tabs>
        <w:kinsoku/>
        <w:wordWrap/>
        <w:overflowPunct/>
        <w:topLinePunct w:val="0"/>
        <w:autoSpaceDE/>
        <w:autoSpaceDN/>
        <w:bidi w:val="0"/>
        <w:adjustRightIn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（3）在服务采购项目中，服务由中小企业承接，即提供服务的人员为中小企业依照《中华人民共和国劳动合同法》订立劳动合同的从业人员，不对其中涉及的货物的制造商和工程承建商作出要求。 </w:t>
      </w:r>
    </w:p>
    <w:p w14:paraId="32DBAB9F">
      <w:pPr>
        <w:keepNext w:val="0"/>
        <w:keepLines w:val="0"/>
        <w:pageBreakBefore w:val="0"/>
        <w:widowControl w:val="0"/>
        <w:tabs>
          <w:tab w:val="left" w:pos="2835"/>
        </w:tabs>
        <w:kinsoku/>
        <w:wordWrap/>
        <w:overflowPunct/>
        <w:topLinePunct w:val="0"/>
        <w:autoSpaceDE/>
        <w:autoSpaceDN/>
        <w:bidi w:val="0"/>
        <w:adjustRightIn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 </w:t>
      </w:r>
    </w:p>
    <w:p w14:paraId="5F3EBA10">
      <w:pPr>
        <w:keepNext w:val="0"/>
        <w:keepLines w:val="0"/>
        <w:pageBreakBefore w:val="0"/>
        <w:widowControl w:val="0"/>
        <w:tabs>
          <w:tab w:val="left" w:pos="2835"/>
        </w:tabs>
        <w:kinsoku/>
        <w:wordWrap/>
        <w:overflowPunct/>
        <w:topLinePunct w:val="0"/>
        <w:autoSpaceDE/>
        <w:autoSpaceDN/>
        <w:bidi w:val="0"/>
        <w:adjustRightInd/>
        <w:spacing w:before="120" w:line="396" w:lineRule="exact"/>
        <w:ind w:left="-70" w:firstLine="420" w:firstLineChars="200"/>
        <w:textAlignment w:val="auto"/>
        <w:rPr>
          <w:rFonts w:ascii="宋体" w:hAnsi="宋体" w:cs="宋体"/>
          <w:color w:val="auto"/>
          <w:szCs w:val="21"/>
        </w:rPr>
      </w:pPr>
      <w:r>
        <w:rPr>
          <w:rFonts w:hint="eastAsia" w:ascii="宋体" w:hAnsi="宋体" w:cs="宋体"/>
          <w:color w:val="auto"/>
          <w:szCs w:val="21"/>
        </w:rPr>
        <w:t xml:space="preserve">依据本谈判文件规定享受扶持政策获得政府采购合同的，小微企业不得将合同分包给大中型企业，中型企业不得将合同分包给大型企业。 </w:t>
      </w:r>
    </w:p>
    <w:p w14:paraId="34780AB4">
      <w:pPr>
        <w:keepNext w:val="0"/>
        <w:keepLines w:val="0"/>
        <w:pageBreakBefore w:val="0"/>
        <w:widowControl w:val="0"/>
        <w:kinsoku/>
        <w:wordWrap/>
        <w:overflowPunct/>
        <w:topLinePunct w:val="0"/>
        <w:autoSpaceDE/>
        <w:autoSpaceDN/>
        <w:bidi w:val="0"/>
        <w:adjustRightInd/>
        <w:spacing w:before="120" w:line="396" w:lineRule="exact"/>
        <w:ind w:left="-70" w:firstLine="420" w:firstLineChars="200"/>
        <w:contextualSpacing/>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33.4</w:t>
      </w:r>
      <w:r>
        <w:rPr>
          <w:rFonts w:hint="eastAsia" w:ascii="宋体" w:hAnsi="宋体" w:eastAsia="宋体" w:cs="宋体"/>
          <w:color w:val="auto"/>
          <w:kern w:val="0"/>
          <w:szCs w:val="21"/>
        </w:rPr>
        <w:t>关于</w:t>
      </w:r>
      <w:r>
        <w:rPr>
          <w:rFonts w:hint="eastAsia" w:ascii="宋体" w:hAnsi="宋体" w:eastAsia="宋体" w:cs="宋体"/>
          <w:color w:val="auto"/>
          <w:kern w:val="0"/>
          <w:szCs w:val="21"/>
          <w:lang w:eastAsia="zh-CN"/>
        </w:rPr>
        <w:t>中</w:t>
      </w:r>
      <w:r>
        <w:rPr>
          <w:rFonts w:hint="eastAsia" w:ascii="宋体" w:hAnsi="宋体" w:eastAsia="宋体" w:cs="宋体"/>
          <w:color w:val="auto"/>
          <w:kern w:val="0"/>
          <w:szCs w:val="21"/>
        </w:rPr>
        <w:t>小</w:t>
      </w:r>
      <w:r>
        <w:rPr>
          <w:rFonts w:hint="eastAsia" w:ascii="宋体" w:hAnsi="宋体" w:eastAsia="宋体" w:cs="宋体"/>
          <w:color w:val="auto"/>
          <w:kern w:val="0"/>
          <w:szCs w:val="21"/>
          <w:lang w:eastAsia="zh-CN"/>
        </w:rPr>
        <w:t>微</w:t>
      </w:r>
      <w:r>
        <w:rPr>
          <w:rFonts w:hint="eastAsia" w:ascii="宋体" w:hAnsi="宋体" w:eastAsia="宋体" w:cs="宋体"/>
          <w:color w:val="auto"/>
          <w:kern w:val="0"/>
          <w:szCs w:val="21"/>
        </w:rPr>
        <w:t>企业采购需明确的内容</w:t>
      </w:r>
      <w:r>
        <w:rPr>
          <w:rFonts w:hint="eastAsia" w:ascii="宋体" w:hAnsi="宋体" w:eastAsia="宋体" w:cs="宋体"/>
          <w:color w:val="auto"/>
          <w:kern w:val="0"/>
          <w:szCs w:val="21"/>
          <w:lang w:eastAsia="zh-CN"/>
        </w:rPr>
        <w:t>：</w:t>
      </w:r>
    </w:p>
    <w:p w14:paraId="45C98E3A">
      <w:pPr>
        <w:keepNext w:val="0"/>
        <w:keepLines w:val="0"/>
        <w:pageBreakBefore w:val="0"/>
        <w:widowControl w:val="0"/>
        <w:kinsoku/>
        <w:wordWrap/>
        <w:overflowPunct/>
        <w:topLinePunct w:val="0"/>
        <w:autoSpaceDE/>
        <w:autoSpaceDN/>
        <w:bidi w:val="0"/>
        <w:adjustRightInd/>
        <w:spacing w:before="120" w:line="396" w:lineRule="exact"/>
        <w:ind w:left="-70" w:firstLine="420" w:firstLineChars="200"/>
        <w:contextualSpacing/>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33.4.1</w:t>
      </w:r>
      <w:r>
        <w:rPr>
          <w:rFonts w:hint="eastAsia" w:ascii="宋体" w:hAnsi="宋体" w:eastAsia="宋体" w:cs="宋体"/>
          <w:color w:val="auto"/>
          <w:kern w:val="0"/>
          <w:szCs w:val="21"/>
        </w:rPr>
        <w:t>本项目属于</w:t>
      </w:r>
      <w:r>
        <w:rPr>
          <w:rFonts w:hint="eastAsia" w:ascii="宋体" w:hAnsi="宋体" w:eastAsia="宋体" w:cs="宋体"/>
          <w:color w:val="auto"/>
          <w:kern w:val="0"/>
          <w:szCs w:val="21"/>
          <w:lang w:eastAsia="zh-CN"/>
        </w:rPr>
        <w:t>部分预留份额</w:t>
      </w:r>
      <w:r>
        <w:rPr>
          <w:rFonts w:hint="eastAsia" w:ascii="宋体" w:hAnsi="宋体" w:eastAsia="宋体" w:cs="宋体"/>
          <w:color w:val="auto"/>
          <w:kern w:val="0"/>
          <w:szCs w:val="21"/>
        </w:rPr>
        <w:t>专门面向</w:t>
      </w:r>
      <w:r>
        <w:rPr>
          <w:rFonts w:hint="eastAsia" w:ascii="宋体" w:hAnsi="宋体" w:eastAsia="宋体" w:cs="宋体"/>
          <w:color w:val="auto"/>
          <w:kern w:val="0"/>
          <w:szCs w:val="21"/>
          <w:lang w:eastAsia="zh-CN"/>
        </w:rPr>
        <w:t>中</w:t>
      </w:r>
      <w:r>
        <w:rPr>
          <w:rFonts w:hint="eastAsia" w:ascii="宋体" w:hAnsi="宋体" w:eastAsia="宋体" w:cs="宋体"/>
          <w:color w:val="auto"/>
          <w:kern w:val="0"/>
          <w:szCs w:val="21"/>
        </w:rPr>
        <w:t>小</w:t>
      </w:r>
      <w:r>
        <w:rPr>
          <w:rFonts w:hint="eastAsia" w:ascii="宋体" w:hAnsi="宋体" w:eastAsia="宋体" w:cs="宋体"/>
          <w:color w:val="auto"/>
          <w:kern w:val="0"/>
          <w:szCs w:val="21"/>
          <w:lang w:eastAsia="zh-CN"/>
        </w:rPr>
        <w:t>微</w:t>
      </w:r>
      <w:r>
        <w:rPr>
          <w:rFonts w:hint="eastAsia" w:ascii="宋体" w:hAnsi="宋体" w:eastAsia="宋体" w:cs="宋体"/>
          <w:color w:val="auto"/>
          <w:kern w:val="0"/>
          <w:szCs w:val="21"/>
        </w:rPr>
        <w:t>企业采购的项目，供应商应为符合《政府采购促进中小企业发展管理办法》（财库〔2020〕46号）、《关于政府采购支持监狱企业发展有关问题的通知》（财库〔2014〕68号）、《关于促进残疾人就业政府采购政策的通知》（财库〔2017〕141号）等规定的条件的</w:t>
      </w:r>
      <w:r>
        <w:rPr>
          <w:rFonts w:hint="eastAsia" w:ascii="宋体" w:hAnsi="宋体" w:eastAsia="宋体" w:cs="宋体"/>
          <w:color w:val="auto"/>
          <w:kern w:val="0"/>
          <w:szCs w:val="21"/>
          <w:lang w:eastAsia="zh-CN"/>
        </w:rPr>
        <w:t>中</w:t>
      </w:r>
      <w:r>
        <w:rPr>
          <w:rFonts w:hint="eastAsia" w:ascii="宋体" w:hAnsi="宋体" w:eastAsia="宋体" w:cs="宋体"/>
          <w:color w:val="auto"/>
          <w:kern w:val="0"/>
          <w:szCs w:val="21"/>
        </w:rPr>
        <w:t>小</w:t>
      </w:r>
      <w:r>
        <w:rPr>
          <w:rFonts w:hint="eastAsia" w:ascii="宋体" w:hAnsi="宋体" w:eastAsia="宋体" w:cs="宋体"/>
          <w:color w:val="auto"/>
          <w:kern w:val="0"/>
          <w:szCs w:val="21"/>
          <w:lang w:eastAsia="zh-CN"/>
        </w:rPr>
        <w:t>微</w:t>
      </w:r>
      <w:r>
        <w:rPr>
          <w:rFonts w:hint="eastAsia" w:ascii="宋体" w:hAnsi="宋体" w:eastAsia="宋体" w:cs="宋体"/>
          <w:color w:val="auto"/>
          <w:kern w:val="0"/>
          <w:szCs w:val="21"/>
        </w:rPr>
        <w:t>企业，或监狱企业，或残疾人福利性单位。</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 xml:space="preserve">    33.4.2</w:t>
      </w:r>
      <w:r>
        <w:rPr>
          <w:rFonts w:hint="eastAsia" w:ascii="宋体" w:hAnsi="宋体" w:eastAsia="宋体" w:cs="宋体"/>
          <w:color w:val="auto"/>
          <w:kern w:val="0"/>
          <w:szCs w:val="21"/>
        </w:rPr>
        <w:t>标的的名称：玉林市公安局交通警察支队机动车驾驶人理论考场设备采购</w:t>
      </w:r>
    </w:p>
    <w:p w14:paraId="56B7AD6A">
      <w:pPr>
        <w:keepNext w:val="0"/>
        <w:keepLines w:val="0"/>
        <w:pageBreakBefore w:val="0"/>
        <w:widowControl w:val="0"/>
        <w:kinsoku/>
        <w:wordWrap/>
        <w:overflowPunct/>
        <w:topLinePunct w:val="0"/>
        <w:autoSpaceDE/>
        <w:autoSpaceDN/>
        <w:bidi w:val="0"/>
        <w:adjustRightInd/>
        <w:spacing w:before="120" w:line="396" w:lineRule="exact"/>
        <w:ind w:left="-70" w:firstLine="420" w:firstLineChars="200"/>
        <w:contextualSpacing/>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部分预留份额专门面向中小微企业预留金额为：人民币75.82万</w:t>
      </w:r>
      <w:r>
        <w:rPr>
          <w:rFonts w:hint="eastAsia" w:ascii="宋体" w:hAnsi="宋体" w:eastAsia="宋体" w:cs="宋体"/>
          <w:color w:val="auto"/>
          <w:kern w:val="0"/>
          <w:szCs w:val="21"/>
        </w:rPr>
        <w:t>元；</w:t>
      </w:r>
    </w:p>
    <w:p w14:paraId="49470B09">
      <w:pPr>
        <w:keepNext w:val="0"/>
        <w:keepLines w:val="0"/>
        <w:pageBreakBefore w:val="0"/>
        <w:widowControl w:val="0"/>
        <w:kinsoku/>
        <w:wordWrap/>
        <w:overflowPunct/>
        <w:topLinePunct w:val="0"/>
        <w:autoSpaceDE/>
        <w:autoSpaceDN/>
        <w:bidi w:val="0"/>
        <w:adjustRightInd/>
        <w:spacing w:before="120" w:line="396" w:lineRule="exact"/>
        <w:ind w:left="349" w:leftChars="166" w:firstLine="0" w:firstLineChars="0"/>
        <w:contextualSpacing/>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0"/>
          <w:szCs w:val="21"/>
          <w:lang w:val="en-US" w:eastAsia="zh-CN"/>
        </w:rPr>
        <w:t>部分预留份额</w:t>
      </w:r>
      <w:r>
        <w:rPr>
          <w:rFonts w:hint="eastAsia" w:ascii="宋体" w:hAnsi="宋体" w:eastAsia="宋体" w:cs="宋体"/>
          <w:color w:val="auto"/>
          <w:kern w:val="0"/>
          <w:szCs w:val="21"/>
        </w:rPr>
        <w:t>专门面向</w:t>
      </w:r>
      <w:r>
        <w:rPr>
          <w:rFonts w:hint="eastAsia" w:ascii="宋体" w:hAnsi="宋体" w:eastAsia="宋体" w:cs="宋体"/>
          <w:color w:val="auto"/>
          <w:kern w:val="0"/>
          <w:szCs w:val="21"/>
          <w:lang w:val="en-US" w:eastAsia="zh-CN"/>
        </w:rPr>
        <w:t>中</w:t>
      </w:r>
      <w:r>
        <w:rPr>
          <w:rFonts w:hint="eastAsia" w:ascii="宋体" w:hAnsi="宋体" w:eastAsia="宋体" w:cs="宋体"/>
          <w:color w:val="auto"/>
          <w:kern w:val="0"/>
          <w:szCs w:val="21"/>
        </w:rPr>
        <w:t>小</w:t>
      </w:r>
      <w:r>
        <w:rPr>
          <w:rFonts w:hint="eastAsia" w:ascii="宋体" w:hAnsi="宋体" w:eastAsia="宋体" w:cs="宋体"/>
          <w:color w:val="auto"/>
          <w:kern w:val="0"/>
          <w:szCs w:val="21"/>
          <w:lang w:eastAsia="zh-CN"/>
        </w:rPr>
        <w:t>微</w:t>
      </w:r>
      <w:r>
        <w:rPr>
          <w:rFonts w:hint="eastAsia" w:ascii="宋体" w:hAnsi="宋体" w:eastAsia="宋体" w:cs="宋体"/>
          <w:color w:val="auto"/>
          <w:kern w:val="0"/>
          <w:szCs w:val="21"/>
        </w:rPr>
        <w:t>企业预留份额</w:t>
      </w:r>
      <w:r>
        <w:rPr>
          <w:rFonts w:hint="eastAsia" w:ascii="宋体" w:hAnsi="宋体" w:cs="宋体"/>
          <w:color w:val="auto"/>
          <w:kern w:val="0"/>
          <w:szCs w:val="21"/>
          <w:lang w:eastAsia="zh-CN"/>
        </w:rPr>
        <w:t>不低于</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70.14%</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33.4.3</w:t>
      </w:r>
      <w:r>
        <w:rPr>
          <w:rFonts w:hint="eastAsia" w:ascii="宋体" w:hAnsi="宋体" w:eastAsia="宋体" w:cs="宋体"/>
          <w:color w:val="auto"/>
          <w:kern w:val="0"/>
          <w:szCs w:val="21"/>
        </w:rPr>
        <w:t>本项目</w:t>
      </w:r>
      <w:r>
        <w:rPr>
          <w:rFonts w:hint="eastAsia" w:ascii="宋体" w:hAnsi="宋体" w:eastAsia="宋体" w:cs="宋体"/>
          <w:color w:val="auto"/>
          <w:kern w:val="0"/>
          <w:szCs w:val="21"/>
          <w:lang w:eastAsia="zh-CN"/>
        </w:rPr>
        <w:t>不</w:t>
      </w:r>
      <w:r>
        <w:rPr>
          <w:rFonts w:hint="eastAsia" w:ascii="宋体" w:hAnsi="宋体" w:eastAsia="宋体" w:cs="宋体"/>
          <w:color w:val="auto"/>
          <w:kern w:val="0"/>
          <w:szCs w:val="21"/>
        </w:rPr>
        <w:t>接受联合体</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，本项目不允许分包</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lang w:val="en-US" w:eastAsia="zh-CN"/>
        </w:rPr>
        <w:t>33.4.4</w:t>
      </w:r>
      <w:r>
        <w:rPr>
          <w:rFonts w:hint="eastAsia" w:ascii="宋体" w:hAnsi="宋体" w:eastAsia="宋体" w:cs="宋体"/>
          <w:color w:val="auto"/>
          <w:kern w:val="0"/>
          <w:szCs w:val="21"/>
        </w:rPr>
        <w:t>本项目属于</w:t>
      </w:r>
      <w:r>
        <w:rPr>
          <w:rFonts w:hint="eastAsia" w:ascii="宋体" w:hAnsi="宋体" w:eastAsia="宋体" w:cs="宋体"/>
          <w:color w:val="auto"/>
          <w:kern w:val="0"/>
          <w:szCs w:val="21"/>
          <w:lang w:val="en-US" w:eastAsia="zh-CN"/>
        </w:rPr>
        <w:t>部分预留份额</w:t>
      </w:r>
      <w:r>
        <w:rPr>
          <w:rFonts w:hint="eastAsia" w:ascii="宋体" w:hAnsi="宋体" w:eastAsia="宋体" w:cs="宋体"/>
          <w:color w:val="auto"/>
          <w:kern w:val="0"/>
          <w:szCs w:val="21"/>
        </w:rPr>
        <w:t>专门面向</w:t>
      </w:r>
      <w:r>
        <w:rPr>
          <w:rFonts w:hint="eastAsia" w:ascii="宋体" w:hAnsi="宋体" w:eastAsia="宋体" w:cs="宋体"/>
          <w:color w:val="auto"/>
          <w:kern w:val="0"/>
          <w:szCs w:val="21"/>
          <w:lang w:val="en-US" w:eastAsia="zh-CN"/>
        </w:rPr>
        <w:t>中</w:t>
      </w:r>
      <w:r>
        <w:rPr>
          <w:rFonts w:hint="eastAsia" w:ascii="宋体" w:hAnsi="宋体" w:eastAsia="宋体" w:cs="宋体"/>
          <w:color w:val="auto"/>
          <w:kern w:val="0"/>
          <w:szCs w:val="21"/>
        </w:rPr>
        <w:t>小</w:t>
      </w:r>
      <w:r>
        <w:rPr>
          <w:rFonts w:hint="eastAsia" w:ascii="宋体" w:hAnsi="宋体" w:eastAsia="宋体" w:cs="宋体"/>
          <w:color w:val="auto"/>
          <w:kern w:val="0"/>
          <w:szCs w:val="21"/>
          <w:lang w:eastAsia="zh-CN"/>
        </w:rPr>
        <w:t>微</w:t>
      </w:r>
      <w:r>
        <w:rPr>
          <w:rFonts w:hint="eastAsia" w:ascii="宋体" w:hAnsi="宋体" w:eastAsia="宋体" w:cs="宋体"/>
          <w:color w:val="auto"/>
          <w:kern w:val="0"/>
          <w:szCs w:val="21"/>
        </w:rPr>
        <w:t>企业采购的项目或者采购包，不再设置价格扣除比例或者价格分加分比例</w:t>
      </w:r>
      <w:r>
        <w:rPr>
          <w:rFonts w:hint="eastAsia" w:ascii="宋体" w:hAnsi="宋体" w:eastAsia="宋体" w:cs="宋体"/>
          <w:color w:val="auto"/>
          <w:kern w:val="0"/>
          <w:szCs w:val="21"/>
          <w:lang w:eastAsia="zh-CN"/>
        </w:rPr>
        <w:t>。</w:t>
      </w:r>
      <w:r>
        <w:rPr>
          <w:rFonts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 xml:space="preserve">  33.4.5</w:t>
      </w:r>
      <w:r>
        <w:rPr>
          <w:rFonts w:ascii="宋体" w:hAnsi="宋体" w:eastAsia="宋体" w:cs="宋体"/>
          <w:color w:val="auto"/>
          <w:sz w:val="21"/>
          <w:szCs w:val="21"/>
        </w:rPr>
        <w:t>因本项目属于</w:t>
      </w:r>
      <w:r>
        <w:rPr>
          <w:rFonts w:hint="eastAsia" w:ascii="宋体" w:hAnsi="宋体" w:eastAsia="宋体" w:cs="宋体"/>
          <w:color w:val="auto"/>
          <w:sz w:val="21"/>
          <w:lang w:val="en-US" w:eastAsia="zh-CN"/>
        </w:rPr>
        <w:t>部分预留份额</w:t>
      </w:r>
      <w:r>
        <w:rPr>
          <w:rFonts w:ascii="宋体" w:hAnsi="宋体" w:eastAsia="宋体" w:cs="宋体"/>
          <w:color w:val="auto"/>
          <w:sz w:val="21"/>
          <w:szCs w:val="21"/>
        </w:rPr>
        <w:t>专门面向</w:t>
      </w:r>
      <w:r>
        <w:rPr>
          <w:rFonts w:hint="eastAsia" w:ascii="宋体" w:hAnsi="宋体" w:eastAsia="宋体" w:cs="宋体"/>
          <w:color w:val="auto"/>
          <w:sz w:val="21"/>
          <w:lang w:val="en-US" w:eastAsia="zh-CN"/>
        </w:rPr>
        <w:t>中</w:t>
      </w:r>
      <w:r>
        <w:rPr>
          <w:rFonts w:hint="eastAsia"/>
          <w:color w:val="auto"/>
        </w:rPr>
        <w:t>小</w:t>
      </w:r>
      <w:r>
        <w:rPr>
          <w:rFonts w:hint="eastAsia"/>
          <w:color w:val="auto"/>
          <w:lang w:eastAsia="zh-CN"/>
        </w:rPr>
        <w:t>微</w:t>
      </w:r>
      <w:r>
        <w:rPr>
          <w:rFonts w:ascii="宋体" w:hAnsi="宋体" w:eastAsia="宋体" w:cs="宋体"/>
          <w:color w:val="auto"/>
          <w:sz w:val="21"/>
          <w:szCs w:val="21"/>
        </w:rPr>
        <w:t>企业采购的项目，规定依据《政府采购促进中小企业发展管理办法》规定享受扶持政策获得政府采购合同的，小微企业不得将合同分包给大中型企业，中型企业不得将合同分包给大型企业</w:t>
      </w:r>
      <w:r>
        <w:rPr>
          <w:rFonts w:hint="eastAsia" w:ascii="宋体" w:hAnsi="宋体" w:eastAsia="宋体" w:cs="宋体"/>
          <w:color w:val="auto"/>
          <w:sz w:val="21"/>
          <w:szCs w:val="21"/>
          <w:lang w:eastAsia="zh-CN"/>
        </w:rPr>
        <w:t>。</w:t>
      </w:r>
      <w:r>
        <w:rPr>
          <w:rFonts w:ascii="宋体" w:hAnsi="宋体" w:eastAsia="宋体" w:cs="宋体"/>
          <w:color w:val="auto"/>
          <w:sz w:val="21"/>
          <w:szCs w:val="21"/>
        </w:rPr>
        <w:br w:type="textWrapping"/>
      </w:r>
      <w:r>
        <w:rPr>
          <w:rFonts w:hint="eastAsia" w:ascii="宋体" w:hAnsi="宋体" w:eastAsia="宋体" w:cs="宋体"/>
          <w:color w:val="auto"/>
          <w:sz w:val="21"/>
          <w:szCs w:val="21"/>
          <w:lang w:val="en-US" w:eastAsia="zh-CN"/>
        </w:rPr>
        <w:t>33.4.6</w:t>
      </w:r>
      <w:r>
        <w:rPr>
          <w:rFonts w:hint="eastAsia" w:hAnsi="宋体" w:eastAsia="宋体" w:cs="宋体"/>
          <w:color w:val="auto"/>
          <w:sz w:val="21"/>
          <w:szCs w:val="21"/>
          <w:lang w:eastAsia="zh-CN"/>
        </w:rPr>
        <w:t>项目</w:t>
      </w:r>
      <w:r>
        <w:rPr>
          <w:rFonts w:hint="eastAsia" w:ascii="宋体" w:hAnsi="宋体" w:eastAsia="宋体" w:cs="宋体"/>
          <w:color w:val="auto"/>
          <w:sz w:val="21"/>
          <w:szCs w:val="21"/>
          <w:lang w:eastAsia="zh-CN"/>
        </w:rPr>
        <w:t>预付款方式：</w:t>
      </w:r>
    </w:p>
    <w:p w14:paraId="118C9820">
      <w:pPr>
        <w:pStyle w:val="15"/>
        <w:keepNext w:val="0"/>
        <w:keepLines w:val="0"/>
        <w:pageBreakBefore w:val="0"/>
        <w:widowControl w:val="0"/>
        <w:numPr>
          <w:ilvl w:val="0"/>
          <w:numId w:val="0"/>
        </w:numPr>
        <w:kinsoku/>
        <w:wordWrap/>
        <w:overflowPunct/>
        <w:topLinePunct w:val="0"/>
        <w:autoSpaceDE/>
        <w:autoSpaceDN/>
        <w:bidi w:val="0"/>
        <w:adjustRightInd/>
        <w:snapToGrid w:val="0"/>
        <w:spacing w:line="396"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①预付款支付比例：合同总价款</w:t>
      </w:r>
      <w:r>
        <w:rPr>
          <w:rFonts w:hint="eastAsia" w:hAnsi="宋体" w:cs="宋体"/>
          <w:color w:val="auto"/>
          <w:sz w:val="21"/>
          <w:szCs w:val="21"/>
          <w:lang w:val="en-US" w:eastAsia="zh-CN"/>
        </w:rPr>
        <w:t>3</w:t>
      </w:r>
      <w:r>
        <w:rPr>
          <w:rFonts w:hint="eastAsia" w:ascii="宋体" w:hAnsi="宋体" w:eastAsia="宋体" w:cs="宋体"/>
          <w:color w:val="auto"/>
          <w:sz w:val="21"/>
          <w:szCs w:val="21"/>
          <w:lang w:eastAsia="zh-CN"/>
        </w:rPr>
        <w:t xml:space="preserve">0%。 </w:t>
      </w:r>
    </w:p>
    <w:p w14:paraId="115201D7">
      <w:pPr>
        <w:pStyle w:val="15"/>
        <w:keepNext w:val="0"/>
        <w:keepLines w:val="0"/>
        <w:pageBreakBefore w:val="0"/>
        <w:widowControl w:val="0"/>
        <w:numPr>
          <w:ilvl w:val="0"/>
          <w:numId w:val="0"/>
        </w:numPr>
        <w:kinsoku/>
        <w:wordWrap/>
        <w:overflowPunct/>
        <w:topLinePunct w:val="0"/>
        <w:autoSpaceDE/>
        <w:autoSpaceDN/>
        <w:bidi w:val="0"/>
        <w:adjustRightInd/>
        <w:snapToGrid w:val="0"/>
        <w:spacing w:line="396"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②预付款支付期限：签订合同</w:t>
      </w:r>
      <w:r>
        <w:rPr>
          <w:rFonts w:hint="eastAsia" w:hAnsi="宋体" w:cs="宋体"/>
          <w:color w:val="auto"/>
          <w:sz w:val="21"/>
          <w:szCs w:val="21"/>
          <w:lang w:eastAsia="zh-CN"/>
        </w:rPr>
        <w:t>后</w:t>
      </w:r>
      <w:r>
        <w:rPr>
          <w:rFonts w:hint="eastAsia" w:hAnsi="宋体" w:cs="宋体"/>
          <w:color w:val="auto"/>
          <w:sz w:val="21"/>
          <w:szCs w:val="21"/>
          <w:lang w:val="en-US" w:eastAsia="zh-CN"/>
        </w:rPr>
        <w:t>10个工作日内</w:t>
      </w:r>
      <w:r>
        <w:rPr>
          <w:rFonts w:hint="eastAsia" w:ascii="宋体" w:hAnsi="宋体" w:eastAsia="宋体" w:cs="宋体"/>
          <w:color w:val="auto"/>
          <w:sz w:val="21"/>
          <w:szCs w:val="21"/>
          <w:lang w:eastAsia="zh-CN"/>
        </w:rPr>
        <w:t>。</w:t>
      </w:r>
    </w:p>
    <w:p w14:paraId="7E56D7F8">
      <w:pPr>
        <w:pStyle w:val="15"/>
        <w:keepNext w:val="0"/>
        <w:keepLines w:val="0"/>
        <w:pageBreakBefore w:val="0"/>
        <w:widowControl w:val="0"/>
        <w:kinsoku/>
        <w:wordWrap/>
        <w:overflowPunct/>
        <w:topLinePunct w:val="0"/>
        <w:autoSpaceDE/>
        <w:autoSpaceDN/>
        <w:bidi w:val="0"/>
        <w:adjustRightInd/>
        <w:snapToGrid w:val="0"/>
        <w:spacing w:before="120" w:line="396" w:lineRule="exact"/>
        <w:ind w:left="-70" w:firstLine="420" w:firstLineChars="200"/>
        <w:textAlignment w:val="auto"/>
        <w:rPr>
          <w:rFonts w:hAnsi="宋体" w:cs="宋体"/>
          <w:color w:val="auto"/>
          <w:sz w:val="21"/>
        </w:rPr>
      </w:pPr>
      <w:r>
        <w:rPr>
          <w:rFonts w:hint="eastAsia" w:ascii="宋体" w:hAnsi="宋体" w:eastAsia="宋体" w:cs="宋体"/>
          <w:color w:val="auto"/>
          <w:sz w:val="21"/>
          <w:szCs w:val="21"/>
          <w:lang w:val="en-US" w:eastAsia="zh-CN"/>
        </w:rPr>
        <w:t>33.4.7</w:t>
      </w:r>
      <w:r>
        <w:rPr>
          <w:rFonts w:hint="eastAsia" w:ascii="宋体" w:hAnsi="宋体" w:eastAsia="宋体" w:cs="宋体"/>
          <w:color w:val="auto"/>
          <w:sz w:val="21"/>
          <w:szCs w:val="21"/>
          <w:lang w:eastAsia="zh-CN"/>
        </w:rPr>
        <w:t>本项目采购标的对应的</w:t>
      </w:r>
      <w:r>
        <w:rPr>
          <w:rFonts w:hint="eastAsia" w:ascii="宋体" w:hAnsi="宋体" w:eastAsia="宋体" w:cs="宋体"/>
          <w:color w:val="auto"/>
          <w:sz w:val="21"/>
          <w:lang w:val="en-US" w:eastAsia="zh-CN"/>
        </w:rPr>
        <w:t>中</w:t>
      </w:r>
      <w:r>
        <w:rPr>
          <w:rFonts w:hint="eastAsia"/>
          <w:color w:val="auto"/>
        </w:rPr>
        <w:t>小</w:t>
      </w:r>
      <w:r>
        <w:rPr>
          <w:rFonts w:hint="eastAsia"/>
          <w:color w:val="auto"/>
          <w:lang w:eastAsia="zh-CN"/>
        </w:rPr>
        <w:t>微</w:t>
      </w:r>
      <w:r>
        <w:rPr>
          <w:rFonts w:hint="eastAsia" w:ascii="宋体" w:hAnsi="宋体" w:eastAsia="宋体" w:cs="宋体"/>
          <w:color w:val="auto"/>
          <w:sz w:val="21"/>
          <w:szCs w:val="21"/>
          <w:lang w:eastAsia="zh-CN"/>
        </w:rPr>
        <w:t>企业划分标准所属行业为:工业。</w:t>
      </w:r>
    </w:p>
    <w:p w14:paraId="3DBCC3DF">
      <w:pPr>
        <w:pStyle w:val="15"/>
        <w:snapToGrid w:val="0"/>
        <w:spacing w:before="120" w:line="380" w:lineRule="exact"/>
        <w:ind w:left="-70" w:firstLine="420" w:firstLineChars="200"/>
        <w:rPr>
          <w:rFonts w:hAnsi="宋体" w:cs="宋体"/>
          <w:color w:val="auto"/>
          <w:sz w:val="21"/>
        </w:rPr>
      </w:pPr>
    </w:p>
    <w:p w14:paraId="7FF02149">
      <w:pPr>
        <w:pStyle w:val="15"/>
        <w:snapToGrid w:val="0"/>
        <w:spacing w:before="120" w:line="380" w:lineRule="exact"/>
        <w:ind w:left="-70" w:firstLine="420" w:firstLineChars="200"/>
        <w:rPr>
          <w:rFonts w:hAnsi="宋体" w:cs="宋体"/>
          <w:color w:val="auto"/>
          <w:sz w:val="21"/>
        </w:rPr>
      </w:pPr>
    </w:p>
    <w:p w14:paraId="3F91E21C">
      <w:pPr>
        <w:pStyle w:val="15"/>
        <w:snapToGrid w:val="0"/>
        <w:spacing w:before="120" w:line="380" w:lineRule="exact"/>
        <w:ind w:left="-70" w:firstLine="420" w:firstLineChars="200"/>
        <w:rPr>
          <w:rFonts w:hAnsi="宋体" w:cs="宋体"/>
          <w:color w:val="auto"/>
          <w:sz w:val="21"/>
        </w:rPr>
      </w:pPr>
    </w:p>
    <w:p w14:paraId="4E3C0311">
      <w:pPr>
        <w:spacing w:before="120" w:line="400" w:lineRule="exact"/>
        <w:rPr>
          <w:rFonts w:hint="eastAsia" w:ascii="宋体" w:hAnsi="宋体" w:cs="宋体"/>
          <w:color w:val="auto"/>
          <w:kern w:val="0"/>
          <w:szCs w:val="21"/>
        </w:rPr>
      </w:pPr>
      <w:bookmarkStart w:id="30" w:name="_Toc74322010"/>
    </w:p>
    <w:p w14:paraId="3D76697B">
      <w:pPr>
        <w:spacing w:before="120" w:line="400" w:lineRule="exact"/>
        <w:rPr>
          <w:rFonts w:hint="eastAsia" w:ascii="宋体" w:hAnsi="宋体" w:cs="宋体"/>
          <w:color w:val="auto"/>
          <w:kern w:val="0"/>
          <w:szCs w:val="21"/>
        </w:rPr>
      </w:pPr>
    </w:p>
    <w:p w14:paraId="309B92B9">
      <w:pPr>
        <w:spacing w:before="120" w:line="400" w:lineRule="exact"/>
        <w:rPr>
          <w:rFonts w:hint="eastAsia" w:ascii="宋体" w:hAnsi="宋体" w:cs="宋体"/>
          <w:color w:val="auto"/>
          <w:kern w:val="0"/>
          <w:szCs w:val="21"/>
        </w:rPr>
      </w:pPr>
    </w:p>
    <w:p w14:paraId="55768225">
      <w:pPr>
        <w:spacing w:before="120" w:line="400" w:lineRule="exact"/>
        <w:rPr>
          <w:rFonts w:ascii="仿宋_GB2312" w:hAnsi="仿宋_GB2312" w:cs="仿宋_GB2312"/>
          <w:color w:val="auto"/>
          <w:szCs w:val="32"/>
        </w:rPr>
      </w:pPr>
    </w:p>
    <w:p w14:paraId="246A8621">
      <w:pPr>
        <w:pStyle w:val="15"/>
        <w:spacing w:before="120" w:line="360" w:lineRule="auto"/>
        <w:ind w:left="-70" w:firstLine="883" w:firstLineChars="200"/>
        <w:contextualSpacing/>
        <w:jc w:val="center"/>
        <w:rPr>
          <w:rFonts w:hAnsi="宋体"/>
          <w:color w:val="auto"/>
          <w:sz w:val="32"/>
          <w:szCs w:val="32"/>
        </w:rPr>
      </w:pPr>
      <w:r>
        <w:rPr>
          <w:rFonts w:hint="eastAsia"/>
          <w:b/>
          <w:bCs/>
          <w:color w:val="auto"/>
          <w:sz w:val="44"/>
          <w:szCs w:val="44"/>
        </w:rPr>
        <w:t>第三章 采购需求</w:t>
      </w:r>
      <w:bookmarkEnd w:id="30"/>
    </w:p>
    <w:p w14:paraId="0376D98F">
      <w:pPr>
        <w:spacing w:before="120" w:line="360" w:lineRule="auto"/>
        <w:ind w:left="-70" w:firstLine="590"/>
        <w:jc w:val="left"/>
        <w:rPr>
          <w:rFonts w:ascii="宋体" w:hAnsi="宋体" w:cs="宋体"/>
          <w:b/>
          <w:color w:val="auto"/>
          <w:szCs w:val="21"/>
        </w:rPr>
      </w:pPr>
      <w:bookmarkStart w:id="31" w:name="_Hlk48036094"/>
      <w:r>
        <w:rPr>
          <w:rFonts w:hint="eastAsia" w:ascii="宋体" w:hAnsi="宋体" w:cs="宋体"/>
          <w:b/>
          <w:color w:val="auto"/>
          <w:szCs w:val="21"/>
        </w:rPr>
        <w:t>说明：</w:t>
      </w:r>
    </w:p>
    <w:p w14:paraId="3AEAC60C">
      <w:pPr>
        <w:spacing w:before="120" w:line="360" w:lineRule="exact"/>
        <w:ind w:left="-10" w:leftChars="-5" w:right="2" w:rightChars="1" w:firstLine="422" w:firstLineChars="200"/>
        <w:rPr>
          <w:rFonts w:hint="eastAsia" w:hAnsi="宋体"/>
          <w:b/>
          <w:bCs/>
          <w:color w:val="auto"/>
        </w:rPr>
      </w:pPr>
      <w:r>
        <w:rPr>
          <w:rFonts w:hint="eastAsia" w:hAnsi="宋体"/>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14:paraId="6B9515CF">
      <w:pPr>
        <w:spacing w:before="120" w:line="360" w:lineRule="exact"/>
        <w:ind w:left="-10" w:leftChars="-5" w:right="2" w:rightChars="1" w:firstLine="422" w:firstLineChars="200"/>
        <w:rPr>
          <w:rFonts w:hint="eastAsia" w:hAnsi="宋体"/>
          <w:b/>
          <w:bCs/>
          <w:color w:val="auto"/>
        </w:rPr>
      </w:pPr>
      <w:r>
        <w:rPr>
          <w:rFonts w:hint="eastAsia" w:hAnsi="宋体"/>
          <w:b/>
          <w:bCs/>
          <w:color w:val="auto"/>
        </w:rPr>
        <w:t>2、凡在“技术要求”中表述为“标配”或“标准配置”的设备，供应商应在货物配置清单中将其标配参数详细列明。</w:t>
      </w:r>
    </w:p>
    <w:p w14:paraId="70ABED8F">
      <w:pPr>
        <w:spacing w:before="120" w:line="360" w:lineRule="exact"/>
        <w:ind w:left="-10" w:leftChars="-5" w:right="2" w:rightChars="1" w:firstLine="422" w:firstLineChars="200"/>
        <w:rPr>
          <w:rFonts w:hint="eastAsia" w:hAnsi="宋体"/>
          <w:b/>
          <w:bCs/>
          <w:color w:val="auto"/>
        </w:rPr>
      </w:pPr>
      <w:r>
        <w:rPr>
          <w:rFonts w:hint="eastAsia" w:hAnsi="宋体"/>
          <w:b/>
          <w:bCs/>
          <w:color w:val="auto"/>
        </w:rPr>
        <w:t>3、根据《财政部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详见本章后附的节能产品政府采购品目清单），供应商的竞标货物必须使用政府强制采购的节能产品，否则响应文件作无效响应处理。</w:t>
      </w:r>
    </w:p>
    <w:p w14:paraId="0C87DE44">
      <w:pPr>
        <w:spacing w:before="120" w:line="360" w:lineRule="exact"/>
        <w:ind w:left="-10" w:leftChars="-5" w:right="2" w:rightChars="1" w:firstLine="422" w:firstLineChars="200"/>
        <w:rPr>
          <w:rFonts w:hint="eastAsia" w:hAnsi="宋体"/>
          <w:b/>
          <w:bCs/>
          <w:color w:val="auto"/>
        </w:rPr>
      </w:pPr>
      <w:r>
        <w:rPr>
          <w:rFonts w:hint="eastAsia" w:hAnsi="宋体"/>
          <w:b/>
          <w:bCs/>
          <w:color w:val="auto"/>
        </w:rPr>
        <w:t>4、根据《关于调整网络安全专用产品安全管理有关事项的公告》（2023 年 1 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按网信办发布《关于调整网络安全专用产品安全管理有关事项的公告》，此前已经获得销售许可证的产品在有效期内可继续销售或者提供，响应文件按无效处理。如属于《网络关键设备和网络安全专用产品目录》中“二、网络安全专用产品”内“产品类别”中的所描述的产品，但不属于所列“产品描述”情形的，应提供相应的说明及证明材料。</w:t>
      </w:r>
    </w:p>
    <w:p w14:paraId="35011844">
      <w:pPr>
        <w:spacing w:before="120" w:line="360" w:lineRule="exact"/>
        <w:ind w:left="-10" w:leftChars="-5" w:right="2" w:rightChars="1" w:firstLine="422" w:firstLineChars="200"/>
        <w:rPr>
          <w:rFonts w:hint="eastAsia" w:hAnsi="宋体"/>
          <w:b/>
          <w:bCs/>
          <w:color w:val="auto"/>
        </w:rPr>
      </w:pPr>
      <w:r>
        <w:rPr>
          <w:rFonts w:hint="eastAsia" w:hAnsi="宋体"/>
          <w:b/>
          <w:bCs/>
          <w:color w:val="auto"/>
        </w:rPr>
        <w:t>5、如供应商竞标产品存在侵犯他人的知识产权或者专利成果行为的，由供应商自行承担相应法律责任。</w:t>
      </w:r>
    </w:p>
    <w:p w14:paraId="375B806E">
      <w:pPr>
        <w:spacing w:before="120" w:line="360" w:lineRule="exact"/>
        <w:ind w:left="-10" w:leftChars="-5" w:right="2" w:rightChars="1" w:firstLine="422" w:firstLineChars="200"/>
        <w:rPr>
          <w:rFonts w:hAnsi="宋体"/>
          <w:b/>
          <w:bCs/>
          <w:color w:val="auto"/>
        </w:rPr>
      </w:pPr>
      <w:r>
        <w:rPr>
          <w:rFonts w:hint="eastAsia" w:hAnsi="宋体"/>
          <w:b/>
          <w:bCs/>
          <w:color w:val="auto"/>
        </w:rPr>
        <w:t>6、“实质性要求”是指竞争性谈判文件中已经指明不满足则响应无效的条款，或者不能负偏离的条款，或者采购需求中带“▲”的条款。</w:t>
      </w:r>
    </w:p>
    <w:p w14:paraId="7389DA55">
      <w:pPr>
        <w:spacing w:before="120" w:line="360" w:lineRule="exact"/>
        <w:ind w:left="-10" w:leftChars="-5" w:right="2" w:rightChars="1" w:firstLine="422" w:firstLineChars="200"/>
        <w:rPr>
          <w:rFonts w:hint="eastAsia" w:hAnsi="宋体"/>
          <w:b/>
          <w:bCs/>
          <w:color w:val="auto"/>
        </w:rPr>
      </w:pPr>
      <w:r>
        <w:rPr>
          <w:rFonts w:hint="eastAsia" w:hAnsi="宋体"/>
          <w:b/>
          <w:bCs/>
          <w:color w:val="auto"/>
        </w:rPr>
        <w:t>7、供应商应根据自身实际情况如实响应竞争性谈判文件，不得仅将竞争性谈判文件内容简单复制粘贴作为竞标响应，否则将作无效响应处理（定制采购不适用本条款）。</w:t>
      </w:r>
      <w:bookmarkEnd w:id="31"/>
      <w:bookmarkStart w:id="32" w:name="_Toc74322011"/>
    </w:p>
    <w:p w14:paraId="08CCABCB">
      <w:pPr>
        <w:spacing w:before="120" w:line="360" w:lineRule="exact"/>
        <w:ind w:left="-10" w:leftChars="-5" w:right="2" w:rightChars="1" w:firstLine="422" w:firstLineChars="200"/>
        <w:rPr>
          <w:rFonts w:hAnsi="宋体"/>
          <w:b/>
          <w:color w:val="auto"/>
        </w:rPr>
      </w:pPr>
      <w:r>
        <w:rPr>
          <w:rFonts w:hint="eastAsia" w:hAnsi="宋体"/>
          <w:b/>
          <w:bCs/>
          <w:color w:val="auto"/>
        </w:rPr>
        <w:t>预算金额：108.1010万元</w:t>
      </w:r>
    </w:p>
    <w:tbl>
      <w:tblPr>
        <w:tblStyle w:val="28"/>
        <w:tblW w:w="96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5"/>
        <w:gridCol w:w="873"/>
        <w:gridCol w:w="789"/>
        <w:gridCol w:w="1275"/>
        <w:gridCol w:w="709"/>
        <w:gridCol w:w="5550"/>
      </w:tblGrid>
      <w:tr w14:paraId="29D87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60DFAE36">
            <w:pPr>
              <w:spacing w:before="120" w:line="400" w:lineRule="atLeast"/>
              <w:ind w:left="-70"/>
              <w:jc w:val="center"/>
              <w:rPr>
                <w:rFonts w:ascii="宋体" w:hAnsi="宋体" w:cs="宋体"/>
                <w:color w:val="auto"/>
                <w:szCs w:val="21"/>
              </w:rPr>
            </w:pPr>
            <w:r>
              <w:rPr>
                <w:rFonts w:hint="eastAsia" w:ascii="宋体" w:hAnsi="宋体" w:cs="宋体"/>
                <w:color w:val="auto"/>
                <w:szCs w:val="21"/>
              </w:rPr>
              <w:t>序号</w:t>
            </w:r>
          </w:p>
        </w:tc>
        <w:tc>
          <w:tcPr>
            <w:tcW w:w="873" w:type="dxa"/>
            <w:vAlign w:val="center"/>
          </w:tcPr>
          <w:p w14:paraId="0821E5BA">
            <w:pPr>
              <w:spacing w:before="120" w:line="400" w:lineRule="atLeast"/>
              <w:ind w:left="-70"/>
              <w:jc w:val="center"/>
              <w:rPr>
                <w:rFonts w:ascii="宋体" w:hAnsi="宋体" w:cs="宋体"/>
                <w:color w:val="auto"/>
                <w:szCs w:val="21"/>
              </w:rPr>
            </w:pPr>
            <w:r>
              <w:rPr>
                <w:rFonts w:hint="eastAsia" w:ascii="宋体" w:hAnsi="宋体" w:cs="宋体"/>
                <w:color w:val="auto"/>
                <w:szCs w:val="21"/>
              </w:rPr>
              <w:t>标的的</w:t>
            </w:r>
          </w:p>
          <w:p w14:paraId="6BEC3A00">
            <w:pPr>
              <w:spacing w:before="120" w:line="400" w:lineRule="atLeast"/>
              <w:ind w:left="-70"/>
              <w:jc w:val="center"/>
              <w:rPr>
                <w:rFonts w:ascii="宋体" w:hAnsi="宋体" w:cs="宋体"/>
                <w:color w:val="auto"/>
                <w:szCs w:val="21"/>
              </w:rPr>
            </w:pPr>
            <w:r>
              <w:rPr>
                <w:rFonts w:hint="eastAsia" w:ascii="宋体" w:hAnsi="宋体" w:cs="宋体"/>
                <w:color w:val="auto"/>
                <w:szCs w:val="21"/>
              </w:rPr>
              <w:t>名称</w:t>
            </w:r>
          </w:p>
        </w:tc>
        <w:tc>
          <w:tcPr>
            <w:tcW w:w="789" w:type="dxa"/>
            <w:vAlign w:val="center"/>
          </w:tcPr>
          <w:p w14:paraId="1F13170C">
            <w:pPr>
              <w:spacing w:before="120" w:line="400" w:lineRule="atLeast"/>
              <w:ind w:left="-70"/>
              <w:jc w:val="center"/>
              <w:rPr>
                <w:rFonts w:ascii="宋体" w:hAnsi="宋体" w:cs="宋体"/>
                <w:color w:val="auto"/>
                <w:szCs w:val="21"/>
              </w:rPr>
            </w:pPr>
            <w:r>
              <w:rPr>
                <w:rFonts w:hint="eastAsia" w:ascii="宋体" w:hAnsi="宋体" w:cs="宋体"/>
                <w:color w:val="auto"/>
                <w:szCs w:val="21"/>
              </w:rPr>
              <w:t>数量及单位</w:t>
            </w:r>
          </w:p>
        </w:tc>
        <w:tc>
          <w:tcPr>
            <w:tcW w:w="1275" w:type="dxa"/>
            <w:tcBorders>
              <w:right w:val="single" w:color="auto" w:sz="4" w:space="0"/>
            </w:tcBorders>
            <w:vAlign w:val="center"/>
          </w:tcPr>
          <w:p w14:paraId="15ED714E">
            <w:pPr>
              <w:spacing w:before="120" w:line="400" w:lineRule="atLeast"/>
              <w:ind w:left="-70"/>
              <w:jc w:val="center"/>
              <w:rPr>
                <w:rFonts w:ascii="宋体" w:hAnsi="宋体" w:cs="宋体"/>
                <w:color w:val="auto"/>
                <w:szCs w:val="21"/>
              </w:rPr>
            </w:pPr>
            <w:r>
              <w:rPr>
                <w:rFonts w:hint="eastAsia" w:ascii="宋体" w:hAnsi="宋体" w:cs="宋体"/>
                <w:color w:val="auto"/>
                <w:szCs w:val="21"/>
              </w:rPr>
              <w:t>预算单价/元</w:t>
            </w:r>
          </w:p>
        </w:tc>
        <w:tc>
          <w:tcPr>
            <w:tcW w:w="709" w:type="dxa"/>
            <w:tcBorders>
              <w:right w:val="single" w:color="auto" w:sz="4" w:space="0"/>
            </w:tcBorders>
            <w:vAlign w:val="center"/>
          </w:tcPr>
          <w:p w14:paraId="2A655A91">
            <w:pPr>
              <w:spacing w:before="120" w:line="400" w:lineRule="atLeast"/>
              <w:ind w:left="-70"/>
              <w:jc w:val="center"/>
              <w:rPr>
                <w:rFonts w:ascii="宋体" w:hAnsi="宋体" w:cs="宋体"/>
                <w:color w:val="auto"/>
                <w:szCs w:val="21"/>
              </w:rPr>
            </w:pPr>
            <w:r>
              <w:rPr>
                <w:rFonts w:hint="eastAsia" w:ascii="宋体" w:hAnsi="宋体" w:cs="宋体"/>
                <w:color w:val="auto"/>
                <w:szCs w:val="21"/>
              </w:rPr>
              <w:t>所属</w:t>
            </w:r>
          </w:p>
          <w:p w14:paraId="5F0AA345">
            <w:pPr>
              <w:spacing w:before="120" w:line="400" w:lineRule="atLeast"/>
              <w:ind w:left="-70"/>
              <w:jc w:val="center"/>
              <w:rPr>
                <w:rFonts w:ascii="宋体" w:hAnsi="宋体" w:cs="宋体"/>
                <w:color w:val="auto"/>
                <w:szCs w:val="21"/>
              </w:rPr>
            </w:pPr>
            <w:r>
              <w:rPr>
                <w:rFonts w:hint="eastAsia" w:ascii="宋体" w:hAnsi="宋体" w:cs="宋体"/>
                <w:color w:val="auto"/>
                <w:szCs w:val="21"/>
              </w:rPr>
              <w:t>行业</w:t>
            </w:r>
          </w:p>
        </w:tc>
        <w:tc>
          <w:tcPr>
            <w:tcW w:w="5550" w:type="dxa"/>
            <w:tcBorders>
              <w:left w:val="single" w:color="auto" w:sz="4" w:space="0"/>
            </w:tcBorders>
            <w:vAlign w:val="center"/>
          </w:tcPr>
          <w:p w14:paraId="21AF60D8">
            <w:pPr>
              <w:spacing w:before="120" w:line="400" w:lineRule="atLeast"/>
              <w:ind w:left="-70" w:firstLine="588"/>
              <w:jc w:val="center"/>
              <w:rPr>
                <w:rFonts w:ascii="宋体" w:hAnsi="宋体" w:cs="宋体"/>
                <w:color w:val="auto"/>
                <w:szCs w:val="21"/>
              </w:rPr>
            </w:pPr>
            <w:r>
              <w:rPr>
                <w:rFonts w:hint="eastAsia" w:ascii="宋体" w:hAnsi="宋体" w:cs="宋体"/>
                <w:color w:val="auto"/>
                <w:szCs w:val="21"/>
              </w:rPr>
              <w:t>技术规格及有关要求</w:t>
            </w:r>
          </w:p>
        </w:tc>
      </w:tr>
      <w:tr w14:paraId="02B16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5AB7F910">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w:t>
            </w:r>
          </w:p>
        </w:tc>
        <w:tc>
          <w:tcPr>
            <w:tcW w:w="873" w:type="dxa"/>
            <w:vAlign w:val="center"/>
          </w:tcPr>
          <w:p w14:paraId="23A31F70">
            <w:pPr>
              <w:jc w:val="center"/>
              <w:rPr>
                <w:rFonts w:ascii="宋体" w:hAnsi="宋体" w:cs="宋体"/>
                <w:color w:val="auto"/>
                <w:szCs w:val="21"/>
              </w:rPr>
            </w:pPr>
            <w:r>
              <w:rPr>
                <w:rFonts w:hint="eastAsia" w:ascii="宋体" w:hAnsi="宋体" w:cs="宋体"/>
                <w:color w:val="auto"/>
                <w:kern w:val="0"/>
                <w:szCs w:val="21"/>
              </w:rPr>
              <w:t>无盘工作站系统配套软硬件</w:t>
            </w:r>
          </w:p>
        </w:tc>
        <w:tc>
          <w:tcPr>
            <w:tcW w:w="789" w:type="dxa"/>
            <w:vAlign w:val="center"/>
          </w:tcPr>
          <w:p w14:paraId="18D34C77">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1套</w:t>
            </w:r>
          </w:p>
        </w:tc>
        <w:tc>
          <w:tcPr>
            <w:tcW w:w="1275" w:type="dxa"/>
            <w:tcBorders>
              <w:right w:val="single" w:color="auto" w:sz="4" w:space="0"/>
            </w:tcBorders>
            <w:vAlign w:val="center"/>
          </w:tcPr>
          <w:p w14:paraId="42C308EE">
            <w:pPr>
              <w:jc w:val="center"/>
              <w:rPr>
                <w:rFonts w:ascii="宋体" w:hAnsi="宋体" w:cs="宋体"/>
                <w:color w:val="auto"/>
                <w:szCs w:val="21"/>
              </w:rPr>
            </w:pPr>
            <w:r>
              <w:rPr>
                <w:rFonts w:hint="eastAsia" w:ascii="宋体" w:hAnsi="宋体"/>
                <w:color w:val="auto"/>
                <w:szCs w:val="21"/>
              </w:rPr>
              <w:t>143000.00</w:t>
            </w:r>
          </w:p>
        </w:tc>
        <w:tc>
          <w:tcPr>
            <w:tcW w:w="709" w:type="dxa"/>
            <w:tcBorders>
              <w:right w:val="single" w:color="auto" w:sz="4" w:space="0"/>
            </w:tcBorders>
            <w:vAlign w:val="center"/>
          </w:tcPr>
          <w:p w14:paraId="720E76CA">
            <w:pPr>
              <w:spacing w:before="120" w:line="400" w:lineRule="atLeast"/>
              <w:ind w:left="-70"/>
              <w:jc w:val="center"/>
              <w:rPr>
                <w:rFonts w:hint="eastAsia" w:ascii="宋体" w:hAnsi="宋体" w:cs="宋体"/>
                <w:color w:val="auto"/>
                <w:szCs w:val="21"/>
              </w:rPr>
            </w:pPr>
            <w:bookmarkStart w:id="33" w:name="OLE_LINK11"/>
            <w:bookmarkStart w:id="34" w:name="OLE_LINK12"/>
            <w:r>
              <w:rPr>
                <w:rFonts w:hint="eastAsia" w:ascii="宋体" w:hAnsi="宋体" w:cs="宋体"/>
                <w:color w:val="auto"/>
                <w:szCs w:val="21"/>
              </w:rPr>
              <w:t>工业</w:t>
            </w:r>
            <w:bookmarkEnd w:id="33"/>
            <w:bookmarkEnd w:id="34"/>
          </w:p>
        </w:tc>
        <w:tc>
          <w:tcPr>
            <w:tcW w:w="5550" w:type="dxa"/>
            <w:tcBorders>
              <w:left w:val="single" w:color="auto" w:sz="4" w:space="0"/>
            </w:tcBorders>
            <w:vAlign w:val="center"/>
          </w:tcPr>
          <w:p w14:paraId="12C58C4E">
            <w:pPr>
              <w:rPr>
                <w:rFonts w:ascii="宋体" w:hAnsi="宋体" w:cs="宋体"/>
                <w:color w:val="auto"/>
                <w:szCs w:val="21"/>
              </w:rPr>
            </w:pPr>
            <w:r>
              <w:rPr>
                <w:rFonts w:hint="eastAsia" w:ascii="宋体" w:hAnsi="宋体" w:cs="宋体"/>
                <w:color w:val="auto"/>
                <w:szCs w:val="21"/>
              </w:rPr>
              <w:t>1、CPU：2颗国</w:t>
            </w:r>
            <w:r>
              <w:rPr>
                <w:rFonts w:hint="eastAsia" w:ascii="宋体" w:hAnsi="宋体" w:cs="宋体"/>
                <w:color w:val="auto"/>
                <w:szCs w:val="21"/>
                <w:lang w:eastAsia="zh-CN"/>
              </w:rPr>
              <w:t>内</w:t>
            </w:r>
            <w:r>
              <w:rPr>
                <w:rFonts w:hint="eastAsia" w:ascii="宋体" w:hAnsi="宋体" w:cs="宋体"/>
                <w:color w:val="auto"/>
                <w:szCs w:val="21"/>
              </w:rPr>
              <w:t>信创处理器，单颗主频：≥2.5GHz，≥16 核。</w:t>
            </w:r>
          </w:p>
          <w:p w14:paraId="0256DE63">
            <w:pPr>
              <w:rPr>
                <w:rFonts w:hint="eastAsia" w:ascii="宋体" w:hAnsi="宋体" w:cs="宋体"/>
                <w:color w:val="auto"/>
                <w:szCs w:val="21"/>
              </w:rPr>
            </w:pPr>
            <w:r>
              <w:rPr>
                <w:rFonts w:hint="eastAsia" w:ascii="宋体" w:hAnsi="宋体" w:cs="宋体"/>
                <w:color w:val="auto"/>
                <w:szCs w:val="21"/>
              </w:rPr>
              <w:t>2、内存：≥512GB ，DDR4 ≥2400MHz。</w:t>
            </w:r>
          </w:p>
          <w:p w14:paraId="131D8D1E">
            <w:pPr>
              <w:rPr>
                <w:rFonts w:hint="eastAsia" w:ascii="宋体" w:hAnsi="宋体" w:cs="宋体"/>
                <w:color w:val="auto"/>
                <w:szCs w:val="21"/>
              </w:rPr>
            </w:pPr>
            <w:r>
              <w:rPr>
                <w:rFonts w:hint="eastAsia" w:ascii="宋体" w:hAnsi="宋体" w:cs="宋体"/>
                <w:color w:val="auto"/>
                <w:szCs w:val="21"/>
              </w:rPr>
              <w:t>3、硬盘：系统盘≥2×500GB HDD ≥7200RPM；数据盘≥4×1TB  U.2 固态硬盘。</w:t>
            </w:r>
          </w:p>
          <w:p w14:paraId="2A258201">
            <w:pPr>
              <w:rPr>
                <w:rFonts w:hint="eastAsia" w:ascii="宋体" w:hAnsi="宋体" w:cs="宋体"/>
                <w:color w:val="auto"/>
                <w:szCs w:val="21"/>
              </w:rPr>
            </w:pPr>
            <w:r>
              <w:rPr>
                <w:rFonts w:hint="eastAsia" w:ascii="宋体" w:hAnsi="宋体" w:cs="宋体"/>
                <w:color w:val="auto"/>
                <w:szCs w:val="21"/>
              </w:rPr>
              <w:t>4、电源：双电冗余。</w:t>
            </w:r>
          </w:p>
          <w:p w14:paraId="20216EC7">
            <w:pPr>
              <w:rPr>
                <w:rFonts w:hint="eastAsia" w:ascii="宋体" w:hAnsi="宋体" w:cs="宋体"/>
                <w:color w:val="auto"/>
                <w:szCs w:val="21"/>
              </w:rPr>
            </w:pPr>
            <w:r>
              <w:rPr>
                <w:rFonts w:hint="eastAsia" w:ascii="宋体" w:hAnsi="宋体" w:cs="宋体"/>
                <w:color w:val="auto"/>
                <w:szCs w:val="21"/>
              </w:rPr>
              <w:t>5、网卡： ≥2×千兆网口+≥2× 10G 万兆网口（含光模块）。</w:t>
            </w:r>
          </w:p>
          <w:p w14:paraId="28B1552B">
            <w:pPr>
              <w:rPr>
                <w:rFonts w:hint="eastAsia" w:ascii="宋体" w:hAnsi="宋体" w:cs="宋体"/>
                <w:color w:val="auto"/>
                <w:szCs w:val="21"/>
              </w:rPr>
            </w:pPr>
            <w:r>
              <w:rPr>
                <w:rFonts w:hint="eastAsia" w:ascii="宋体" w:hAnsi="宋体" w:cs="宋体"/>
                <w:color w:val="auto"/>
                <w:szCs w:val="21"/>
              </w:rPr>
              <w:t>6、硬件质保：提供三年原厂质保。</w:t>
            </w:r>
          </w:p>
          <w:p w14:paraId="1F8C0E7A">
            <w:pPr>
              <w:rPr>
                <w:rFonts w:hint="eastAsia" w:ascii="宋体" w:hAnsi="宋体" w:cs="宋体"/>
                <w:color w:val="auto"/>
                <w:szCs w:val="21"/>
              </w:rPr>
            </w:pPr>
            <w:r>
              <w:rPr>
                <w:rFonts w:hint="eastAsia" w:ascii="宋体" w:hAnsi="宋体" w:cs="宋体"/>
                <w:color w:val="auto"/>
                <w:szCs w:val="21"/>
              </w:rPr>
              <w:t>7、配套软件：</w:t>
            </w:r>
          </w:p>
          <w:p w14:paraId="53B9CEA8">
            <w:pPr>
              <w:rPr>
                <w:rFonts w:hint="eastAsia" w:ascii="宋体" w:hAnsi="宋体" w:cs="宋体"/>
                <w:color w:val="auto"/>
                <w:szCs w:val="21"/>
              </w:rPr>
            </w:pPr>
            <w:r>
              <w:rPr>
                <w:rFonts w:hint="eastAsia" w:ascii="宋体" w:hAnsi="宋体" w:cs="宋体"/>
                <w:color w:val="auto"/>
                <w:szCs w:val="21"/>
              </w:rPr>
              <w:t>无盘系统，采用集中管理、分布计算架构。</w:t>
            </w:r>
          </w:p>
          <w:p w14:paraId="57F04A16">
            <w:pPr>
              <w:rPr>
                <w:rFonts w:hint="eastAsia" w:ascii="宋体" w:hAnsi="宋体" w:cs="宋体"/>
                <w:color w:val="auto"/>
                <w:szCs w:val="21"/>
              </w:rPr>
            </w:pPr>
            <w:r>
              <w:rPr>
                <w:rFonts w:hint="eastAsia" w:ascii="宋体" w:hAnsi="宋体" w:cs="宋体"/>
                <w:color w:val="auto"/>
                <w:szCs w:val="21"/>
              </w:rPr>
              <w:t>支持考台系统放到服务端统一运维，标准化管理。</w:t>
            </w:r>
          </w:p>
          <w:p w14:paraId="434B58B5">
            <w:pPr>
              <w:rPr>
                <w:rFonts w:hint="eastAsia" w:ascii="宋体" w:hAnsi="宋体" w:cs="宋体"/>
                <w:color w:val="auto"/>
                <w:szCs w:val="21"/>
              </w:rPr>
            </w:pPr>
            <w:r>
              <w:rPr>
                <w:rFonts w:hint="eastAsia" w:ascii="宋体" w:hAnsi="宋体" w:cs="宋体"/>
                <w:color w:val="auto"/>
                <w:szCs w:val="21"/>
              </w:rPr>
              <w:t>主要功能包含：</w:t>
            </w:r>
          </w:p>
          <w:p w14:paraId="26102FA0">
            <w:pPr>
              <w:rPr>
                <w:rFonts w:hint="eastAsia" w:ascii="宋体" w:hAnsi="宋体" w:cs="宋体"/>
                <w:color w:val="auto"/>
                <w:szCs w:val="21"/>
              </w:rPr>
            </w:pPr>
            <w:r>
              <w:rPr>
                <w:rFonts w:hint="eastAsia" w:ascii="宋体" w:hAnsi="宋体" w:cs="宋体"/>
                <w:color w:val="auto"/>
                <w:szCs w:val="21"/>
              </w:rPr>
              <w:t>终端管理：包含当前允许加入工作站、工作站自动编号、编号模式、工作站配置信息、编辑工作站信息等功能。</w:t>
            </w:r>
          </w:p>
          <w:p w14:paraId="64B68238">
            <w:pPr>
              <w:rPr>
                <w:rFonts w:hint="eastAsia" w:ascii="宋体" w:hAnsi="宋体" w:cs="宋体"/>
                <w:color w:val="auto"/>
                <w:szCs w:val="21"/>
              </w:rPr>
            </w:pPr>
            <w:r>
              <w:rPr>
                <w:rFonts w:hint="eastAsia" w:ascii="宋体" w:hAnsi="宋体" w:cs="宋体"/>
                <w:color w:val="auto"/>
                <w:szCs w:val="21"/>
              </w:rPr>
              <w:t>策略管理：用于来统一管理工作站的策略，将需要统一配置策略和管理的工作站移动到同一个群组中，可以在控制台中直接批量统一管理这些工作站。</w:t>
            </w:r>
          </w:p>
          <w:p w14:paraId="51ECCCD5">
            <w:pPr>
              <w:rPr>
                <w:rFonts w:hint="eastAsia" w:ascii="宋体" w:hAnsi="宋体" w:cs="宋体"/>
                <w:color w:val="auto"/>
                <w:szCs w:val="21"/>
              </w:rPr>
            </w:pPr>
            <w:r>
              <w:rPr>
                <w:rFonts w:hint="eastAsia" w:ascii="宋体" w:hAnsi="宋体" w:cs="宋体"/>
                <w:color w:val="auto"/>
                <w:szCs w:val="21"/>
              </w:rPr>
              <w:t>外设管理：在标准化镜像模板也就是重启还原的基础上，可实现工作站外设禁用和开启、只读和开启等功能，保证工作站考试的安全性。</w:t>
            </w:r>
          </w:p>
          <w:p w14:paraId="744EAFB1">
            <w:pPr>
              <w:rPr>
                <w:rFonts w:hint="eastAsia" w:ascii="宋体" w:hAnsi="宋体" w:cs="宋体"/>
                <w:color w:val="auto"/>
                <w:szCs w:val="21"/>
              </w:rPr>
            </w:pPr>
            <w:r>
              <w:rPr>
                <w:rFonts w:hint="eastAsia" w:ascii="宋体" w:hAnsi="宋体" w:cs="宋体"/>
                <w:color w:val="auto"/>
                <w:szCs w:val="21"/>
              </w:rPr>
              <w:t>服务器管理：用于查看虚拟考台管理系统中服务器与客户机相应资源信息；可监控资源含服务器 CPU 使用率、服务器内存使用率、磁盘流量等视图。</w:t>
            </w:r>
          </w:p>
          <w:p w14:paraId="1A5B57E5">
            <w:pPr>
              <w:rPr>
                <w:rFonts w:hint="eastAsia" w:ascii="宋体" w:hAnsi="宋体" w:cs="宋体"/>
                <w:color w:val="auto"/>
                <w:szCs w:val="21"/>
              </w:rPr>
            </w:pPr>
            <w:r>
              <w:rPr>
                <w:rFonts w:hint="eastAsia" w:ascii="宋体" w:hAnsi="宋体" w:cs="宋体"/>
                <w:color w:val="auto"/>
                <w:szCs w:val="21"/>
              </w:rPr>
              <w:t>分组管理：用于来统一管理考台的策略，将需要统一配置策略和管理的考台移动到同一个群组中，可以在控制台中直接批量统一管理这些考台。</w:t>
            </w:r>
          </w:p>
          <w:p w14:paraId="5C48CE12">
            <w:pPr>
              <w:rPr>
                <w:rFonts w:hint="eastAsia" w:ascii="宋体" w:hAnsi="宋体" w:cs="宋体"/>
                <w:color w:val="auto"/>
                <w:szCs w:val="21"/>
              </w:rPr>
            </w:pPr>
            <w:r>
              <w:rPr>
                <w:rFonts w:hint="eastAsia" w:ascii="宋体" w:hAnsi="宋体" w:cs="宋体"/>
                <w:color w:val="auto"/>
                <w:szCs w:val="21"/>
              </w:rPr>
              <w:t>计划任务：基于群组对所属的工作站进行统一的，规律性的执行唤醒、关机、重启、禁用、启用、重启不还原以及清除不还原数据的操作。其中，唤醒、关机、重启、禁用、启用以及切换镜像组是基于群组进行的操作。</w:t>
            </w:r>
          </w:p>
          <w:p w14:paraId="24B46AF1">
            <w:pPr>
              <w:rPr>
                <w:rFonts w:hint="eastAsia" w:ascii="宋体" w:hAnsi="宋体" w:cs="宋体"/>
                <w:color w:val="auto"/>
                <w:szCs w:val="21"/>
              </w:rPr>
            </w:pPr>
            <w:r>
              <w:rPr>
                <w:rFonts w:hint="eastAsia" w:ascii="宋体" w:hAnsi="宋体" w:cs="宋体"/>
                <w:color w:val="auto"/>
                <w:szCs w:val="21"/>
              </w:rPr>
              <w:t>8、含≥100台无盘终端授权。</w:t>
            </w:r>
          </w:p>
          <w:p w14:paraId="7477F82D">
            <w:pPr>
              <w:rPr>
                <w:rFonts w:ascii="宋体" w:hAnsi="宋体" w:cs="宋体"/>
                <w:color w:val="auto"/>
                <w:szCs w:val="21"/>
              </w:rPr>
            </w:pPr>
            <w:r>
              <w:rPr>
                <w:rFonts w:hint="eastAsia" w:ascii="宋体" w:hAnsi="宋体" w:cs="宋体"/>
                <w:color w:val="auto"/>
                <w:szCs w:val="21"/>
              </w:rPr>
              <w:t>9、软件质保：提供两年质保、运维服务。</w:t>
            </w:r>
          </w:p>
        </w:tc>
      </w:tr>
      <w:tr w14:paraId="26C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3C558E1D">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2</w:t>
            </w:r>
          </w:p>
        </w:tc>
        <w:tc>
          <w:tcPr>
            <w:tcW w:w="873" w:type="dxa"/>
            <w:vAlign w:val="center"/>
          </w:tcPr>
          <w:p w14:paraId="35BFF746">
            <w:pPr>
              <w:jc w:val="center"/>
              <w:rPr>
                <w:rFonts w:ascii="宋体" w:hAnsi="宋体" w:cs="宋体"/>
                <w:color w:val="auto"/>
                <w:kern w:val="0"/>
                <w:szCs w:val="21"/>
              </w:rPr>
            </w:pPr>
            <w:r>
              <w:rPr>
                <w:rFonts w:hint="eastAsia" w:ascii="宋体" w:hAnsi="宋体" w:cs="宋体"/>
                <w:color w:val="auto"/>
                <w:kern w:val="0"/>
                <w:szCs w:val="21"/>
              </w:rPr>
              <w:t>考试管理系统配套软硬件</w:t>
            </w:r>
          </w:p>
        </w:tc>
        <w:tc>
          <w:tcPr>
            <w:tcW w:w="789" w:type="dxa"/>
            <w:vAlign w:val="center"/>
          </w:tcPr>
          <w:p w14:paraId="28FEF362">
            <w:pPr>
              <w:widowControl/>
              <w:spacing w:before="120"/>
              <w:jc w:val="center"/>
              <w:textAlignment w:val="center"/>
              <w:rPr>
                <w:rFonts w:hint="eastAsia" w:ascii="宋体" w:hAnsi="宋体" w:eastAsia="宋体" w:cs="宋体"/>
                <w:color w:val="auto"/>
                <w:szCs w:val="21"/>
                <w:lang w:val="en-US" w:eastAsia="zh-CN"/>
              </w:rPr>
            </w:pPr>
            <w:r>
              <w:rPr>
                <w:rFonts w:hint="eastAsia" w:ascii="宋体" w:hAnsi="宋体" w:cs="宋体"/>
                <w:color w:val="auto"/>
                <w:kern w:val="0"/>
                <w:szCs w:val="21"/>
              </w:rPr>
              <w:t>1</w:t>
            </w:r>
            <w:r>
              <w:rPr>
                <w:rFonts w:hint="eastAsia" w:ascii="宋体" w:hAnsi="宋体" w:cs="宋体"/>
                <w:color w:val="auto"/>
                <w:kern w:val="0"/>
                <w:szCs w:val="21"/>
                <w:lang w:eastAsia="zh-CN"/>
              </w:rPr>
              <w:t>套</w:t>
            </w:r>
          </w:p>
        </w:tc>
        <w:tc>
          <w:tcPr>
            <w:tcW w:w="1275" w:type="dxa"/>
            <w:tcBorders>
              <w:right w:val="single" w:color="auto" w:sz="4" w:space="0"/>
            </w:tcBorders>
            <w:vAlign w:val="center"/>
          </w:tcPr>
          <w:p w14:paraId="23707AD3">
            <w:pPr>
              <w:jc w:val="center"/>
              <w:rPr>
                <w:rFonts w:ascii="宋体" w:hAnsi="宋体" w:cs="宋体"/>
                <w:color w:val="auto"/>
                <w:szCs w:val="21"/>
              </w:rPr>
            </w:pPr>
            <w:r>
              <w:rPr>
                <w:rFonts w:hint="eastAsia" w:ascii="宋体" w:hAnsi="宋体"/>
                <w:color w:val="auto"/>
                <w:szCs w:val="21"/>
              </w:rPr>
              <w:t>80000.00</w:t>
            </w:r>
          </w:p>
        </w:tc>
        <w:tc>
          <w:tcPr>
            <w:tcW w:w="709" w:type="dxa"/>
            <w:tcBorders>
              <w:right w:val="single" w:color="auto" w:sz="4" w:space="0"/>
            </w:tcBorders>
            <w:vAlign w:val="center"/>
          </w:tcPr>
          <w:p w14:paraId="58078C08">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7BC41DED">
            <w:pPr>
              <w:rPr>
                <w:rFonts w:ascii="宋体" w:hAnsi="宋体" w:cs="宋体"/>
                <w:color w:val="auto"/>
                <w:szCs w:val="21"/>
              </w:rPr>
            </w:pPr>
            <w:r>
              <w:rPr>
                <w:rFonts w:hint="eastAsia" w:ascii="宋体" w:hAnsi="宋体" w:cs="宋体"/>
                <w:color w:val="auto"/>
                <w:szCs w:val="21"/>
              </w:rPr>
              <w:t>1、CPU：2颗国</w:t>
            </w:r>
            <w:r>
              <w:rPr>
                <w:rFonts w:hint="eastAsia" w:ascii="宋体" w:hAnsi="宋体" w:cs="宋体"/>
                <w:color w:val="auto"/>
                <w:szCs w:val="21"/>
                <w:lang w:eastAsia="zh-CN"/>
              </w:rPr>
              <w:t>内</w:t>
            </w:r>
            <w:r>
              <w:rPr>
                <w:rFonts w:hint="eastAsia" w:ascii="宋体" w:hAnsi="宋体" w:cs="宋体"/>
                <w:color w:val="auto"/>
                <w:szCs w:val="21"/>
              </w:rPr>
              <w:t>信创处理器，单颗主频：≥2.5GHz，≥16 核。</w:t>
            </w:r>
          </w:p>
          <w:p w14:paraId="5E7899FA">
            <w:pPr>
              <w:rPr>
                <w:rFonts w:hint="eastAsia" w:ascii="宋体" w:hAnsi="宋体" w:cs="宋体"/>
                <w:color w:val="auto"/>
                <w:szCs w:val="21"/>
              </w:rPr>
            </w:pPr>
            <w:r>
              <w:rPr>
                <w:rFonts w:hint="eastAsia" w:ascii="宋体" w:hAnsi="宋体" w:cs="宋体"/>
                <w:color w:val="auto"/>
                <w:szCs w:val="21"/>
              </w:rPr>
              <w:t>2、内存：≥64GB DDR4 ≥2400MHz。</w:t>
            </w:r>
          </w:p>
          <w:p w14:paraId="00EDCE66">
            <w:pPr>
              <w:rPr>
                <w:rFonts w:hint="eastAsia" w:ascii="宋体" w:hAnsi="宋体" w:cs="宋体"/>
                <w:color w:val="auto"/>
                <w:szCs w:val="21"/>
              </w:rPr>
            </w:pPr>
            <w:r>
              <w:rPr>
                <w:rFonts w:hint="eastAsia" w:ascii="宋体" w:hAnsi="宋体" w:cs="宋体"/>
                <w:color w:val="auto"/>
                <w:szCs w:val="21"/>
              </w:rPr>
              <w:t>3、硬盘：系统盘≥2×500GB HDD ≥7200RPM 数据盘≥2×500GB  HDD；≥7200RPM。</w:t>
            </w:r>
          </w:p>
          <w:p w14:paraId="141705F3">
            <w:pPr>
              <w:rPr>
                <w:rFonts w:hint="eastAsia" w:ascii="宋体" w:hAnsi="宋体" w:cs="宋体"/>
                <w:color w:val="auto"/>
                <w:szCs w:val="21"/>
              </w:rPr>
            </w:pPr>
            <w:r>
              <w:rPr>
                <w:rFonts w:hint="eastAsia" w:ascii="宋体" w:hAnsi="宋体" w:cs="宋体"/>
                <w:color w:val="auto"/>
                <w:szCs w:val="21"/>
              </w:rPr>
              <w:t>4、电源：双电冗余。</w:t>
            </w:r>
          </w:p>
          <w:p w14:paraId="6956D8E1">
            <w:pPr>
              <w:rPr>
                <w:rFonts w:hint="eastAsia" w:ascii="宋体" w:hAnsi="宋体" w:cs="宋体"/>
                <w:color w:val="auto"/>
                <w:szCs w:val="21"/>
              </w:rPr>
            </w:pPr>
            <w:r>
              <w:rPr>
                <w:rFonts w:hint="eastAsia" w:ascii="宋体" w:hAnsi="宋体" w:cs="宋体"/>
                <w:color w:val="auto"/>
                <w:szCs w:val="21"/>
              </w:rPr>
              <w:t>5、网卡： ≥2×千兆网口。</w:t>
            </w:r>
          </w:p>
          <w:p w14:paraId="243ED1A9">
            <w:pPr>
              <w:rPr>
                <w:rFonts w:hint="eastAsia" w:ascii="宋体" w:hAnsi="宋体" w:cs="宋体"/>
                <w:color w:val="auto"/>
                <w:szCs w:val="21"/>
              </w:rPr>
            </w:pPr>
            <w:r>
              <w:rPr>
                <w:rFonts w:hint="eastAsia" w:ascii="宋体" w:hAnsi="宋体" w:cs="宋体"/>
                <w:color w:val="auto"/>
                <w:szCs w:val="21"/>
              </w:rPr>
              <w:t>6、硬件质保：提供三年的原厂质保。</w:t>
            </w:r>
          </w:p>
          <w:p w14:paraId="7BF96FA4">
            <w:pPr>
              <w:rPr>
                <w:rFonts w:hint="eastAsia" w:ascii="宋体" w:hAnsi="宋体" w:cs="宋体"/>
                <w:color w:val="auto"/>
                <w:szCs w:val="21"/>
              </w:rPr>
            </w:pPr>
            <w:r>
              <w:rPr>
                <w:rFonts w:hint="eastAsia" w:ascii="宋体" w:hAnsi="宋体" w:cs="宋体"/>
                <w:color w:val="auto"/>
                <w:szCs w:val="21"/>
              </w:rPr>
              <w:t>配套软件：</w:t>
            </w:r>
          </w:p>
          <w:p w14:paraId="01D472A0">
            <w:pPr>
              <w:rPr>
                <w:rFonts w:hint="eastAsia" w:ascii="宋体" w:hAnsi="宋体" w:cs="宋体"/>
                <w:color w:val="auto"/>
                <w:szCs w:val="21"/>
              </w:rPr>
            </w:pPr>
            <w:r>
              <w:rPr>
                <w:rFonts w:hint="eastAsia" w:ascii="宋体" w:hAnsi="宋体" w:cs="宋体"/>
                <w:color w:val="auto"/>
                <w:szCs w:val="21"/>
              </w:rPr>
              <w:t>考试管理系统，实现考生自助签到、自动排考叫号、考场设 备联动等功能，减少人工干预，提升考试流程的自动化、透明化和效率。具体功能包括：</w:t>
            </w:r>
          </w:p>
          <w:p w14:paraId="352F27F8">
            <w:pPr>
              <w:rPr>
                <w:rFonts w:hint="eastAsia" w:ascii="宋体" w:hAnsi="宋体" w:cs="宋体"/>
                <w:color w:val="auto"/>
                <w:szCs w:val="21"/>
              </w:rPr>
            </w:pPr>
            <w:r>
              <w:rPr>
                <w:rFonts w:hint="eastAsia" w:ascii="宋体" w:hAnsi="宋体" w:cs="宋体"/>
                <w:color w:val="auto"/>
                <w:szCs w:val="21"/>
              </w:rPr>
              <w:t>预约信息查询：支持查询考生当天的预约信息，包括约考日期、科目、考场、身份证号等。</w:t>
            </w:r>
          </w:p>
          <w:p w14:paraId="2FEFB415">
            <w:pPr>
              <w:rPr>
                <w:rFonts w:hint="eastAsia" w:ascii="宋体" w:hAnsi="宋体" w:cs="宋体"/>
                <w:color w:val="auto"/>
                <w:szCs w:val="21"/>
              </w:rPr>
            </w:pPr>
            <w:r>
              <w:rPr>
                <w:rFonts w:hint="eastAsia" w:ascii="宋体" w:hAnsi="宋体" w:cs="宋体"/>
                <w:color w:val="auto"/>
                <w:szCs w:val="21"/>
              </w:rPr>
              <w:t>考试签到：考生通过刷身份证或人脸识别完成自助签到，系统自动记录签到时间。</w:t>
            </w:r>
          </w:p>
          <w:p w14:paraId="5AA623C2">
            <w:pPr>
              <w:rPr>
                <w:rFonts w:hint="eastAsia" w:ascii="宋体" w:hAnsi="宋体" w:cs="宋体"/>
                <w:color w:val="auto"/>
                <w:szCs w:val="21"/>
              </w:rPr>
            </w:pPr>
            <w:r>
              <w:rPr>
                <w:rFonts w:hint="eastAsia" w:ascii="宋体" w:hAnsi="宋体" w:cs="宋体"/>
                <w:color w:val="auto"/>
                <w:szCs w:val="21"/>
              </w:rPr>
              <w:t>排队信息显示：根据考生签到顺序，实时显示排队信息，并通过队列显示屏和语音播报通知考生。</w:t>
            </w:r>
          </w:p>
          <w:p w14:paraId="6399810F">
            <w:pPr>
              <w:rPr>
                <w:rFonts w:hint="eastAsia" w:ascii="宋体" w:hAnsi="宋体" w:cs="宋体"/>
                <w:color w:val="auto"/>
                <w:szCs w:val="21"/>
              </w:rPr>
            </w:pPr>
            <w:r>
              <w:rPr>
                <w:rFonts w:hint="eastAsia" w:ascii="宋体" w:hAnsi="宋体" w:cs="宋体"/>
                <w:color w:val="auto"/>
                <w:szCs w:val="21"/>
              </w:rPr>
              <w:t>空闲考台查询：实时查询考场内空闲考台数量及具体机位</w:t>
            </w:r>
          </w:p>
          <w:p w14:paraId="46838610">
            <w:pPr>
              <w:rPr>
                <w:rFonts w:hint="eastAsia" w:ascii="宋体" w:hAnsi="宋体" w:cs="宋体"/>
                <w:color w:val="auto"/>
                <w:szCs w:val="21"/>
              </w:rPr>
            </w:pPr>
            <w:r>
              <w:rPr>
                <w:rFonts w:hint="eastAsia" w:ascii="宋体" w:hAnsi="宋体" w:cs="宋体"/>
                <w:color w:val="auto"/>
                <w:szCs w:val="21"/>
              </w:rPr>
              <w:t>号，支持自动分配考台。</w:t>
            </w:r>
          </w:p>
          <w:p w14:paraId="6371F2F8">
            <w:pPr>
              <w:rPr>
                <w:rFonts w:hint="eastAsia" w:ascii="宋体" w:hAnsi="宋体" w:cs="宋体"/>
                <w:color w:val="auto"/>
                <w:szCs w:val="21"/>
              </w:rPr>
            </w:pPr>
            <w:r>
              <w:rPr>
                <w:rFonts w:hint="eastAsia" w:ascii="宋体" w:hAnsi="宋体" w:cs="宋体"/>
                <w:color w:val="auto"/>
                <w:szCs w:val="21"/>
              </w:rPr>
              <w:t>用户管理：支持创建、修改、 删除系统用户，并设置不同权限角色（如管理员、操作员等）。</w:t>
            </w:r>
          </w:p>
          <w:p w14:paraId="7624D121">
            <w:pPr>
              <w:rPr>
                <w:rFonts w:hint="eastAsia" w:ascii="宋体" w:hAnsi="宋体" w:cs="宋体"/>
                <w:color w:val="auto"/>
                <w:szCs w:val="21"/>
              </w:rPr>
            </w:pPr>
            <w:r>
              <w:rPr>
                <w:rFonts w:hint="eastAsia" w:ascii="宋体" w:hAnsi="宋体" w:cs="宋体"/>
                <w:color w:val="auto"/>
                <w:szCs w:val="21"/>
              </w:rPr>
              <w:t>设备备案：对闸机、读卡器、显示屏等设备进行登记备案，记录设备型号、安装位置等信息。</w:t>
            </w:r>
          </w:p>
          <w:p w14:paraId="06A421C3">
            <w:pPr>
              <w:rPr>
                <w:rFonts w:hint="eastAsia" w:ascii="宋体" w:hAnsi="宋体" w:cs="宋体"/>
                <w:color w:val="auto"/>
                <w:szCs w:val="21"/>
              </w:rPr>
            </w:pPr>
            <w:r>
              <w:rPr>
                <w:rFonts w:hint="eastAsia" w:ascii="宋体" w:hAnsi="宋体" w:cs="宋体"/>
                <w:color w:val="auto"/>
                <w:szCs w:val="21"/>
              </w:rPr>
              <w:t>人证比对接口：与公安交管系统对接，实时验证考生身份信息，确保考生身份真实性。</w:t>
            </w:r>
          </w:p>
          <w:p w14:paraId="702F5EA2">
            <w:pPr>
              <w:rPr>
                <w:rFonts w:hint="eastAsia" w:ascii="宋体" w:hAnsi="宋体" w:cs="宋体"/>
                <w:color w:val="auto"/>
                <w:szCs w:val="21"/>
              </w:rPr>
            </w:pPr>
            <w:r>
              <w:rPr>
                <w:rFonts w:hint="eastAsia" w:ascii="宋体" w:hAnsi="宋体" w:cs="宋体"/>
                <w:color w:val="auto"/>
                <w:szCs w:val="21"/>
              </w:rPr>
              <w:t>约考信息查询接口：查询考 生预约信息，确保考生进入考场 前已完成预约。</w:t>
            </w:r>
          </w:p>
          <w:p w14:paraId="62B855BC">
            <w:pPr>
              <w:rPr>
                <w:rFonts w:hint="eastAsia" w:ascii="宋体" w:hAnsi="宋体" w:cs="宋体"/>
                <w:color w:val="auto"/>
                <w:szCs w:val="21"/>
              </w:rPr>
            </w:pPr>
            <w:r>
              <w:rPr>
                <w:rFonts w:hint="eastAsia" w:ascii="宋体" w:hAnsi="宋体" w:cs="宋体"/>
                <w:color w:val="auto"/>
                <w:szCs w:val="21"/>
              </w:rPr>
              <w:t>考试状态查询接口：考生完成考试后，通过出口闸机查询考 试状态并查询是否完成电子签名。</w:t>
            </w:r>
          </w:p>
          <w:p w14:paraId="0D0BD753">
            <w:pPr>
              <w:rPr>
                <w:rFonts w:ascii="宋体" w:hAnsi="宋体" w:cs="宋体"/>
                <w:color w:val="auto"/>
                <w:szCs w:val="21"/>
              </w:rPr>
            </w:pPr>
            <w:r>
              <w:rPr>
                <w:rFonts w:hint="eastAsia" w:ascii="宋体" w:hAnsi="宋体" w:cs="宋体"/>
                <w:color w:val="auto"/>
                <w:szCs w:val="21"/>
              </w:rPr>
              <w:t>7、软件质保：提供两年质保、运维服务。</w:t>
            </w:r>
          </w:p>
        </w:tc>
      </w:tr>
      <w:tr w14:paraId="2806B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00EC89E8">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3</w:t>
            </w:r>
          </w:p>
        </w:tc>
        <w:tc>
          <w:tcPr>
            <w:tcW w:w="873" w:type="dxa"/>
            <w:vAlign w:val="center"/>
          </w:tcPr>
          <w:p w14:paraId="774B969F">
            <w:pPr>
              <w:jc w:val="center"/>
              <w:rPr>
                <w:rFonts w:ascii="宋体" w:hAnsi="宋体" w:cs="宋体"/>
                <w:color w:val="auto"/>
                <w:kern w:val="0"/>
                <w:szCs w:val="21"/>
              </w:rPr>
            </w:pPr>
            <w:r>
              <w:rPr>
                <w:rFonts w:hint="eastAsia" w:ascii="宋体" w:hAnsi="宋体" w:cs="宋体"/>
                <w:color w:val="auto"/>
                <w:kern w:val="0"/>
                <w:szCs w:val="21"/>
              </w:rPr>
              <w:t>触摸式</w:t>
            </w:r>
          </w:p>
          <w:p w14:paraId="761081C4">
            <w:pPr>
              <w:jc w:val="center"/>
              <w:rPr>
                <w:rFonts w:ascii="宋体" w:hAnsi="宋体" w:cs="宋体"/>
                <w:color w:val="auto"/>
                <w:szCs w:val="21"/>
              </w:rPr>
            </w:pPr>
            <w:r>
              <w:rPr>
                <w:rFonts w:hint="eastAsia" w:ascii="宋体" w:hAnsi="宋体" w:cs="宋体"/>
                <w:color w:val="auto"/>
                <w:kern w:val="0"/>
                <w:szCs w:val="21"/>
              </w:rPr>
              <w:t>无盘一体机</w:t>
            </w:r>
          </w:p>
        </w:tc>
        <w:tc>
          <w:tcPr>
            <w:tcW w:w="789" w:type="dxa"/>
            <w:vAlign w:val="center"/>
          </w:tcPr>
          <w:p w14:paraId="197B9014">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90台</w:t>
            </w:r>
          </w:p>
        </w:tc>
        <w:tc>
          <w:tcPr>
            <w:tcW w:w="1275" w:type="dxa"/>
            <w:tcBorders>
              <w:right w:val="single" w:color="auto" w:sz="4" w:space="0"/>
            </w:tcBorders>
            <w:vAlign w:val="center"/>
          </w:tcPr>
          <w:p w14:paraId="00431B91">
            <w:pPr>
              <w:jc w:val="center"/>
              <w:rPr>
                <w:rFonts w:ascii="宋体" w:hAnsi="宋体" w:cs="宋体"/>
                <w:color w:val="auto"/>
                <w:szCs w:val="21"/>
              </w:rPr>
            </w:pPr>
            <w:r>
              <w:rPr>
                <w:rFonts w:hint="eastAsia" w:ascii="宋体" w:hAnsi="宋体"/>
                <w:color w:val="auto"/>
                <w:szCs w:val="21"/>
              </w:rPr>
              <w:t>6400.00</w:t>
            </w:r>
          </w:p>
        </w:tc>
        <w:tc>
          <w:tcPr>
            <w:tcW w:w="709" w:type="dxa"/>
            <w:tcBorders>
              <w:right w:val="single" w:color="auto" w:sz="4" w:space="0"/>
            </w:tcBorders>
            <w:vAlign w:val="center"/>
          </w:tcPr>
          <w:p w14:paraId="55310C11">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7C41C9A1">
            <w:pPr>
              <w:rPr>
                <w:rFonts w:ascii="宋体" w:hAnsi="宋体" w:cs="宋体"/>
                <w:color w:val="auto"/>
                <w:szCs w:val="21"/>
              </w:rPr>
            </w:pPr>
            <w:r>
              <w:rPr>
                <w:rFonts w:hint="eastAsia" w:ascii="宋体" w:hAnsi="宋体" w:cs="宋体"/>
                <w:color w:val="auto"/>
                <w:szCs w:val="21"/>
              </w:rPr>
              <w:t>1、外观要求：全钢制标准化一体式机身，符合人体工学设计，适用于身高1.4M-2.1M之间任何身高使用，操作简单便捷。</w:t>
            </w:r>
          </w:p>
          <w:p w14:paraId="64C75A76">
            <w:pPr>
              <w:rPr>
                <w:rFonts w:hint="eastAsia" w:ascii="宋体" w:hAnsi="宋体" w:cs="宋体"/>
                <w:color w:val="auto"/>
                <w:szCs w:val="21"/>
              </w:rPr>
            </w:pPr>
            <w:r>
              <w:rPr>
                <w:rFonts w:hint="eastAsia" w:ascii="宋体" w:hAnsi="宋体" w:cs="宋体"/>
                <w:color w:val="auto"/>
                <w:szCs w:val="21"/>
              </w:rPr>
              <w:t>2、工艺处理：冷轧、焊接、打磨、抛光、激光开孔，符合质量及工艺标准之高强度韧性材料。</w:t>
            </w:r>
          </w:p>
          <w:p w14:paraId="44902541">
            <w:pPr>
              <w:rPr>
                <w:rFonts w:hint="eastAsia" w:ascii="宋体" w:hAnsi="宋体" w:cs="宋体"/>
                <w:color w:val="auto"/>
                <w:szCs w:val="21"/>
              </w:rPr>
            </w:pPr>
            <w:r>
              <w:rPr>
                <w:rFonts w:hint="eastAsia" w:ascii="宋体" w:hAnsi="宋体" w:cs="宋体"/>
                <w:color w:val="auto"/>
                <w:szCs w:val="21"/>
              </w:rPr>
              <w:t>3、检修处理：台面需预留具有电柜锁的检修门，方便检查线路；考机需自带拆卸方便的检修门，方便维护更换电子配件。</w:t>
            </w:r>
          </w:p>
          <w:p w14:paraId="7D7094A4">
            <w:pPr>
              <w:rPr>
                <w:rFonts w:hint="eastAsia" w:ascii="宋体" w:hAnsi="宋体" w:cs="宋体"/>
                <w:color w:val="auto"/>
                <w:szCs w:val="21"/>
              </w:rPr>
            </w:pPr>
            <w:r>
              <w:rPr>
                <w:rFonts w:hint="eastAsia" w:ascii="宋体" w:hAnsi="宋体" w:cs="宋体"/>
                <w:color w:val="auto"/>
                <w:szCs w:val="21"/>
              </w:rPr>
              <w:t>4、接线处理：隐藏式接线设计。</w:t>
            </w:r>
          </w:p>
          <w:p w14:paraId="2E22EF1A">
            <w:pPr>
              <w:rPr>
                <w:rFonts w:hint="eastAsia" w:ascii="宋体" w:hAnsi="宋体" w:cs="宋体"/>
                <w:color w:val="auto"/>
                <w:szCs w:val="21"/>
              </w:rPr>
            </w:pPr>
            <w:r>
              <w:rPr>
                <w:rFonts w:hint="eastAsia" w:ascii="宋体" w:hAnsi="宋体" w:cs="宋体"/>
                <w:color w:val="auto"/>
                <w:szCs w:val="21"/>
              </w:rPr>
              <w:t>5、供电方式：DC12V（可选内置AC220V或DC6~36V防反接，过载，短路，延时启动抗冲击保护）。</w:t>
            </w:r>
          </w:p>
          <w:p w14:paraId="24B4C952">
            <w:pPr>
              <w:rPr>
                <w:rFonts w:hint="eastAsia" w:ascii="宋体" w:hAnsi="宋体" w:cs="宋体"/>
                <w:color w:val="auto"/>
                <w:szCs w:val="21"/>
              </w:rPr>
            </w:pPr>
            <w:r>
              <w:rPr>
                <w:rFonts w:hint="eastAsia" w:ascii="宋体" w:hAnsi="宋体" w:cs="宋体"/>
                <w:color w:val="auto"/>
                <w:szCs w:val="21"/>
              </w:rPr>
              <w:t>6、重启设计：防考生误触隐蔽式开关设计。</w:t>
            </w:r>
          </w:p>
          <w:p w14:paraId="13B69053">
            <w:pPr>
              <w:rPr>
                <w:rFonts w:hint="eastAsia" w:ascii="宋体" w:hAnsi="宋体" w:cs="宋体"/>
                <w:color w:val="auto"/>
                <w:szCs w:val="21"/>
              </w:rPr>
            </w:pPr>
            <w:r>
              <w:rPr>
                <w:rFonts w:hint="eastAsia" w:ascii="宋体" w:hAnsi="宋体" w:cs="宋体"/>
                <w:color w:val="auto"/>
                <w:szCs w:val="21"/>
              </w:rPr>
              <w:t>7、整机功耗：&lt;60W。</w:t>
            </w:r>
          </w:p>
          <w:p w14:paraId="4F3ED549">
            <w:pPr>
              <w:rPr>
                <w:rFonts w:hint="eastAsia" w:ascii="宋体" w:hAnsi="宋体" w:cs="宋体"/>
                <w:color w:val="auto"/>
                <w:szCs w:val="21"/>
              </w:rPr>
            </w:pPr>
            <w:r>
              <w:rPr>
                <w:rFonts w:hint="eastAsia" w:ascii="宋体" w:hAnsi="宋体" w:cs="宋体"/>
                <w:color w:val="auto"/>
                <w:szCs w:val="21"/>
              </w:rPr>
              <w:t>8、整机重量：&lt;30KG。</w:t>
            </w:r>
          </w:p>
          <w:p w14:paraId="68EE4DCB">
            <w:pPr>
              <w:rPr>
                <w:rFonts w:hint="eastAsia" w:ascii="宋体" w:hAnsi="宋体" w:cs="宋体"/>
                <w:color w:val="auto"/>
                <w:szCs w:val="21"/>
              </w:rPr>
            </w:pPr>
            <w:r>
              <w:rPr>
                <w:rFonts w:hint="eastAsia" w:ascii="宋体" w:hAnsi="宋体" w:cs="宋体"/>
                <w:color w:val="auto"/>
                <w:szCs w:val="21"/>
              </w:rPr>
              <w:t>9、屏幕分辨率：1280*1024。</w:t>
            </w:r>
          </w:p>
          <w:p w14:paraId="6AE96CCE">
            <w:pPr>
              <w:rPr>
                <w:rFonts w:hint="eastAsia" w:ascii="宋体" w:hAnsi="宋体" w:cs="宋体"/>
                <w:color w:val="auto"/>
                <w:szCs w:val="21"/>
              </w:rPr>
            </w:pPr>
            <w:r>
              <w:rPr>
                <w:rFonts w:hint="eastAsia" w:ascii="宋体" w:hAnsi="宋体" w:cs="宋体"/>
                <w:color w:val="auto"/>
                <w:szCs w:val="21"/>
              </w:rPr>
              <w:t>10、屏幕比例：4</w:t>
            </w:r>
            <w:r>
              <w:rPr>
                <w:rFonts w:hint="eastAsia" w:ascii="宋体" w:hAnsi="宋体" w:cs="宋体"/>
                <w:color w:val="auto"/>
                <w:szCs w:val="21"/>
                <w:lang w:eastAsia="zh-CN"/>
              </w:rPr>
              <w:t>：</w:t>
            </w:r>
            <w:r>
              <w:rPr>
                <w:rFonts w:hint="eastAsia" w:ascii="宋体" w:hAnsi="宋体" w:cs="宋体"/>
                <w:color w:val="auto"/>
                <w:szCs w:val="21"/>
              </w:rPr>
              <w:t>3。</w:t>
            </w:r>
          </w:p>
          <w:p w14:paraId="53028670">
            <w:pPr>
              <w:rPr>
                <w:rFonts w:hint="eastAsia" w:ascii="宋体" w:hAnsi="宋体" w:cs="宋体"/>
                <w:color w:val="auto"/>
                <w:szCs w:val="21"/>
              </w:rPr>
            </w:pPr>
            <w:r>
              <w:rPr>
                <w:rFonts w:hint="eastAsia" w:ascii="宋体" w:hAnsi="宋体" w:cs="宋体"/>
                <w:color w:val="auto"/>
                <w:szCs w:val="21"/>
              </w:rPr>
              <w:t>11、背光类型：LED。</w:t>
            </w:r>
          </w:p>
          <w:p w14:paraId="3DF8B78E">
            <w:pPr>
              <w:rPr>
                <w:rFonts w:hint="eastAsia" w:ascii="宋体" w:hAnsi="宋体" w:cs="宋体"/>
                <w:color w:val="auto"/>
                <w:szCs w:val="21"/>
              </w:rPr>
            </w:pPr>
            <w:r>
              <w:rPr>
                <w:rFonts w:hint="eastAsia" w:ascii="宋体" w:hAnsi="宋体" w:cs="宋体"/>
                <w:color w:val="auto"/>
                <w:szCs w:val="21"/>
              </w:rPr>
              <w:t>12、单点点击：≥5000万次。</w:t>
            </w:r>
          </w:p>
          <w:p w14:paraId="25F34A60">
            <w:pPr>
              <w:rPr>
                <w:rFonts w:hint="eastAsia" w:ascii="宋体" w:hAnsi="宋体" w:cs="宋体"/>
                <w:color w:val="auto"/>
                <w:szCs w:val="21"/>
              </w:rPr>
            </w:pPr>
            <w:r>
              <w:rPr>
                <w:rFonts w:hint="eastAsia" w:ascii="宋体" w:hAnsi="宋体" w:cs="宋体"/>
                <w:color w:val="auto"/>
                <w:szCs w:val="21"/>
              </w:rPr>
              <w:t>13、背光时长：≥50,000小时。</w:t>
            </w:r>
          </w:p>
          <w:p w14:paraId="6AE0AE26">
            <w:pPr>
              <w:rPr>
                <w:rFonts w:hint="eastAsia" w:ascii="宋体" w:hAnsi="宋体" w:cs="宋体"/>
                <w:color w:val="auto"/>
                <w:szCs w:val="21"/>
              </w:rPr>
            </w:pPr>
            <w:r>
              <w:rPr>
                <w:rFonts w:hint="eastAsia" w:ascii="宋体" w:hAnsi="宋体" w:cs="宋体"/>
                <w:color w:val="auto"/>
                <w:szCs w:val="21"/>
              </w:rPr>
              <w:t>14、屏幕视角(H)：170/(V)160。</w:t>
            </w:r>
          </w:p>
          <w:p w14:paraId="2E4E61A3">
            <w:pPr>
              <w:rPr>
                <w:rFonts w:hint="eastAsia" w:ascii="宋体" w:hAnsi="宋体" w:cs="宋体"/>
                <w:color w:val="auto"/>
                <w:szCs w:val="21"/>
              </w:rPr>
            </w:pPr>
            <w:r>
              <w:rPr>
                <w:rFonts w:hint="eastAsia" w:ascii="宋体" w:hAnsi="宋体" w:cs="宋体"/>
                <w:color w:val="auto"/>
                <w:szCs w:val="21"/>
              </w:rPr>
              <w:t>15、触摸类型工业级电容式。</w:t>
            </w:r>
          </w:p>
          <w:p w14:paraId="74B7F5FD">
            <w:pPr>
              <w:rPr>
                <w:rFonts w:hint="eastAsia" w:ascii="宋体" w:hAnsi="宋体" w:cs="宋体"/>
                <w:color w:val="auto"/>
                <w:szCs w:val="21"/>
              </w:rPr>
            </w:pPr>
            <w:r>
              <w:rPr>
                <w:rFonts w:hint="eastAsia" w:ascii="宋体" w:hAnsi="宋体" w:cs="宋体"/>
                <w:color w:val="auto"/>
                <w:szCs w:val="21"/>
              </w:rPr>
              <w:t>16、屏幕防窥贴附左右式防窥膜。</w:t>
            </w:r>
          </w:p>
          <w:p w14:paraId="68EE3042">
            <w:pPr>
              <w:rPr>
                <w:rFonts w:hint="eastAsia" w:ascii="宋体" w:hAnsi="宋体" w:cs="宋体"/>
                <w:color w:val="auto"/>
                <w:szCs w:val="21"/>
              </w:rPr>
            </w:pPr>
            <w:r>
              <w:rPr>
                <w:rFonts w:hint="eastAsia" w:ascii="宋体" w:hAnsi="宋体" w:cs="宋体"/>
                <w:color w:val="auto"/>
                <w:szCs w:val="21"/>
              </w:rPr>
              <w:t>17、终端CPU主频≥2.4GHZ。</w:t>
            </w:r>
          </w:p>
          <w:p w14:paraId="10EEFAD8">
            <w:pPr>
              <w:rPr>
                <w:rFonts w:ascii="宋体" w:hAnsi="宋体" w:cs="宋体"/>
                <w:color w:val="auto"/>
                <w:szCs w:val="21"/>
              </w:rPr>
            </w:pPr>
            <w:r>
              <w:rPr>
                <w:rFonts w:hint="eastAsia" w:ascii="宋体" w:hAnsi="宋体" w:cs="宋体"/>
                <w:color w:val="auto"/>
                <w:szCs w:val="21"/>
              </w:rPr>
              <w:t>18、终端内存：≥4GB。</w:t>
            </w:r>
          </w:p>
        </w:tc>
      </w:tr>
      <w:tr w14:paraId="49C33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2F33DD55">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4</w:t>
            </w:r>
          </w:p>
        </w:tc>
        <w:tc>
          <w:tcPr>
            <w:tcW w:w="873" w:type="dxa"/>
            <w:vAlign w:val="center"/>
          </w:tcPr>
          <w:p w14:paraId="5B39AFD1">
            <w:pPr>
              <w:jc w:val="center"/>
              <w:rPr>
                <w:rFonts w:ascii="宋体" w:hAnsi="宋体" w:cs="宋体"/>
                <w:color w:val="auto"/>
                <w:kern w:val="0"/>
                <w:szCs w:val="21"/>
              </w:rPr>
            </w:pPr>
            <w:r>
              <w:rPr>
                <w:rFonts w:hint="eastAsia" w:ascii="宋体" w:hAnsi="宋体" w:cs="宋体"/>
                <w:color w:val="auto"/>
                <w:kern w:val="0"/>
                <w:szCs w:val="21"/>
              </w:rPr>
              <w:t>防火墙</w:t>
            </w:r>
          </w:p>
        </w:tc>
        <w:tc>
          <w:tcPr>
            <w:tcW w:w="789" w:type="dxa"/>
            <w:vAlign w:val="center"/>
          </w:tcPr>
          <w:p w14:paraId="5922F92E">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1275" w:type="dxa"/>
            <w:tcBorders>
              <w:right w:val="single" w:color="auto" w:sz="4" w:space="0"/>
            </w:tcBorders>
            <w:vAlign w:val="center"/>
          </w:tcPr>
          <w:p w14:paraId="63CBE935">
            <w:pPr>
              <w:jc w:val="center"/>
              <w:rPr>
                <w:rFonts w:ascii="宋体" w:hAnsi="宋体" w:cs="宋体"/>
                <w:color w:val="auto"/>
                <w:szCs w:val="21"/>
              </w:rPr>
            </w:pPr>
            <w:r>
              <w:rPr>
                <w:rFonts w:hint="eastAsia" w:ascii="宋体" w:hAnsi="宋体"/>
                <w:color w:val="auto"/>
                <w:szCs w:val="21"/>
              </w:rPr>
              <w:t>9300.00</w:t>
            </w:r>
          </w:p>
        </w:tc>
        <w:tc>
          <w:tcPr>
            <w:tcW w:w="709" w:type="dxa"/>
            <w:tcBorders>
              <w:right w:val="single" w:color="auto" w:sz="4" w:space="0"/>
            </w:tcBorders>
            <w:vAlign w:val="center"/>
          </w:tcPr>
          <w:p w14:paraId="0FAA13AB">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2D7BD204">
            <w:pPr>
              <w:rPr>
                <w:rFonts w:ascii="宋体" w:hAnsi="宋体" w:cs="宋体"/>
                <w:color w:val="auto"/>
                <w:szCs w:val="21"/>
              </w:rPr>
            </w:pPr>
            <w:r>
              <w:rPr>
                <w:rFonts w:hint="eastAsia" w:ascii="宋体" w:hAnsi="宋体" w:cs="宋体"/>
                <w:color w:val="auto"/>
                <w:szCs w:val="21"/>
              </w:rPr>
              <w:t>1、端口信息</w:t>
            </w:r>
          </w:p>
          <w:p w14:paraId="20B7B019">
            <w:pPr>
              <w:rPr>
                <w:rFonts w:hint="eastAsia" w:ascii="宋体" w:hAnsi="宋体" w:cs="宋体"/>
                <w:color w:val="auto"/>
                <w:szCs w:val="21"/>
              </w:rPr>
            </w:pPr>
            <w:r>
              <w:rPr>
                <w:rFonts w:hint="eastAsia" w:ascii="宋体" w:hAnsi="宋体" w:cs="宋体"/>
                <w:color w:val="auto"/>
                <w:szCs w:val="21"/>
              </w:rPr>
              <w:t>1.1 千兆以太网光口≥2 个；</w:t>
            </w:r>
          </w:p>
          <w:p w14:paraId="3D912408">
            <w:pPr>
              <w:rPr>
                <w:rFonts w:hint="eastAsia" w:ascii="宋体" w:hAnsi="宋体" w:cs="宋体"/>
                <w:color w:val="auto"/>
                <w:szCs w:val="21"/>
              </w:rPr>
            </w:pPr>
            <w:r>
              <w:rPr>
                <w:rFonts w:hint="eastAsia" w:ascii="宋体" w:hAnsi="宋体" w:cs="宋体"/>
                <w:color w:val="auto"/>
                <w:szCs w:val="21"/>
              </w:rPr>
              <w:t>1.2 1000BASE-X 以太网光口，支持百 兆光模块；</w:t>
            </w:r>
          </w:p>
          <w:p w14:paraId="1C56FE79">
            <w:pPr>
              <w:rPr>
                <w:rFonts w:hint="eastAsia" w:ascii="宋体" w:hAnsi="宋体" w:cs="宋体"/>
                <w:color w:val="auto"/>
                <w:szCs w:val="21"/>
              </w:rPr>
            </w:pPr>
            <w:r>
              <w:rPr>
                <w:rFonts w:hint="eastAsia" w:ascii="宋体" w:hAnsi="宋体" w:cs="宋体"/>
                <w:color w:val="auto"/>
                <w:szCs w:val="21"/>
              </w:rPr>
              <w:t>1.3 千兆以太网口≥5个；</w:t>
            </w:r>
          </w:p>
          <w:p w14:paraId="6600747B">
            <w:pPr>
              <w:rPr>
                <w:rFonts w:hint="eastAsia" w:ascii="宋体" w:hAnsi="宋体" w:cs="宋体"/>
                <w:color w:val="auto"/>
                <w:szCs w:val="21"/>
              </w:rPr>
            </w:pPr>
            <w:r>
              <w:rPr>
                <w:rFonts w:hint="eastAsia" w:ascii="宋体" w:hAnsi="宋体" w:cs="宋体"/>
                <w:color w:val="auto"/>
                <w:szCs w:val="21"/>
              </w:rPr>
              <w:t>1.4  10/100/1000BASE-T 自适应以太网电口（含1个管理以太网口）；</w:t>
            </w:r>
          </w:p>
          <w:p w14:paraId="2B2E8D80">
            <w:pPr>
              <w:rPr>
                <w:rFonts w:hint="eastAsia" w:ascii="宋体" w:hAnsi="宋体" w:cs="宋体"/>
                <w:color w:val="auto"/>
                <w:szCs w:val="21"/>
              </w:rPr>
            </w:pPr>
            <w:r>
              <w:rPr>
                <w:rFonts w:hint="eastAsia" w:ascii="宋体" w:hAnsi="宋体" w:cs="宋体"/>
                <w:color w:val="auto"/>
                <w:szCs w:val="21"/>
              </w:rPr>
              <w:t>1.5  USB 接口≥ 1个 USB 接口（Host模式，A类型接口）；</w:t>
            </w:r>
          </w:p>
          <w:p w14:paraId="64CAC199">
            <w:pPr>
              <w:rPr>
                <w:rFonts w:hint="eastAsia" w:ascii="宋体" w:hAnsi="宋体" w:cs="宋体"/>
                <w:color w:val="auto"/>
                <w:szCs w:val="21"/>
              </w:rPr>
            </w:pPr>
            <w:r>
              <w:rPr>
                <w:rFonts w:hint="eastAsia" w:ascii="宋体" w:hAnsi="宋体" w:cs="宋体"/>
                <w:color w:val="auto"/>
                <w:szCs w:val="21"/>
              </w:rPr>
              <w:t>1.6  CONSOLE 接口≥ 1个CONSOLE接口；</w:t>
            </w:r>
          </w:p>
          <w:p w14:paraId="1BCD5B51">
            <w:pPr>
              <w:rPr>
                <w:rFonts w:hint="eastAsia" w:ascii="宋体" w:hAnsi="宋体" w:cs="宋体"/>
                <w:color w:val="auto"/>
                <w:szCs w:val="21"/>
              </w:rPr>
            </w:pPr>
            <w:r>
              <w:rPr>
                <w:rFonts w:hint="eastAsia" w:ascii="宋体" w:hAnsi="宋体" w:cs="宋体"/>
                <w:color w:val="auto"/>
                <w:szCs w:val="21"/>
              </w:rPr>
              <w:t>1.7  Micro SD 插槽≥ 1 个 Micro SD插槽；</w:t>
            </w:r>
          </w:p>
          <w:p w14:paraId="1AE7E3DA">
            <w:pPr>
              <w:rPr>
                <w:rFonts w:hint="eastAsia" w:ascii="宋体" w:hAnsi="宋体" w:cs="宋体"/>
                <w:color w:val="auto"/>
                <w:szCs w:val="21"/>
              </w:rPr>
            </w:pPr>
            <w:r>
              <w:rPr>
                <w:rFonts w:hint="eastAsia" w:ascii="宋体" w:hAnsi="宋体" w:cs="宋体"/>
                <w:color w:val="auto"/>
                <w:szCs w:val="21"/>
              </w:rPr>
              <w:t>1.8工作温度：0 °C～45 °C；</w:t>
            </w:r>
          </w:p>
          <w:p w14:paraId="270C10C1">
            <w:pPr>
              <w:rPr>
                <w:rFonts w:hint="eastAsia" w:ascii="宋体" w:hAnsi="宋体" w:cs="宋体"/>
                <w:color w:val="auto"/>
                <w:szCs w:val="21"/>
              </w:rPr>
            </w:pPr>
            <w:r>
              <w:rPr>
                <w:rFonts w:hint="eastAsia" w:ascii="宋体" w:hAnsi="宋体" w:cs="宋体"/>
                <w:color w:val="auto"/>
                <w:szCs w:val="21"/>
              </w:rPr>
              <w:t>1.9非工作温度：-40 °C～70 °C；</w:t>
            </w:r>
          </w:p>
          <w:p w14:paraId="1BEF3101">
            <w:pPr>
              <w:rPr>
                <w:rFonts w:hint="eastAsia" w:ascii="宋体" w:hAnsi="宋体" w:cs="宋体"/>
                <w:color w:val="auto"/>
                <w:szCs w:val="21"/>
              </w:rPr>
            </w:pPr>
            <w:r>
              <w:rPr>
                <w:rFonts w:hint="eastAsia" w:ascii="宋体" w:hAnsi="宋体" w:cs="宋体"/>
                <w:color w:val="auto"/>
                <w:szCs w:val="21"/>
              </w:rPr>
              <w:t>2.0工作湿度：5%RH～95%RH（无冷凝）。</w:t>
            </w:r>
          </w:p>
          <w:p w14:paraId="75B84EF6">
            <w:pPr>
              <w:rPr>
                <w:rFonts w:hint="eastAsia" w:ascii="宋体" w:hAnsi="宋体" w:cs="宋体"/>
                <w:color w:val="auto"/>
                <w:szCs w:val="21"/>
              </w:rPr>
            </w:pPr>
            <w:r>
              <w:rPr>
                <w:rFonts w:hint="eastAsia" w:ascii="宋体" w:hAnsi="宋体" w:cs="宋体"/>
                <w:color w:val="auto"/>
                <w:szCs w:val="21"/>
              </w:rPr>
              <w:t>2、软件功能特性</w:t>
            </w:r>
          </w:p>
          <w:p w14:paraId="2C640B41">
            <w:pPr>
              <w:rPr>
                <w:rFonts w:hint="eastAsia" w:ascii="宋体" w:hAnsi="宋体" w:cs="宋体"/>
                <w:color w:val="auto"/>
                <w:szCs w:val="21"/>
              </w:rPr>
            </w:pPr>
            <w:r>
              <w:rPr>
                <w:rFonts w:hint="eastAsia" w:ascii="宋体" w:hAnsi="宋体" w:cs="宋体"/>
                <w:color w:val="auto"/>
                <w:szCs w:val="21"/>
              </w:rPr>
              <w:t>2.1安全功能：支持安全区域划分，可以防御多种恶意攻击，如 Land、Smurf、Fraggle 等；</w:t>
            </w:r>
          </w:p>
          <w:p w14:paraId="3D9C2F79">
            <w:pPr>
              <w:rPr>
                <w:rFonts w:hint="eastAsia" w:ascii="宋体" w:hAnsi="宋体" w:cs="宋体"/>
                <w:color w:val="auto"/>
                <w:szCs w:val="21"/>
              </w:rPr>
            </w:pPr>
            <w:r>
              <w:rPr>
                <w:rFonts w:hint="eastAsia" w:ascii="宋体" w:hAnsi="宋体" w:cs="宋体"/>
                <w:color w:val="auto"/>
                <w:szCs w:val="21"/>
              </w:rPr>
              <w:t>2.2VPN 功能 支持 L2TP VPN、IPSec VPN、GRE VPN、SSL VPN 等多种 VPN 协议；</w:t>
            </w:r>
          </w:p>
          <w:p w14:paraId="1636CE24">
            <w:pPr>
              <w:rPr>
                <w:rFonts w:hint="eastAsia" w:ascii="宋体" w:hAnsi="宋体" w:cs="宋体"/>
                <w:color w:val="auto"/>
                <w:szCs w:val="21"/>
              </w:rPr>
            </w:pPr>
            <w:r>
              <w:rPr>
                <w:rFonts w:hint="eastAsia" w:ascii="宋体" w:hAnsi="宋体" w:cs="宋体"/>
                <w:color w:val="auto"/>
                <w:szCs w:val="21"/>
              </w:rPr>
              <w:t>2.3网络管理：支持基于命令行的 配置管理，支持 Web 方式进行远 程配置管理；</w:t>
            </w:r>
          </w:p>
          <w:p w14:paraId="7B0ACFF1">
            <w:pPr>
              <w:rPr>
                <w:rFonts w:hint="eastAsia" w:ascii="宋体" w:hAnsi="宋体" w:cs="宋体"/>
                <w:color w:val="auto"/>
                <w:szCs w:val="21"/>
              </w:rPr>
            </w:pPr>
            <w:r>
              <w:rPr>
                <w:rFonts w:hint="eastAsia" w:ascii="宋体" w:hAnsi="宋体" w:cs="宋体"/>
                <w:color w:val="auto"/>
                <w:szCs w:val="21"/>
              </w:rPr>
              <w:t>2.4入侵检测：支持对黑客攻击、蠕虫/病毒、木马、恶意代码等常见攻击的防御；</w:t>
            </w:r>
          </w:p>
          <w:p w14:paraId="1AD3AACF">
            <w:pPr>
              <w:rPr>
                <w:rFonts w:hint="eastAsia" w:ascii="宋体" w:hAnsi="宋体" w:cs="宋体"/>
                <w:color w:val="auto"/>
                <w:szCs w:val="21"/>
              </w:rPr>
            </w:pPr>
            <w:r>
              <w:rPr>
                <w:rFonts w:hint="eastAsia" w:ascii="宋体" w:hAnsi="宋体" w:cs="宋体"/>
                <w:color w:val="auto"/>
                <w:szCs w:val="21"/>
              </w:rPr>
              <w:t>2.5防火墙性能：支持基础和扩展的访问控制列表，支持基于时间段的访问控制列表；</w:t>
            </w:r>
          </w:p>
          <w:p w14:paraId="68DEEDDE">
            <w:pPr>
              <w:rPr>
                <w:rFonts w:hint="eastAsia" w:ascii="宋体" w:hAnsi="宋体" w:cs="宋体"/>
                <w:color w:val="auto"/>
                <w:szCs w:val="21"/>
              </w:rPr>
            </w:pPr>
            <w:r>
              <w:rPr>
                <w:rFonts w:hint="eastAsia" w:ascii="宋体" w:hAnsi="宋体" w:cs="宋体"/>
                <w:color w:val="auto"/>
                <w:szCs w:val="21"/>
              </w:rPr>
              <w:t>2.6认证标准：支持 Portal 认证、RADIUS 认证、HWTACACS 认证等多种认证方式；</w:t>
            </w:r>
          </w:p>
          <w:p w14:paraId="3A4E4101">
            <w:pPr>
              <w:rPr>
                <w:rFonts w:ascii="宋体" w:hAnsi="宋体" w:cs="宋体"/>
                <w:color w:val="auto"/>
                <w:szCs w:val="21"/>
              </w:rPr>
            </w:pPr>
            <w:r>
              <w:rPr>
                <w:rFonts w:hint="eastAsia" w:ascii="宋体" w:hAnsi="宋体" w:cs="宋体"/>
                <w:color w:val="auto"/>
                <w:szCs w:val="21"/>
              </w:rPr>
              <w:t>2.7易维护性：支持攻击特征库的手动和自动升级，支持病毒库手动和自动升级。</w:t>
            </w:r>
          </w:p>
        </w:tc>
      </w:tr>
      <w:tr w14:paraId="5DC0C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6DAF4537">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5</w:t>
            </w:r>
          </w:p>
        </w:tc>
        <w:tc>
          <w:tcPr>
            <w:tcW w:w="873" w:type="dxa"/>
            <w:vAlign w:val="center"/>
          </w:tcPr>
          <w:p w14:paraId="5EF683E9">
            <w:pPr>
              <w:jc w:val="center"/>
              <w:rPr>
                <w:rFonts w:ascii="宋体" w:hAnsi="宋体" w:cs="宋体"/>
                <w:color w:val="auto"/>
                <w:szCs w:val="21"/>
              </w:rPr>
            </w:pPr>
            <w:r>
              <w:rPr>
                <w:rFonts w:hint="eastAsia" w:ascii="宋体" w:hAnsi="宋体" w:cs="宋体"/>
                <w:color w:val="auto"/>
                <w:kern w:val="0"/>
                <w:szCs w:val="21"/>
              </w:rPr>
              <w:t>交换机</w:t>
            </w:r>
          </w:p>
        </w:tc>
        <w:tc>
          <w:tcPr>
            <w:tcW w:w="789" w:type="dxa"/>
            <w:vAlign w:val="center"/>
          </w:tcPr>
          <w:p w14:paraId="73C2FD71">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2台</w:t>
            </w:r>
          </w:p>
        </w:tc>
        <w:tc>
          <w:tcPr>
            <w:tcW w:w="1275" w:type="dxa"/>
            <w:tcBorders>
              <w:right w:val="single" w:color="auto" w:sz="4" w:space="0"/>
            </w:tcBorders>
            <w:vAlign w:val="center"/>
          </w:tcPr>
          <w:p w14:paraId="348CEB1B">
            <w:pPr>
              <w:jc w:val="center"/>
              <w:rPr>
                <w:rFonts w:ascii="宋体" w:hAnsi="宋体" w:cs="宋体"/>
                <w:color w:val="auto"/>
                <w:szCs w:val="21"/>
              </w:rPr>
            </w:pPr>
            <w:r>
              <w:rPr>
                <w:rFonts w:hint="eastAsia" w:ascii="宋体" w:hAnsi="宋体"/>
                <w:color w:val="auto"/>
                <w:szCs w:val="21"/>
              </w:rPr>
              <w:t>3000.00</w:t>
            </w:r>
          </w:p>
        </w:tc>
        <w:tc>
          <w:tcPr>
            <w:tcW w:w="709" w:type="dxa"/>
            <w:tcBorders>
              <w:right w:val="single" w:color="auto" w:sz="4" w:space="0"/>
            </w:tcBorders>
            <w:vAlign w:val="center"/>
          </w:tcPr>
          <w:p w14:paraId="38BA687E">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76557ADA">
            <w:pPr>
              <w:rPr>
                <w:rFonts w:ascii="宋体" w:hAnsi="宋体" w:cs="宋体"/>
                <w:color w:val="auto"/>
                <w:szCs w:val="21"/>
              </w:rPr>
            </w:pPr>
            <w:r>
              <w:rPr>
                <w:rFonts w:hint="eastAsia" w:ascii="宋体" w:hAnsi="宋体" w:cs="宋体"/>
                <w:color w:val="auto"/>
                <w:szCs w:val="21"/>
              </w:rPr>
              <w:t>1、应用层级：三层。</w:t>
            </w:r>
          </w:p>
          <w:p w14:paraId="334DCFD2">
            <w:pPr>
              <w:rPr>
                <w:rFonts w:hint="eastAsia" w:ascii="宋体" w:hAnsi="宋体" w:cs="宋体"/>
                <w:color w:val="auto"/>
                <w:szCs w:val="21"/>
              </w:rPr>
            </w:pPr>
            <w:r>
              <w:rPr>
                <w:rFonts w:hint="eastAsia" w:ascii="宋体" w:hAnsi="宋体" w:cs="宋体"/>
                <w:color w:val="auto"/>
                <w:szCs w:val="21"/>
              </w:rPr>
              <w:t>2、传输速率：10/100/1000/10000Mbps。</w:t>
            </w:r>
          </w:p>
          <w:p w14:paraId="66FCEDE9">
            <w:pPr>
              <w:rPr>
                <w:rFonts w:hint="eastAsia" w:ascii="宋体" w:hAnsi="宋体" w:cs="宋体"/>
                <w:color w:val="auto"/>
                <w:szCs w:val="21"/>
              </w:rPr>
            </w:pPr>
            <w:r>
              <w:rPr>
                <w:rFonts w:hint="eastAsia" w:ascii="宋体" w:hAnsi="宋体" w:cs="宋体"/>
                <w:color w:val="auto"/>
                <w:szCs w:val="21"/>
              </w:rPr>
              <w:t>3、交换方式：存储-转发。</w:t>
            </w:r>
          </w:p>
          <w:p w14:paraId="4D05C65B">
            <w:pPr>
              <w:rPr>
                <w:rFonts w:hint="eastAsia" w:ascii="宋体" w:hAnsi="宋体" w:cs="宋体"/>
                <w:color w:val="auto"/>
                <w:szCs w:val="21"/>
              </w:rPr>
            </w:pPr>
            <w:r>
              <w:rPr>
                <w:rFonts w:hint="eastAsia" w:ascii="宋体" w:hAnsi="宋体" w:cs="宋体"/>
                <w:color w:val="auto"/>
                <w:szCs w:val="21"/>
              </w:rPr>
              <w:t>4、背板带宽：≥256bps。</w:t>
            </w:r>
          </w:p>
          <w:p w14:paraId="4C9113D4">
            <w:pPr>
              <w:rPr>
                <w:rFonts w:hint="eastAsia" w:ascii="宋体" w:hAnsi="宋体" w:cs="宋体"/>
                <w:color w:val="auto"/>
                <w:szCs w:val="21"/>
              </w:rPr>
            </w:pPr>
            <w:r>
              <w:rPr>
                <w:rFonts w:hint="eastAsia" w:ascii="宋体" w:hAnsi="宋体" w:cs="宋体"/>
                <w:color w:val="auto"/>
                <w:szCs w:val="21"/>
              </w:rPr>
              <w:t>5、包转发率：≥160Mpps。</w:t>
            </w:r>
          </w:p>
          <w:p w14:paraId="7F400499">
            <w:pPr>
              <w:rPr>
                <w:rFonts w:hint="eastAsia" w:ascii="宋体" w:hAnsi="宋体" w:cs="宋体"/>
                <w:color w:val="auto"/>
                <w:szCs w:val="21"/>
              </w:rPr>
            </w:pPr>
            <w:r>
              <w:rPr>
                <w:rFonts w:hint="eastAsia" w:ascii="宋体" w:hAnsi="宋体" w:cs="宋体"/>
                <w:color w:val="auto"/>
                <w:szCs w:val="21"/>
              </w:rPr>
              <w:t>6、MAC 地址表：288K。</w:t>
            </w:r>
          </w:p>
          <w:p w14:paraId="7F382EF3">
            <w:pPr>
              <w:rPr>
                <w:rFonts w:hint="eastAsia" w:ascii="宋体" w:hAnsi="宋体" w:cs="宋体"/>
                <w:color w:val="auto"/>
                <w:szCs w:val="21"/>
              </w:rPr>
            </w:pPr>
            <w:r>
              <w:rPr>
                <w:rFonts w:hint="eastAsia" w:ascii="宋体" w:hAnsi="宋体" w:cs="宋体"/>
                <w:color w:val="auto"/>
                <w:szCs w:val="21"/>
              </w:rPr>
              <w:t>7、端口结构：非模块化。</w:t>
            </w:r>
          </w:p>
          <w:p w14:paraId="5A027703">
            <w:pPr>
              <w:rPr>
                <w:rFonts w:hint="eastAsia" w:ascii="宋体" w:hAnsi="宋体" w:cs="宋体"/>
                <w:color w:val="auto"/>
                <w:szCs w:val="21"/>
              </w:rPr>
            </w:pPr>
            <w:r>
              <w:rPr>
                <w:rFonts w:hint="eastAsia" w:ascii="宋体" w:hAnsi="宋体" w:cs="宋体"/>
                <w:color w:val="auto"/>
                <w:szCs w:val="21"/>
              </w:rPr>
              <w:t>8、端口数量：52 个。</w:t>
            </w:r>
          </w:p>
          <w:p w14:paraId="449B5004">
            <w:pPr>
              <w:rPr>
                <w:rFonts w:hint="eastAsia" w:ascii="宋体" w:hAnsi="宋体" w:cs="宋体"/>
                <w:color w:val="auto"/>
                <w:szCs w:val="21"/>
              </w:rPr>
            </w:pPr>
            <w:r>
              <w:rPr>
                <w:rFonts w:hint="eastAsia" w:ascii="宋体" w:hAnsi="宋体" w:cs="宋体"/>
                <w:color w:val="auto"/>
                <w:szCs w:val="21"/>
              </w:rPr>
              <w:t>9、端口描述：48 个10/100/1000Base-T 以太网端口， 4个10G万兆 SFP+（含10G 光模 块）</w:t>
            </w:r>
          </w:p>
          <w:p w14:paraId="7242E784">
            <w:pPr>
              <w:rPr>
                <w:rFonts w:hint="eastAsia" w:ascii="宋体" w:hAnsi="宋体" w:cs="宋体"/>
                <w:color w:val="auto"/>
                <w:szCs w:val="21"/>
              </w:rPr>
            </w:pPr>
            <w:r>
              <w:rPr>
                <w:rFonts w:hint="eastAsia" w:ascii="宋体" w:hAnsi="宋体" w:cs="宋体"/>
                <w:color w:val="auto"/>
                <w:szCs w:val="21"/>
              </w:rPr>
              <w:t>10、扩展模块：1 个扩展插槽。</w:t>
            </w:r>
          </w:p>
          <w:p w14:paraId="691BC4E1">
            <w:pPr>
              <w:rPr>
                <w:rFonts w:hint="eastAsia" w:ascii="宋体" w:hAnsi="宋体" w:cs="宋体"/>
                <w:color w:val="auto"/>
                <w:szCs w:val="21"/>
              </w:rPr>
            </w:pPr>
            <w:r>
              <w:rPr>
                <w:rFonts w:hint="eastAsia" w:ascii="宋体" w:hAnsi="宋体" w:cs="宋体"/>
                <w:color w:val="auto"/>
                <w:szCs w:val="21"/>
              </w:rPr>
              <w:t>11、堆叠功能：可堆叠。</w:t>
            </w:r>
          </w:p>
          <w:p w14:paraId="5DFA4297">
            <w:pPr>
              <w:rPr>
                <w:rFonts w:hint="eastAsia" w:ascii="宋体" w:hAnsi="宋体" w:cs="宋体"/>
                <w:color w:val="auto"/>
                <w:szCs w:val="21"/>
              </w:rPr>
            </w:pPr>
            <w:r>
              <w:rPr>
                <w:rFonts w:hint="eastAsia" w:ascii="宋体" w:hAnsi="宋体" w:cs="宋体"/>
                <w:color w:val="auto"/>
                <w:szCs w:val="21"/>
              </w:rPr>
              <w:t>12、VLAN 支持4K VLAN。</w:t>
            </w:r>
          </w:p>
          <w:p w14:paraId="5506D6BD">
            <w:pPr>
              <w:rPr>
                <w:rFonts w:hint="eastAsia" w:ascii="宋体" w:hAnsi="宋体" w:cs="宋体"/>
                <w:color w:val="auto"/>
                <w:szCs w:val="21"/>
              </w:rPr>
            </w:pPr>
            <w:r>
              <w:rPr>
                <w:rFonts w:hint="eastAsia" w:ascii="宋体" w:hAnsi="宋体" w:cs="宋体"/>
                <w:color w:val="auto"/>
                <w:szCs w:val="21"/>
              </w:rPr>
              <w:t>13、支持 Guest VLAN、Voice VLANs。</w:t>
            </w:r>
          </w:p>
          <w:p w14:paraId="200B519A">
            <w:pPr>
              <w:rPr>
                <w:rFonts w:hint="eastAsia" w:ascii="宋体" w:hAnsi="宋体" w:cs="宋体"/>
                <w:color w:val="auto"/>
                <w:szCs w:val="21"/>
              </w:rPr>
            </w:pPr>
            <w:r>
              <w:rPr>
                <w:rFonts w:hint="eastAsia" w:ascii="宋体" w:hAnsi="宋体" w:cs="宋体"/>
                <w:color w:val="auto"/>
                <w:szCs w:val="21"/>
              </w:rPr>
              <w:t>14、支持 GVRP 协议。</w:t>
            </w:r>
          </w:p>
          <w:p w14:paraId="4038CB8D">
            <w:pPr>
              <w:rPr>
                <w:rFonts w:hint="eastAsia" w:ascii="宋体" w:hAnsi="宋体" w:cs="宋体"/>
                <w:color w:val="auto"/>
                <w:szCs w:val="21"/>
              </w:rPr>
            </w:pPr>
            <w:r>
              <w:rPr>
                <w:rFonts w:hint="eastAsia" w:ascii="宋体" w:hAnsi="宋体" w:cs="宋体"/>
                <w:color w:val="auto"/>
                <w:szCs w:val="21"/>
              </w:rPr>
              <w:t>15、支持 MUX VLAN 功能。</w:t>
            </w:r>
          </w:p>
          <w:p w14:paraId="0F1F07DF">
            <w:pPr>
              <w:rPr>
                <w:rFonts w:hint="eastAsia" w:ascii="宋体" w:hAnsi="宋体" w:cs="宋体"/>
                <w:color w:val="auto"/>
                <w:szCs w:val="21"/>
              </w:rPr>
            </w:pPr>
            <w:r>
              <w:rPr>
                <w:rFonts w:hint="eastAsia" w:ascii="宋体" w:hAnsi="宋体" w:cs="宋体"/>
                <w:color w:val="auto"/>
                <w:szCs w:val="21"/>
              </w:rPr>
              <w:t>16、支持基于 MAC/协议/IP 子网/ 策略/端口的 VLAN。</w:t>
            </w:r>
          </w:p>
          <w:p w14:paraId="49F46D6D">
            <w:pPr>
              <w:rPr>
                <w:rFonts w:ascii="宋体" w:hAnsi="宋体" w:cs="宋体"/>
                <w:color w:val="auto"/>
                <w:szCs w:val="21"/>
              </w:rPr>
            </w:pPr>
            <w:r>
              <w:rPr>
                <w:rFonts w:hint="eastAsia" w:ascii="宋体" w:hAnsi="宋体" w:cs="宋体"/>
                <w:color w:val="auto"/>
                <w:szCs w:val="21"/>
              </w:rPr>
              <w:t>17、支持 VLAN Mapping 功能。</w:t>
            </w:r>
          </w:p>
        </w:tc>
      </w:tr>
      <w:tr w14:paraId="2A7EE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1A15DA97">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6</w:t>
            </w:r>
          </w:p>
        </w:tc>
        <w:tc>
          <w:tcPr>
            <w:tcW w:w="873" w:type="dxa"/>
            <w:vAlign w:val="center"/>
          </w:tcPr>
          <w:p w14:paraId="7CA77B19">
            <w:pPr>
              <w:jc w:val="center"/>
              <w:rPr>
                <w:rFonts w:ascii="宋体" w:hAnsi="宋体" w:cs="宋体"/>
                <w:color w:val="auto"/>
                <w:szCs w:val="21"/>
              </w:rPr>
            </w:pPr>
            <w:r>
              <w:rPr>
                <w:rFonts w:hint="eastAsia" w:ascii="宋体" w:hAnsi="宋体" w:cs="宋体"/>
                <w:color w:val="auto"/>
                <w:kern w:val="0"/>
                <w:szCs w:val="21"/>
              </w:rPr>
              <w:t>理论考试自助签名机</w:t>
            </w:r>
          </w:p>
        </w:tc>
        <w:tc>
          <w:tcPr>
            <w:tcW w:w="789" w:type="dxa"/>
            <w:vAlign w:val="center"/>
          </w:tcPr>
          <w:p w14:paraId="322EE0FE">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3台</w:t>
            </w:r>
          </w:p>
        </w:tc>
        <w:tc>
          <w:tcPr>
            <w:tcW w:w="1275" w:type="dxa"/>
            <w:tcBorders>
              <w:right w:val="single" w:color="auto" w:sz="4" w:space="0"/>
            </w:tcBorders>
            <w:vAlign w:val="center"/>
          </w:tcPr>
          <w:p w14:paraId="40649A7F">
            <w:pPr>
              <w:jc w:val="center"/>
              <w:rPr>
                <w:rFonts w:ascii="宋体" w:hAnsi="宋体" w:cs="宋体"/>
                <w:color w:val="auto"/>
                <w:szCs w:val="21"/>
              </w:rPr>
            </w:pPr>
            <w:r>
              <w:rPr>
                <w:rFonts w:hint="eastAsia" w:ascii="宋体" w:hAnsi="宋体"/>
                <w:color w:val="auto"/>
                <w:szCs w:val="21"/>
              </w:rPr>
              <w:t>4000.00</w:t>
            </w:r>
          </w:p>
        </w:tc>
        <w:tc>
          <w:tcPr>
            <w:tcW w:w="709" w:type="dxa"/>
            <w:tcBorders>
              <w:right w:val="single" w:color="auto" w:sz="4" w:space="0"/>
            </w:tcBorders>
            <w:vAlign w:val="center"/>
          </w:tcPr>
          <w:p w14:paraId="6F5EF720">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784D11D9">
            <w:pPr>
              <w:rPr>
                <w:rFonts w:hint="eastAsia" w:ascii="宋体" w:hAnsi="宋体" w:cs="宋体"/>
                <w:color w:val="auto"/>
                <w:szCs w:val="21"/>
              </w:rPr>
            </w:pPr>
            <w:r>
              <w:rPr>
                <w:rFonts w:hint="eastAsia" w:ascii="宋体" w:hAnsi="宋体" w:cs="宋体"/>
                <w:color w:val="auto"/>
                <w:szCs w:val="21"/>
              </w:rPr>
              <w:t>1、一体化设计：CPU 主频 ≥2.4GHZ；内存 ≥4G；硬盘 ≥500G。</w:t>
            </w:r>
          </w:p>
          <w:p w14:paraId="0A934B95">
            <w:pPr>
              <w:rPr>
                <w:rFonts w:hint="eastAsia" w:ascii="宋体" w:hAnsi="宋体" w:cs="宋体"/>
                <w:color w:val="auto"/>
                <w:szCs w:val="21"/>
              </w:rPr>
            </w:pPr>
            <w:r>
              <w:rPr>
                <w:rFonts w:hint="eastAsia" w:ascii="宋体" w:hAnsi="宋体" w:cs="宋体"/>
                <w:color w:val="auto"/>
                <w:szCs w:val="21"/>
              </w:rPr>
              <w:t>2、外观要求 ：全钢制标准化一体式机身，符合人体工学设计，适用于身高 1.4M-2.1M 之间任何身高使用，操作简单便捷。</w:t>
            </w:r>
          </w:p>
          <w:p w14:paraId="4C3EA2E0">
            <w:pPr>
              <w:rPr>
                <w:rFonts w:hint="eastAsia" w:ascii="宋体" w:hAnsi="宋体" w:cs="宋体"/>
                <w:color w:val="auto"/>
                <w:szCs w:val="21"/>
              </w:rPr>
            </w:pPr>
            <w:r>
              <w:rPr>
                <w:rFonts w:hint="eastAsia" w:ascii="宋体" w:hAnsi="宋体" w:cs="宋体"/>
                <w:color w:val="auto"/>
                <w:szCs w:val="21"/>
              </w:rPr>
              <w:t>3、工艺处理 ：冷轧、焊接、打磨、抛光、激光开孔，符合质量 及工艺标准之高强度韧性材料</w:t>
            </w:r>
          </w:p>
          <w:p w14:paraId="37E657BE">
            <w:pPr>
              <w:rPr>
                <w:rFonts w:hint="eastAsia" w:ascii="宋体" w:hAnsi="宋体" w:eastAsia="宋体" w:cs="宋体"/>
                <w:color w:val="auto"/>
                <w:szCs w:val="21"/>
                <w:lang w:eastAsia="zh-CN"/>
              </w:rPr>
            </w:pPr>
            <w:r>
              <w:rPr>
                <w:rFonts w:hint="eastAsia" w:ascii="宋体" w:hAnsi="宋体" w:cs="宋体"/>
                <w:color w:val="auto"/>
                <w:szCs w:val="21"/>
              </w:rPr>
              <w:t>4、检修处理 ：台面需预留具有 电柜锁的检修门，方便检查线路；考机需自带拆卸方便的检修门，方便维护更换电子配件</w:t>
            </w:r>
            <w:r>
              <w:rPr>
                <w:rFonts w:hint="eastAsia" w:ascii="宋体" w:hAnsi="宋体" w:cs="宋体"/>
                <w:color w:val="auto"/>
                <w:szCs w:val="21"/>
                <w:lang w:eastAsia="zh-CN"/>
              </w:rPr>
              <w:t>。</w:t>
            </w:r>
          </w:p>
          <w:p w14:paraId="2D7443FD">
            <w:pPr>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、供电方式 ：DC12V（可选内置 AC220V 或 DC 6~36V 防反接，过载，短路，延时启动抗冲击保护）</w:t>
            </w:r>
          </w:p>
          <w:p w14:paraId="577B376D">
            <w:pPr>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、可预留接口 ：线束集成，VGA。</w:t>
            </w:r>
          </w:p>
          <w:p w14:paraId="5E0943EF">
            <w:pPr>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、操作系统 ：WIN7 ,WIN8,WIN10 全系列，LINUX(可选 WIN XP</w:t>
            </w:r>
          </w:p>
        </w:tc>
      </w:tr>
      <w:tr w14:paraId="0B8E1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08EA62FA">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7</w:t>
            </w:r>
          </w:p>
        </w:tc>
        <w:tc>
          <w:tcPr>
            <w:tcW w:w="873" w:type="dxa"/>
            <w:vAlign w:val="center"/>
          </w:tcPr>
          <w:p w14:paraId="64EFCF2D">
            <w:pPr>
              <w:jc w:val="center"/>
              <w:rPr>
                <w:rFonts w:ascii="宋体" w:hAnsi="宋体" w:cs="宋体"/>
                <w:color w:val="auto"/>
                <w:szCs w:val="21"/>
              </w:rPr>
            </w:pPr>
            <w:r>
              <w:rPr>
                <w:rFonts w:hint="eastAsia" w:ascii="宋体" w:hAnsi="宋体" w:cs="宋体"/>
                <w:color w:val="auto"/>
                <w:kern w:val="0"/>
                <w:szCs w:val="21"/>
              </w:rPr>
              <w:t>排号55寸显示屏幕</w:t>
            </w:r>
          </w:p>
        </w:tc>
        <w:tc>
          <w:tcPr>
            <w:tcW w:w="789" w:type="dxa"/>
            <w:vAlign w:val="center"/>
          </w:tcPr>
          <w:p w14:paraId="0C76EBC0">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4台</w:t>
            </w:r>
          </w:p>
        </w:tc>
        <w:tc>
          <w:tcPr>
            <w:tcW w:w="1275" w:type="dxa"/>
            <w:tcBorders>
              <w:right w:val="single" w:color="auto" w:sz="4" w:space="0"/>
            </w:tcBorders>
            <w:vAlign w:val="center"/>
          </w:tcPr>
          <w:p w14:paraId="1F269B4A">
            <w:pPr>
              <w:jc w:val="center"/>
              <w:rPr>
                <w:rFonts w:ascii="宋体" w:hAnsi="宋体" w:cs="宋体"/>
                <w:color w:val="auto"/>
                <w:szCs w:val="21"/>
              </w:rPr>
            </w:pPr>
            <w:r>
              <w:rPr>
                <w:rFonts w:hint="eastAsia" w:ascii="宋体" w:hAnsi="宋体"/>
                <w:color w:val="auto"/>
                <w:szCs w:val="21"/>
              </w:rPr>
              <w:t>2500.00</w:t>
            </w:r>
          </w:p>
        </w:tc>
        <w:tc>
          <w:tcPr>
            <w:tcW w:w="709" w:type="dxa"/>
            <w:tcBorders>
              <w:right w:val="single" w:color="auto" w:sz="4" w:space="0"/>
            </w:tcBorders>
            <w:vAlign w:val="center"/>
          </w:tcPr>
          <w:p w14:paraId="130AE5DA">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4BF84913">
            <w:pPr>
              <w:rPr>
                <w:rFonts w:ascii="宋体" w:hAnsi="宋体" w:cs="宋体"/>
                <w:color w:val="auto"/>
                <w:szCs w:val="21"/>
              </w:rPr>
            </w:pPr>
            <w:r>
              <w:rPr>
                <w:rFonts w:hint="eastAsia" w:ascii="宋体" w:hAnsi="宋体" w:cs="宋体"/>
                <w:color w:val="auto"/>
                <w:szCs w:val="21"/>
              </w:rPr>
              <w:t>1、屏幕尺寸：≥55 英寸。</w:t>
            </w:r>
          </w:p>
          <w:p w14:paraId="4A66D80E">
            <w:pPr>
              <w:rPr>
                <w:rFonts w:hint="eastAsia" w:ascii="宋体" w:hAnsi="宋体" w:cs="宋体"/>
                <w:color w:val="auto"/>
                <w:szCs w:val="21"/>
              </w:rPr>
            </w:pPr>
            <w:r>
              <w:rPr>
                <w:rFonts w:hint="eastAsia" w:ascii="宋体" w:hAnsi="宋体" w:cs="宋体"/>
                <w:color w:val="auto"/>
                <w:szCs w:val="21"/>
              </w:rPr>
              <w:t>2、刷屏率：≥60Hz。</w:t>
            </w:r>
          </w:p>
          <w:p w14:paraId="3D9533B5">
            <w:pPr>
              <w:rPr>
                <w:rFonts w:hint="eastAsia" w:ascii="宋体" w:hAnsi="宋体" w:cs="宋体"/>
                <w:color w:val="auto"/>
                <w:szCs w:val="21"/>
              </w:rPr>
            </w:pPr>
            <w:r>
              <w:rPr>
                <w:rFonts w:hint="eastAsia" w:ascii="宋体" w:hAnsi="宋体" w:cs="宋体"/>
                <w:color w:val="auto"/>
                <w:szCs w:val="21"/>
              </w:rPr>
              <w:t>3、端口：HDMI/网口/USB。</w:t>
            </w:r>
          </w:p>
          <w:p w14:paraId="0C112FAF">
            <w:pPr>
              <w:rPr>
                <w:rFonts w:hint="eastAsia" w:ascii="宋体" w:hAnsi="宋体" w:cs="宋体"/>
                <w:color w:val="auto"/>
                <w:szCs w:val="21"/>
              </w:rPr>
            </w:pPr>
            <w:r>
              <w:rPr>
                <w:rFonts w:hint="eastAsia" w:ascii="宋体" w:hAnsi="宋体" w:cs="宋体"/>
                <w:color w:val="auto"/>
                <w:szCs w:val="21"/>
              </w:rPr>
              <w:t>4、能效等级：四级能效。</w:t>
            </w:r>
          </w:p>
          <w:p w14:paraId="242787FD">
            <w:pPr>
              <w:rPr>
                <w:rFonts w:hint="eastAsia" w:ascii="宋体" w:hAnsi="宋体" w:cs="宋体"/>
                <w:color w:val="auto"/>
                <w:szCs w:val="21"/>
              </w:rPr>
            </w:pPr>
            <w:r>
              <w:rPr>
                <w:rFonts w:hint="eastAsia" w:ascii="宋体" w:hAnsi="宋体" w:cs="宋体"/>
                <w:color w:val="auto"/>
                <w:szCs w:val="21"/>
              </w:rPr>
              <w:t>5、语音控制：人工智能语音。</w:t>
            </w:r>
          </w:p>
          <w:p w14:paraId="74F40292">
            <w:pPr>
              <w:rPr>
                <w:rFonts w:ascii="宋体" w:hAnsi="宋体" w:cs="宋体"/>
                <w:color w:val="auto"/>
                <w:szCs w:val="21"/>
              </w:rPr>
            </w:pPr>
            <w:r>
              <w:rPr>
                <w:rFonts w:hint="eastAsia" w:ascii="宋体" w:hAnsi="宋体" w:cs="宋体"/>
                <w:color w:val="auto"/>
                <w:szCs w:val="21"/>
              </w:rPr>
              <w:t>6、组套类型：含壁挂架。</w:t>
            </w:r>
          </w:p>
        </w:tc>
      </w:tr>
      <w:tr w14:paraId="19039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6AE73BAA">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8</w:t>
            </w:r>
          </w:p>
        </w:tc>
        <w:tc>
          <w:tcPr>
            <w:tcW w:w="873" w:type="dxa"/>
            <w:vAlign w:val="center"/>
          </w:tcPr>
          <w:p w14:paraId="44ED71A6">
            <w:pPr>
              <w:rPr>
                <w:rFonts w:ascii="宋体" w:hAnsi="宋体" w:cs="宋体"/>
                <w:color w:val="auto"/>
                <w:szCs w:val="21"/>
              </w:rPr>
            </w:pPr>
            <w:r>
              <w:rPr>
                <w:rFonts w:hint="eastAsia" w:ascii="宋体" w:hAnsi="宋体" w:cs="宋体"/>
                <w:color w:val="auto"/>
                <w:szCs w:val="21"/>
                <w:lang w:eastAsia="zh-CN"/>
              </w:rPr>
              <w:t>离线人脸</w:t>
            </w:r>
            <w:r>
              <w:rPr>
                <w:rFonts w:hint="eastAsia" w:ascii="宋体" w:hAnsi="宋体" w:cs="宋体"/>
                <w:color w:val="auto"/>
                <w:szCs w:val="21"/>
                <w:lang w:val="en-US" w:eastAsia="zh-CN"/>
              </w:rPr>
              <w:t>SDK识别头</w:t>
            </w:r>
          </w:p>
        </w:tc>
        <w:tc>
          <w:tcPr>
            <w:tcW w:w="789" w:type="dxa"/>
            <w:vAlign w:val="center"/>
          </w:tcPr>
          <w:p w14:paraId="7654C9C1">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2台</w:t>
            </w:r>
          </w:p>
        </w:tc>
        <w:tc>
          <w:tcPr>
            <w:tcW w:w="1275" w:type="dxa"/>
            <w:tcBorders>
              <w:right w:val="single" w:color="auto" w:sz="4" w:space="0"/>
            </w:tcBorders>
            <w:vAlign w:val="center"/>
          </w:tcPr>
          <w:p w14:paraId="56EFE492">
            <w:pPr>
              <w:jc w:val="center"/>
              <w:rPr>
                <w:rFonts w:ascii="宋体" w:hAnsi="宋体" w:cs="宋体"/>
                <w:color w:val="auto"/>
                <w:szCs w:val="21"/>
              </w:rPr>
            </w:pPr>
            <w:r>
              <w:rPr>
                <w:rFonts w:hint="eastAsia" w:ascii="宋体" w:hAnsi="宋体"/>
                <w:color w:val="auto"/>
                <w:szCs w:val="21"/>
              </w:rPr>
              <w:t>2000.00</w:t>
            </w:r>
          </w:p>
        </w:tc>
        <w:tc>
          <w:tcPr>
            <w:tcW w:w="709" w:type="dxa"/>
            <w:tcBorders>
              <w:right w:val="single" w:color="auto" w:sz="4" w:space="0"/>
            </w:tcBorders>
            <w:vAlign w:val="center"/>
          </w:tcPr>
          <w:p w14:paraId="1DABE0E8">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4E37B0B5">
            <w:pPr>
              <w:rPr>
                <w:rFonts w:ascii="宋体" w:hAnsi="宋体" w:cs="宋体"/>
                <w:color w:val="auto"/>
                <w:szCs w:val="21"/>
              </w:rPr>
            </w:pPr>
            <w:r>
              <w:rPr>
                <w:rFonts w:hint="eastAsia" w:ascii="宋体" w:hAnsi="宋体" w:cs="宋体"/>
                <w:color w:val="auto"/>
                <w:szCs w:val="21"/>
              </w:rPr>
              <w:t>支持在线远程控制,内置人证识别读取证件信息并进行人证比对，验证通过开闸门。内置数据读取接口，对接上级理论考试平台。</w:t>
            </w:r>
          </w:p>
        </w:tc>
      </w:tr>
      <w:tr w14:paraId="319E8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6DE701D9">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9</w:t>
            </w:r>
          </w:p>
        </w:tc>
        <w:tc>
          <w:tcPr>
            <w:tcW w:w="873" w:type="dxa"/>
            <w:vAlign w:val="center"/>
          </w:tcPr>
          <w:p w14:paraId="3E6CBBBA">
            <w:pPr>
              <w:jc w:val="center"/>
              <w:rPr>
                <w:rFonts w:ascii="宋体" w:hAnsi="宋体" w:cs="宋体"/>
                <w:color w:val="auto"/>
                <w:szCs w:val="21"/>
              </w:rPr>
            </w:pPr>
            <w:r>
              <w:rPr>
                <w:rFonts w:hint="eastAsia" w:ascii="宋体" w:hAnsi="宋体" w:cs="宋体"/>
                <w:color w:val="auto"/>
                <w:kern w:val="0"/>
                <w:szCs w:val="21"/>
              </w:rPr>
              <w:t>闸机</w:t>
            </w:r>
          </w:p>
        </w:tc>
        <w:tc>
          <w:tcPr>
            <w:tcW w:w="789" w:type="dxa"/>
            <w:vAlign w:val="center"/>
          </w:tcPr>
          <w:p w14:paraId="17CC2A96">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1套</w:t>
            </w:r>
          </w:p>
        </w:tc>
        <w:tc>
          <w:tcPr>
            <w:tcW w:w="1275" w:type="dxa"/>
            <w:tcBorders>
              <w:right w:val="single" w:color="auto" w:sz="4" w:space="0"/>
            </w:tcBorders>
            <w:vAlign w:val="center"/>
          </w:tcPr>
          <w:p w14:paraId="5A9629E0">
            <w:pPr>
              <w:jc w:val="center"/>
              <w:rPr>
                <w:rFonts w:ascii="宋体" w:hAnsi="宋体" w:cs="宋体"/>
                <w:color w:val="auto"/>
                <w:szCs w:val="21"/>
              </w:rPr>
            </w:pPr>
            <w:r>
              <w:rPr>
                <w:rFonts w:hint="eastAsia" w:ascii="宋体" w:hAnsi="宋体"/>
                <w:color w:val="auto"/>
                <w:szCs w:val="21"/>
              </w:rPr>
              <w:t>5000.00</w:t>
            </w:r>
          </w:p>
        </w:tc>
        <w:tc>
          <w:tcPr>
            <w:tcW w:w="709" w:type="dxa"/>
            <w:tcBorders>
              <w:right w:val="single" w:color="auto" w:sz="4" w:space="0"/>
            </w:tcBorders>
            <w:vAlign w:val="center"/>
          </w:tcPr>
          <w:p w14:paraId="1246C623">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5A39FDC5">
            <w:pPr>
              <w:rPr>
                <w:rFonts w:ascii="宋体" w:hAnsi="宋体" w:cs="宋体"/>
                <w:color w:val="auto"/>
                <w:szCs w:val="21"/>
              </w:rPr>
            </w:pPr>
            <w:r>
              <w:rPr>
                <w:rFonts w:hint="eastAsia" w:ascii="宋体" w:hAnsi="宋体" w:cs="宋体"/>
                <w:color w:val="auto"/>
                <w:szCs w:val="21"/>
              </w:rPr>
              <w:t>单通道，国产通用。包含通道周围不锈钢围栏安装。</w:t>
            </w:r>
          </w:p>
        </w:tc>
      </w:tr>
      <w:tr w14:paraId="659F3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4E110369">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10</w:t>
            </w:r>
          </w:p>
        </w:tc>
        <w:tc>
          <w:tcPr>
            <w:tcW w:w="873" w:type="dxa"/>
            <w:vAlign w:val="center"/>
          </w:tcPr>
          <w:p w14:paraId="30DCB138">
            <w:pPr>
              <w:jc w:val="center"/>
              <w:rPr>
                <w:rFonts w:ascii="宋体" w:hAnsi="宋体" w:cs="宋体"/>
                <w:color w:val="auto"/>
                <w:kern w:val="0"/>
                <w:szCs w:val="21"/>
              </w:rPr>
            </w:pPr>
            <w:r>
              <w:rPr>
                <w:rFonts w:hint="eastAsia" w:ascii="宋体" w:hAnsi="宋体" w:cs="宋体"/>
                <w:color w:val="auto"/>
                <w:kern w:val="0"/>
                <w:szCs w:val="21"/>
                <w:lang w:val="en-US" w:eastAsia="zh-CN"/>
              </w:rPr>
              <w:t>身份证</w:t>
            </w:r>
            <w:r>
              <w:rPr>
                <w:rFonts w:hint="eastAsia" w:ascii="宋体" w:hAnsi="宋体" w:cs="宋体"/>
                <w:color w:val="auto"/>
                <w:kern w:val="0"/>
                <w:szCs w:val="21"/>
              </w:rPr>
              <w:t xml:space="preserve"> </w:t>
            </w:r>
          </w:p>
          <w:p w14:paraId="03AA8ED1">
            <w:pPr>
              <w:jc w:val="center"/>
              <w:rPr>
                <w:rFonts w:ascii="宋体" w:hAnsi="宋体" w:cs="宋体"/>
                <w:color w:val="auto"/>
                <w:szCs w:val="21"/>
              </w:rPr>
            </w:pPr>
            <w:r>
              <w:rPr>
                <w:rFonts w:hint="eastAsia" w:ascii="宋体" w:hAnsi="宋体" w:cs="宋体"/>
                <w:color w:val="auto"/>
                <w:kern w:val="0"/>
                <w:szCs w:val="21"/>
              </w:rPr>
              <w:t>阅读器</w:t>
            </w:r>
          </w:p>
        </w:tc>
        <w:tc>
          <w:tcPr>
            <w:tcW w:w="789" w:type="dxa"/>
            <w:vAlign w:val="center"/>
          </w:tcPr>
          <w:p w14:paraId="64A8C0CD">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3台</w:t>
            </w:r>
          </w:p>
        </w:tc>
        <w:tc>
          <w:tcPr>
            <w:tcW w:w="1275" w:type="dxa"/>
            <w:tcBorders>
              <w:right w:val="single" w:color="auto" w:sz="4" w:space="0"/>
            </w:tcBorders>
            <w:vAlign w:val="center"/>
          </w:tcPr>
          <w:p w14:paraId="6153D6D1">
            <w:pPr>
              <w:jc w:val="center"/>
              <w:rPr>
                <w:rFonts w:ascii="宋体" w:hAnsi="宋体" w:cs="宋体"/>
                <w:color w:val="auto"/>
                <w:szCs w:val="21"/>
              </w:rPr>
            </w:pPr>
            <w:r>
              <w:rPr>
                <w:rFonts w:hint="eastAsia" w:ascii="宋体" w:hAnsi="宋体"/>
                <w:color w:val="auto"/>
                <w:szCs w:val="21"/>
              </w:rPr>
              <w:t>1350.00</w:t>
            </w:r>
          </w:p>
        </w:tc>
        <w:tc>
          <w:tcPr>
            <w:tcW w:w="709" w:type="dxa"/>
            <w:tcBorders>
              <w:right w:val="single" w:color="auto" w:sz="4" w:space="0"/>
            </w:tcBorders>
            <w:vAlign w:val="center"/>
          </w:tcPr>
          <w:p w14:paraId="70E3C8AE">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3CEEF046">
            <w:pPr>
              <w:rPr>
                <w:rFonts w:ascii="宋体" w:hAnsi="宋体" w:cs="宋体"/>
                <w:color w:val="auto"/>
                <w:szCs w:val="21"/>
              </w:rPr>
            </w:pPr>
            <w:r>
              <w:rPr>
                <w:rFonts w:hint="eastAsia" w:ascii="宋体" w:hAnsi="宋体" w:cs="宋体"/>
                <w:color w:val="auto"/>
                <w:szCs w:val="21"/>
                <w:lang w:val="en-US" w:eastAsia="zh-CN"/>
              </w:rPr>
              <w:t>第二代身份证</w:t>
            </w:r>
            <w:r>
              <w:rPr>
                <w:rFonts w:hint="eastAsia" w:ascii="宋体" w:hAnsi="宋体" w:cs="宋体"/>
                <w:color w:val="auto"/>
                <w:szCs w:val="21"/>
              </w:rPr>
              <w:t>阅读器，车驾管</w:t>
            </w:r>
            <w:r>
              <w:rPr>
                <w:rFonts w:hint="eastAsia" w:ascii="宋体" w:hAnsi="宋体" w:cs="宋体"/>
                <w:color w:val="auto"/>
                <w:szCs w:val="21"/>
                <w:lang w:val="en-US" w:eastAsia="zh-CN"/>
              </w:rPr>
              <w:t>业务</w:t>
            </w:r>
            <w:r>
              <w:rPr>
                <w:rFonts w:hint="eastAsia" w:ascii="宋体" w:hAnsi="宋体" w:cs="宋体"/>
                <w:color w:val="auto"/>
                <w:szCs w:val="21"/>
              </w:rPr>
              <w:t>通用款。</w:t>
            </w:r>
          </w:p>
        </w:tc>
      </w:tr>
      <w:tr w14:paraId="767FC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043A4B29">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11</w:t>
            </w:r>
          </w:p>
        </w:tc>
        <w:tc>
          <w:tcPr>
            <w:tcW w:w="873" w:type="dxa"/>
            <w:vAlign w:val="center"/>
          </w:tcPr>
          <w:p w14:paraId="1B05EEA9">
            <w:pPr>
              <w:jc w:val="center"/>
              <w:rPr>
                <w:rFonts w:ascii="宋体" w:hAnsi="宋体" w:cs="宋体"/>
                <w:color w:val="auto"/>
                <w:szCs w:val="21"/>
              </w:rPr>
            </w:pPr>
            <w:r>
              <w:rPr>
                <w:rFonts w:hint="eastAsia" w:ascii="宋体" w:hAnsi="宋体" w:cs="宋体"/>
                <w:color w:val="auto"/>
                <w:kern w:val="0"/>
                <w:szCs w:val="21"/>
              </w:rPr>
              <w:t>24口监控 POE交换机</w:t>
            </w:r>
          </w:p>
        </w:tc>
        <w:tc>
          <w:tcPr>
            <w:tcW w:w="789" w:type="dxa"/>
            <w:vAlign w:val="center"/>
          </w:tcPr>
          <w:p w14:paraId="477EB719">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1275" w:type="dxa"/>
            <w:tcBorders>
              <w:right w:val="single" w:color="auto" w:sz="4" w:space="0"/>
            </w:tcBorders>
            <w:vAlign w:val="center"/>
          </w:tcPr>
          <w:p w14:paraId="57701636">
            <w:pPr>
              <w:jc w:val="center"/>
              <w:rPr>
                <w:rFonts w:ascii="宋体" w:hAnsi="宋体" w:cs="宋体"/>
                <w:color w:val="auto"/>
                <w:szCs w:val="21"/>
              </w:rPr>
            </w:pPr>
            <w:r>
              <w:rPr>
                <w:rFonts w:hint="eastAsia" w:ascii="宋体" w:hAnsi="宋体"/>
                <w:color w:val="auto"/>
                <w:szCs w:val="21"/>
              </w:rPr>
              <w:t>1800.00</w:t>
            </w:r>
          </w:p>
        </w:tc>
        <w:tc>
          <w:tcPr>
            <w:tcW w:w="709" w:type="dxa"/>
            <w:tcBorders>
              <w:right w:val="single" w:color="auto" w:sz="4" w:space="0"/>
            </w:tcBorders>
            <w:vAlign w:val="center"/>
          </w:tcPr>
          <w:p w14:paraId="70086814">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1D4BD078">
            <w:pPr>
              <w:rPr>
                <w:rFonts w:ascii="宋体" w:hAnsi="宋体" w:cs="宋体"/>
                <w:color w:val="auto"/>
                <w:szCs w:val="21"/>
              </w:rPr>
            </w:pPr>
            <w:r>
              <w:rPr>
                <w:rFonts w:hint="eastAsia" w:ascii="宋体" w:hAnsi="宋体" w:cs="宋体"/>
                <w:color w:val="auto"/>
                <w:szCs w:val="21"/>
              </w:rPr>
              <w:t>1、应用层级：二层。</w:t>
            </w:r>
          </w:p>
          <w:p w14:paraId="118961FC">
            <w:pPr>
              <w:rPr>
                <w:rFonts w:hint="eastAsia" w:ascii="宋体" w:hAnsi="宋体" w:cs="宋体"/>
                <w:color w:val="auto"/>
                <w:szCs w:val="21"/>
              </w:rPr>
            </w:pPr>
            <w:r>
              <w:rPr>
                <w:rFonts w:hint="eastAsia" w:ascii="宋体" w:hAnsi="宋体" w:cs="宋体"/>
                <w:color w:val="auto"/>
                <w:szCs w:val="21"/>
              </w:rPr>
              <w:t>2、传输速率：10/100/1000Mbps。</w:t>
            </w:r>
          </w:p>
          <w:p w14:paraId="0F385CD4">
            <w:pPr>
              <w:rPr>
                <w:rFonts w:hint="eastAsia" w:ascii="宋体" w:hAnsi="宋体" w:cs="宋体"/>
                <w:color w:val="auto"/>
                <w:szCs w:val="21"/>
              </w:rPr>
            </w:pPr>
            <w:r>
              <w:rPr>
                <w:rFonts w:hint="eastAsia" w:ascii="宋体" w:hAnsi="宋体" w:cs="宋体"/>
                <w:color w:val="auto"/>
                <w:szCs w:val="21"/>
              </w:rPr>
              <w:t>3、交换方式：存储-转发。</w:t>
            </w:r>
          </w:p>
          <w:p w14:paraId="35E8BBF6">
            <w:pPr>
              <w:rPr>
                <w:rFonts w:hint="eastAsia" w:ascii="宋体" w:hAnsi="宋体" w:cs="宋体"/>
                <w:color w:val="auto"/>
                <w:szCs w:val="21"/>
              </w:rPr>
            </w:pPr>
            <w:r>
              <w:rPr>
                <w:rFonts w:hint="eastAsia" w:ascii="宋体" w:hAnsi="宋体" w:cs="宋体"/>
                <w:color w:val="auto"/>
                <w:szCs w:val="21"/>
              </w:rPr>
              <w:t>4、背板带宽：≥100Gbps。</w:t>
            </w:r>
          </w:p>
          <w:p w14:paraId="7F6BC26D">
            <w:pPr>
              <w:rPr>
                <w:rFonts w:hint="eastAsia" w:ascii="宋体" w:hAnsi="宋体" w:cs="宋体"/>
                <w:color w:val="auto"/>
                <w:szCs w:val="21"/>
              </w:rPr>
            </w:pPr>
            <w:r>
              <w:rPr>
                <w:rFonts w:hint="eastAsia" w:ascii="宋体" w:hAnsi="宋体" w:cs="宋体"/>
                <w:color w:val="auto"/>
                <w:szCs w:val="21"/>
              </w:rPr>
              <w:t>5、包转发率：≥90Mpps。</w:t>
            </w:r>
          </w:p>
          <w:p w14:paraId="604E68B3">
            <w:pPr>
              <w:rPr>
                <w:rFonts w:hint="eastAsia" w:ascii="宋体" w:hAnsi="宋体" w:cs="宋体"/>
                <w:color w:val="auto"/>
                <w:szCs w:val="21"/>
              </w:rPr>
            </w:pPr>
            <w:r>
              <w:rPr>
                <w:rFonts w:hint="eastAsia" w:ascii="宋体" w:hAnsi="宋体" w:cs="宋体"/>
                <w:color w:val="auto"/>
                <w:szCs w:val="21"/>
              </w:rPr>
              <w:t>6、端口结构：非模块化。</w:t>
            </w:r>
          </w:p>
          <w:p w14:paraId="2A2C4FC7">
            <w:pPr>
              <w:rPr>
                <w:rFonts w:hint="eastAsia" w:ascii="宋体" w:hAnsi="宋体" w:cs="宋体"/>
                <w:color w:val="auto"/>
                <w:szCs w:val="21"/>
              </w:rPr>
            </w:pPr>
            <w:r>
              <w:rPr>
                <w:rFonts w:hint="eastAsia" w:ascii="宋体" w:hAnsi="宋体" w:cs="宋体"/>
                <w:color w:val="auto"/>
                <w:szCs w:val="21"/>
              </w:rPr>
              <w:t>7、端口数量：24 个。</w:t>
            </w:r>
          </w:p>
          <w:p w14:paraId="28F31DCB">
            <w:pPr>
              <w:rPr>
                <w:rFonts w:hint="eastAsia" w:ascii="宋体" w:hAnsi="宋体" w:eastAsia="宋体" w:cs="宋体"/>
                <w:color w:val="auto"/>
                <w:szCs w:val="21"/>
                <w:lang w:eastAsia="zh-CN"/>
              </w:rPr>
            </w:pPr>
            <w:r>
              <w:rPr>
                <w:rFonts w:hint="eastAsia" w:ascii="宋体" w:hAnsi="宋体" w:cs="宋体"/>
                <w:color w:val="auto"/>
                <w:szCs w:val="21"/>
              </w:rPr>
              <w:t>8、端口描述：24 个10/100/1000Base-T 自适应以太网端口</w:t>
            </w:r>
            <w:r>
              <w:rPr>
                <w:rFonts w:hint="eastAsia" w:ascii="宋体" w:hAnsi="宋体" w:cs="宋体"/>
                <w:color w:val="auto"/>
                <w:szCs w:val="21"/>
                <w:lang w:eastAsia="zh-CN"/>
              </w:rPr>
              <w:t>。</w:t>
            </w:r>
          </w:p>
          <w:p w14:paraId="724BBE19">
            <w:pPr>
              <w:rPr>
                <w:rFonts w:hint="eastAsia" w:ascii="宋体" w:hAnsi="宋体" w:cs="宋体"/>
                <w:color w:val="auto"/>
                <w:szCs w:val="21"/>
              </w:rPr>
            </w:pPr>
            <w:r>
              <w:rPr>
                <w:rFonts w:hint="eastAsia" w:ascii="宋体" w:hAnsi="宋体" w:cs="宋体"/>
                <w:color w:val="auto"/>
                <w:szCs w:val="21"/>
              </w:rPr>
              <w:t>9、控制端口1个</w:t>
            </w:r>
            <w:r>
              <w:rPr>
                <w:rFonts w:hint="eastAsia" w:ascii="宋体" w:hAnsi="宋体" w:cs="宋体"/>
                <w:color w:val="auto"/>
                <w:szCs w:val="21"/>
                <w:lang w:eastAsia="zh-CN"/>
              </w:rPr>
              <w:t>：</w:t>
            </w:r>
            <w:r>
              <w:rPr>
                <w:rFonts w:hint="eastAsia" w:ascii="宋体" w:hAnsi="宋体" w:cs="宋体"/>
                <w:color w:val="auto"/>
                <w:szCs w:val="21"/>
              </w:rPr>
              <w:t xml:space="preserve"> Console 口。</w:t>
            </w:r>
          </w:p>
          <w:p w14:paraId="77283DA6">
            <w:pPr>
              <w:rPr>
                <w:rFonts w:ascii="宋体" w:hAnsi="宋体" w:cs="宋体"/>
                <w:color w:val="auto"/>
                <w:szCs w:val="21"/>
              </w:rPr>
            </w:pPr>
            <w:r>
              <w:rPr>
                <w:rFonts w:hint="eastAsia" w:ascii="宋体" w:hAnsi="宋体" w:cs="宋体"/>
                <w:color w:val="auto"/>
                <w:szCs w:val="21"/>
              </w:rPr>
              <w:t>10、传输模式：支持全双工。</w:t>
            </w:r>
          </w:p>
        </w:tc>
      </w:tr>
      <w:tr w14:paraId="07F7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1A65A3BB">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12</w:t>
            </w:r>
          </w:p>
        </w:tc>
        <w:tc>
          <w:tcPr>
            <w:tcW w:w="873" w:type="dxa"/>
            <w:vAlign w:val="center"/>
          </w:tcPr>
          <w:p w14:paraId="59EC7757">
            <w:pPr>
              <w:jc w:val="center"/>
              <w:rPr>
                <w:rFonts w:ascii="宋体" w:hAnsi="宋体" w:cs="宋体"/>
                <w:color w:val="auto"/>
                <w:szCs w:val="21"/>
              </w:rPr>
            </w:pPr>
            <w:r>
              <w:rPr>
                <w:rFonts w:hint="eastAsia" w:ascii="宋体" w:hAnsi="宋体" w:cs="宋体"/>
                <w:color w:val="auto"/>
                <w:kern w:val="0"/>
                <w:szCs w:val="21"/>
              </w:rPr>
              <w:t>400W星光级 POE摄像头</w:t>
            </w:r>
          </w:p>
        </w:tc>
        <w:tc>
          <w:tcPr>
            <w:tcW w:w="789" w:type="dxa"/>
            <w:vAlign w:val="center"/>
          </w:tcPr>
          <w:p w14:paraId="24A1528A">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16台</w:t>
            </w:r>
          </w:p>
        </w:tc>
        <w:tc>
          <w:tcPr>
            <w:tcW w:w="1275" w:type="dxa"/>
            <w:tcBorders>
              <w:right w:val="single" w:color="auto" w:sz="4" w:space="0"/>
            </w:tcBorders>
            <w:vAlign w:val="center"/>
          </w:tcPr>
          <w:p w14:paraId="44C582C2">
            <w:pPr>
              <w:jc w:val="center"/>
              <w:rPr>
                <w:rFonts w:ascii="宋体" w:hAnsi="宋体" w:cs="宋体"/>
                <w:color w:val="auto"/>
                <w:szCs w:val="21"/>
              </w:rPr>
            </w:pPr>
            <w:r>
              <w:rPr>
                <w:rFonts w:hint="eastAsia" w:ascii="宋体" w:hAnsi="宋体"/>
                <w:color w:val="auto"/>
                <w:szCs w:val="21"/>
              </w:rPr>
              <w:t>500.00</w:t>
            </w:r>
          </w:p>
        </w:tc>
        <w:tc>
          <w:tcPr>
            <w:tcW w:w="709" w:type="dxa"/>
            <w:tcBorders>
              <w:right w:val="single" w:color="auto" w:sz="4" w:space="0"/>
            </w:tcBorders>
            <w:vAlign w:val="center"/>
          </w:tcPr>
          <w:p w14:paraId="0ADE6DFB">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5FB84F95">
            <w:pPr>
              <w:rPr>
                <w:rFonts w:ascii="宋体" w:hAnsi="宋体" w:cs="宋体"/>
                <w:color w:val="auto"/>
                <w:szCs w:val="21"/>
              </w:rPr>
            </w:pPr>
            <w:r>
              <w:rPr>
                <w:rFonts w:hint="eastAsia" w:ascii="宋体" w:hAnsi="宋体" w:cs="宋体"/>
                <w:color w:val="auto"/>
                <w:szCs w:val="21"/>
              </w:rPr>
              <w:t>1、存储编码：H.264/H.265 存储方式。</w:t>
            </w:r>
          </w:p>
          <w:p w14:paraId="1AFAF256">
            <w:pPr>
              <w:rPr>
                <w:rFonts w:hint="eastAsia" w:ascii="宋体" w:hAnsi="宋体" w:cs="宋体"/>
                <w:color w:val="auto"/>
                <w:szCs w:val="21"/>
              </w:rPr>
            </w:pPr>
            <w:r>
              <w:rPr>
                <w:rFonts w:hint="eastAsia" w:ascii="宋体" w:hAnsi="宋体" w:cs="宋体"/>
                <w:color w:val="auto"/>
                <w:szCs w:val="21"/>
              </w:rPr>
              <w:t>2、硬盘焦距：2.8mm。</w:t>
            </w:r>
          </w:p>
          <w:p w14:paraId="17F97FBB">
            <w:pPr>
              <w:rPr>
                <w:rFonts w:hint="eastAsia" w:ascii="宋体" w:hAnsi="宋体" w:cs="宋体"/>
                <w:color w:val="auto"/>
                <w:szCs w:val="21"/>
              </w:rPr>
            </w:pPr>
            <w:r>
              <w:rPr>
                <w:rFonts w:hint="eastAsia" w:ascii="宋体" w:hAnsi="宋体" w:cs="宋体"/>
                <w:color w:val="auto"/>
                <w:szCs w:val="21"/>
              </w:rPr>
              <w:t>3、红外夜视距离：</w:t>
            </w:r>
            <w:r>
              <w:rPr>
                <w:rFonts w:hint="eastAsia" w:ascii="宋体" w:hAnsi="宋体" w:cs="宋体"/>
                <w:color w:val="auto"/>
                <w:szCs w:val="21"/>
                <w:lang w:val="en-US" w:eastAsia="zh-CN"/>
              </w:rPr>
              <w:t>≥</w:t>
            </w:r>
            <w:r>
              <w:rPr>
                <w:rFonts w:hint="eastAsia" w:ascii="宋体" w:hAnsi="宋体" w:cs="宋体"/>
                <w:color w:val="auto"/>
                <w:szCs w:val="21"/>
              </w:rPr>
              <w:t>30m。</w:t>
            </w:r>
          </w:p>
          <w:p w14:paraId="2505F20C">
            <w:pPr>
              <w:rPr>
                <w:rFonts w:hint="eastAsia" w:ascii="宋体" w:hAnsi="宋体" w:cs="宋体"/>
                <w:color w:val="auto"/>
                <w:szCs w:val="21"/>
              </w:rPr>
            </w:pPr>
            <w:r>
              <w:rPr>
                <w:rFonts w:hint="eastAsia" w:ascii="宋体" w:hAnsi="宋体" w:cs="宋体"/>
                <w:color w:val="auto"/>
                <w:szCs w:val="21"/>
              </w:rPr>
              <w:t>4、变倍变焦：不支持变倍变焦。</w:t>
            </w:r>
          </w:p>
          <w:p w14:paraId="0DC0BF97">
            <w:pPr>
              <w:rPr>
                <w:rFonts w:hint="eastAsia" w:ascii="宋体" w:hAnsi="宋体" w:cs="宋体"/>
                <w:color w:val="auto"/>
                <w:szCs w:val="21"/>
              </w:rPr>
            </w:pPr>
            <w:r>
              <w:rPr>
                <w:rFonts w:hint="eastAsia" w:ascii="宋体" w:hAnsi="宋体" w:cs="宋体"/>
                <w:color w:val="auto"/>
                <w:szCs w:val="21"/>
              </w:rPr>
              <w:t>5、供电方式：网线供电。</w:t>
            </w:r>
          </w:p>
          <w:p w14:paraId="6C8B99E6">
            <w:pPr>
              <w:rPr>
                <w:rFonts w:hint="eastAsia" w:ascii="宋体" w:hAnsi="宋体" w:cs="宋体"/>
                <w:color w:val="auto"/>
                <w:szCs w:val="21"/>
              </w:rPr>
            </w:pPr>
            <w:r>
              <w:rPr>
                <w:rFonts w:hint="eastAsia" w:ascii="宋体" w:hAnsi="宋体" w:cs="宋体"/>
                <w:color w:val="auto"/>
                <w:szCs w:val="21"/>
              </w:rPr>
              <w:t>6、夜视类型：全彩夜视。</w:t>
            </w:r>
          </w:p>
          <w:p w14:paraId="045EDFCD">
            <w:pPr>
              <w:rPr>
                <w:rFonts w:hint="eastAsia" w:ascii="宋体" w:hAnsi="宋体" w:cs="宋体"/>
                <w:color w:val="auto"/>
                <w:szCs w:val="21"/>
              </w:rPr>
            </w:pPr>
            <w:r>
              <w:rPr>
                <w:rFonts w:hint="eastAsia" w:ascii="宋体" w:hAnsi="宋体" w:cs="宋体"/>
                <w:color w:val="auto"/>
                <w:szCs w:val="21"/>
              </w:rPr>
              <w:t>7、探头个数：1 个。</w:t>
            </w:r>
          </w:p>
          <w:p w14:paraId="7BBB4D49">
            <w:pPr>
              <w:rPr>
                <w:rFonts w:hint="eastAsia" w:ascii="宋体" w:hAnsi="宋体" w:cs="宋体"/>
                <w:color w:val="auto"/>
                <w:szCs w:val="21"/>
              </w:rPr>
            </w:pPr>
            <w:r>
              <w:rPr>
                <w:rFonts w:hint="eastAsia" w:ascii="宋体" w:hAnsi="宋体" w:cs="宋体"/>
                <w:color w:val="auto"/>
                <w:szCs w:val="21"/>
              </w:rPr>
              <w:t>8、防水等级：IP66。</w:t>
            </w:r>
          </w:p>
          <w:p w14:paraId="06FC6A63">
            <w:pPr>
              <w:rPr>
                <w:rFonts w:hint="eastAsia" w:ascii="宋体" w:hAnsi="宋体" w:cs="宋体"/>
                <w:color w:val="auto"/>
                <w:szCs w:val="21"/>
              </w:rPr>
            </w:pPr>
            <w:r>
              <w:rPr>
                <w:rFonts w:hint="eastAsia" w:ascii="宋体" w:hAnsi="宋体" w:cs="宋体"/>
                <w:color w:val="auto"/>
                <w:szCs w:val="21"/>
              </w:rPr>
              <w:t>9、适用面积：40-80 ㎡。</w:t>
            </w:r>
          </w:p>
          <w:p w14:paraId="7E55DAA5">
            <w:pPr>
              <w:rPr>
                <w:rFonts w:hint="eastAsia" w:ascii="宋体" w:hAnsi="宋体" w:cs="宋体"/>
                <w:color w:val="auto"/>
                <w:szCs w:val="21"/>
              </w:rPr>
            </w:pPr>
            <w:r>
              <w:rPr>
                <w:rFonts w:hint="eastAsia" w:ascii="宋体" w:hAnsi="宋体" w:cs="宋体"/>
                <w:color w:val="auto"/>
                <w:szCs w:val="21"/>
              </w:rPr>
              <w:t>10、监控类型：半球监控。</w:t>
            </w:r>
          </w:p>
          <w:p w14:paraId="5C2FA6D6">
            <w:pPr>
              <w:rPr>
                <w:rFonts w:hint="eastAsia" w:ascii="宋体" w:hAnsi="宋体" w:cs="宋体"/>
                <w:color w:val="auto"/>
                <w:szCs w:val="21"/>
              </w:rPr>
            </w:pPr>
            <w:r>
              <w:rPr>
                <w:rFonts w:hint="eastAsia" w:ascii="宋体" w:hAnsi="宋体" w:cs="宋体"/>
                <w:color w:val="auto"/>
                <w:szCs w:val="21"/>
              </w:rPr>
              <w:t>11、语音类型：语音对讲。</w:t>
            </w:r>
          </w:p>
          <w:p w14:paraId="61FDE181">
            <w:pPr>
              <w:rPr>
                <w:rFonts w:hint="eastAsia" w:ascii="宋体" w:hAnsi="宋体" w:cs="宋体"/>
                <w:color w:val="auto"/>
                <w:szCs w:val="21"/>
              </w:rPr>
            </w:pPr>
            <w:r>
              <w:rPr>
                <w:rFonts w:hint="eastAsia" w:ascii="宋体" w:hAnsi="宋体" w:cs="宋体"/>
                <w:color w:val="auto"/>
                <w:szCs w:val="21"/>
              </w:rPr>
              <w:t>12、像素：400万。</w:t>
            </w:r>
          </w:p>
          <w:p w14:paraId="7AAE8BB4">
            <w:pPr>
              <w:rPr>
                <w:rFonts w:hint="eastAsia" w:ascii="宋体" w:hAnsi="宋体" w:cs="宋体"/>
                <w:color w:val="auto"/>
                <w:szCs w:val="21"/>
              </w:rPr>
            </w:pPr>
            <w:r>
              <w:rPr>
                <w:rFonts w:hint="eastAsia" w:ascii="宋体" w:hAnsi="宋体" w:cs="宋体"/>
                <w:color w:val="auto"/>
                <w:szCs w:val="21"/>
              </w:rPr>
              <w:t>13、智能识别：移动识别。</w:t>
            </w:r>
          </w:p>
          <w:p w14:paraId="5A847AA0">
            <w:pPr>
              <w:rPr>
                <w:rFonts w:ascii="宋体" w:hAnsi="宋体" w:cs="宋体"/>
                <w:color w:val="auto"/>
                <w:szCs w:val="21"/>
              </w:rPr>
            </w:pPr>
            <w:r>
              <w:rPr>
                <w:rFonts w:hint="eastAsia" w:ascii="宋体" w:hAnsi="宋体" w:cs="宋体"/>
                <w:color w:val="auto"/>
                <w:szCs w:val="21"/>
              </w:rPr>
              <w:t>14、供网方式：网线。</w:t>
            </w:r>
          </w:p>
        </w:tc>
      </w:tr>
      <w:tr w14:paraId="59E82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63B0E666">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13</w:t>
            </w:r>
          </w:p>
        </w:tc>
        <w:tc>
          <w:tcPr>
            <w:tcW w:w="873" w:type="dxa"/>
            <w:vAlign w:val="center"/>
          </w:tcPr>
          <w:p w14:paraId="3685D353">
            <w:pPr>
              <w:jc w:val="center"/>
              <w:rPr>
                <w:rFonts w:ascii="宋体" w:hAnsi="宋体" w:cs="宋体"/>
                <w:color w:val="auto"/>
                <w:szCs w:val="21"/>
              </w:rPr>
            </w:pPr>
            <w:r>
              <w:rPr>
                <w:rFonts w:hint="eastAsia" w:ascii="宋体" w:hAnsi="宋体" w:cs="宋体"/>
                <w:color w:val="auto"/>
                <w:kern w:val="0"/>
                <w:szCs w:val="21"/>
              </w:rPr>
              <w:t>NVR录像机</w:t>
            </w:r>
          </w:p>
        </w:tc>
        <w:tc>
          <w:tcPr>
            <w:tcW w:w="789" w:type="dxa"/>
            <w:vAlign w:val="center"/>
          </w:tcPr>
          <w:p w14:paraId="5BD3EEB9">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1275" w:type="dxa"/>
            <w:tcBorders>
              <w:right w:val="single" w:color="auto" w:sz="4" w:space="0"/>
            </w:tcBorders>
            <w:vAlign w:val="center"/>
          </w:tcPr>
          <w:p w14:paraId="2789729A">
            <w:pPr>
              <w:jc w:val="center"/>
              <w:rPr>
                <w:rFonts w:ascii="宋体" w:hAnsi="宋体" w:cs="宋体"/>
                <w:color w:val="auto"/>
                <w:szCs w:val="21"/>
              </w:rPr>
            </w:pPr>
            <w:r>
              <w:rPr>
                <w:rFonts w:hint="eastAsia" w:ascii="宋体" w:hAnsi="宋体"/>
                <w:color w:val="auto"/>
                <w:szCs w:val="21"/>
              </w:rPr>
              <w:t>6000.00</w:t>
            </w:r>
          </w:p>
        </w:tc>
        <w:tc>
          <w:tcPr>
            <w:tcW w:w="709" w:type="dxa"/>
            <w:tcBorders>
              <w:right w:val="single" w:color="auto" w:sz="4" w:space="0"/>
            </w:tcBorders>
            <w:vAlign w:val="center"/>
          </w:tcPr>
          <w:p w14:paraId="0CF6B96D">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4E18ED90">
            <w:pPr>
              <w:rPr>
                <w:rFonts w:hint="eastAsia" w:ascii="宋体" w:hAnsi="宋体" w:eastAsia="宋体" w:cs="宋体"/>
                <w:color w:val="auto"/>
                <w:szCs w:val="21"/>
                <w:lang w:eastAsia="zh-CN"/>
              </w:rPr>
            </w:pPr>
            <w:r>
              <w:rPr>
                <w:rFonts w:hint="eastAsia" w:ascii="宋体" w:hAnsi="宋体" w:cs="宋体"/>
                <w:color w:val="auto"/>
                <w:szCs w:val="21"/>
              </w:rPr>
              <w:t>1、规格：32路16盘位</w:t>
            </w:r>
            <w:r>
              <w:rPr>
                <w:rFonts w:hint="eastAsia" w:ascii="宋体" w:hAnsi="宋体" w:cs="宋体"/>
                <w:color w:val="auto"/>
                <w:szCs w:val="21"/>
                <w:lang w:eastAsia="zh-CN"/>
              </w:rPr>
              <w:t>。</w:t>
            </w:r>
          </w:p>
          <w:p w14:paraId="2B106CDC">
            <w:pPr>
              <w:rPr>
                <w:rFonts w:hint="eastAsia" w:ascii="宋体" w:hAnsi="宋体" w:cs="宋体"/>
                <w:color w:val="auto"/>
                <w:szCs w:val="21"/>
              </w:rPr>
            </w:pPr>
            <w:r>
              <w:rPr>
                <w:rFonts w:hint="eastAsia" w:ascii="宋体" w:hAnsi="宋体" w:cs="宋体"/>
                <w:color w:val="auto"/>
                <w:szCs w:val="21"/>
              </w:rPr>
              <w:t>2、功能特性可接驳符合 ONVIF、RTSP 标准及众多主流厂商的网络摄像机。</w:t>
            </w:r>
          </w:p>
          <w:p w14:paraId="1E7FF695">
            <w:pPr>
              <w:rPr>
                <w:rFonts w:hint="eastAsia" w:ascii="宋体" w:hAnsi="宋体" w:cs="宋体"/>
                <w:color w:val="auto"/>
                <w:szCs w:val="21"/>
              </w:rPr>
            </w:pPr>
            <w:r>
              <w:rPr>
                <w:rFonts w:hint="eastAsia" w:ascii="宋体" w:hAnsi="宋体" w:cs="宋体"/>
                <w:color w:val="auto"/>
                <w:szCs w:val="21"/>
              </w:rPr>
              <w:t>支持 H.265、H.264 编码前端自适 应接入。</w:t>
            </w:r>
          </w:p>
          <w:p w14:paraId="66A17660">
            <w:pPr>
              <w:rPr>
                <w:rFonts w:hint="eastAsia" w:ascii="宋体" w:hAnsi="宋体" w:cs="宋体"/>
                <w:color w:val="auto"/>
                <w:szCs w:val="21"/>
              </w:rPr>
            </w:pPr>
            <w:r>
              <w:rPr>
                <w:rFonts w:hint="eastAsia" w:ascii="宋体" w:hAnsi="宋体" w:cs="宋体"/>
                <w:color w:val="auto"/>
                <w:szCs w:val="21"/>
              </w:rPr>
              <w:t>支持 GB28181 协议。</w:t>
            </w:r>
          </w:p>
          <w:p w14:paraId="2F9C69C6">
            <w:pPr>
              <w:rPr>
                <w:rFonts w:hint="eastAsia" w:ascii="宋体" w:hAnsi="宋体" w:cs="宋体"/>
                <w:color w:val="auto"/>
                <w:szCs w:val="21"/>
              </w:rPr>
            </w:pPr>
            <w:r>
              <w:rPr>
                <w:rFonts w:hint="eastAsia" w:ascii="宋体" w:hAnsi="宋体" w:cs="宋体"/>
                <w:color w:val="auto"/>
                <w:szCs w:val="21"/>
              </w:rPr>
              <w:t>支持 24 个 SATA 接口，1 个 eSATA 盘库，可用于录像和备份。</w:t>
            </w:r>
          </w:p>
          <w:p w14:paraId="0370D60A">
            <w:pPr>
              <w:rPr>
                <w:rFonts w:hint="eastAsia" w:ascii="宋体" w:hAnsi="宋体" w:cs="宋体"/>
                <w:color w:val="auto"/>
                <w:szCs w:val="21"/>
              </w:rPr>
            </w:pPr>
            <w:r>
              <w:rPr>
                <w:rFonts w:hint="eastAsia" w:ascii="宋体" w:hAnsi="宋体" w:cs="宋体"/>
                <w:color w:val="auto"/>
                <w:szCs w:val="21"/>
              </w:rPr>
              <w:t>支持 RAID0、RAID1、RAID5、RAID6、 RAID10、RAID50、RAID60、JBOD，支持全局热备。</w:t>
            </w:r>
          </w:p>
          <w:p w14:paraId="4135DED4">
            <w:pPr>
              <w:rPr>
                <w:rFonts w:hint="eastAsia" w:ascii="宋体" w:hAnsi="宋体" w:cs="宋体"/>
                <w:color w:val="auto"/>
                <w:szCs w:val="21"/>
              </w:rPr>
            </w:pPr>
            <w:r>
              <w:rPr>
                <w:rFonts w:hint="eastAsia" w:ascii="宋体" w:hAnsi="宋体" w:cs="宋体"/>
                <w:color w:val="auto"/>
                <w:szCs w:val="21"/>
              </w:rPr>
              <w:t>支持硬盘配额、硬盘盘组两种存储模式。</w:t>
            </w:r>
          </w:p>
          <w:p w14:paraId="23544D28">
            <w:pPr>
              <w:rPr>
                <w:rFonts w:hint="eastAsia" w:ascii="宋体" w:hAnsi="宋体" w:cs="宋体"/>
                <w:color w:val="auto"/>
                <w:szCs w:val="21"/>
              </w:rPr>
            </w:pPr>
            <w:r>
              <w:rPr>
                <w:rFonts w:hint="eastAsia" w:ascii="宋体" w:hAnsi="宋体" w:cs="宋体"/>
                <w:color w:val="auto"/>
                <w:szCs w:val="21"/>
              </w:rPr>
              <w:t>支持重要录像文件加锁保护功能。</w:t>
            </w:r>
          </w:p>
          <w:p w14:paraId="0F7D5101">
            <w:pPr>
              <w:rPr>
                <w:rFonts w:hint="eastAsia" w:ascii="宋体" w:hAnsi="宋体" w:cs="宋体"/>
                <w:color w:val="auto"/>
                <w:szCs w:val="21"/>
              </w:rPr>
            </w:pPr>
            <w:r>
              <w:rPr>
                <w:rFonts w:hint="eastAsia" w:ascii="宋体" w:hAnsi="宋体" w:cs="宋体"/>
                <w:color w:val="auto"/>
                <w:szCs w:val="21"/>
              </w:rPr>
              <w:t>支持希捷酷鹰硬盘健康状态监测。</w:t>
            </w:r>
          </w:p>
          <w:p w14:paraId="09961D55">
            <w:pPr>
              <w:rPr>
                <w:rFonts w:hint="eastAsia" w:ascii="宋体" w:hAnsi="宋体" w:cs="宋体"/>
                <w:color w:val="auto"/>
                <w:szCs w:val="21"/>
              </w:rPr>
            </w:pPr>
            <w:r>
              <w:rPr>
                <w:rFonts w:hint="eastAsia" w:ascii="宋体" w:hAnsi="宋体" w:cs="宋体"/>
                <w:color w:val="auto"/>
                <w:szCs w:val="21"/>
              </w:rPr>
              <w:t>支持 IPC 集中管理，包括 IPC 参数配置、信息的导入/导出、语音对讲和升级等功能。</w:t>
            </w:r>
          </w:p>
          <w:p w14:paraId="3AC05542">
            <w:pPr>
              <w:rPr>
                <w:rFonts w:hint="eastAsia" w:ascii="宋体" w:hAnsi="宋体" w:cs="宋体"/>
                <w:color w:val="auto"/>
                <w:szCs w:val="21"/>
              </w:rPr>
            </w:pPr>
            <w:r>
              <w:rPr>
                <w:rFonts w:hint="eastAsia" w:ascii="宋体" w:hAnsi="宋体" w:cs="宋体"/>
                <w:color w:val="auto"/>
                <w:szCs w:val="21"/>
              </w:rPr>
              <w:t>4个千兆网口，支持网络容错、多址设定和负载均衡应用。</w:t>
            </w:r>
          </w:p>
          <w:p w14:paraId="6362564F">
            <w:pPr>
              <w:rPr>
                <w:rFonts w:hint="eastAsia" w:ascii="宋体" w:hAnsi="宋体" w:cs="宋体"/>
                <w:color w:val="auto"/>
                <w:szCs w:val="21"/>
              </w:rPr>
            </w:pPr>
            <w:r>
              <w:rPr>
                <w:rFonts w:hint="eastAsia" w:ascii="宋体" w:hAnsi="宋体" w:cs="宋体"/>
                <w:color w:val="auto"/>
                <w:szCs w:val="21"/>
              </w:rPr>
              <w:t>支持网络检测（网络流量监控、网络抓包、网络通畅）功能。</w:t>
            </w:r>
          </w:p>
          <w:p w14:paraId="5FFFEB8B">
            <w:pPr>
              <w:rPr>
                <w:rFonts w:ascii="宋体" w:hAnsi="宋体" w:cs="宋体"/>
                <w:color w:val="auto"/>
                <w:szCs w:val="21"/>
              </w:rPr>
            </w:pPr>
            <w:r>
              <w:rPr>
                <w:rFonts w:hint="eastAsia" w:ascii="宋体" w:hAnsi="宋体" w:cs="宋体"/>
                <w:color w:val="auto"/>
                <w:szCs w:val="21"/>
              </w:rPr>
              <w:t>支持4K高清网络视频的预览、存储与回放。</w:t>
            </w:r>
          </w:p>
        </w:tc>
      </w:tr>
      <w:tr w14:paraId="298AE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446A2D9F">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14</w:t>
            </w:r>
          </w:p>
        </w:tc>
        <w:tc>
          <w:tcPr>
            <w:tcW w:w="873" w:type="dxa"/>
            <w:vAlign w:val="center"/>
          </w:tcPr>
          <w:p w14:paraId="19017E82">
            <w:pPr>
              <w:jc w:val="center"/>
              <w:rPr>
                <w:rFonts w:ascii="宋体" w:hAnsi="宋体" w:cs="宋体"/>
                <w:color w:val="auto"/>
                <w:kern w:val="0"/>
                <w:szCs w:val="21"/>
              </w:rPr>
            </w:pPr>
            <w:r>
              <w:rPr>
                <w:rFonts w:hint="eastAsia" w:ascii="宋体" w:hAnsi="宋体" w:cs="宋体"/>
                <w:color w:val="auto"/>
                <w:kern w:val="0"/>
                <w:szCs w:val="21"/>
              </w:rPr>
              <w:t>企业级</w:t>
            </w:r>
          </w:p>
          <w:p w14:paraId="3E18D8EB">
            <w:pPr>
              <w:jc w:val="center"/>
              <w:rPr>
                <w:rFonts w:ascii="宋体" w:hAnsi="宋体" w:cs="宋体"/>
                <w:color w:val="auto"/>
                <w:szCs w:val="21"/>
              </w:rPr>
            </w:pPr>
            <w:r>
              <w:rPr>
                <w:rFonts w:hint="eastAsia" w:ascii="宋体" w:hAnsi="宋体" w:cs="宋体"/>
                <w:color w:val="auto"/>
                <w:kern w:val="0"/>
                <w:szCs w:val="21"/>
              </w:rPr>
              <w:t>监控硬盘</w:t>
            </w:r>
          </w:p>
        </w:tc>
        <w:tc>
          <w:tcPr>
            <w:tcW w:w="789" w:type="dxa"/>
            <w:vAlign w:val="center"/>
          </w:tcPr>
          <w:p w14:paraId="43552402">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16块</w:t>
            </w:r>
          </w:p>
        </w:tc>
        <w:tc>
          <w:tcPr>
            <w:tcW w:w="1275" w:type="dxa"/>
            <w:tcBorders>
              <w:right w:val="single" w:color="auto" w:sz="4" w:space="0"/>
            </w:tcBorders>
            <w:vAlign w:val="center"/>
          </w:tcPr>
          <w:p w14:paraId="79B18224">
            <w:pPr>
              <w:jc w:val="center"/>
              <w:rPr>
                <w:rFonts w:ascii="宋体" w:hAnsi="宋体" w:cs="宋体"/>
                <w:color w:val="auto"/>
                <w:szCs w:val="21"/>
              </w:rPr>
            </w:pPr>
            <w:r>
              <w:rPr>
                <w:rFonts w:hint="eastAsia" w:ascii="宋体" w:hAnsi="宋体"/>
                <w:color w:val="auto"/>
                <w:szCs w:val="21"/>
              </w:rPr>
              <w:t>2000.00</w:t>
            </w:r>
          </w:p>
        </w:tc>
        <w:tc>
          <w:tcPr>
            <w:tcW w:w="709" w:type="dxa"/>
            <w:tcBorders>
              <w:right w:val="single" w:color="auto" w:sz="4" w:space="0"/>
            </w:tcBorders>
            <w:vAlign w:val="center"/>
          </w:tcPr>
          <w:p w14:paraId="343A9EBA">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08C8E8A5">
            <w:pPr>
              <w:rPr>
                <w:rFonts w:ascii="宋体" w:hAnsi="宋体" w:cs="宋体"/>
                <w:color w:val="auto"/>
                <w:szCs w:val="21"/>
              </w:rPr>
            </w:pPr>
            <w:r>
              <w:rPr>
                <w:rFonts w:hint="eastAsia" w:ascii="宋体" w:hAnsi="宋体" w:cs="宋体"/>
                <w:color w:val="auto"/>
                <w:szCs w:val="21"/>
              </w:rPr>
              <w:t>1、容量：10TB。</w:t>
            </w:r>
          </w:p>
          <w:p w14:paraId="617EA2DD">
            <w:pPr>
              <w:rPr>
                <w:rFonts w:hint="eastAsia" w:ascii="宋体" w:hAnsi="宋体" w:cs="宋体"/>
                <w:color w:val="auto"/>
                <w:szCs w:val="21"/>
              </w:rPr>
            </w:pPr>
            <w:r>
              <w:rPr>
                <w:rFonts w:hint="eastAsia" w:ascii="宋体" w:hAnsi="宋体" w:cs="宋体"/>
                <w:color w:val="auto"/>
                <w:szCs w:val="21"/>
              </w:rPr>
              <w:t>2、接口：SATA。</w:t>
            </w:r>
          </w:p>
          <w:p w14:paraId="351A4841">
            <w:pPr>
              <w:rPr>
                <w:rFonts w:hint="eastAsia" w:ascii="宋体" w:hAnsi="宋体" w:cs="宋体"/>
                <w:color w:val="auto"/>
                <w:szCs w:val="21"/>
              </w:rPr>
            </w:pPr>
            <w:r>
              <w:rPr>
                <w:rFonts w:hint="eastAsia" w:ascii="宋体" w:hAnsi="宋体" w:cs="宋体"/>
                <w:color w:val="auto"/>
                <w:szCs w:val="21"/>
              </w:rPr>
              <w:t>3、接口转速：7200rpm。</w:t>
            </w:r>
          </w:p>
          <w:p w14:paraId="0D92D09B">
            <w:pPr>
              <w:rPr>
                <w:rFonts w:hint="eastAsia" w:ascii="宋体" w:hAnsi="宋体" w:cs="宋体"/>
                <w:color w:val="auto"/>
                <w:szCs w:val="21"/>
              </w:rPr>
            </w:pPr>
            <w:r>
              <w:rPr>
                <w:rFonts w:hint="eastAsia" w:ascii="宋体" w:hAnsi="宋体" w:cs="宋体"/>
                <w:color w:val="auto"/>
                <w:szCs w:val="21"/>
              </w:rPr>
              <w:t>4、缓存：256MB。</w:t>
            </w:r>
          </w:p>
          <w:p w14:paraId="054E022B">
            <w:pPr>
              <w:rPr>
                <w:rFonts w:hint="eastAsia" w:ascii="宋体" w:hAnsi="宋体" w:cs="宋体"/>
                <w:color w:val="auto"/>
                <w:szCs w:val="21"/>
              </w:rPr>
            </w:pPr>
            <w:r>
              <w:rPr>
                <w:rFonts w:hint="eastAsia" w:ascii="宋体" w:hAnsi="宋体" w:cs="宋体"/>
                <w:color w:val="auto"/>
                <w:szCs w:val="21"/>
              </w:rPr>
              <w:t>5、硬盘尺寸：3.5 英寸。</w:t>
            </w:r>
          </w:p>
          <w:p w14:paraId="30A9A621">
            <w:pPr>
              <w:rPr>
                <w:rFonts w:ascii="宋体" w:hAnsi="宋体" w:cs="宋体"/>
                <w:color w:val="auto"/>
                <w:szCs w:val="21"/>
              </w:rPr>
            </w:pPr>
            <w:r>
              <w:rPr>
                <w:rFonts w:hint="eastAsia" w:ascii="宋体" w:hAnsi="宋体" w:cs="宋体"/>
                <w:color w:val="auto"/>
                <w:szCs w:val="21"/>
              </w:rPr>
              <w:t>6、硬盘类型：企业级监控硬盘。</w:t>
            </w:r>
          </w:p>
        </w:tc>
      </w:tr>
      <w:tr w14:paraId="6C289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2" w:hRule="atLeast"/>
          <w:jc w:val="center"/>
        </w:trPr>
        <w:tc>
          <w:tcPr>
            <w:tcW w:w="485" w:type="dxa"/>
            <w:vAlign w:val="center"/>
          </w:tcPr>
          <w:p w14:paraId="2544E45F">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15</w:t>
            </w:r>
          </w:p>
        </w:tc>
        <w:tc>
          <w:tcPr>
            <w:tcW w:w="873" w:type="dxa"/>
            <w:vAlign w:val="center"/>
          </w:tcPr>
          <w:p w14:paraId="6D5FD318">
            <w:pPr>
              <w:jc w:val="center"/>
              <w:rPr>
                <w:rFonts w:hint="eastAsia" w:ascii="宋体" w:hAnsi="宋体" w:cs="宋体"/>
                <w:color w:val="auto"/>
                <w:kern w:val="0"/>
                <w:szCs w:val="21"/>
              </w:rPr>
            </w:pPr>
            <w:r>
              <w:rPr>
                <w:rFonts w:hint="eastAsia" w:ascii="宋体" w:hAnsi="宋体" w:cs="宋体"/>
                <w:color w:val="auto"/>
                <w:kern w:val="0"/>
                <w:szCs w:val="21"/>
              </w:rPr>
              <w:t>屏蔽</w:t>
            </w:r>
          </w:p>
          <w:p w14:paraId="3C6766C7">
            <w:pPr>
              <w:jc w:val="center"/>
              <w:rPr>
                <w:rFonts w:hint="eastAsia" w:ascii="宋体" w:hAnsi="宋体" w:eastAsia="宋体" w:cs="宋体"/>
                <w:color w:val="0000FF"/>
                <w:szCs w:val="21"/>
                <w:lang w:eastAsia="zh-CN"/>
              </w:rPr>
            </w:pPr>
            <w:r>
              <w:rPr>
                <w:rFonts w:hint="eastAsia" w:ascii="宋体" w:hAnsi="宋体" w:cs="宋体"/>
                <w:color w:val="auto"/>
                <w:szCs w:val="21"/>
                <w:lang w:eastAsia="zh-CN"/>
              </w:rPr>
              <w:t>墙</w:t>
            </w:r>
          </w:p>
        </w:tc>
        <w:tc>
          <w:tcPr>
            <w:tcW w:w="789" w:type="dxa"/>
            <w:vAlign w:val="center"/>
          </w:tcPr>
          <w:p w14:paraId="3743E6A5">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250㎡</w:t>
            </w:r>
          </w:p>
        </w:tc>
        <w:tc>
          <w:tcPr>
            <w:tcW w:w="1275" w:type="dxa"/>
            <w:tcBorders>
              <w:right w:val="single" w:color="auto" w:sz="4" w:space="0"/>
            </w:tcBorders>
            <w:vAlign w:val="center"/>
          </w:tcPr>
          <w:p w14:paraId="6121E2B9">
            <w:pPr>
              <w:jc w:val="center"/>
              <w:rPr>
                <w:rFonts w:ascii="宋体" w:hAnsi="宋体" w:cs="宋体"/>
                <w:color w:val="auto"/>
                <w:szCs w:val="21"/>
              </w:rPr>
            </w:pPr>
            <w:r>
              <w:rPr>
                <w:rFonts w:hint="eastAsia" w:ascii="宋体" w:hAnsi="宋体"/>
                <w:color w:val="auto"/>
                <w:szCs w:val="21"/>
              </w:rPr>
              <w:t>520.00</w:t>
            </w:r>
          </w:p>
        </w:tc>
        <w:tc>
          <w:tcPr>
            <w:tcW w:w="709" w:type="dxa"/>
            <w:tcBorders>
              <w:right w:val="single" w:color="auto" w:sz="4" w:space="0"/>
            </w:tcBorders>
            <w:vAlign w:val="center"/>
          </w:tcPr>
          <w:p w14:paraId="75BC2E8B">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098DD38D">
            <w:pPr>
              <w:rPr>
                <w:rFonts w:hint="eastAsia" w:ascii="宋体" w:hAnsi="宋体" w:cs="宋体"/>
                <w:color w:val="auto"/>
                <w:szCs w:val="21"/>
              </w:rPr>
            </w:pPr>
            <w:bookmarkStart w:id="35" w:name="OLE_LINK23"/>
            <w:bookmarkStart w:id="36" w:name="OLE_LINK24"/>
            <w:r>
              <w:rPr>
                <w:rFonts w:hint="eastAsia" w:ascii="宋体" w:hAnsi="宋体" w:cs="宋体"/>
                <w:color w:val="auto"/>
                <w:szCs w:val="21"/>
              </w:rPr>
              <w:t>1、封闭候考区四周墙面，总面积 250 ㎡，设置一级候考区（待考区）和二级候考区（准备区）。</w:t>
            </w:r>
            <w:r>
              <w:rPr>
                <w:rFonts w:hint="eastAsia" w:ascii="宋体" w:hAnsi="宋体" w:cs="宋体"/>
                <w:color w:val="auto"/>
                <w:szCs w:val="21"/>
                <w:lang w:eastAsia="zh-CN"/>
              </w:rPr>
              <w:t>【</w:t>
            </w:r>
            <w:r>
              <w:rPr>
                <w:rFonts w:hint="eastAsia" w:ascii="宋体" w:hAnsi="宋体" w:cs="宋体"/>
                <w:color w:val="auto"/>
                <w:szCs w:val="21"/>
              </w:rPr>
              <w:t>休息座椅、饮水机、 储物柜、公告屏</w:t>
            </w:r>
            <w:r>
              <w:rPr>
                <w:rFonts w:hint="eastAsia" w:ascii="宋体" w:hAnsi="宋体" w:cs="宋体"/>
                <w:color w:val="auto"/>
                <w:szCs w:val="21"/>
                <w:lang w:val="en-US" w:eastAsia="zh-CN"/>
              </w:rPr>
              <w:t>等设备利旧</w:t>
            </w:r>
            <w:r>
              <w:rPr>
                <w:rFonts w:hint="eastAsia" w:ascii="宋体" w:hAnsi="宋体" w:cs="宋体"/>
                <w:color w:val="auto"/>
                <w:szCs w:val="21"/>
                <w:lang w:eastAsia="zh-CN"/>
              </w:rPr>
              <w:t>】</w:t>
            </w:r>
          </w:p>
          <w:p w14:paraId="773DD31D">
            <w:pPr>
              <w:rPr>
                <w:rFonts w:hint="eastAsia" w:ascii="宋体" w:hAnsi="宋体" w:cs="宋体"/>
                <w:color w:val="auto"/>
                <w:szCs w:val="21"/>
              </w:rPr>
            </w:pPr>
            <w:r>
              <w:rPr>
                <w:rFonts w:hint="eastAsia" w:ascii="宋体" w:hAnsi="宋体" w:cs="宋体"/>
                <w:color w:val="auto"/>
                <w:szCs w:val="21"/>
              </w:rPr>
              <w:t>2、信号屏蔽：墙面及顶面铺设镀锌屏蔽网，夹层厚度≥0.5mm屏蔽频率范围 30MHz-6GHz（覆盖 2G/3G/4G/5G、Wi-Fi、蓝牙等）。</w:t>
            </w:r>
          </w:p>
          <w:p w14:paraId="4CB53E39">
            <w:pPr>
              <w:rPr>
                <w:rFonts w:hint="eastAsia" w:ascii="宋体" w:hAnsi="宋体" w:cs="宋体"/>
                <w:color w:val="auto"/>
                <w:szCs w:val="21"/>
              </w:rPr>
            </w:pPr>
            <w:r>
              <w:rPr>
                <w:rFonts w:hint="eastAsia" w:ascii="宋体" w:hAnsi="宋体" w:cs="宋体"/>
                <w:color w:val="auto"/>
                <w:szCs w:val="21"/>
              </w:rPr>
              <w:t>3、无障碍设施：设置残疾人专用考位（面积≥2 ㎡）。</w:t>
            </w:r>
          </w:p>
          <w:p w14:paraId="421870DB">
            <w:pPr>
              <w:rPr>
                <w:rFonts w:hint="eastAsia" w:ascii="宋体" w:hAnsi="宋体" w:cs="宋体"/>
                <w:color w:val="auto"/>
                <w:szCs w:val="21"/>
              </w:rPr>
            </w:pPr>
            <w:r>
              <w:rPr>
                <w:rFonts w:hint="eastAsia" w:ascii="宋体" w:hAnsi="宋体" w:cs="宋体"/>
                <w:color w:val="auto"/>
                <w:szCs w:val="21"/>
              </w:rPr>
              <w:t>4、防作弊设备：</w:t>
            </w:r>
          </w:p>
          <w:p w14:paraId="294D0E2C">
            <w:pPr>
              <w:rPr>
                <w:rFonts w:hint="eastAsia" w:ascii="宋体" w:hAnsi="宋体" w:cs="宋体"/>
                <w:color w:val="auto"/>
                <w:szCs w:val="21"/>
              </w:rPr>
            </w:pPr>
            <w:r>
              <w:rPr>
                <w:rFonts w:hint="eastAsia" w:ascii="宋体" w:hAnsi="宋体" w:cs="宋体"/>
                <w:color w:val="auto"/>
                <w:szCs w:val="21"/>
              </w:rPr>
              <w:t>4.1、金属探测门：入口处安装，检测考生携带电子设备。</w:t>
            </w:r>
          </w:p>
          <w:p w14:paraId="409B3739">
            <w:pPr>
              <w:rPr>
                <w:rFonts w:ascii="宋体" w:hAnsi="宋体" w:cs="宋体"/>
                <w:color w:val="auto"/>
                <w:szCs w:val="21"/>
              </w:rPr>
            </w:pPr>
            <w:r>
              <w:rPr>
                <w:rFonts w:hint="eastAsia" w:ascii="宋体" w:hAnsi="宋体" w:cs="宋体"/>
                <w:color w:val="auto"/>
                <w:szCs w:val="21"/>
              </w:rPr>
              <w:t>4.2、无线信号屏蔽器：覆盖考场全 域，发射功率 ≥10W ，阻断所有频段通信。</w:t>
            </w:r>
            <w:bookmarkEnd w:id="35"/>
            <w:bookmarkEnd w:id="36"/>
          </w:p>
        </w:tc>
      </w:tr>
      <w:tr w14:paraId="02B1D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2C4C4A07">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16</w:t>
            </w:r>
          </w:p>
        </w:tc>
        <w:tc>
          <w:tcPr>
            <w:tcW w:w="873" w:type="dxa"/>
            <w:vAlign w:val="center"/>
          </w:tcPr>
          <w:p w14:paraId="3837C170">
            <w:pPr>
              <w:jc w:val="center"/>
              <w:rPr>
                <w:rFonts w:ascii="宋体" w:hAnsi="宋体" w:cs="宋体"/>
                <w:color w:val="auto"/>
                <w:szCs w:val="21"/>
              </w:rPr>
            </w:pPr>
            <w:r>
              <w:rPr>
                <w:rFonts w:hint="eastAsia" w:ascii="宋体" w:hAnsi="宋体" w:cs="宋体"/>
                <w:color w:val="auto"/>
                <w:kern w:val="0"/>
                <w:szCs w:val="21"/>
              </w:rPr>
              <w:t>考场静电地板</w:t>
            </w:r>
          </w:p>
        </w:tc>
        <w:tc>
          <w:tcPr>
            <w:tcW w:w="789" w:type="dxa"/>
            <w:vAlign w:val="center"/>
          </w:tcPr>
          <w:p w14:paraId="65869DF6">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280㎡</w:t>
            </w:r>
          </w:p>
        </w:tc>
        <w:tc>
          <w:tcPr>
            <w:tcW w:w="1275" w:type="dxa"/>
            <w:tcBorders>
              <w:right w:val="single" w:color="auto" w:sz="4" w:space="0"/>
            </w:tcBorders>
            <w:vAlign w:val="center"/>
          </w:tcPr>
          <w:p w14:paraId="056CB309">
            <w:pPr>
              <w:jc w:val="center"/>
              <w:rPr>
                <w:rFonts w:ascii="宋体" w:hAnsi="宋体" w:cs="宋体"/>
                <w:color w:val="auto"/>
                <w:szCs w:val="21"/>
              </w:rPr>
            </w:pPr>
            <w:r>
              <w:rPr>
                <w:rFonts w:hint="eastAsia" w:ascii="宋体" w:hAnsi="宋体"/>
                <w:color w:val="auto"/>
                <w:szCs w:val="21"/>
              </w:rPr>
              <w:t>90.00</w:t>
            </w:r>
          </w:p>
        </w:tc>
        <w:tc>
          <w:tcPr>
            <w:tcW w:w="709" w:type="dxa"/>
            <w:tcBorders>
              <w:right w:val="single" w:color="auto" w:sz="4" w:space="0"/>
            </w:tcBorders>
            <w:vAlign w:val="center"/>
          </w:tcPr>
          <w:p w14:paraId="5914EE25">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28B21F93">
            <w:pPr>
              <w:rPr>
                <w:rFonts w:ascii="宋体" w:hAnsi="宋体" w:cs="宋体"/>
                <w:color w:val="auto"/>
                <w:szCs w:val="21"/>
              </w:rPr>
            </w:pPr>
            <w:bookmarkStart w:id="37" w:name="OLE_LINK26"/>
            <w:bookmarkStart w:id="38" w:name="OLE_LINK25"/>
            <w:r>
              <w:rPr>
                <w:rFonts w:hint="eastAsia" w:ascii="宋体" w:hAnsi="宋体" w:cs="宋体"/>
                <w:color w:val="auto"/>
                <w:szCs w:val="21"/>
              </w:rPr>
              <w:t>国标全钢防静电地板（28</w:t>
            </w:r>
            <w:r>
              <w:rPr>
                <w:rFonts w:hint="eastAsia" w:ascii="宋体" w:hAnsi="宋体" w:cs="宋体"/>
                <w:color w:val="auto"/>
                <w:szCs w:val="21"/>
                <w:lang w:val="en-US" w:eastAsia="zh-CN"/>
              </w:rPr>
              <w:t>0</w:t>
            </w:r>
            <w:r>
              <w:rPr>
                <w:rFonts w:hint="eastAsia" w:ascii="宋体" w:hAnsi="宋体" w:cs="宋体"/>
                <w:color w:val="auto"/>
                <w:szCs w:val="21"/>
              </w:rPr>
              <w:t>㎡含人工施工）</w:t>
            </w:r>
          </w:p>
          <w:p w14:paraId="0B1FCC6C">
            <w:pPr>
              <w:rPr>
                <w:rFonts w:hint="eastAsia" w:ascii="宋体" w:hAnsi="宋体" w:cs="宋体"/>
                <w:color w:val="auto"/>
                <w:szCs w:val="21"/>
              </w:rPr>
            </w:pPr>
            <w:r>
              <w:rPr>
                <w:rFonts w:hint="eastAsia" w:ascii="宋体" w:hAnsi="宋体" w:cs="宋体"/>
                <w:color w:val="auto"/>
                <w:szCs w:val="21"/>
              </w:rPr>
              <w:t>1、规格：600</w:t>
            </w:r>
            <w:r>
              <w:rPr>
                <w:rFonts w:hint="eastAsia" w:ascii="宋体" w:hAnsi="宋体" w:cs="宋体"/>
                <w:color w:val="auto"/>
                <w:szCs w:val="21"/>
                <w:lang w:val="en-US" w:eastAsia="zh-CN"/>
              </w:rPr>
              <w:t>mm</w:t>
            </w:r>
            <w:r>
              <w:rPr>
                <w:rFonts w:hint="eastAsia" w:ascii="宋体" w:hAnsi="宋体" w:cs="宋体"/>
                <w:color w:val="auto"/>
                <w:szCs w:val="21"/>
              </w:rPr>
              <w:t>*600</w:t>
            </w:r>
            <w:r>
              <w:rPr>
                <w:rFonts w:hint="eastAsia" w:ascii="宋体" w:hAnsi="宋体" w:cs="宋体"/>
                <w:color w:val="auto"/>
                <w:szCs w:val="21"/>
                <w:lang w:val="en-US" w:eastAsia="zh-CN"/>
              </w:rPr>
              <w:t>mm</w:t>
            </w:r>
            <w:r>
              <w:rPr>
                <w:rFonts w:hint="eastAsia" w:ascii="宋体" w:hAnsi="宋体" w:cs="宋体"/>
                <w:color w:val="auto"/>
                <w:szCs w:val="21"/>
              </w:rPr>
              <w:t>。</w:t>
            </w:r>
          </w:p>
          <w:p w14:paraId="5672A3B0">
            <w:pPr>
              <w:rPr>
                <w:rFonts w:hint="eastAsia" w:ascii="宋体" w:hAnsi="宋体" w:cs="宋体"/>
                <w:color w:val="auto"/>
                <w:szCs w:val="21"/>
              </w:rPr>
            </w:pPr>
            <w:r>
              <w:rPr>
                <w:rFonts w:hint="eastAsia" w:ascii="宋体" w:hAnsi="宋体" w:cs="宋体"/>
                <w:color w:val="auto"/>
                <w:szCs w:val="21"/>
              </w:rPr>
              <w:t>2、材质：全钢材质。</w:t>
            </w:r>
          </w:p>
          <w:p w14:paraId="25C861AD">
            <w:pPr>
              <w:rPr>
                <w:rFonts w:hint="eastAsia" w:ascii="宋体" w:hAnsi="宋体" w:cs="宋体"/>
                <w:color w:val="auto"/>
                <w:szCs w:val="21"/>
              </w:rPr>
            </w:pPr>
            <w:r>
              <w:rPr>
                <w:rFonts w:hint="eastAsia" w:ascii="宋体" w:hAnsi="宋体" w:cs="宋体"/>
                <w:color w:val="auto"/>
                <w:szCs w:val="21"/>
              </w:rPr>
              <w:t>3、表面处理：PVC/HPL/陶瓷砖面。</w:t>
            </w:r>
          </w:p>
          <w:p w14:paraId="0ED53592">
            <w:pPr>
              <w:rPr>
                <w:rFonts w:ascii="宋体" w:hAnsi="宋体" w:cs="宋体"/>
                <w:color w:val="auto"/>
                <w:szCs w:val="21"/>
              </w:rPr>
            </w:pPr>
            <w:r>
              <w:rPr>
                <w:rFonts w:hint="eastAsia" w:ascii="宋体" w:hAnsi="宋体" w:cs="宋体"/>
                <w:color w:val="auto"/>
                <w:szCs w:val="21"/>
              </w:rPr>
              <w:t>4、架空高度：20CM（600mm 规格）。</w:t>
            </w:r>
            <w:bookmarkEnd w:id="37"/>
            <w:bookmarkEnd w:id="38"/>
          </w:p>
        </w:tc>
      </w:tr>
      <w:tr w14:paraId="3ABD9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3" w:hRule="atLeast"/>
          <w:jc w:val="center"/>
        </w:trPr>
        <w:tc>
          <w:tcPr>
            <w:tcW w:w="485" w:type="dxa"/>
            <w:vAlign w:val="center"/>
          </w:tcPr>
          <w:p w14:paraId="2474635B">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17</w:t>
            </w:r>
          </w:p>
        </w:tc>
        <w:tc>
          <w:tcPr>
            <w:tcW w:w="873" w:type="dxa"/>
            <w:vAlign w:val="center"/>
          </w:tcPr>
          <w:p w14:paraId="1946D8C2">
            <w:pPr>
              <w:jc w:val="center"/>
              <w:rPr>
                <w:rFonts w:ascii="宋体" w:hAnsi="宋体" w:cs="宋体"/>
                <w:color w:val="auto"/>
                <w:kern w:val="0"/>
                <w:szCs w:val="21"/>
              </w:rPr>
            </w:pPr>
            <w:r>
              <w:rPr>
                <w:rFonts w:hint="eastAsia" w:ascii="宋体" w:hAnsi="宋体" w:cs="宋体"/>
                <w:color w:val="auto"/>
                <w:kern w:val="0"/>
                <w:szCs w:val="21"/>
              </w:rPr>
              <w:t>UPS不间断</w:t>
            </w:r>
          </w:p>
          <w:p w14:paraId="186B9778">
            <w:pPr>
              <w:jc w:val="center"/>
              <w:rPr>
                <w:rFonts w:ascii="宋体" w:hAnsi="宋体" w:cs="宋体"/>
                <w:color w:val="auto"/>
                <w:szCs w:val="21"/>
              </w:rPr>
            </w:pPr>
            <w:r>
              <w:rPr>
                <w:rFonts w:hint="eastAsia" w:ascii="宋体" w:hAnsi="宋体" w:cs="宋体"/>
                <w:color w:val="auto"/>
                <w:kern w:val="0"/>
                <w:szCs w:val="21"/>
              </w:rPr>
              <w:t>电源主机</w:t>
            </w:r>
          </w:p>
        </w:tc>
        <w:tc>
          <w:tcPr>
            <w:tcW w:w="789" w:type="dxa"/>
            <w:vAlign w:val="center"/>
          </w:tcPr>
          <w:p w14:paraId="7A2667F7">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1台</w:t>
            </w:r>
          </w:p>
        </w:tc>
        <w:tc>
          <w:tcPr>
            <w:tcW w:w="1275" w:type="dxa"/>
            <w:tcBorders>
              <w:right w:val="single" w:color="auto" w:sz="4" w:space="0"/>
            </w:tcBorders>
            <w:vAlign w:val="center"/>
          </w:tcPr>
          <w:p w14:paraId="6A687ECD">
            <w:pPr>
              <w:jc w:val="center"/>
              <w:rPr>
                <w:rFonts w:ascii="宋体" w:hAnsi="宋体" w:cs="宋体"/>
                <w:color w:val="auto"/>
                <w:szCs w:val="21"/>
              </w:rPr>
            </w:pPr>
            <w:r>
              <w:rPr>
                <w:rFonts w:hint="eastAsia" w:ascii="宋体" w:hAnsi="宋体"/>
                <w:color w:val="auto"/>
                <w:szCs w:val="21"/>
              </w:rPr>
              <w:t>5500.00</w:t>
            </w:r>
          </w:p>
        </w:tc>
        <w:tc>
          <w:tcPr>
            <w:tcW w:w="709" w:type="dxa"/>
            <w:tcBorders>
              <w:right w:val="single" w:color="auto" w:sz="4" w:space="0"/>
            </w:tcBorders>
            <w:vAlign w:val="center"/>
          </w:tcPr>
          <w:p w14:paraId="2F123F2E">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7FBCB601">
            <w:pPr>
              <w:rPr>
                <w:rFonts w:ascii="宋体" w:hAnsi="宋体" w:cs="宋体"/>
                <w:color w:val="auto"/>
                <w:szCs w:val="21"/>
              </w:rPr>
            </w:pPr>
            <w:r>
              <w:rPr>
                <w:rFonts w:hint="eastAsia" w:ascii="宋体" w:hAnsi="宋体" w:cs="宋体"/>
                <w:color w:val="auto"/>
                <w:szCs w:val="21"/>
              </w:rPr>
              <w:t>根据总队考场改造要求增加 UPS 不间断电源。（需满足考场2小时供电）</w:t>
            </w:r>
          </w:p>
          <w:p w14:paraId="02997615">
            <w:pPr>
              <w:rPr>
                <w:rFonts w:hint="eastAsia" w:ascii="宋体" w:hAnsi="宋体" w:cs="宋体"/>
                <w:color w:val="auto"/>
                <w:szCs w:val="21"/>
              </w:rPr>
            </w:pPr>
            <w:r>
              <w:rPr>
                <w:rFonts w:hint="eastAsia" w:ascii="宋体" w:hAnsi="宋体" w:cs="宋体"/>
                <w:color w:val="auto"/>
                <w:szCs w:val="21"/>
              </w:rPr>
              <w:t>1、采用双变换在线式设计、输出零转换时间、单进单出电压。 功率≥ 10KVA/5400W。</w:t>
            </w:r>
          </w:p>
          <w:p w14:paraId="4ADB9940">
            <w:pPr>
              <w:rPr>
                <w:rFonts w:hint="eastAsia" w:ascii="宋体" w:hAnsi="宋体" w:cs="宋体"/>
                <w:color w:val="auto"/>
                <w:szCs w:val="21"/>
              </w:rPr>
            </w:pPr>
            <w:r>
              <w:rPr>
                <w:rFonts w:hint="eastAsia" w:ascii="宋体" w:hAnsi="宋体" w:cs="宋体"/>
                <w:color w:val="auto"/>
                <w:szCs w:val="21"/>
              </w:rPr>
              <w:t>2、采用 DSP 数字化控制，各项性能指标优异，使控制系统更加稳定可靠。</w:t>
            </w:r>
          </w:p>
          <w:p w14:paraId="009B3A7C">
            <w:pPr>
              <w:rPr>
                <w:rFonts w:hint="eastAsia" w:ascii="宋体" w:hAnsi="宋体" w:cs="宋体"/>
                <w:color w:val="auto"/>
                <w:szCs w:val="21"/>
              </w:rPr>
            </w:pPr>
            <w:r>
              <w:rPr>
                <w:rFonts w:hint="eastAsia" w:ascii="宋体" w:hAnsi="宋体" w:cs="宋体"/>
                <w:color w:val="auto"/>
                <w:szCs w:val="21"/>
              </w:rPr>
              <w:t>3、采用有源功率因数校正技术（PFC），输入功因接近1，大幅减少了对市电电网的污染。</w:t>
            </w:r>
          </w:p>
          <w:p w14:paraId="4F063172">
            <w:pPr>
              <w:rPr>
                <w:rFonts w:hint="eastAsia" w:ascii="宋体" w:hAnsi="宋体" w:cs="宋体"/>
                <w:color w:val="auto"/>
                <w:szCs w:val="21"/>
              </w:rPr>
            </w:pPr>
            <w:r>
              <w:rPr>
                <w:rFonts w:hint="eastAsia" w:ascii="宋体" w:hAnsi="宋体" w:cs="宋体"/>
                <w:color w:val="auto"/>
                <w:szCs w:val="21"/>
              </w:rPr>
              <w:t>4、具有超宽广的输入电压范围：110～ 300VAC。</w:t>
            </w:r>
          </w:p>
          <w:p w14:paraId="1C9C7799">
            <w:pPr>
              <w:rPr>
                <w:rFonts w:hint="eastAsia" w:ascii="宋体" w:hAnsi="宋体" w:cs="宋体"/>
                <w:color w:val="auto"/>
                <w:szCs w:val="21"/>
              </w:rPr>
            </w:pPr>
            <w:r>
              <w:rPr>
                <w:rFonts w:hint="eastAsia" w:ascii="宋体" w:hAnsi="宋体" w:cs="宋体"/>
                <w:color w:val="auto"/>
                <w:szCs w:val="21"/>
              </w:rPr>
              <w:t>5、输入频率范围 ：40 ～ 70Hz，保证接入各种燃油发电机均可稳定工作。</w:t>
            </w:r>
          </w:p>
          <w:p w14:paraId="5DB79189">
            <w:pPr>
              <w:rPr>
                <w:rFonts w:hint="eastAsia" w:ascii="宋体" w:hAnsi="宋体" w:cs="宋体"/>
                <w:color w:val="auto"/>
                <w:szCs w:val="21"/>
              </w:rPr>
            </w:pPr>
            <w:r>
              <w:rPr>
                <w:rFonts w:hint="eastAsia" w:ascii="宋体" w:hAnsi="宋体" w:cs="宋体"/>
                <w:color w:val="auto"/>
                <w:szCs w:val="21"/>
              </w:rPr>
              <w:t>6、采用 LCD+LED 实时显示，用户可直观的了解 UPS 运行状态。具有开机自诊断功能，可及时发现UPS的隐性故障。</w:t>
            </w:r>
          </w:p>
          <w:p w14:paraId="7D0EE8E8">
            <w:pPr>
              <w:rPr>
                <w:rFonts w:hint="eastAsia" w:ascii="宋体" w:hAnsi="宋体" w:cs="宋体"/>
                <w:color w:val="auto"/>
                <w:szCs w:val="21"/>
              </w:rPr>
            </w:pPr>
            <w:r>
              <w:rPr>
                <w:rFonts w:hint="eastAsia" w:ascii="宋体" w:hAnsi="宋体" w:cs="宋体"/>
                <w:color w:val="auto"/>
                <w:szCs w:val="21"/>
              </w:rPr>
              <w:t>7、具有并联冗余设计，可实现3台并联，大大提高系统的可靠性，具有交流输入过、欠压保护，输出过载保护、短路保护、温度保护、电池欠压预警保护和电池过  充保护等。整机效率高达 90%，降低UPS的电力损耗，节约用户的使用成本。在没有市电的情况下，可直接用电池冷启动。输入零火线侦测功能，可避免UPS市电输入零火线接反。</w:t>
            </w:r>
          </w:p>
          <w:p w14:paraId="6C4BC402">
            <w:pPr>
              <w:rPr>
                <w:rFonts w:hint="eastAsia" w:ascii="宋体" w:hAnsi="宋体" w:cs="宋体"/>
                <w:color w:val="auto"/>
                <w:szCs w:val="21"/>
              </w:rPr>
            </w:pPr>
            <w:r>
              <w:rPr>
                <w:rFonts w:hint="eastAsia" w:ascii="宋体" w:hAnsi="宋体" w:cs="宋体"/>
                <w:color w:val="auto"/>
                <w:szCs w:val="21"/>
              </w:rPr>
              <w:t>8、具有当市电中断，UPS 在电池模式下放电至关机；当市电恢复时，UPS可自动开机，同时给电池充电，实现无人值守功能。</w:t>
            </w:r>
          </w:p>
          <w:p w14:paraId="240452C7">
            <w:pPr>
              <w:rPr>
                <w:rFonts w:ascii="宋体" w:hAnsi="宋体" w:cs="宋体"/>
                <w:color w:val="auto"/>
                <w:szCs w:val="21"/>
              </w:rPr>
            </w:pPr>
            <w:r>
              <w:rPr>
                <w:rFonts w:hint="eastAsia" w:ascii="宋体" w:hAnsi="宋体" w:cs="宋体"/>
                <w:color w:val="auto"/>
                <w:szCs w:val="21"/>
              </w:rPr>
              <w:t>9、标配 RS232通讯接口，使UPS与电脑之间通过电脑视窗实现多功能、多用途的监控管理操作，并可安装 SNMP 卡（选配）实现 UPS 远程监控功能。</w:t>
            </w:r>
          </w:p>
        </w:tc>
      </w:tr>
      <w:tr w14:paraId="537F7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485" w:type="dxa"/>
            <w:vAlign w:val="center"/>
          </w:tcPr>
          <w:p w14:paraId="24747915">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18</w:t>
            </w:r>
          </w:p>
        </w:tc>
        <w:tc>
          <w:tcPr>
            <w:tcW w:w="873" w:type="dxa"/>
            <w:vAlign w:val="center"/>
          </w:tcPr>
          <w:p w14:paraId="0B0A6E95">
            <w:pPr>
              <w:jc w:val="center"/>
              <w:rPr>
                <w:rFonts w:ascii="宋体" w:hAnsi="宋体" w:cs="宋体"/>
                <w:color w:val="auto"/>
                <w:kern w:val="0"/>
                <w:szCs w:val="21"/>
              </w:rPr>
            </w:pPr>
            <w:r>
              <w:rPr>
                <w:rFonts w:hint="eastAsia" w:ascii="宋体" w:hAnsi="宋体" w:cs="宋体"/>
                <w:color w:val="auto"/>
                <w:kern w:val="0"/>
                <w:szCs w:val="21"/>
              </w:rPr>
              <w:t>UPS不间断</w:t>
            </w:r>
          </w:p>
          <w:p w14:paraId="24042306">
            <w:pPr>
              <w:jc w:val="center"/>
              <w:rPr>
                <w:rFonts w:ascii="宋体" w:hAnsi="宋体" w:cs="宋体"/>
                <w:color w:val="auto"/>
                <w:szCs w:val="21"/>
              </w:rPr>
            </w:pPr>
            <w:r>
              <w:rPr>
                <w:rFonts w:hint="eastAsia" w:ascii="宋体" w:hAnsi="宋体" w:cs="宋体"/>
                <w:color w:val="auto"/>
                <w:kern w:val="0"/>
                <w:szCs w:val="21"/>
              </w:rPr>
              <w:t>电源蓄电池</w:t>
            </w:r>
          </w:p>
        </w:tc>
        <w:tc>
          <w:tcPr>
            <w:tcW w:w="789" w:type="dxa"/>
            <w:vAlign w:val="center"/>
          </w:tcPr>
          <w:p w14:paraId="49A0EF36">
            <w:pPr>
              <w:widowControl/>
              <w:spacing w:before="120"/>
              <w:jc w:val="center"/>
              <w:textAlignment w:val="center"/>
              <w:rPr>
                <w:rFonts w:ascii="宋体" w:hAnsi="宋体" w:cs="宋体"/>
                <w:color w:val="auto"/>
                <w:szCs w:val="21"/>
              </w:rPr>
            </w:pPr>
            <w:r>
              <w:rPr>
                <w:rFonts w:hint="eastAsia" w:ascii="宋体" w:hAnsi="宋体" w:cs="宋体"/>
                <w:color w:val="auto"/>
                <w:kern w:val="0"/>
                <w:szCs w:val="21"/>
              </w:rPr>
              <w:t>24块</w:t>
            </w:r>
          </w:p>
        </w:tc>
        <w:tc>
          <w:tcPr>
            <w:tcW w:w="1275" w:type="dxa"/>
            <w:tcBorders>
              <w:right w:val="single" w:color="auto" w:sz="4" w:space="0"/>
            </w:tcBorders>
            <w:vAlign w:val="center"/>
          </w:tcPr>
          <w:p w14:paraId="691DBD68">
            <w:pPr>
              <w:jc w:val="center"/>
              <w:rPr>
                <w:rFonts w:ascii="宋体" w:hAnsi="宋体" w:cs="宋体"/>
                <w:color w:val="auto"/>
                <w:szCs w:val="21"/>
              </w:rPr>
            </w:pPr>
            <w:r>
              <w:rPr>
                <w:rFonts w:hint="eastAsia" w:ascii="宋体" w:hAnsi="宋体"/>
                <w:color w:val="auto"/>
                <w:szCs w:val="21"/>
              </w:rPr>
              <w:t>340.00</w:t>
            </w:r>
          </w:p>
        </w:tc>
        <w:tc>
          <w:tcPr>
            <w:tcW w:w="709" w:type="dxa"/>
            <w:tcBorders>
              <w:right w:val="single" w:color="auto" w:sz="4" w:space="0"/>
            </w:tcBorders>
            <w:vAlign w:val="center"/>
          </w:tcPr>
          <w:p w14:paraId="166A8925">
            <w:pPr>
              <w:jc w:val="center"/>
              <w:rPr>
                <w:rFonts w:ascii="宋体" w:hAnsi="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71599D16">
            <w:pPr>
              <w:rPr>
                <w:rFonts w:ascii="宋体" w:hAnsi="宋体" w:cs="宋体"/>
                <w:color w:val="auto"/>
                <w:szCs w:val="21"/>
              </w:rPr>
            </w:pPr>
            <w:r>
              <w:rPr>
                <w:rFonts w:hint="eastAsia" w:ascii="宋体" w:hAnsi="宋体" w:cs="宋体"/>
                <w:color w:val="auto"/>
                <w:szCs w:val="21"/>
              </w:rPr>
              <w:t>1、蓄电池浮充设计寿命为 5 年。</w:t>
            </w:r>
          </w:p>
          <w:p w14:paraId="3D17F712">
            <w:pPr>
              <w:rPr>
                <w:rFonts w:hint="eastAsia" w:ascii="宋体" w:hAnsi="宋体" w:cs="宋体"/>
                <w:color w:val="auto"/>
                <w:szCs w:val="21"/>
              </w:rPr>
            </w:pPr>
            <w:r>
              <w:rPr>
                <w:rFonts w:hint="eastAsia" w:ascii="宋体" w:hAnsi="宋体" w:cs="宋体"/>
                <w:color w:val="auto"/>
                <w:szCs w:val="21"/>
              </w:rPr>
              <w:t>2、蓄电池类型为：免维护铅酸蓄电池。</w:t>
            </w:r>
          </w:p>
          <w:p w14:paraId="2D201744">
            <w:pPr>
              <w:rPr>
                <w:rFonts w:hint="eastAsia" w:ascii="宋体" w:hAnsi="宋体" w:cs="宋体"/>
                <w:color w:val="auto"/>
                <w:szCs w:val="21"/>
              </w:rPr>
            </w:pPr>
            <w:r>
              <w:rPr>
                <w:rFonts w:hint="eastAsia" w:ascii="宋体" w:hAnsi="宋体" w:cs="宋体"/>
                <w:color w:val="auto"/>
                <w:szCs w:val="21"/>
              </w:rPr>
              <w:t>3、蓄电池采用优质的AGM 隔板和高灵敏度的安全阀，铅钙锡多元特种合金铸造板删，贫液式设计,阴极吸收式原理，有效地抑制氢气的析出，减少使用过程中电解  液的耗损，电池寿命期间无需补加电解液维护。</w:t>
            </w:r>
          </w:p>
          <w:p w14:paraId="38D58DB5">
            <w:pPr>
              <w:rPr>
                <w:rFonts w:hint="eastAsia" w:ascii="宋体" w:hAnsi="宋体" w:cs="宋体"/>
                <w:color w:val="auto"/>
                <w:szCs w:val="21"/>
              </w:rPr>
            </w:pPr>
            <w:r>
              <w:rPr>
                <w:rFonts w:hint="eastAsia" w:ascii="宋体" w:hAnsi="宋体" w:cs="宋体"/>
                <w:color w:val="auto"/>
                <w:szCs w:val="21"/>
              </w:rPr>
              <w:t>4、单只蓄电池容量：≥12V 38AH。</w:t>
            </w:r>
          </w:p>
          <w:p w14:paraId="3E3E035D">
            <w:pPr>
              <w:rPr>
                <w:rFonts w:hint="eastAsia" w:ascii="宋体" w:hAnsi="宋体" w:cs="宋体"/>
                <w:color w:val="auto"/>
                <w:szCs w:val="21"/>
              </w:rPr>
            </w:pPr>
            <w:r>
              <w:rPr>
                <w:rFonts w:hint="eastAsia" w:ascii="宋体" w:hAnsi="宋体" w:cs="宋体"/>
                <w:color w:val="auto"/>
                <w:szCs w:val="21"/>
              </w:rPr>
              <w:t>5、自放电率：月自放电率≤2%。</w:t>
            </w:r>
          </w:p>
          <w:p w14:paraId="411749EE">
            <w:pPr>
              <w:rPr>
                <w:rFonts w:ascii="宋体" w:hAnsi="宋体" w:cs="宋体"/>
                <w:color w:val="auto"/>
                <w:szCs w:val="21"/>
              </w:rPr>
            </w:pPr>
            <w:r>
              <w:rPr>
                <w:rFonts w:hint="eastAsia" w:ascii="宋体" w:hAnsi="宋体" w:cs="宋体"/>
                <w:color w:val="auto"/>
                <w:szCs w:val="21"/>
              </w:rPr>
              <w:t>6、运行温度范围：20℃至 25℃,储存温度范围：-15℃至 40℃。</w:t>
            </w:r>
          </w:p>
        </w:tc>
      </w:tr>
      <w:tr w14:paraId="5DFDC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9" w:hRule="atLeast"/>
          <w:jc w:val="center"/>
        </w:trPr>
        <w:tc>
          <w:tcPr>
            <w:tcW w:w="485" w:type="dxa"/>
            <w:vAlign w:val="center"/>
          </w:tcPr>
          <w:p w14:paraId="6DD0702D">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19</w:t>
            </w:r>
          </w:p>
        </w:tc>
        <w:tc>
          <w:tcPr>
            <w:tcW w:w="873" w:type="dxa"/>
            <w:vAlign w:val="center"/>
          </w:tcPr>
          <w:p w14:paraId="717ECE2C">
            <w:pPr>
              <w:spacing w:before="120"/>
              <w:ind w:left="-70" w:firstLine="210" w:firstLineChars="100"/>
              <w:rPr>
                <w:rFonts w:ascii="宋体" w:hAnsi="宋体" w:cs="宋体"/>
                <w:color w:val="auto"/>
                <w:szCs w:val="21"/>
              </w:rPr>
            </w:pPr>
            <w:r>
              <w:rPr>
                <w:rFonts w:hint="eastAsia" w:ascii="宋体" w:hAnsi="宋体" w:cs="宋体"/>
                <w:color w:val="auto"/>
                <w:szCs w:val="21"/>
                <w:lang w:val="en-US" w:eastAsia="zh-CN"/>
              </w:rPr>
              <w:t>线材</w:t>
            </w:r>
          </w:p>
        </w:tc>
        <w:tc>
          <w:tcPr>
            <w:tcW w:w="789" w:type="dxa"/>
            <w:vAlign w:val="center"/>
          </w:tcPr>
          <w:p w14:paraId="7E51DAD8">
            <w:pPr>
              <w:widowControl/>
              <w:spacing w:before="120"/>
              <w:jc w:val="center"/>
              <w:textAlignment w:val="center"/>
              <w:rPr>
                <w:rFonts w:hint="eastAsia" w:ascii="宋体" w:hAnsi="宋体" w:eastAsia="宋体" w:cs="宋体"/>
                <w:color w:val="auto"/>
                <w:szCs w:val="21"/>
                <w:lang w:eastAsia="zh-CN"/>
              </w:rPr>
            </w:pPr>
            <w:r>
              <w:rPr>
                <w:rFonts w:hint="eastAsia" w:ascii="宋体" w:hAnsi="宋体" w:cs="宋体"/>
                <w:color w:val="auto"/>
                <w:kern w:val="0"/>
                <w:szCs w:val="21"/>
              </w:rPr>
              <w:t>1</w:t>
            </w:r>
            <w:r>
              <w:rPr>
                <w:rFonts w:hint="eastAsia" w:ascii="宋体" w:hAnsi="宋体" w:cs="宋体"/>
                <w:color w:val="auto"/>
                <w:kern w:val="0"/>
                <w:szCs w:val="21"/>
                <w:lang w:eastAsia="zh-CN"/>
              </w:rPr>
              <w:t>批</w:t>
            </w:r>
          </w:p>
        </w:tc>
        <w:tc>
          <w:tcPr>
            <w:tcW w:w="1275" w:type="dxa"/>
            <w:tcBorders>
              <w:right w:val="single" w:color="auto" w:sz="4" w:space="0"/>
            </w:tcBorders>
            <w:vAlign w:val="center"/>
          </w:tcPr>
          <w:p w14:paraId="48AB7A6E">
            <w:pPr>
              <w:jc w:val="center"/>
              <w:rPr>
                <w:rFonts w:ascii="宋体" w:hAnsi="宋体" w:cs="宋体"/>
                <w:color w:val="auto"/>
                <w:szCs w:val="21"/>
              </w:rPr>
            </w:pPr>
            <w:r>
              <w:rPr>
                <w:rFonts w:hint="eastAsia" w:ascii="宋体" w:hAnsi="宋体"/>
                <w:color w:val="auto"/>
                <w:szCs w:val="21"/>
              </w:rPr>
              <w:t>15000.00</w:t>
            </w:r>
          </w:p>
        </w:tc>
        <w:tc>
          <w:tcPr>
            <w:tcW w:w="709" w:type="dxa"/>
            <w:tcBorders>
              <w:right w:val="single" w:color="auto" w:sz="4" w:space="0"/>
            </w:tcBorders>
            <w:vAlign w:val="center"/>
          </w:tcPr>
          <w:p w14:paraId="47660F36">
            <w:pPr>
              <w:spacing w:before="120" w:line="400" w:lineRule="atLeast"/>
              <w:ind w:left="-70"/>
              <w:jc w:val="center"/>
              <w:rPr>
                <w:rFonts w:hint="eastAsia" w:ascii="宋体" w:hAnsi="宋体" w:cs="宋体"/>
                <w:color w:val="auto"/>
                <w:szCs w:val="21"/>
              </w:rPr>
            </w:pPr>
            <w:r>
              <w:rPr>
                <w:rFonts w:hint="eastAsia" w:ascii="宋体" w:hAnsi="宋体" w:cs="宋体"/>
                <w:color w:val="auto"/>
                <w:szCs w:val="21"/>
              </w:rPr>
              <w:t>工业</w:t>
            </w:r>
          </w:p>
        </w:tc>
        <w:tc>
          <w:tcPr>
            <w:tcW w:w="5550" w:type="dxa"/>
            <w:tcBorders>
              <w:left w:val="single" w:color="auto" w:sz="4" w:space="0"/>
            </w:tcBorders>
            <w:vAlign w:val="center"/>
          </w:tcPr>
          <w:p w14:paraId="0095488F">
            <w:pPr>
              <w:rPr>
                <w:rFonts w:hint="eastAsia" w:ascii="宋体" w:hAnsi="宋体" w:cs="宋体"/>
                <w:color w:val="auto"/>
                <w:szCs w:val="21"/>
              </w:rPr>
            </w:pPr>
            <w:r>
              <w:rPr>
                <w:rFonts w:hint="eastAsia" w:ascii="宋体" w:hAnsi="宋体" w:cs="宋体"/>
                <w:color w:val="auto"/>
                <w:szCs w:val="21"/>
              </w:rPr>
              <w:t>1、90台</w:t>
            </w:r>
            <w:r>
              <w:rPr>
                <w:rFonts w:hint="eastAsia" w:ascii="宋体" w:hAnsi="宋体" w:cs="宋体"/>
                <w:color w:val="auto"/>
                <w:szCs w:val="21"/>
                <w:lang w:val="en-US" w:eastAsia="zh-CN"/>
              </w:rPr>
              <w:t>无盘</w:t>
            </w:r>
            <w:r>
              <w:rPr>
                <w:rFonts w:hint="eastAsia" w:ascii="宋体" w:hAnsi="宋体" w:cs="宋体"/>
                <w:color w:val="auto"/>
                <w:szCs w:val="21"/>
              </w:rPr>
              <w:t>工作站一体机、考官主控电脑、</w:t>
            </w:r>
            <w:r>
              <w:rPr>
                <w:rFonts w:hint="eastAsia" w:ascii="宋体" w:hAnsi="宋体" w:cs="宋体"/>
                <w:color w:val="auto"/>
                <w:szCs w:val="21"/>
                <w:lang w:val="en-US" w:eastAsia="zh-CN"/>
              </w:rPr>
              <w:t>16台</w:t>
            </w:r>
            <w:r>
              <w:rPr>
                <w:rFonts w:hint="eastAsia" w:ascii="宋体" w:hAnsi="宋体" w:cs="宋体"/>
                <w:color w:val="auto"/>
                <w:szCs w:val="21"/>
              </w:rPr>
              <w:t>摄像头</w:t>
            </w:r>
            <w:r>
              <w:rPr>
                <w:rFonts w:hint="eastAsia" w:ascii="宋体" w:hAnsi="宋体" w:cs="宋体"/>
                <w:color w:val="auto"/>
                <w:szCs w:val="21"/>
                <w:lang w:val="en-US" w:eastAsia="zh-CN"/>
              </w:rPr>
              <w:t>连接至汇聚交换机的六类网线</w:t>
            </w:r>
            <w:r>
              <w:rPr>
                <w:rFonts w:hint="eastAsia" w:ascii="宋体" w:hAnsi="宋体" w:cs="宋体"/>
                <w:color w:val="auto"/>
                <w:szCs w:val="21"/>
              </w:rPr>
              <w:t>。</w:t>
            </w:r>
          </w:p>
          <w:p w14:paraId="55B23389">
            <w:pPr>
              <w:numPr>
                <w:ilvl w:val="0"/>
                <w:numId w:val="2"/>
              </w:numPr>
              <w:ind w:left="0" w:leftChars="0" w:firstLine="0" w:firstLineChars="0"/>
              <w:rPr>
                <w:rFonts w:hint="eastAsia" w:ascii="宋体" w:hAnsi="宋体" w:cs="宋体"/>
                <w:color w:val="auto"/>
                <w:szCs w:val="21"/>
              </w:rPr>
            </w:pPr>
            <w:r>
              <w:rPr>
                <w:rFonts w:hint="eastAsia" w:ascii="宋体" w:hAnsi="宋体" w:cs="宋体"/>
                <w:color w:val="auto"/>
                <w:szCs w:val="21"/>
                <w:lang w:val="en-US" w:eastAsia="zh-CN"/>
              </w:rPr>
              <w:t>4台</w:t>
            </w:r>
            <w:r>
              <w:rPr>
                <w:rFonts w:hint="eastAsia" w:ascii="宋体" w:hAnsi="宋体" w:cs="宋体"/>
                <w:color w:val="auto"/>
                <w:szCs w:val="21"/>
              </w:rPr>
              <w:t>叫号队列显示屏</w:t>
            </w:r>
            <w:r>
              <w:rPr>
                <w:rFonts w:hint="eastAsia" w:ascii="宋体" w:hAnsi="宋体" w:cs="宋体"/>
                <w:color w:val="auto"/>
                <w:szCs w:val="21"/>
                <w:lang w:val="en-US" w:eastAsia="zh-CN"/>
              </w:rPr>
              <w:t>连接至主控电脑的</w:t>
            </w:r>
            <w:r>
              <w:rPr>
                <w:rFonts w:hint="eastAsia" w:ascii="宋体" w:hAnsi="宋体" w:cs="宋体"/>
                <w:color w:val="auto"/>
                <w:szCs w:val="21"/>
              </w:rPr>
              <w:t>HDMI</w:t>
            </w:r>
            <w:r>
              <w:rPr>
                <w:rFonts w:hint="eastAsia" w:ascii="宋体" w:hAnsi="宋体" w:cs="宋体"/>
                <w:color w:val="auto"/>
                <w:szCs w:val="21"/>
                <w:lang w:val="en-US" w:eastAsia="zh-CN"/>
              </w:rPr>
              <w:t>连接</w:t>
            </w:r>
            <w:r>
              <w:rPr>
                <w:rFonts w:hint="eastAsia" w:ascii="宋体" w:hAnsi="宋体" w:cs="宋体"/>
                <w:color w:val="auto"/>
                <w:szCs w:val="21"/>
              </w:rPr>
              <w:t>线。</w:t>
            </w:r>
          </w:p>
          <w:p w14:paraId="54567B8F">
            <w:pPr>
              <w:rPr>
                <w:rFonts w:hint="eastAsia" w:ascii="宋体" w:hAnsi="宋体" w:cs="宋体"/>
                <w:color w:val="auto"/>
                <w:szCs w:val="21"/>
              </w:rPr>
            </w:pPr>
            <w:r>
              <w:rPr>
                <w:rFonts w:hint="eastAsia" w:ascii="宋体" w:hAnsi="宋体" w:cs="宋体"/>
                <w:color w:val="auto"/>
                <w:szCs w:val="21"/>
              </w:rPr>
              <w:t>3、候考区及考场墙面</w:t>
            </w:r>
            <w:r>
              <w:rPr>
                <w:rFonts w:hint="eastAsia" w:ascii="宋体" w:hAnsi="宋体" w:cs="宋体"/>
                <w:color w:val="auto"/>
                <w:szCs w:val="21"/>
                <w:lang w:val="en-US" w:eastAsia="zh-CN"/>
              </w:rPr>
              <w:t>的</w:t>
            </w:r>
            <w:r>
              <w:rPr>
                <w:rFonts w:hint="eastAsia" w:ascii="宋体" w:hAnsi="宋体" w:cs="宋体"/>
                <w:color w:val="auto"/>
                <w:szCs w:val="21"/>
              </w:rPr>
              <w:t>壁挂</w:t>
            </w:r>
            <w:r>
              <w:rPr>
                <w:rFonts w:hint="eastAsia" w:ascii="宋体" w:hAnsi="宋体" w:cs="宋体"/>
                <w:color w:val="auto"/>
                <w:szCs w:val="21"/>
                <w:lang w:val="en-US" w:eastAsia="zh-CN"/>
              </w:rPr>
              <w:t>架</w:t>
            </w:r>
            <w:r>
              <w:rPr>
                <w:rFonts w:hint="eastAsia" w:ascii="宋体" w:hAnsi="宋体" w:cs="宋体"/>
                <w:color w:val="auto"/>
                <w:szCs w:val="21"/>
              </w:rPr>
              <w:t>、电源插口</w:t>
            </w:r>
            <w:r>
              <w:rPr>
                <w:rFonts w:hint="eastAsia" w:ascii="宋体" w:hAnsi="宋体" w:cs="宋体"/>
                <w:color w:val="auto"/>
                <w:szCs w:val="21"/>
                <w:lang w:eastAsia="zh-CN"/>
              </w:rPr>
              <w:t>、</w:t>
            </w:r>
            <w:r>
              <w:rPr>
                <w:rFonts w:hint="eastAsia" w:ascii="宋体" w:hAnsi="宋体" w:cs="宋体"/>
                <w:color w:val="auto"/>
                <w:szCs w:val="21"/>
                <w:lang w:val="en-US" w:eastAsia="zh-CN"/>
              </w:rPr>
              <w:t>网络插口、纯铜电缆</w:t>
            </w:r>
            <w:r>
              <w:rPr>
                <w:rFonts w:hint="eastAsia" w:ascii="宋体" w:hAnsi="宋体" w:cs="宋体"/>
                <w:color w:val="auto"/>
                <w:szCs w:val="21"/>
              </w:rPr>
              <w:t>。</w:t>
            </w:r>
          </w:p>
          <w:p w14:paraId="0F4B97BF">
            <w:pPr>
              <w:rPr>
                <w:rFonts w:hint="eastAsia" w:ascii="宋体" w:hAnsi="宋体" w:cs="宋体"/>
                <w:color w:val="auto"/>
                <w:szCs w:val="21"/>
              </w:rPr>
            </w:pPr>
            <w:r>
              <w:rPr>
                <w:rFonts w:hint="eastAsia" w:ascii="宋体" w:hAnsi="宋体" w:cs="宋体"/>
                <w:color w:val="auto"/>
                <w:szCs w:val="21"/>
              </w:rPr>
              <w:t>4、二楼考场</w:t>
            </w:r>
            <w:r>
              <w:rPr>
                <w:rFonts w:hint="eastAsia" w:ascii="宋体" w:hAnsi="宋体" w:cs="宋体"/>
                <w:color w:val="auto"/>
                <w:szCs w:val="21"/>
                <w:lang w:val="en-US" w:eastAsia="zh-CN"/>
              </w:rPr>
              <w:t>汇聚</w:t>
            </w:r>
            <w:r>
              <w:rPr>
                <w:rFonts w:hint="eastAsia" w:ascii="宋体" w:hAnsi="宋体" w:cs="宋体"/>
                <w:color w:val="auto"/>
                <w:szCs w:val="21"/>
              </w:rPr>
              <w:t>交换机至四楼机房万兆</w:t>
            </w:r>
            <w:r>
              <w:rPr>
                <w:rFonts w:hint="eastAsia" w:ascii="宋体" w:hAnsi="宋体" w:cs="宋体"/>
                <w:color w:val="auto"/>
                <w:szCs w:val="21"/>
                <w:lang w:val="en-US" w:eastAsia="zh-CN"/>
              </w:rPr>
              <w:t>光缆</w:t>
            </w:r>
            <w:r>
              <w:rPr>
                <w:rFonts w:hint="eastAsia" w:ascii="宋体" w:hAnsi="宋体" w:cs="宋体"/>
                <w:color w:val="auto"/>
                <w:szCs w:val="21"/>
              </w:rPr>
              <w:t>。</w:t>
            </w:r>
          </w:p>
        </w:tc>
      </w:tr>
      <w:tr w14:paraId="455BB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9681" w:type="dxa"/>
            <w:gridSpan w:val="6"/>
            <w:vAlign w:val="center"/>
          </w:tcPr>
          <w:p w14:paraId="4EAD6CD6">
            <w:pPr>
              <w:spacing w:before="120" w:line="400" w:lineRule="atLeast"/>
              <w:jc w:val="left"/>
              <w:rPr>
                <w:rFonts w:ascii="宋体" w:hAnsi="宋体"/>
                <w:color w:val="auto"/>
                <w:szCs w:val="21"/>
              </w:rPr>
            </w:pPr>
            <w:r>
              <w:rPr>
                <w:rFonts w:hint="eastAsia" w:ascii="宋体" w:hAnsi="宋体" w:cs="宋体"/>
                <w:color w:val="auto"/>
                <w:szCs w:val="21"/>
              </w:rPr>
              <w:t>▲</w:t>
            </w:r>
            <w:r>
              <w:rPr>
                <w:rFonts w:hint="eastAsia" w:ascii="宋体" w:hAnsi="宋体" w:cs="宋体"/>
                <w:color w:val="auto"/>
                <w:szCs w:val="21"/>
                <w:lang w:eastAsia="zh-CN"/>
              </w:rPr>
              <w:t>一、</w:t>
            </w:r>
            <w:r>
              <w:rPr>
                <w:rFonts w:hint="eastAsia" w:ascii="宋体" w:hAnsi="宋体"/>
                <w:color w:val="auto"/>
                <w:szCs w:val="21"/>
              </w:rPr>
              <w:t>商务要求</w:t>
            </w:r>
          </w:p>
        </w:tc>
      </w:tr>
      <w:tr w14:paraId="43466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3A6F873D">
            <w:pPr>
              <w:pStyle w:val="26"/>
              <w:spacing w:before="120"/>
              <w:ind w:left="-70" w:firstLine="210"/>
              <w:jc w:val="center"/>
              <w:rPr>
                <w:rFonts w:ascii="宋体" w:hAnsi="宋体"/>
                <w:color w:val="auto"/>
                <w:kern w:val="0"/>
                <w:szCs w:val="21"/>
              </w:rPr>
            </w:pPr>
            <w:bookmarkStart w:id="39" w:name="_Hlk213266638"/>
            <w:r>
              <w:rPr>
                <w:rFonts w:hint="eastAsia" w:ascii="宋体" w:hAnsi="宋体" w:cs="宋体"/>
                <w:color w:val="auto"/>
                <w:szCs w:val="21"/>
              </w:rPr>
              <w:t>竞标报价要求</w:t>
            </w:r>
          </w:p>
        </w:tc>
        <w:tc>
          <w:tcPr>
            <w:tcW w:w="8323" w:type="dxa"/>
            <w:gridSpan w:val="4"/>
            <w:vAlign w:val="center"/>
          </w:tcPr>
          <w:p w14:paraId="7E65E7ED">
            <w:pPr>
              <w:snapToGrid w:val="0"/>
              <w:spacing w:before="120" w:line="360" w:lineRule="auto"/>
              <w:ind w:left="-70"/>
              <w:jc w:val="left"/>
              <w:rPr>
                <w:rFonts w:ascii="宋体" w:hAnsi="宋体"/>
                <w:color w:val="auto"/>
                <w:szCs w:val="21"/>
              </w:rPr>
            </w:pPr>
            <w:r>
              <w:rPr>
                <w:rFonts w:hint="eastAsia" w:ascii="宋体" w:hAnsi="宋体" w:cs="宋体"/>
                <w:color w:val="auto"/>
                <w:szCs w:val="21"/>
              </w:rPr>
              <w:t>竞标报价包含货物、货物标准附件、备品备件、专用工具、设备安装辅材、施工辅材、包装、运输、装卸、保险、调试费以及安装调试等本采购文件所列设备材料、功能配置需进行补充完善才能完成本项目的或实际采购中产品材料、功能配置有任何遗漏的费用（含本项目需要但本文件中未列出的设备材料、功能配置）、税金、售后服务、技术培训及其他所有成本费用，以及合同明示或暗示的所有责任、义务和一般风险等一切费用</w:t>
            </w:r>
            <w:r>
              <w:rPr>
                <w:rFonts w:hint="eastAsia" w:ascii="宋体" w:hAnsi="宋体"/>
                <w:color w:val="auto"/>
                <w:szCs w:val="21"/>
              </w:rPr>
              <w:t>。</w:t>
            </w:r>
          </w:p>
        </w:tc>
      </w:tr>
      <w:tr w14:paraId="482E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3F158415">
            <w:pPr>
              <w:pStyle w:val="26"/>
              <w:spacing w:before="120"/>
              <w:ind w:left="-70" w:firstLine="210"/>
              <w:jc w:val="center"/>
              <w:rPr>
                <w:rFonts w:ascii="宋体" w:hAnsi="宋体" w:cs="宋体"/>
                <w:color w:val="auto"/>
                <w:kern w:val="0"/>
                <w:szCs w:val="21"/>
              </w:rPr>
            </w:pPr>
            <w:r>
              <w:rPr>
                <w:rFonts w:hint="eastAsia" w:ascii="宋体" w:hAnsi="宋体" w:cs="宋体"/>
                <w:color w:val="auto"/>
                <w:szCs w:val="21"/>
              </w:rPr>
              <w:t>合同履约期限和建设地点</w:t>
            </w:r>
          </w:p>
        </w:tc>
        <w:tc>
          <w:tcPr>
            <w:tcW w:w="8323" w:type="dxa"/>
            <w:gridSpan w:val="4"/>
            <w:vAlign w:val="center"/>
          </w:tcPr>
          <w:p w14:paraId="4689EE8F">
            <w:pPr>
              <w:snapToGrid w:val="0"/>
              <w:spacing w:before="120" w:line="360" w:lineRule="auto"/>
              <w:ind w:left="-70"/>
              <w:jc w:val="left"/>
              <w:rPr>
                <w:rFonts w:hint="eastAsia" w:ascii="宋体" w:hAnsi="宋体" w:eastAsia="宋体" w:cs="宋体"/>
                <w:color w:val="auto"/>
                <w:szCs w:val="21"/>
              </w:rPr>
            </w:pPr>
            <w:r>
              <w:rPr>
                <w:rFonts w:hint="eastAsia" w:ascii="宋体" w:hAnsi="宋体" w:eastAsia="宋体" w:cs="宋体"/>
                <w:color w:val="auto"/>
                <w:szCs w:val="21"/>
              </w:rPr>
              <w:t>1、合同履约期限：</w:t>
            </w:r>
            <w:bookmarkStart w:id="40" w:name="OLE_LINK2"/>
            <w:bookmarkStart w:id="41" w:name="OLE_LINK1"/>
            <w:r>
              <w:rPr>
                <w:rFonts w:hint="eastAsia" w:ascii="宋体" w:hAnsi="宋体" w:eastAsia="宋体" w:cs="宋体"/>
                <w:color w:val="auto"/>
                <w:szCs w:val="21"/>
              </w:rPr>
              <w:t>自签订合同之日起45天（日历天）内交货安装调试完毕并验收合格。</w:t>
            </w:r>
            <w:bookmarkEnd w:id="40"/>
            <w:bookmarkEnd w:id="41"/>
          </w:p>
          <w:p w14:paraId="031625C7">
            <w:pPr>
              <w:snapToGrid w:val="0"/>
              <w:spacing w:before="120" w:line="360" w:lineRule="auto"/>
              <w:ind w:left="-70"/>
              <w:jc w:val="left"/>
              <w:rPr>
                <w:rFonts w:ascii="宋体" w:hAnsi="宋体" w:cs="宋体"/>
                <w:color w:val="auto"/>
                <w:szCs w:val="21"/>
              </w:rPr>
            </w:pPr>
            <w:r>
              <w:rPr>
                <w:rFonts w:hint="eastAsia" w:ascii="宋体" w:hAnsi="宋体" w:eastAsia="宋体" w:cs="宋体"/>
                <w:color w:val="auto"/>
                <w:szCs w:val="21"/>
              </w:rPr>
              <w:t>2、建设地点：广西玉林市公安局交通</w:t>
            </w:r>
            <w:r>
              <w:rPr>
                <w:rFonts w:hint="eastAsia" w:ascii="宋体" w:hAnsi="宋体" w:cs="宋体"/>
                <w:color w:val="auto"/>
                <w:szCs w:val="21"/>
                <w:lang w:eastAsia="zh-CN"/>
              </w:rPr>
              <w:t>管理</w:t>
            </w:r>
            <w:r>
              <w:rPr>
                <w:rFonts w:hint="eastAsia" w:ascii="宋体" w:hAnsi="宋体" w:eastAsia="宋体" w:cs="宋体"/>
                <w:color w:val="auto"/>
                <w:szCs w:val="21"/>
              </w:rPr>
              <w:t xml:space="preserve">支队，采购人指定地点。 </w:t>
            </w:r>
          </w:p>
        </w:tc>
      </w:tr>
      <w:tr w14:paraId="2DA65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3A53A0C1">
            <w:pPr>
              <w:spacing w:before="120" w:line="320" w:lineRule="atLeast"/>
              <w:ind w:left="-70"/>
              <w:jc w:val="center"/>
              <w:rPr>
                <w:rFonts w:hint="eastAsia" w:ascii="宋体" w:hAnsi="宋体" w:cs="宋体"/>
                <w:color w:val="auto"/>
                <w:szCs w:val="21"/>
              </w:rPr>
            </w:pPr>
            <w:r>
              <w:rPr>
                <w:rFonts w:hint="eastAsia" w:ascii="宋体" w:hAnsi="宋体" w:cs="宋体"/>
                <w:color w:val="auto"/>
                <w:szCs w:val="21"/>
              </w:rPr>
              <w:t>签订合同</w:t>
            </w:r>
          </w:p>
          <w:p w14:paraId="47560FE5">
            <w:pPr>
              <w:spacing w:before="120" w:line="320" w:lineRule="atLeast"/>
              <w:ind w:left="-70"/>
              <w:jc w:val="center"/>
              <w:rPr>
                <w:rFonts w:ascii="宋体" w:hAnsi="宋体" w:cs="宋体"/>
                <w:color w:val="auto"/>
                <w:szCs w:val="21"/>
              </w:rPr>
            </w:pPr>
            <w:r>
              <w:rPr>
                <w:rFonts w:hint="eastAsia" w:ascii="宋体" w:hAnsi="宋体" w:cs="宋体"/>
                <w:color w:val="auto"/>
                <w:szCs w:val="21"/>
              </w:rPr>
              <w:t>时限</w:t>
            </w:r>
          </w:p>
        </w:tc>
        <w:tc>
          <w:tcPr>
            <w:tcW w:w="8323" w:type="dxa"/>
            <w:gridSpan w:val="4"/>
            <w:vAlign w:val="center"/>
          </w:tcPr>
          <w:p w14:paraId="4EC23A6F">
            <w:pPr>
              <w:spacing w:before="120" w:line="400" w:lineRule="exact"/>
              <w:rPr>
                <w:rFonts w:ascii="宋体" w:hAnsi="宋体"/>
                <w:color w:val="auto"/>
                <w:szCs w:val="21"/>
              </w:rPr>
            </w:pPr>
            <w:r>
              <w:rPr>
                <w:rFonts w:hint="eastAsia" w:ascii="宋体" w:hAnsi="宋体" w:cs="宋体"/>
                <w:color w:val="auto"/>
                <w:szCs w:val="21"/>
              </w:rPr>
              <w:t>自成交通知书发出之日起25</w:t>
            </w:r>
            <w:r>
              <w:rPr>
                <w:rFonts w:hint="eastAsia" w:ascii="宋体" w:hAnsi="宋体" w:cs="宋体"/>
                <w:color w:val="auto"/>
                <w:szCs w:val="21"/>
                <w:lang w:eastAsia="zh-CN"/>
              </w:rPr>
              <w:t>天</w:t>
            </w:r>
            <w:r>
              <w:rPr>
                <w:rFonts w:hint="eastAsia" w:ascii="宋体" w:hAnsi="宋体" w:cs="宋体"/>
                <w:color w:val="auto"/>
                <w:szCs w:val="21"/>
              </w:rPr>
              <w:t>内。</w:t>
            </w:r>
          </w:p>
        </w:tc>
      </w:tr>
      <w:bookmarkEnd w:id="39"/>
      <w:tr w14:paraId="42E79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08B443C2">
            <w:pPr>
              <w:spacing w:before="120" w:line="320" w:lineRule="atLeast"/>
              <w:ind w:left="-70"/>
              <w:jc w:val="center"/>
              <w:rPr>
                <w:rFonts w:ascii="宋体" w:hAnsi="宋体" w:cs="宋体"/>
                <w:color w:val="auto"/>
                <w:szCs w:val="21"/>
              </w:rPr>
            </w:pPr>
            <w:r>
              <w:rPr>
                <w:rFonts w:hint="eastAsia" w:ascii="宋体" w:hAnsi="宋体" w:cs="宋体"/>
                <w:color w:val="auto"/>
                <w:szCs w:val="21"/>
              </w:rPr>
              <w:t>质保期</w:t>
            </w:r>
          </w:p>
        </w:tc>
        <w:tc>
          <w:tcPr>
            <w:tcW w:w="8323" w:type="dxa"/>
            <w:gridSpan w:val="4"/>
            <w:vAlign w:val="center"/>
          </w:tcPr>
          <w:p w14:paraId="6E4E962D">
            <w:pPr>
              <w:snapToGrid w:val="0"/>
              <w:spacing w:before="120" w:line="360" w:lineRule="auto"/>
              <w:ind w:left="-70"/>
              <w:jc w:val="left"/>
              <w:rPr>
                <w:rFonts w:ascii="宋体" w:hAnsi="宋体" w:cs="宋体"/>
                <w:color w:val="auto"/>
                <w:szCs w:val="21"/>
              </w:rPr>
            </w:pPr>
            <w:r>
              <w:rPr>
                <w:rFonts w:hint="eastAsia" w:ascii="宋体" w:hAnsi="宋体" w:eastAsia="宋体" w:cs="宋体"/>
                <w:color w:val="auto"/>
                <w:szCs w:val="21"/>
              </w:rPr>
              <w:t>质保期：主要设备（无盘工作站系统配套软硬件、考试管理系统配套软硬件）硬件质保3年，配套软件质保运维2年，其余设备硬件质保1年，软件质保运维2年。如厂家有承诺软硬件质保期超过3年的按厂家承诺执行。</w:t>
            </w:r>
          </w:p>
        </w:tc>
      </w:tr>
      <w:tr w14:paraId="3F90B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0030CD65">
            <w:pPr>
              <w:pStyle w:val="26"/>
              <w:spacing w:before="120"/>
              <w:ind w:left="-70" w:firstLine="210"/>
              <w:jc w:val="center"/>
              <w:rPr>
                <w:rFonts w:ascii="宋体" w:hAnsi="宋体" w:cs="宋体"/>
                <w:color w:val="auto"/>
                <w:kern w:val="0"/>
                <w:szCs w:val="21"/>
              </w:rPr>
            </w:pPr>
            <w:r>
              <w:rPr>
                <w:rFonts w:hint="eastAsia" w:ascii="宋体" w:hAnsi="宋体"/>
                <w:color w:val="auto"/>
                <w:szCs w:val="21"/>
              </w:rPr>
              <w:t>售后服务要求</w:t>
            </w:r>
          </w:p>
        </w:tc>
        <w:tc>
          <w:tcPr>
            <w:tcW w:w="8323" w:type="dxa"/>
            <w:gridSpan w:val="4"/>
            <w:vAlign w:val="center"/>
          </w:tcPr>
          <w:p w14:paraId="37737122">
            <w:pPr>
              <w:spacing w:before="120" w:line="360" w:lineRule="auto"/>
              <w:rPr>
                <w:rFonts w:ascii="宋体" w:hAnsi="宋体" w:cs="宋体"/>
                <w:color w:val="auto"/>
                <w:szCs w:val="21"/>
              </w:rPr>
            </w:pPr>
            <w:r>
              <w:rPr>
                <w:rFonts w:hint="eastAsia" w:ascii="宋体" w:hAnsi="宋体" w:cs="宋体"/>
                <w:color w:val="auto"/>
                <w:szCs w:val="21"/>
              </w:rPr>
              <w:t xml:space="preserve">1、竞标产品必须是按厂家标准配置的整套全新产品，按国家规定实行“三包”，免费送货上门、免费安装调试（附安装说明书）及人员培训，免费对采购人的2-5名操作人员进行不少于两天的技术培训，安装调试过程也应让操作人员共同参与，并进行现场培训，培训后采购人可熟悉基本操作。 </w:t>
            </w:r>
          </w:p>
          <w:p w14:paraId="2BAA32C9">
            <w:pPr>
              <w:pStyle w:val="19"/>
              <w:numPr>
                <w:ilvl w:val="0"/>
                <w:numId w:val="0"/>
              </w:numPr>
              <w:rPr>
                <w:rFonts w:hint="eastAsia" w:ascii="宋体" w:hAnsi="宋体" w:cs="宋体"/>
                <w:color w:val="auto"/>
                <w:szCs w:val="21"/>
              </w:rPr>
            </w:pPr>
            <w:r>
              <w:rPr>
                <w:rFonts w:hint="eastAsia" w:ascii="宋体" w:hAnsi="宋体" w:cs="宋体"/>
                <w:color w:val="auto"/>
                <w:szCs w:val="21"/>
              </w:rPr>
              <w:t>2、</w:t>
            </w:r>
            <w:r>
              <w:rPr>
                <w:rFonts w:hint="eastAsia" w:ascii="宋体" w:hAnsi="宋体" w:eastAsia="宋体" w:cs="宋体"/>
                <w:color w:val="auto"/>
                <w:kern w:val="2"/>
                <w:sz w:val="21"/>
                <w:szCs w:val="21"/>
                <w:lang w:val="en-US" w:eastAsia="zh-CN" w:bidi="ar-SA"/>
              </w:rPr>
              <w:t>人员配备：配备一名专业驻点运维人员，随采购单位上班时间驻点维护，</w:t>
            </w:r>
            <w:r>
              <w:rPr>
                <w:rFonts w:hint="eastAsia" w:ascii="宋体" w:hAnsi="宋体" w:cs="宋体"/>
                <w:color w:val="auto"/>
                <w:kern w:val="2"/>
                <w:sz w:val="21"/>
                <w:szCs w:val="21"/>
                <w:lang w:val="en-US" w:eastAsia="zh-CN" w:bidi="ar-SA"/>
              </w:rPr>
              <w:t>驻点运维年限为2年</w:t>
            </w:r>
            <w:r>
              <w:rPr>
                <w:rFonts w:hint="eastAsia" w:ascii="宋体" w:hAnsi="宋体" w:eastAsia="宋体" w:cs="宋体"/>
                <w:color w:val="auto"/>
                <w:kern w:val="2"/>
                <w:sz w:val="21"/>
                <w:szCs w:val="21"/>
                <w:lang w:val="en-US" w:eastAsia="zh-CN" w:bidi="ar-SA"/>
              </w:rPr>
              <w:t>。</w:t>
            </w:r>
          </w:p>
          <w:p w14:paraId="3C461C7E">
            <w:pPr>
              <w:spacing w:before="120" w:line="360" w:lineRule="auto"/>
              <w:ind w:left="-7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故障处理：提供7*24小时维修服务，并提供售后服务电话，在接到通知后供应商的维修技术人员必须在15分钟内响应，30分钟内到达现场处理，一般故障处理时限不超过60分钟，重大故障处理时限不超过 24小时修复。</w:t>
            </w:r>
          </w:p>
          <w:p w14:paraId="02BF67C6">
            <w:pPr>
              <w:spacing w:before="120" w:line="360" w:lineRule="auto"/>
              <w:ind w:left="-7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、质量保证期内免费提供维修服务（含人工费、配件费、差旅费等各项费用），所更换的所有零配件全部使用原厂全新配件；保修期以外一律按响应文件承诺的优惠价收费（如有），提供终身上门维修服务。</w:t>
            </w:r>
          </w:p>
          <w:p w14:paraId="7D4D810A">
            <w:pPr>
              <w:spacing w:before="120" w:line="360" w:lineRule="auto"/>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、质保期内，免费定期上门维护。</w:t>
            </w:r>
          </w:p>
          <w:p w14:paraId="31F80E47">
            <w:pPr>
              <w:spacing w:before="120" w:line="360" w:lineRule="auto"/>
              <w:ind w:left="-7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、设备在质保期内所有非操作失误发生的质量问题由供应商免费维修、免费更换损坏的零部件。</w:t>
            </w:r>
          </w:p>
          <w:p w14:paraId="71696B91">
            <w:pPr>
              <w:spacing w:before="120" w:line="360" w:lineRule="auto"/>
              <w:ind w:left="-7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、设备安装调试必须严格执行国家有关技术标准，成交人自负施工人身、设备安全责任。</w:t>
            </w:r>
          </w:p>
          <w:p w14:paraId="7C15D6A1">
            <w:pPr>
              <w:pStyle w:val="12"/>
              <w:spacing w:before="120" w:line="360" w:lineRule="auto"/>
              <w:ind w:left="-70"/>
              <w:jc w:val="left"/>
              <w:rPr>
                <w:rFonts w:ascii="宋体" w:hAnsi="宋体"/>
                <w:color w:val="auto"/>
                <w:kern w:val="0"/>
                <w:szCs w:val="21"/>
              </w:rPr>
            </w:pPr>
            <w:r>
              <w:rPr>
                <w:rFonts w:hint="eastAsia" w:ascii="宋体" w:hAnsi="宋体" w:cs="宋体"/>
                <w:color w:val="auto"/>
                <w:szCs w:val="21"/>
                <w:lang w:val="en-US" w:eastAsia="zh-CN"/>
              </w:rPr>
              <w:t>8</w:t>
            </w:r>
            <w:r>
              <w:rPr>
                <w:rFonts w:hint="eastAsia" w:ascii="宋体" w:hAnsi="宋体" w:cs="宋体"/>
                <w:color w:val="auto"/>
                <w:szCs w:val="21"/>
              </w:rPr>
              <w:t>、成交人按采购人的设计方案的要求进行产品安装调试。</w:t>
            </w:r>
          </w:p>
        </w:tc>
      </w:tr>
      <w:tr w14:paraId="099ED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48FDDD53">
            <w:pPr>
              <w:pStyle w:val="26"/>
              <w:spacing w:before="120"/>
              <w:ind w:left="-70" w:firstLine="210"/>
              <w:jc w:val="center"/>
              <w:rPr>
                <w:rFonts w:ascii="宋体" w:hAnsi="宋体"/>
                <w:color w:val="auto"/>
                <w:kern w:val="0"/>
                <w:szCs w:val="21"/>
              </w:rPr>
            </w:pPr>
            <w:r>
              <w:rPr>
                <w:rFonts w:hint="eastAsia" w:ascii="宋体" w:hAnsi="宋体"/>
                <w:color w:val="auto"/>
                <w:szCs w:val="21"/>
              </w:rPr>
              <w:t>付款方式</w:t>
            </w:r>
          </w:p>
        </w:tc>
        <w:tc>
          <w:tcPr>
            <w:tcW w:w="8323" w:type="dxa"/>
            <w:gridSpan w:val="4"/>
            <w:vAlign w:val="center"/>
          </w:tcPr>
          <w:p w14:paraId="750A36B4">
            <w:pPr>
              <w:pStyle w:val="12"/>
              <w:spacing w:before="120" w:line="360" w:lineRule="auto"/>
              <w:ind w:left="-70"/>
              <w:jc w:val="left"/>
              <w:rPr>
                <w:rFonts w:ascii="宋体" w:hAnsi="宋体" w:cs="宋体"/>
                <w:color w:val="auto"/>
                <w:kern w:val="0"/>
                <w:szCs w:val="21"/>
              </w:rPr>
            </w:pPr>
            <w:r>
              <w:rPr>
                <w:rFonts w:hint="eastAsia" w:ascii="宋体" w:hAnsi="宋体" w:eastAsia="宋体" w:cs="宋体"/>
                <w:color w:val="auto"/>
                <w:sz w:val="21"/>
                <w:szCs w:val="21"/>
                <w:highlight w:val="none"/>
                <w:lang w:eastAsia="zh-CN"/>
              </w:rPr>
              <w:t>签订采购合同生效以及具备实施条件后，收到乙方开具正式有效发票后10个工作日内支付</w:t>
            </w:r>
            <w:r>
              <w:rPr>
                <w:rFonts w:hint="eastAsia" w:ascii="宋体" w:hAnsi="宋体" w:cs="宋体"/>
                <w:color w:val="auto"/>
                <w:szCs w:val="21"/>
              </w:rPr>
              <w:t>合同总金额的30%预付款；设备安装调试完成验收合格后，剩余70%分12期支付，成交人在每月1日，递交一期的发票和运维报告给采购人请款。</w:t>
            </w:r>
          </w:p>
        </w:tc>
      </w:tr>
      <w:tr w14:paraId="5BBBF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2C85E7F7">
            <w:pPr>
              <w:spacing w:before="120" w:line="360" w:lineRule="exact"/>
              <w:ind w:left="-70" w:firstLine="210" w:firstLineChars="100"/>
              <w:rPr>
                <w:rFonts w:ascii="宋体" w:hAnsi="宋体"/>
                <w:color w:val="auto"/>
                <w:szCs w:val="21"/>
              </w:rPr>
            </w:pPr>
            <w:r>
              <w:rPr>
                <w:rFonts w:hint="eastAsia" w:ascii="宋体" w:hAnsi="宋体" w:cs="宋体"/>
                <w:color w:val="auto"/>
                <w:szCs w:val="21"/>
              </w:rPr>
              <w:t>知识产权</w:t>
            </w:r>
          </w:p>
        </w:tc>
        <w:tc>
          <w:tcPr>
            <w:tcW w:w="8323" w:type="dxa"/>
            <w:gridSpan w:val="4"/>
            <w:vAlign w:val="center"/>
          </w:tcPr>
          <w:p w14:paraId="3344AB34">
            <w:pPr>
              <w:spacing w:before="120" w:line="360" w:lineRule="auto"/>
              <w:ind w:left="-70"/>
              <w:rPr>
                <w:rFonts w:ascii="宋体" w:hAnsi="宋体"/>
                <w:color w:val="auto"/>
                <w:szCs w:val="21"/>
              </w:rPr>
            </w:pPr>
            <w:r>
              <w:rPr>
                <w:rFonts w:hint="eastAsia" w:ascii="宋体" w:hAnsi="宋体" w:cs="宋体"/>
                <w:color w:val="auto"/>
                <w:szCs w:val="21"/>
              </w:rPr>
              <w:t>采购人在中华人民共和国境内使用供应商提供的服务时免受第三方提出的侵犯其专利权或其它知识产权的起诉。如果第三方提出侵权指控，成交供应商应承担由此而引起的一切法律责任和费用。</w:t>
            </w:r>
          </w:p>
        </w:tc>
      </w:tr>
      <w:tr w14:paraId="30EB6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7D275A41">
            <w:pPr>
              <w:pStyle w:val="26"/>
              <w:spacing w:before="120"/>
              <w:ind w:left="-70" w:firstLine="210"/>
              <w:jc w:val="center"/>
              <w:rPr>
                <w:rFonts w:ascii="宋体" w:hAnsi="宋体"/>
                <w:color w:val="auto"/>
                <w:kern w:val="0"/>
                <w:szCs w:val="21"/>
              </w:rPr>
            </w:pPr>
            <w:r>
              <w:rPr>
                <w:rFonts w:hint="eastAsia" w:ascii="宋体" w:hAnsi="宋体"/>
                <w:color w:val="auto"/>
                <w:szCs w:val="21"/>
              </w:rPr>
              <w:t>验收标准、规范</w:t>
            </w:r>
          </w:p>
        </w:tc>
        <w:tc>
          <w:tcPr>
            <w:tcW w:w="8323" w:type="dxa"/>
            <w:gridSpan w:val="4"/>
            <w:vAlign w:val="center"/>
          </w:tcPr>
          <w:p w14:paraId="330D00EA">
            <w:pPr>
              <w:spacing w:before="120" w:line="360" w:lineRule="exact"/>
              <w:ind w:left="-70"/>
              <w:rPr>
                <w:rFonts w:ascii="宋体" w:hAnsi="宋体"/>
                <w:color w:val="auto"/>
                <w:szCs w:val="21"/>
              </w:rPr>
            </w:pPr>
            <w:r>
              <w:rPr>
                <w:rFonts w:hint="eastAsia" w:ascii="宋体" w:hAnsi="宋体"/>
                <w:color w:val="auto"/>
                <w:szCs w:val="21"/>
              </w:rPr>
              <w:t>1、本项目采购标的需执行的国家相关标准、行业标准、地方标准或其他强制性标准、规范等要求。本项目如有国家相关标准、行业标准、地方标准或者其他标准、规范的，应执行相应的标准、规范。如具体采购需求与标准、规范不一致的，高于标准、规范的按具体采购需求执行，低于标准、规范的按标准、规范执行。</w:t>
            </w:r>
          </w:p>
          <w:p w14:paraId="1CF6CAC6">
            <w:pPr>
              <w:spacing w:before="120" w:line="360" w:lineRule="exact"/>
              <w:ind w:left="-70"/>
              <w:rPr>
                <w:rFonts w:ascii="宋体" w:hAnsi="宋体"/>
                <w:color w:val="auto"/>
                <w:szCs w:val="21"/>
              </w:rPr>
            </w:pPr>
            <w:r>
              <w:rPr>
                <w:rFonts w:hint="eastAsia" w:ascii="宋体" w:hAnsi="宋体"/>
                <w:color w:val="auto"/>
                <w:szCs w:val="21"/>
              </w:rPr>
              <w:t>2、验收时，按照采购人的采购需求、成交人的响应文件、采购合同、设计、安装调试须符合现行国家相关标准、行业标准、地方标准或者其他标准、规范的要求进行验收。</w:t>
            </w:r>
          </w:p>
          <w:p w14:paraId="6D2F91BB">
            <w:pPr>
              <w:spacing w:before="120" w:line="360" w:lineRule="exact"/>
              <w:ind w:left="-70"/>
              <w:rPr>
                <w:rFonts w:ascii="宋体" w:hAnsi="宋体"/>
                <w:color w:val="auto"/>
                <w:szCs w:val="21"/>
              </w:rPr>
            </w:pPr>
            <w:r>
              <w:rPr>
                <w:rFonts w:hint="eastAsia" w:ascii="宋体" w:hAnsi="宋体"/>
                <w:color w:val="auto"/>
                <w:szCs w:val="21"/>
              </w:rPr>
              <w:t>3、验收时，如发现所交付的服务（货物）有短装、次品、损坏或其它不符合本项目中规定之情形，采购人与成交人应做出详尽的现场记录，并由双方签署备忘录。此现场记录或备忘录可用作补充、缺失和更换损坏部件的有效证据。由此产生的一切费用由成交人承担。</w:t>
            </w:r>
          </w:p>
          <w:p w14:paraId="0BC9C01D">
            <w:pPr>
              <w:spacing w:before="120" w:line="360" w:lineRule="exact"/>
              <w:ind w:left="-70"/>
              <w:rPr>
                <w:rFonts w:ascii="宋体" w:hAnsi="宋体"/>
                <w:color w:val="auto"/>
                <w:szCs w:val="21"/>
              </w:rPr>
            </w:pPr>
            <w:r>
              <w:rPr>
                <w:rFonts w:hint="eastAsia" w:ascii="宋体" w:hAnsi="宋体"/>
                <w:color w:val="auto"/>
                <w:szCs w:val="21"/>
              </w:rPr>
              <w:t>4、因服务（货物）质量问题发生争议时，由质量技术监督部门鉴定。由此所产生的邀请专业人员或第三方费用、鉴定费用等验收费用由成交人承担。</w:t>
            </w:r>
          </w:p>
          <w:p w14:paraId="606ACF8B">
            <w:pPr>
              <w:pStyle w:val="12"/>
              <w:spacing w:before="120"/>
              <w:ind w:left="-70"/>
              <w:rPr>
                <w:rFonts w:ascii="宋体" w:hAnsi="宋体"/>
                <w:color w:val="auto"/>
                <w:szCs w:val="21"/>
              </w:rPr>
            </w:pPr>
            <w:r>
              <w:rPr>
                <w:rFonts w:hint="eastAsia" w:ascii="宋体" w:hAnsi="宋体"/>
                <w:color w:val="auto"/>
                <w:szCs w:val="21"/>
              </w:rPr>
              <w:t>5、成交人产品以及技术验收达不到采购人要求导致项目延期或者停滞的，采购人可申请退货，更换设备。其中差价一律由中标方人承担。</w:t>
            </w:r>
          </w:p>
          <w:p w14:paraId="5419A20F">
            <w:pPr>
              <w:spacing w:before="120" w:line="360" w:lineRule="exact"/>
              <w:ind w:left="-70"/>
              <w:rPr>
                <w:rFonts w:ascii="宋体" w:hAnsi="宋体"/>
                <w:color w:val="auto"/>
                <w:szCs w:val="21"/>
              </w:rPr>
            </w:pPr>
            <w:r>
              <w:rPr>
                <w:rFonts w:hint="eastAsia" w:ascii="宋体" w:hAnsi="宋体"/>
                <w:color w:val="auto"/>
                <w:szCs w:val="21"/>
              </w:rPr>
              <w:t>6、其他约定：未尽事宜按照《关于印发广西壮族自治区政府采购项目履约验收管理办法的通知》[桂财采（2015）22号]以及《财政部关于进一步加强政府采购需求和履约验收管理的指导意见》[财库（2016）205号]规定执行。</w:t>
            </w:r>
          </w:p>
          <w:p w14:paraId="350052D8">
            <w:pPr>
              <w:pStyle w:val="12"/>
              <w:spacing w:before="120" w:line="360" w:lineRule="auto"/>
              <w:ind w:left="-70"/>
              <w:jc w:val="left"/>
              <w:rPr>
                <w:rFonts w:ascii="宋体" w:hAnsi="宋体"/>
                <w:color w:val="auto"/>
                <w:kern w:val="0"/>
                <w:szCs w:val="21"/>
              </w:rPr>
            </w:pPr>
            <w:r>
              <w:rPr>
                <w:rFonts w:hint="eastAsia" w:ascii="宋体" w:hAnsi="宋体"/>
                <w:color w:val="auto"/>
                <w:szCs w:val="21"/>
              </w:rPr>
              <w:t>7、验收产生的费用由成交人负责。</w:t>
            </w:r>
          </w:p>
        </w:tc>
      </w:tr>
      <w:tr w14:paraId="6323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7" w:hRule="atLeast"/>
          <w:jc w:val="center"/>
        </w:trPr>
        <w:tc>
          <w:tcPr>
            <w:tcW w:w="1358" w:type="dxa"/>
            <w:gridSpan w:val="2"/>
            <w:vAlign w:val="center"/>
          </w:tcPr>
          <w:p w14:paraId="4EAE9E43">
            <w:pPr>
              <w:pStyle w:val="26"/>
              <w:spacing w:before="120"/>
              <w:ind w:left="-70" w:firstLine="210"/>
              <w:jc w:val="left"/>
              <w:rPr>
                <w:rFonts w:ascii="宋体" w:hAnsi="宋体"/>
                <w:color w:val="auto"/>
                <w:kern w:val="0"/>
                <w:szCs w:val="21"/>
              </w:rPr>
            </w:pPr>
            <w:r>
              <w:rPr>
                <w:rFonts w:hint="eastAsia" w:ascii="宋体" w:hAnsi="宋体" w:cs="宋体"/>
                <w:color w:val="auto"/>
                <w:szCs w:val="21"/>
              </w:rPr>
              <w:t>其他要求</w:t>
            </w:r>
          </w:p>
        </w:tc>
        <w:tc>
          <w:tcPr>
            <w:tcW w:w="8323" w:type="dxa"/>
            <w:gridSpan w:val="4"/>
            <w:vAlign w:val="center"/>
          </w:tcPr>
          <w:p w14:paraId="264E1D29">
            <w:pPr>
              <w:numPr>
                <w:ilvl w:val="0"/>
                <w:numId w:val="3"/>
              </w:numPr>
              <w:spacing w:before="120" w:line="400" w:lineRule="exact"/>
              <w:rPr>
                <w:rFonts w:hint="eastAsia" w:ascii="宋体" w:hAnsi="宋体"/>
                <w:color w:val="auto"/>
                <w:szCs w:val="21"/>
              </w:rPr>
            </w:pPr>
            <w:r>
              <w:rPr>
                <w:rFonts w:hint="eastAsia" w:ascii="宋体" w:hAnsi="宋体"/>
                <w:color w:val="auto"/>
                <w:szCs w:val="21"/>
              </w:rPr>
              <w:t>本项目属于部</w:t>
            </w:r>
            <w:r>
              <w:rPr>
                <w:rFonts w:hint="eastAsia" w:ascii="宋体" w:hAnsi="宋体" w:eastAsia="宋体" w:cs="Times New Roman"/>
                <w:color w:val="auto"/>
                <w:szCs w:val="21"/>
              </w:rPr>
              <w:t>分预留份额专门面向中小企业采购的项目，预留预算总金额</w:t>
            </w:r>
            <w:r>
              <w:rPr>
                <w:rFonts w:hint="eastAsia" w:ascii="宋体" w:hAnsi="宋体" w:cs="Times New Roman"/>
                <w:color w:val="auto"/>
                <w:szCs w:val="21"/>
                <w:lang w:eastAsia="zh-CN"/>
              </w:rPr>
              <w:t>不低于</w:t>
            </w:r>
            <w:r>
              <w:rPr>
                <w:rFonts w:hint="eastAsia" w:ascii="宋体" w:hAnsi="宋体" w:eastAsia="宋体" w:cs="Times New Roman"/>
                <w:color w:val="auto"/>
                <w:szCs w:val="21"/>
                <w:lang w:val="en-US" w:eastAsia="zh-CN"/>
              </w:rPr>
              <w:t>70.14</w:t>
            </w:r>
            <w:r>
              <w:rPr>
                <w:rFonts w:hint="eastAsia" w:ascii="宋体" w:hAnsi="宋体" w:eastAsia="宋体" w:cs="Times New Roman"/>
                <w:color w:val="auto"/>
                <w:szCs w:val="21"/>
              </w:rPr>
              <w:t>%专门面向中小企业采购。预留份额部分</w:t>
            </w:r>
            <w:r>
              <w:rPr>
                <w:rFonts w:hint="eastAsia" w:ascii="宋体" w:hAnsi="宋体" w:eastAsia="宋体" w:cs="Times New Roman"/>
                <w:color w:val="auto"/>
                <w:szCs w:val="21"/>
                <w:lang w:eastAsia="zh-CN"/>
              </w:rPr>
              <w:t>为：</w:t>
            </w:r>
            <w:r>
              <w:rPr>
                <w:rFonts w:hint="eastAsia" w:ascii="宋体" w:hAnsi="宋体" w:eastAsia="宋体" w:cs="Times New Roman"/>
                <w:b/>
                <w:bCs/>
                <w:color w:val="auto"/>
                <w:szCs w:val="21"/>
                <w:lang w:val="en-US" w:eastAsia="zh-CN"/>
              </w:rPr>
              <w:t>触摸式无盘一体机、理论考试自助签名机、屏蔽墙、考场静电地板、线材</w:t>
            </w:r>
            <w:r>
              <w:rPr>
                <w:rFonts w:hint="eastAsia" w:ascii="宋体" w:hAnsi="宋体" w:eastAsia="宋体" w:cs="Times New Roman"/>
                <w:color w:val="auto"/>
                <w:szCs w:val="21"/>
                <w:lang w:val="en-US" w:eastAsia="zh-CN"/>
              </w:rPr>
              <w:t>。</w:t>
            </w:r>
            <w:r>
              <w:rPr>
                <w:rFonts w:hint="eastAsia" w:ascii="宋体" w:hAnsi="宋体"/>
                <w:color w:val="auto"/>
                <w:szCs w:val="21"/>
              </w:rPr>
              <w:t>制造商应为中小微企业或监狱企业或残疾人福利性单位</w:t>
            </w:r>
            <w:r>
              <w:rPr>
                <w:rFonts w:hint="eastAsia" w:ascii="宋体" w:hAnsi="宋体"/>
                <w:color w:val="auto"/>
                <w:szCs w:val="21"/>
                <w:lang w:eastAsia="zh-CN"/>
              </w:rPr>
              <w:t>。</w:t>
            </w:r>
          </w:p>
          <w:p w14:paraId="380A5A2A">
            <w:pPr>
              <w:spacing w:before="120" w:line="360" w:lineRule="auto"/>
              <w:ind w:left="-70"/>
              <w:rPr>
                <w:rFonts w:ascii="宋体" w:hAnsi="宋体"/>
                <w:color w:val="auto"/>
                <w:szCs w:val="21"/>
              </w:rPr>
            </w:pPr>
            <w:r>
              <w:rPr>
                <w:rFonts w:hint="eastAsia" w:ascii="宋体" w:hAnsi="宋体"/>
                <w:color w:val="auto"/>
                <w:szCs w:val="21"/>
                <w:lang w:val="en-US" w:eastAsia="zh-CN"/>
              </w:rPr>
              <w:t>2、</w:t>
            </w:r>
            <w:r>
              <w:rPr>
                <w:rFonts w:hint="eastAsia" w:ascii="宋体" w:hAnsi="宋体"/>
                <w:color w:val="auto"/>
                <w:szCs w:val="21"/>
              </w:rPr>
              <w:t>竞标产品必须为全新原装产品，竞标人所提供的产品、资料等要满足中华人民共和国的相应标准；项目采购的设备因兼容问题达不到采购人使用需求的，采购人有权要求竞标人更换设备。</w:t>
            </w:r>
          </w:p>
          <w:p w14:paraId="2906C031">
            <w:pPr>
              <w:spacing w:before="120" w:line="360" w:lineRule="auto"/>
              <w:ind w:left="-70"/>
              <w:rPr>
                <w:rFonts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竞标人所提供的竞标产品技术证明材料应与实际功能相符，竞标人不得进行篡改，如有发现响应文件的技术证明材料与设备实际功能不相符，不予以验收，并追究竞标人虚假应标的法律责任，且竞标人必须在响应文件中提供承诺函，承诺竞标产品技术证明材料与实际功能相符，否则采购人有权解除合同，落款处由法定代表人签字确认及加盖单位公章，否则竞标无效。</w:t>
            </w:r>
          </w:p>
          <w:p w14:paraId="20307B63">
            <w:pPr>
              <w:spacing w:before="120" w:line="360" w:lineRule="auto"/>
              <w:ind w:left="-70"/>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合同履行要求：为了保证本次货物的质量，竞标人在全部货物到达采购单位交货安装前，采购单位有权对供货设备进行测试签收，通过功能测试以确认技术指标和性能是否达到采购文件中所规定以及响应文件所承诺的技术功能要求，若测试结果不能满足采购参数要求以及响应文件所承诺，属于虚假承诺谋取成交的，采购单位有权不予以接收，采购人有权单方面终止合同，竞标人已支付的代理服务费不予退还，并且保留追究竞标人虚假应标的法律责任。</w:t>
            </w:r>
          </w:p>
          <w:p w14:paraId="60006F97">
            <w:pPr>
              <w:numPr>
                <w:ilvl w:val="0"/>
                <w:numId w:val="0"/>
              </w:numPr>
              <w:spacing w:line="360" w:lineRule="auto"/>
              <w:rPr>
                <w:rFonts w:hint="eastAsia" w:ascii="Times New Roman" w:hAnsi="Times New Roman" w:eastAsia="宋体" w:cs="Times New Roman"/>
                <w:color w:val="auto"/>
                <w:lang w:val="en-US" w:eastAsia="zh-CN"/>
              </w:rPr>
            </w:pPr>
            <w:r>
              <w:rPr>
                <w:rFonts w:hint="eastAsia" w:cs="Times New Roman"/>
                <w:b/>
                <w:bCs/>
                <w:color w:val="auto"/>
                <w:lang w:val="en-US" w:eastAsia="zh-CN"/>
              </w:rPr>
              <w:t>5</w:t>
            </w:r>
            <w:r>
              <w:rPr>
                <w:rFonts w:hint="eastAsia" w:ascii="Times New Roman" w:hAnsi="Times New Roman" w:eastAsia="宋体" w:cs="Times New Roman"/>
                <w:b/>
                <w:bCs/>
                <w:color w:val="auto"/>
                <w:lang w:val="en-US" w:eastAsia="zh-CN"/>
              </w:rPr>
              <w:t>、</w:t>
            </w:r>
            <w:r>
              <w:rPr>
                <w:rFonts w:hint="eastAsia" w:ascii="Times New Roman" w:hAnsi="Times New Roman" w:eastAsia="宋体" w:cs="Times New Roman"/>
                <w:color w:val="auto"/>
                <w:lang w:val="en-US" w:eastAsia="zh-CN"/>
              </w:rPr>
              <w:t>为确保本项目的顺利实施，项目进度按时推进、确保售后服务质量，竞标时，</w:t>
            </w:r>
            <w:r>
              <w:rPr>
                <w:rFonts w:hint="eastAsia" w:ascii="Times New Roman" w:hAnsi="Times New Roman" w:eastAsia="宋体" w:cs="Times New Roman"/>
                <w:b/>
                <w:bCs/>
                <w:color w:val="auto"/>
                <w:lang w:val="en-US" w:eastAsia="zh-CN"/>
              </w:rPr>
              <w:t>必须提供符合下面要求的项目实施方案和售后服务方案</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b/>
                <w:bCs/>
                <w:color w:val="auto"/>
                <w:lang w:val="en-US" w:eastAsia="zh-CN"/>
              </w:rPr>
              <w:t>且方案要素齐全，内容完整，有针对性，科学，可行，否则按无效响应处理。</w:t>
            </w:r>
          </w:p>
          <w:p w14:paraId="3CDB5CF5">
            <w:pPr>
              <w:numPr>
                <w:ilvl w:val="0"/>
                <w:numId w:val="0"/>
              </w:numPr>
              <w:spacing w:line="360" w:lineRule="auto"/>
              <w:rPr>
                <w:rFonts w:hint="eastAsia" w:ascii="Times New Roman" w:hAnsi="Times New Roman" w:eastAsia="宋体" w:cs="Times New Roman"/>
                <w:color w:val="auto"/>
                <w:lang w:val="en-US" w:eastAsia="zh-CN"/>
              </w:rPr>
            </w:pPr>
            <w:r>
              <w:rPr>
                <w:rFonts w:hint="eastAsia" w:ascii="Times New Roman" w:hAnsi="Times New Roman" w:eastAsia="宋体" w:cs="Times New Roman"/>
                <w:b/>
                <w:bCs/>
                <w:color w:val="auto"/>
                <w:lang w:val="en-US" w:eastAsia="zh-CN"/>
              </w:rPr>
              <w:t>项目实施方案内容至少包括以下要素：</w:t>
            </w:r>
            <w:r>
              <w:rPr>
                <w:rFonts w:hint="eastAsia" w:ascii="Times New Roman" w:hAnsi="Times New Roman" w:eastAsia="宋体" w:cs="Times New Roman"/>
                <w:color w:val="auto"/>
                <w:lang w:val="en-US" w:eastAsia="zh-CN"/>
              </w:rPr>
              <w:t>①保证项目实施的技术力量和人力资源安排；②项目进度计划；③有良好的质量保障措施及安全控制措施；④项目实施过程中的沟通渠道便捷顺畅；⑤项目安装、调试、验收方法；</w:t>
            </w:r>
          </w:p>
          <w:p w14:paraId="201638C5">
            <w:pPr>
              <w:spacing w:line="440" w:lineRule="exact"/>
              <w:rPr>
                <w:rFonts w:hint="eastAsia" w:ascii="宋体" w:hAnsi="宋体"/>
                <w:color w:val="auto"/>
                <w:szCs w:val="21"/>
              </w:rPr>
            </w:pPr>
            <w:r>
              <w:rPr>
                <w:rFonts w:hint="eastAsia" w:ascii="Times New Roman" w:hAnsi="Times New Roman" w:eastAsia="宋体" w:cs="Times New Roman"/>
                <w:b/>
                <w:bCs/>
                <w:color w:val="auto"/>
                <w:lang w:val="en-US" w:eastAsia="zh-CN"/>
              </w:rPr>
              <w:t>售后服务方案至少包括以下要素：</w:t>
            </w:r>
            <w:r>
              <w:rPr>
                <w:rFonts w:hint="eastAsia"/>
                <w:color w:val="auto"/>
                <w:highlight w:val="none"/>
              </w:rPr>
              <w:t>①售后服务体系</w:t>
            </w:r>
            <w:r>
              <w:rPr>
                <w:rFonts w:hint="eastAsia"/>
                <w:bCs/>
                <w:color w:val="auto"/>
                <w:highlight w:val="none"/>
              </w:rPr>
              <w:t>；</w:t>
            </w:r>
            <w:r>
              <w:rPr>
                <w:rFonts w:hint="eastAsia"/>
                <w:color w:val="auto"/>
                <w:highlight w:val="none"/>
              </w:rPr>
              <w:t>②质保期内</w:t>
            </w:r>
            <w:r>
              <w:rPr>
                <w:rFonts w:hint="eastAsia"/>
                <w:color w:val="auto"/>
                <w:highlight w:val="none"/>
                <w:lang w:val="en-US" w:eastAsia="zh-CN"/>
              </w:rPr>
              <w:t>拟投入</w:t>
            </w:r>
            <w:r>
              <w:rPr>
                <w:rFonts w:hint="eastAsia"/>
                <w:bCs/>
                <w:color w:val="auto"/>
                <w:highlight w:val="none"/>
              </w:rPr>
              <w:t>维保人员能力及经验说明</w:t>
            </w:r>
            <w:r>
              <w:rPr>
                <w:rFonts w:hint="eastAsia"/>
                <w:color w:val="auto"/>
                <w:highlight w:val="none"/>
              </w:rPr>
              <w:t>、③合同履约期限、④质保期、⑤到达现场处理故障时间、⑥免费保修期外维修维护方案（含零配件的优惠供应等内容）、⑦是否具备故障时的替代产品、⑧培训技术人员</w:t>
            </w:r>
            <w:r>
              <w:rPr>
                <w:rFonts w:hint="eastAsia" w:ascii="Times New Roman" w:hAnsi="Times New Roman" w:eastAsia="宋体" w:cs="Times New Roman"/>
                <w:color w:val="auto"/>
                <w:lang w:val="en-US" w:eastAsia="zh-CN"/>
              </w:rPr>
              <w:t>方案、⑨定期回访、检查、日常保养安排、⑩其他增值售后服务或其他</w:t>
            </w:r>
            <w:r>
              <w:rPr>
                <w:rFonts w:hint="eastAsia" w:ascii="Times New Roman" w:hAnsi="Times New Roman" w:eastAsia="宋体" w:cs="Times New Roman"/>
                <w:color w:val="auto"/>
                <w:highlight w:val="none"/>
                <w:lang w:val="en-US" w:eastAsia="zh-CN"/>
              </w:rPr>
              <w:t>实质性优惠措施</w:t>
            </w:r>
            <w:r>
              <w:rPr>
                <w:rFonts w:hint="eastAsia" w:ascii="Times New Roman" w:hAnsi="Times New Roman" w:eastAsia="宋体" w:cs="Times New Roman"/>
                <w:color w:val="auto"/>
                <w:lang w:val="en-US" w:eastAsia="zh-CN"/>
              </w:rPr>
              <w:t>（可以是：安装后的后续服务内容、供应商自身的特色服务等</w:t>
            </w:r>
            <w:r>
              <w:rPr>
                <w:rFonts w:hint="eastAsia" w:ascii="Times New Roman" w:hAnsi="Times New Roman" w:eastAsia="宋体" w:cs="Times New Roman"/>
                <w:color w:val="auto"/>
                <w:highlight w:val="none"/>
                <w:lang w:val="en-US" w:eastAsia="zh-CN"/>
              </w:rPr>
              <w:t>。没有则写“无”）、</w:t>
            </w:r>
            <w:r>
              <w:rPr>
                <w:rFonts w:hint="eastAsia" w:ascii="Times New Roman" w:hAnsi="Times New Roman" w:eastAsia="宋体" w:cs="Times New Roman"/>
                <w:color w:val="auto"/>
                <w:highlight w:val="none"/>
                <w:lang w:val="en-US" w:eastAsia="zh-CN"/>
              </w:rPr>
              <w:fldChar w:fldCharType="begin"/>
            </w:r>
            <w:r>
              <w:rPr>
                <w:rFonts w:hint="eastAsia" w:ascii="Times New Roman" w:hAnsi="Times New Roman" w:eastAsia="宋体" w:cs="Times New Roman"/>
                <w:color w:val="auto"/>
                <w:highlight w:val="none"/>
                <w:lang w:val="en-US" w:eastAsia="zh-CN"/>
              </w:rPr>
              <w:instrText xml:space="preserve"> = 11 \* GB2 \* MERGEFORMAT </w:instrText>
            </w:r>
            <w:r>
              <w:rPr>
                <w:rFonts w:hint="eastAsia" w:ascii="Times New Roman" w:hAnsi="Times New Roman" w:eastAsia="宋体" w:cs="Times New Roman"/>
                <w:color w:val="auto"/>
                <w:highlight w:val="none"/>
                <w:lang w:val="en-US" w:eastAsia="zh-CN"/>
              </w:rPr>
              <w:fldChar w:fldCharType="separate"/>
            </w:r>
            <w:r>
              <w:rPr>
                <w:rFonts w:hint="eastAsia" w:ascii="Times New Roman" w:hAnsi="Times New Roman" w:eastAsia="宋体" w:cs="Times New Roman"/>
                <w:color w:val="auto"/>
                <w:highlight w:val="none"/>
                <w:lang w:val="en-US" w:eastAsia="zh-CN"/>
              </w:rPr>
              <w:t>⑾</w:t>
            </w:r>
            <w:r>
              <w:rPr>
                <w:rFonts w:hint="eastAsia" w:ascii="Times New Roman" w:hAnsi="Times New Roman" w:eastAsia="宋体" w:cs="Times New Roman"/>
                <w:color w:val="auto"/>
                <w:highlight w:val="none"/>
                <w:lang w:val="en-US" w:eastAsia="zh-CN"/>
              </w:rPr>
              <w:fldChar w:fldCharType="end"/>
            </w:r>
            <w:r>
              <w:rPr>
                <w:rFonts w:hint="eastAsia" w:ascii="Times New Roman" w:hAnsi="Times New Roman" w:eastAsia="宋体" w:cs="Times New Roman"/>
                <w:color w:val="auto"/>
                <w:highlight w:val="none"/>
                <w:lang w:val="en-US" w:eastAsia="zh-CN"/>
              </w:rPr>
              <w:t>承诺后续服务中不私自转包，不委托他人管理，并积极响应并配合采购人相关工作安排。</w:t>
            </w:r>
          </w:p>
        </w:tc>
      </w:tr>
      <w:tr w14:paraId="1EC6D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7A1D44E8">
            <w:pPr>
              <w:pStyle w:val="26"/>
              <w:spacing w:before="120"/>
              <w:ind w:left="-70" w:firstLine="210"/>
              <w:jc w:val="center"/>
              <w:rPr>
                <w:rFonts w:ascii="宋体" w:hAnsi="宋体"/>
                <w:b/>
                <w:color w:val="auto"/>
                <w:kern w:val="0"/>
                <w:szCs w:val="21"/>
              </w:rPr>
            </w:pPr>
            <w:r>
              <w:rPr>
                <w:rFonts w:hint="eastAsia" w:ascii="宋体" w:hAnsi="宋体"/>
                <w:bCs/>
                <w:color w:val="auto"/>
                <w:szCs w:val="21"/>
              </w:rPr>
              <w:t>核心产品说明</w:t>
            </w:r>
          </w:p>
        </w:tc>
        <w:tc>
          <w:tcPr>
            <w:tcW w:w="8323" w:type="dxa"/>
            <w:gridSpan w:val="4"/>
            <w:vAlign w:val="center"/>
          </w:tcPr>
          <w:p w14:paraId="5FE1E494">
            <w:pPr>
              <w:spacing w:before="120" w:line="360" w:lineRule="auto"/>
              <w:rPr>
                <w:rFonts w:ascii="宋体" w:hAnsi="宋体"/>
                <w:color w:val="auto"/>
                <w:szCs w:val="21"/>
              </w:rPr>
            </w:pPr>
            <w:r>
              <w:rPr>
                <w:rFonts w:hint="eastAsia" w:ascii="宋体" w:hAnsi="宋体"/>
                <w:color w:val="auto"/>
                <w:szCs w:val="21"/>
              </w:rPr>
              <w:t>本项目核心产品为</w:t>
            </w:r>
            <w:r>
              <w:rPr>
                <w:rFonts w:hint="eastAsia" w:ascii="宋体" w:hAnsi="宋体"/>
                <w:b/>
                <w:bCs/>
                <w:color w:val="auto"/>
                <w:szCs w:val="21"/>
                <w:u w:val="single"/>
              </w:rPr>
              <w:t>无盘工作站系统配套软硬件</w:t>
            </w:r>
            <w:r>
              <w:rPr>
                <w:rFonts w:hint="eastAsia" w:ascii="宋体" w:hAnsi="宋体"/>
                <w:color w:val="auto"/>
                <w:szCs w:val="21"/>
              </w:rPr>
              <w:t>。</w:t>
            </w:r>
          </w:p>
          <w:p w14:paraId="1071F02E">
            <w:pPr>
              <w:spacing w:before="120" w:line="360" w:lineRule="auto"/>
              <w:ind w:left="-70"/>
              <w:rPr>
                <w:rFonts w:ascii="宋体" w:hAnsi="宋体"/>
                <w:color w:val="auto"/>
                <w:szCs w:val="21"/>
              </w:rPr>
            </w:pPr>
            <w:r>
              <w:rPr>
                <w:rFonts w:hint="eastAsia" w:ascii="宋体" w:hAnsi="宋体" w:cs="宋体"/>
                <w:color w:val="auto"/>
                <w:szCs w:val="21"/>
              </w:rPr>
              <w:t>提供相同品牌产品的不同供应商参加单一产品的同一合同项下的政府采购活动的（或非单一产品采购项目中，多家供应商提供的核心产品品牌相同的），取其中质量和服务均能满足谈判文件实质性响应要求且最后竞标总报价最低的供应商参加评审；最后报价相同时，则由采购人自主选择确定一家供应商参加评审，其他竞标无效。</w:t>
            </w:r>
          </w:p>
        </w:tc>
      </w:tr>
      <w:tr w14:paraId="3C44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1358" w:type="dxa"/>
            <w:gridSpan w:val="2"/>
            <w:vAlign w:val="center"/>
          </w:tcPr>
          <w:p w14:paraId="45734C4B">
            <w:pPr>
              <w:spacing w:before="120" w:line="400" w:lineRule="atLeast"/>
              <w:ind w:left="-70"/>
              <w:jc w:val="center"/>
              <w:rPr>
                <w:rFonts w:ascii="宋体" w:hAnsi="宋体" w:cs="宋体"/>
                <w:color w:val="auto"/>
                <w:kern w:val="0"/>
                <w:szCs w:val="21"/>
              </w:rPr>
            </w:pPr>
            <w:bookmarkStart w:id="42" w:name="OLE_LINK30"/>
            <w:r>
              <w:rPr>
                <w:rFonts w:hint="eastAsia" w:ascii="宋体" w:hAnsi="宋体" w:cs="宋体"/>
                <w:color w:val="auto"/>
                <w:szCs w:val="21"/>
              </w:rPr>
              <w:t>▲</w:t>
            </w:r>
            <w:bookmarkEnd w:id="42"/>
            <w:r>
              <w:rPr>
                <w:rFonts w:hint="eastAsia" w:ascii="宋体" w:hAnsi="宋体" w:cs="宋体"/>
                <w:b/>
                <w:color w:val="auto"/>
                <w:szCs w:val="21"/>
              </w:rPr>
              <w:t>二、进口产品说明</w:t>
            </w:r>
          </w:p>
        </w:tc>
        <w:tc>
          <w:tcPr>
            <w:tcW w:w="8323" w:type="dxa"/>
            <w:gridSpan w:val="4"/>
            <w:vAlign w:val="center"/>
          </w:tcPr>
          <w:p w14:paraId="268BBA60">
            <w:pPr>
              <w:spacing w:before="120" w:line="400" w:lineRule="atLeast"/>
              <w:ind w:left="-70"/>
              <w:jc w:val="left"/>
              <w:rPr>
                <w:rFonts w:ascii="宋体" w:hAnsi="宋体" w:cs="宋体"/>
                <w:color w:val="auto"/>
                <w:szCs w:val="21"/>
              </w:rPr>
            </w:pPr>
            <w:r>
              <w:rPr>
                <w:rFonts w:hint="eastAsia" w:ascii="宋体" w:hAnsi="宋体" w:cs="宋体"/>
                <w:b/>
                <w:color w:val="auto"/>
                <w:szCs w:val="21"/>
              </w:rPr>
              <w:t>本项目货物不接受进口产品竞标（即通过中国海关报关验放进入中国境内且产自关境外的产品）</w:t>
            </w:r>
            <w:r>
              <w:rPr>
                <w:rFonts w:hint="eastAsia" w:ascii="宋体" w:hAnsi="宋体" w:cs="宋体"/>
                <w:color w:val="auto"/>
                <w:szCs w:val="21"/>
              </w:rPr>
              <w:t>，</w:t>
            </w:r>
            <w:r>
              <w:rPr>
                <w:rFonts w:hint="eastAsia" w:ascii="宋体" w:hAnsi="宋体" w:cs="宋体"/>
                <w:b/>
                <w:color w:val="auto"/>
                <w:szCs w:val="21"/>
              </w:rPr>
              <w:t>如有此类产品参与竞标的，响应文件按无效响应处理。</w:t>
            </w:r>
          </w:p>
        </w:tc>
      </w:tr>
    </w:tbl>
    <w:p w14:paraId="36B0463A">
      <w:pPr>
        <w:spacing w:before="120" w:line="528" w:lineRule="exact"/>
        <w:ind w:left="-70" w:firstLine="980"/>
        <w:rPr>
          <w:rFonts w:ascii="Arial Unicode MS" w:hAnsi="Arial Unicode MS" w:eastAsia="Arial Unicode MS" w:cs="Arial Unicode MS"/>
          <w:color w:val="auto"/>
          <w:sz w:val="40"/>
          <w:szCs w:val="40"/>
        </w:rPr>
      </w:pPr>
    </w:p>
    <w:p w14:paraId="3D4BAE01">
      <w:pPr>
        <w:spacing w:before="120" w:line="528" w:lineRule="exact"/>
        <w:ind w:left="-70" w:firstLine="980"/>
        <w:rPr>
          <w:rFonts w:hint="eastAsia" w:ascii="Arial Unicode MS" w:hAnsi="Arial Unicode MS" w:eastAsia="Arial Unicode MS" w:cs="Arial Unicode MS"/>
          <w:color w:val="auto"/>
          <w:sz w:val="40"/>
          <w:szCs w:val="40"/>
        </w:rPr>
      </w:pPr>
    </w:p>
    <w:p w14:paraId="67BEC302">
      <w:pPr>
        <w:spacing w:before="120" w:line="528" w:lineRule="exact"/>
        <w:ind w:left="-70" w:firstLine="980"/>
        <w:rPr>
          <w:rFonts w:hint="eastAsia" w:ascii="Arial Unicode MS" w:hAnsi="Arial Unicode MS" w:eastAsia="Arial Unicode MS" w:cs="Arial Unicode MS"/>
          <w:color w:val="auto"/>
          <w:sz w:val="40"/>
          <w:szCs w:val="40"/>
        </w:rPr>
      </w:pPr>
    </w:p>
    <w:p w14:paraId="4D76A2A9">
      <w:pPr>
        <w:spacing w:before="120" w:line="528" w:lineRule="exact"/>
        <w:ind w:left="-70" w:firstLine="980"/>
        <w:rPr>
          <w:rFonts w:hint="eastAsia" w:ascii="Arial Unicode MS" w:hAnsi="Arial Unicode MS" w:eastAsia="Arial Unicode MS" w:cs="Arial Unicode MS"/>
          <w:color w:val="auto"/>
          <w:sz w:val="40"/>
          <w:szCs w:val="40"/>
        </w:rPr>
      </w:pPr>
    </w:p>
    <w:p w14:paraId="416EDF1F">
      <w:pPr>
        <w:spacing w:before="120" w:line="528" w:lineRule="exact"/>
        <w:ind w:left="-70" w:firstLine="980"/>
        <w:rPr>
          <w:rFonts w:hint="eastAsia" w:ascii="Arial Unicode MS" w:hAnsi="Arial Unicode MS" w:eastAsia="Arial Unicode MS" w:cs="Arial Unicode MS"/>
          <w:color w:val="auto"/>
          <w:sz w:val="40"/>
          <w:szCs w:val="40"/>
        </w:rPr>
      </w:pPr>
    </w:p>
    <w:p w14:paraId="7EA431BC">
      <w:pPr>
        <w:spacing w:before="120" w:line="528" w:lineRule="exact"/>
        <w:ind w:left="-70" w:firstLine="980"/>
        <w:rPr>
          <w:rFonts w:hint="eastAsia" w:ascii="Arial Unicode MS" w:hAnsi="Arial Unicode MS" w:eastAsia="Arial Unicode MS" w:cs="Arial Unicode MS"/>
          <w:color w:val="auto"/>
          <w:sz w:val="40"/>
          <w:szCs w:val="40"/>
        </w:rPr>
      </w:pPr>
    </w:p>
    <w:p w14:paraId="1AA94C6B">
      <w:pPr>
        <w:spacing w:before="120" w:line="528" w:lineRule="exact"/>
        <w:ind w:left="-70" w:firstLine="980"/>
        <w:rPr>
          <w:rFonts w:hint="eastAsia" w:ascii="Arial Unicode MS" w:hAnsi="Arial Unicode MS" w:eastAsia="Arial Unicode MS" w:cs="Arial Unicode MS"/>
          <w:color w:val="auto"/>
          <w:sz w:val="40"/>
          <w:szCs w:val="40"/>
        </w:rPr>
      </w:pPr>
    </w:p>
    <w:p w14:paraId="2AE57785">
      <w:pPr>
        <w:spacing w:before="120" w:line="528" w:lineRule="exact"/>
        <w:ind w:left="-70" w:firstLine="980"/>
        <w:rPr>
          <w:rFonts w:hint="eastAsia" w:ascii="Arial Unicode MS" w:hAnsi="Arial Unicode MS" w:eastAsia="Arial Unicode MS" w:cs="Arial Unicode MS"/>
          <w:color w:val="auto"/>
          <w:sz w:val="40"/>
          <w:szCs w:val="40"/>
        </w:rPr>
      </w:pPr>
    </w:p>
    <w:p w14:paraId="591AF484">
      <w:pPr>
        <w:spacing w:before="120" w:line="528" w:lineRule="exact"/>
        <w:ind w:left="-70" w:firstLine="980"/>
        <w:rPr>
          <w:rFonts w:hint="eastAsia" w:ascii="Arial Unicode MS" w:hAnsi="Arial Unicode MS" w:eastAsia="Arial Unicode MS" w:cs="Arial Unicode MS"/>
          <w:color w:val="auto"/>
          <w:sz w:val="40"/>
          <w:szCs w:val="40"/>
        </w:rPr>
      </w:pPr>
    </w:p>
    <w:p w14:paraId="01DCBD4C">
      <w:pPr>
        <w:spacing w:before="120" w:line="528" w:lineRule="exact"/>
        <w:ind w:left="-70" w:firstLine="980"/>
        <w:rPr>
          <w:rFonts w:hint="eastAsia" w:ascii="Arial Unicode MS" w:hAnsi="Arial Unicode MS" w:eastAsia="Arial Unicode MS" w:cs="Arial Unicode MS"/>
          <w:color w:val="auto"/>
          <w:sz w:val="40"/>
          <w:szCs w:val="40"/>
        </w:rPr>
      </w:pPr>
    </w:p>
    <w:p w14:paraId="0276675A">
      <w:pPr>
        <w:spacing w:before="120" w:line="528" w:lineRule="exact"/>
        <w:ind w:left="-70" w:firstLine="980"/>
        <w:rPr>
          <w:rFonts w:hint="eastAsia" w:ascii="Arial Unicode MS" w:hAnsi="Arial Unicode MS" w:eastAsia="Arial Unicode MS" w:cs="Arial Unicode MS"/>
          <w:color w:val="auto"/>
          <w:sz w:val="40"/>
          <w:szCs w:val="40"/>
        </w:rPr>
      </w:pPr>
    </w:p>
    <w:p w14:paraId="34889013">
      <w:pPr>
        <w:spacing w:before="120" w:line="528" w:lineRule="exact"/>
        <w:ind w:left="-70" w:firstLine="980"/>
        <w:rPr>
          <w:rFonts w:hint="eastAsia" w:ascii="Arial Unicode MS" w:hAnsi="Arial Unicode MS" w:eastAsia="Arial Unicode MS" w:cs="Arial Unicode MS"/>
          <w:color w:val="auto"/>
          <w:sz w:val="40"/>
          <w:szCs w:val="40"/>
        </w:rPr>
      </w:pPr>
    </w:p>
    <w:p w14:paraId="77578AA6">
      <w:pPr>
        <w:spacing w:before="120" w:line="528" w:lineRule="exact"/>
        <w:ind w:left="-70" w:firstLine="980"/>
        <w:rPr>
          <w:rFonts w:hint="eastAsia" w:ascii="Arial Unicode MS" w:hAnsi="Arial Unicode MS" w:eastAsia="Arial Unicode MS" w:cs="Arial Unicode MS"/>
          <w:color w:val="auto"/>
          <w:sz w:val="40"/>
          <w:szCs w:val="40"/>
        </w:rPr>
      </w:pPr>
    </w:p>
    <w:p w14:paraId="6AB529A9">
      <w:pPr>
        <w:spacing w:before="120" w:line="528" w:lineRule="exact"/>
        <w:ind w:left="-70" w:firstLine="980"/>
        <w:rPr>
          <w:rFonts w:hint="eastAsia" w:ascii="Arial Unicode MS" w:hAnsi="Arial Unicode MS" w:eastAsia="Arial Unicode MS" w:cs="Arial Unicode MS"/>
          <w:color w:val="auto"/>
          <w:sz w:val="40"/>
          <w:szCs w:val="40"/>
        </w:rPr>
      </w:pPr>
    </w:p>
    <w:p w14:paraId="12A46FE4">
      <w:pPr>
        <w:spacing w:before="120" w:line="528" w:lineRule="exact"/>
        <w:ind w:left="-70" w:firstLine="980"/>
        <w:rPr>
          <w:rFonts w:hint="eastAsia" w:ascii="Arial Unicode MS" w:hAnsi="Arial Unicode MS" w:eastAsia="Arial Unicode MS" w:cs="Arial Unicode MS"/>
          <w:color w:val="auto"/>
          <w:sz w:val="40"/>
          <w:szCs w:val="40"/>
        </w:rPr>
      </w:pPr>
    </w:p>
    <w:p w14:paraId="0B642165">
      <w:pPr>
        <w:spacing w:before="120" w:line="528" w:lineRule="exact"/>
        <w:ind w:left="-70" w:firstLine="980"/>
        <w:rPr>
          <w:rFonts w:hint="eastAsia" w:ascii="Arial Unicode MS" w:hAnsi="Arial Unicode MS" w:eastAsia="Arial Unicode MS" w:cs="Arial Unicode MS"/>
          <w:color w:val="auto"/>
          <w:sz w:val="40"/>
          <w:szCs w:val="40"/>
        </w:rPr>
      </w:pPr>
    </w:p>
    <w:p w14:paraId="0C21AF8D">
      <w:pPr>
        <w:spacing w:before="120" w:line="528" w:lineRule="exact"/>
        <w:ind w:left="-70" w:firstLine="980"/>
        <w:rPr>
          <w:rFonts w:hint="eastAsia" w:ascii="Arial Unicode MS" w:hAnsi="Arial Unicode MS" w:eastAsia="Arial Unicode MS" w:cs="Arial Unicode MS"/>
          <w:color w:val="auto"/>
          <w:sz w:val="40"/>
          <w:szCs w:val="40"/>
        </w:rPr>
      </w:pPr>
    </w:p>
    <w:p w14:paraId="28B818A5">
      <w:pPr>
        <w:spacing w:before="120" w:line="528" w:lineRule="exact"/>
        <w:ind w:left="-70" w:firstLine="980"/>
        <w:rPr>
          <w:rFonts w:hint="eastAsia" w:ascii="Arial Unicode MS" w:hAnsi="Arial Unicode MS" w:eastAsia="Arial Unicode MS" w:cs="Arial Unicode MS"/>
          <w:color w:val="auto"/>
          <w:sz w:val="40"/>
          <w:szCs w:val="40"/>
        </w:rPr>
      </w:pPr>
    </w:p>
    <w:p w14:paraId="338D8A9E">
      <w:pPr>
        <w:spacing w:before="120" w:line="528" w:lineRule="exact"/>
        <w:rPr>
          <w:rFonts w:ascii="Arial Unicode MS" w:hAnsi="Arial Unicode MS" w:eastAsia="Arial Unicode MS" w:cs="Arial Unicode MS"/>
          <w:color w:val="auto"/>
          <w:sz w:val="40"/>
          <w:szCs w:val="40"/>
        </w:rPr>
      </w:pPr>
    </w:p>
    <w:p w14:paraId="70A0022B">
      <w:pPr>
        <w:spacing w:before="120"/>
        <w:ind w:left="-70"/>
        <w:rPr>
          <w:color w:val="auto"/>
        </w:rPr>
      </w:pPr>
    </w:p>
    <w:p w14:paraId="638C5A00">
      <w:pPr>
        <w:spacing w:before="120" w:line="528" w:lineRule="exact"/>
        <w:jc w:val="center"/>
        <w:rPr>
          <w:color w:val="auto"/>
        </w:rPr>
      </w:pPr>
      <w:r>
        <w:rPr>
          <w:rFonts w:hint="eastAsia" w:ascii="Arial Unicode MS" w:hAnsi="Arial Unicode MS" w:eastAsia="Arial Unicode MS" w:cs="Arial Unicode MS"/>
          <w:color w:val="auto"/>
          <w:sz w:val="40"/>
          <w:szCs w:val="40"/>
        </w:rPr>
        <w:t>节能产品政府采购品目清单</w:t>
      </w:r>
    </w:p>
    <w:p w14:paraId="68C88C5E">
      <w:pPr>
        <w:pStyle w:val="19"/>
        <w:spacing w:before="120"/>
        <w:rPr>
          <w:color w:val="auto"/>
        </w:rPr>
      </w:pPr>
    </w:p>
    <w:tbl>
      <w:tblPr>
        <w:tblStyle w:val="28"/>
        <w:tblW w:w="9220" w:type="dxa"/>
        <w:tblInd w:w="93" w:type="dxa"/>
        <w:tblLayout w:type="fixed"/>
        <w:tblCellMar>
          <w:top w:w="0" w:type="dxa"/>
          <w:left w:w="108" w:type="dxa"/>
          <w:bottom w:w="0" w:type="dxa"/>
          <w:right w:w="108" w:type="dxa"/>
        </w:tblCellMar>
      </w:tblPr>
      <w:tblGrid>
        <w:gridCol w:w="716"/>
        <w:gridCol w:w="1041"/>
        <w:gridCol w:w="1516"/>
        <w:gridCol w:w="1612"/>
        <w:gridCol w:w="4335"/>
      </w:tblGrid>
      <w:tr w14:paraId="0FBAE759">
        <w:tblPrEx>
          <w:tblCellMar>
            <w:top w:w="0" w:type="dxa"/>
            <w:left w:w="108" w:type="dxa"/>
            <w:bottom w:w="0" w:type="dxa"/>
            <w:right w:w="108" w:type="dxa"/>
          </w:tblCellMar>
        </w:tblPrEx>
        <w:trPr>
          <w:trHeight w:val="555" w:hRule="atLeast"/>
        </w:trPr>
        <w:tc>
          <w:tcPr>
            <w:tcW w:w="716" w:type="dxa"/>
            <w:tcBorders>
              <w:top w:val="single" w:color="000000" w:sz="8" w:space="0"/>
              <w:left w:val="single" w:color="000000" w:sz="8" w:space="0"/>
              <w:bottom w:val="single" w:color="000000" w:sz="8" w:space="0"/>
              <w:right w:val="single" w:color="000000" w:sz="8" w:space="0"/>
            </w:tcBorders>
          </w:tcPr>
          <w:p w14:paraId="1271388B">
            <w:pPr>
              <w:widowControl/>
              <w:spacing w:before="120"/>
              <w:jc w:val="center"/>
              <w:rPr>
                <w:rFonts w:ascii="宋体" w:hAnsi="宋体" w:cs="宋体"/>
                <w:b/>
                <w:bCs/>
                <w:color w:val="auto"/>
                <w:kern w:val="0"/>
                <w:sz w:val="22"/>
                <w:szCs w:val="22"/>
              </w:rPr>
            </w:pPr>
            <w:r>
              <w:rPr>
                <w:rFonts w:hint="eastAsia" w:ascii="宋体" w:hAnsi="宋体" w:cs="宋体"/>
                <w:b/>
                <w:bCs/>
                <w:color w:val="auto"/>
                <w:kern w:val="0"/>
                <w:sz w:val="22"/>
                <w:szCs w:val="22"/>
              </w:rPr>
              <w:t>品目序号</w:t>
            </w:r>
          </w:p>
        </w:tc>
        <w:tc>
          <w:tcPr>
            <w:tcW w:w="4169" w:type="dxa"/>
            <w:gridSpan w:val="3"/>
            <w:tcBorders>
              <w:top w:val="single" w:color="000000" w:sz="8" w:space="0"/>
              <w:left w:val="nil"/>
              <w:bottom w:val="single" w:color="000000" w:sz="8" w:space="0"/>
              <w:right w:val="single" w:color="000000" w:sz="8" w:space="0"/>
            </w:tcBorders>
            <w:vAlign w:val="center"/>
          </w:tcPr>
          <w:p w14:paraId="5C753286">
            <w:pPr>
              <w:widowControl/>
              <w:spacing w:before="120"/>
              <w:jc w:val="center"/>
              <w:rPr>
                <w:rFonts w:ascii="宋体" w:hAnsi="宋体" w:cs="宋体"/>
                <w:b/>
                <w:bCs/>
                <w:color w:val="auto"/>
                <w:kern w:val="0"/>
                <w:sz w:val="22"/>
                <w:szCs w:val="22"/>
              </w:rPr>
            </w:pPr>
            <w:r>
              <w:rPr>
                <w:rFonts w:hint="eastAsia" w:ascii="宋体" w:hAnsi="宋体" w:cs="宋体"/>
                <w:b/>
                <w:bCs/>
                <w:color w:val="auto"/>
                <w:kern w:val="0"/>
                <w:sz w:val="22"/>
                <w:szCs w:val="22"/>
              </w:rPr>
              <w:t>名称</w:t>
            </w:r>
          </w:p>
        </w:tc>
        <w:tc>
          <w:tcPr>
            <w:tcW w:w="4335" w:type="dxa"/>
            <w:tcBorders>
              <w:top w:val="single" w:color="000000" w:sz="8" w:space="0"/>
              <w:left w:val="nil"/>
              <w:bottom w:val="single" w:color="000000" w:sz="8" w:space="0"/>
              <w:right w:val="single" w:color="000000" w:sz="8" w:space="0"/>
            </w:tcBorders>
            <w:vAlign w:val="center"/>
          </w:tcPr>
          <w:p w14:paraId="7F651A9A">
            <w:pPr>
              <w:widowControl/>
              <w:spacing w:before="120"/>
              <w:jc w:val="center"/>
              <w:rPr>
                <w:rFonts w:ascii="宋体" w:hAnsi="宋体" w:cs="宋体"/>
                <w:b/>
                <w:bCs/>
                <w:color w:val="auto"/>
                <w:kern w:val="0"/>
                <w:sz w:val="22"/>
                <w:szCs w:val="22"/>
              </w:rPr>
            </w:pPr>
            <w:r>
              <w:rPr>
                <w:rFonts w:hint="eastAsia" w:ascii="宋体" w:hAnsi="宋体" w:cs="宋体"/>
                <w:b/>
                <w:bCs/>
                <w:color w:val="auto"/>
                <w:kern w:val="0"/>
                <w:sz w:val="22"/>
                <w:szCs w:val="22"/>
              </w:rPr>
              <w:t>依据的标准</w:t>
            </w:r>
          </w:p>
        </w:tc>
      </w:tr>
      <w:tr w14:paraId="171A083C">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6802E72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041" w:type="dxa"/>
            <w:vMerge w:val="restart"/>
            <w:tcBorders>
              <w:top w:val="nil"/>
              <w:left w:val="single" w:color="000000" w:sz="8" w:space="0"/>
              <w:bottom w:val="single" w:color="000000" w:sz="8" w:space="0"/>
              <w:right w:val="single" w:color="000000" w:sz="8" w:space="0"/>
            </w:tcBorders>
            <w:vAlign w:val="center"/>
          </w:tcPr>
          <w:p w14:paraId="3CB33A0B">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A020101计算机设备</w:t>
            </w:r>
          </w:p>
        </w:tc>
        <w:tc>
          <w:tcPr>
            <w:tcW w:w="1516" w:type="dxa"/>
            <w:tcBorders>
              <w:top w:val="nil"/>
              <w:left w:val="nil"/>
              <w:bottom w:val="single" w:color="000000" w:sz="8" w:space="0"/>
              <w:right w:val="single" w:color="000000" w:sz="8" w:space="0"/>
            </w:tcBorders>
            <w:vAlign w:val="center"/>
          </w:tcPr>
          <w:p w14:paraId="2346F4A5">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★A02010104台式计算机</w:t>
            </w:r>
          </w:p>
        </w:tc>
        <w:tc>
          <w:tcPr>
            <w:tcW w:w="1612" w:type="dxa"/>
            <w:tcBorders>
              <w:top w:val="nil"/>
              <w:left w:val="nil"/>
              <w:bottom w:val="single" w:color="000000" w:sz="8" w:space="0"/>
              <w:right w:val="single" w:color="000000" w:sz="8" w:space="0"/>
            </w:tcBorders>
            <w:vAlign w:val="center"/>
          </w:tcPr>
          <w:p w14:paraId="0B45493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A5FCFE5">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651806D3">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07F5C863">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7A64F65">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39D8A7A2">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★A02010105便携式计算机</w:t>
            </w:r>
          </w:p>
        </w:tc>
        <w:tc>
          <w:tcPr>
            <w:tcW w:w="1612" w:type="dxa"/>
            <w:tcBorders>
              <w:top w:val="nil"/>
              <w:left w:val="nil"/>
              <w:bottom w:val="single" w:color="000000" w:sz="8" w:space="0"/>
              <w:right w:val="single" w:color="000000" w:sz="8" w:space="0"/>
            </w:tcBorders>
            <w:vAlign w:val="center"/>
          </w:tcPr>
          <w:p w14:paraId="4C33C9C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2391FD2">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423C0C39">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4F681256">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18BBD08">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7CAE35B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★A02010107平板式微型计算机</w:t>
            </w:r>
          </w:p>
        </w:tc>
        <w:tc>
          <w:tcPr>
            <w:tcW w:w="1612" w:type="dxa"/>
            <w:tcBorders>
              <w:top w:val="nil"/>
              <w:left w:val="nil"/>
              <w:bottom w:val="single" w:color="000000" w:sz="8" w:space="0"/>
              <w:right w:val="single" w:color="000000" w:sz="8" w:space="0"/>
            </w:tcBorders>
            <w:vAlign w:val="center"/>
          </w:tcPr>
          <w:p w14:paraId="234C3C26">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432EB5FA">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《微型计算机能效限定值及能效等级》（GB28380）</w:t>
            </w:r>
          </w:p>
        </w:tc>
      </w:tr>
      <w:tr w14:paraId="73ABF854">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7A3724F4">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041" w:type="dxa"/>
            <w:vMerge w:val="restart"/>
            <w:tcBorders>
              <w:top w:val="nil"/>
              <w:left w:val="single" w:color="000000" w:sz="8" w:space="0"/>
              <w:bottom w:val="single" w:color="000000" w:sz="8" w:space="0"/>
              <w:right w:val="single" w:color="000000" w:sz="8" w:space="0"/>
            </w:tcBorders>
            <w:vAlign w:val="center"/>
          </w:tcPr>
          <w:p w14:paraId="295D7E0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A020106输入输出设备</w:t>
            </w:r>
          </w:p>
        </w:tc>
        <w:tc>
          <w:tcPr>
            <w:tcW w:w="1516" w:type="dxa"/>
            <w:vMerge w:val="restart"/>
            <w:tcBorders>
              <w:top w:val="nil"/>
              <w:left w:val="single" w:color="000000" w:sz="8" w:space="0"/>
              <w:bottom w:val="single" w:color="000000" w:sz="8" w:space="0"/>
              <w:right w:val="single" w:color="000000" w:sz="8" w:space="0"/>
            </w:tcBorders>
            <w:vAlign w:val="center"/>
          </w:tcPr>
          <w:p w14:paraId="761782EB">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A02010601打印设备</w:t>
            </w:r>
          </w:p>
        </w:tc>
        <w:tc>
          <w:tcPr>
            <w:tcW w:w="1612" w:type="dxa"/>
            <w:tcBorders>
              <w:top w:val="nil"/>
              <w:left w:val="nil"/>
              <w:bottom w:val="single" w:color="000000" w:sz="8" w:space="0"/>
              <w:right w:val="single" w:color="000000" w:sz="8" w:space="0"/>
            </w:tcBorders>
            <w:vAlign w:val="center"/>
          </w:tcPr>
          <w:p w14:paraId="64384C8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A0201060101喷墨打印机</w:t>
            </w:r>
          </w:p>
        </w:tc>
        <w:tc>
          <w:tcPr>
            <w:tcW w:w="4335" w:type="dxa"/>
            <w:tcBorders>
              <w:top w:val="nil"/>
              <w:left w:val="nil"/>
              <w:bottom w:val="single" w:color="000000" w:sz="8" w:space="0"/>
              <w:right w:val="single" w:color="000000" w:sz="8" w:space="0"/>
            </w:tcBorders>
            <w:vAlign w:val="center"/>
          </w:tcPr>
          <w:p w14:paraId="0B4CBE76">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11EE7945">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407EB83F">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7589D0C">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0D81D916">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05142F1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★A0201060102激光打印机</w:t>
            </w:r>
          </w:p>
        </w:tc>
        <w:tc>
          <w:tcPr>
            <w:tcW w:w="4335" w:type="dxa"/>
            <w:tcBorders>
              <w:top w:val="nil"/>
              <w:left w:val="nil"/>
              <w:bottom w:val="single" w:color="000000" w:sz="8" w:space="0"/>
              <w:right w:val="single" w:color="000000" w:sz="8" w:space="0"/>
            </w:tcBorders>
            <w:vAlign w:val="center"/>
          </w:tcPr>
          <w:p w14:paraId="220AC1E5">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210B58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1E296910">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790F88D3">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02054D33">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5610BEC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★A0201060104针式打印机</w:t>
            </w:r>
          </w:p>
        </w:tc>
        <w:tc>
          <w:tcPr>
            <w:tcW w:w="4335" w:type="dxa"/>
            <w:tcBorders>
              <w:top w:val="nil"/>
              <w:left w:val="nil"/>
              <w:bottom w:val="single" w:color="000000" w:sz="8" w:space="0"/>
              <w:right w:val="single" w:color="000000" w:sz="8" w:space="0"/>
            </w:tcBorders>
            <w:vAlign w:val="center"/>
          </w:tcPr>
          <w:p w14:paraId="1A2BEA94">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6725267B">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4CC25221">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15DF074">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7D911BC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A02010604显示设备</w:t>
            </w:r>
          </w:p>
        </w:tc>
        <w:tc>
          <w:tcPr>
            <w:tcW w:w="1612" w:type="dxa"/>
            <w:tcBorders>
              <w:top w:val="nil"/>
              <w:left w:val="nil"/>
              <w:bottom w:val="single" w:color="000000" w:sz="8" w:space="0"/>
              <w:right w:val="single" w:color="000000" w:sz="8" w:space="0"/>
            </w:tcBorders>
            <w:vAlign w:val="center"/>
          </w:tcPr>
          <w:p w14:paraId="0E5545DA">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★A0201060401液晶显示器</w:t>
            </w:r>
          </w:p>
        </w:tc>
        <w:tc>
          <w:tcPr>
            <w:tcW w:w="4335" w:type="dxa"/>
            <w:tcBorders>
              <w:top w:val="nil"/>
              <w:left w:val="nil"/>
              <w:bottom w:val="single" w:color="000000" w:sz="8" w:space="0"/>
              <w:right w:val="single" w:color="000000" w:sz="8" w:space="0"/>
            </w:tcBorders>
            <w:vAlign w:val="center"/>
          </w:tcPr>
          <w:p w14:paraId="1B6271B8">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《计算机显示器能效限定值及能效等级》（GB21520）</w:t>
            </w:r>
          </w:p>
        </w:tc>
      </w:tr>
      <w:tr w14:paraId="0384E93D">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vAlign w:val="center"/>
          </w:tcPr>
          <w:p w14:paraId="5A62770A">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46453D3">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34A69E3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A02010609图形图像输入设备</w:t>
            </w:r>
          </w:p>
        </w:tc>
        <w:tc>
          <w:tcPr>
            <w:tcW w:w="1612" w:type="dxa"/>
            <w:tcBorders>
              <w:top w:val="nil"/>
              <w:left w:val="nil"/>
              <w:bottom w:val="single" w:color="000000" w:sz="8" w:space="0"/>
              <w:right w:val="single" w:color="000000" w:sz="8" w:space="0"/>
            </w:tcBorders>
            <w:vAlign w:val="center"/>
          </w:tcPr>
          <w:p w14:paraId="1EB932FD">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A0201060901扫描仪</w:t>
            </w:r>
          </w:p>
        </w:tc>
        <w:tc>
          <w:tcPr>
            <w:tcW w:w="4335" w:type="dxa"/>
            <w:tcBorders>
              <w:top w:val="nil"/>
              <w:left w:val="nil"/>
              <w:bottom w:val="single" w:color="000000" w:sz="8" w:space="0"/>
              <w:right w:val="single" w:color="000000" w:sz="8" w:space="0"/>
            </w:tcBorders>
            <w:vAlign w:val="center"/>
          </w:tcPr>
          <w:p w14:paraId="5ECC4242">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参照《复印机、打印机和传真机能效限定值及能效等级》（GB21521中打印速度为15页/分的针式打印机相关要求中打印速度为15页/分的针式打印机相关要求</w:t>
            </w:r>
          </w:p>
        </w:tc>
      </w:tr>
      <w:tr w14:paraId="0A28E61F">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5A7572FC">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041" w:type="dxa"/>
            <w:tcBorders>
              <w:top w:val="nil"/>
              <w:left w:val="nil"/>
              <w:bottom w:val="single" w:color="000000" w:sz="8" w:space="0"/>
              <w:right w:val="single" w:color="000000" w:sz="8" w:space="0"/>
            </w:tcBorders>
            <w:vAlign w:val="center"/>
          </w:tcPr>
          <w:p w14:paraId="1A5FCDF2">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A020202投影仪</w:t>
            </w:r>
          </w:p>
        </w:tc>
        <w:tc>
          <w:tcPr>
            <w:tcW w:w="1516" w:type="dxa"/>
            <w:tcBorders>
              <w:top w:val="nil"/>
              <w:left w:val="nil"/>
              <w:bottom w:val="single" w:color="000000" w:sz="8" w:space="0"/>
              <w:right w:val="single" w:color="000000" w:sz="8" w:space="0"/>
            </w:tcBorders>
            <w:vAlign w:val="center"/>
          </w:tcPr>
          <w:p w14:paraId="7CB4C36B">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6D7846A4">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473FF56">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《投影机能效限定值及能效等级》（GB32028）</w:t>
            </w:r>
          </w:p>
        </w:tc>
      </w:tr>
      <w:tr w14:paraId="10DB66EF">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6AB4BC3A">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4</w:t>
            </w:r>
          </w:p>
        </w:tc>
        <w:tc>
          <w:tcPr>
            <w:tcW w:w="1041" w:type="dxa"/>
            <w:tcBorders>
              <w:top w:val="nil"/>
              <w:left w:val="nil"/>
              <w:bottom w:val="single" w:color="000000" w:sz="8" w:space="0"/>
              <w:right w:val="single" w:color="000000" w:sz="8" w:space="0"/>
            </w:tcBorders>
            <w:vAlign w:val="center"/>
          </w:tcPr>
          <w:p w14:paraId="1901B0D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A020204多功能一体机</w:t>
            </w:r>
          </w:p>
        </w:tc>
        <w:tc>
          <w:tcPr>
            <w:tcW w:w="1516" w:type="dxa"/>
            <w:tcBorders>
              <w:top w:val="nil"/>
              <w:left w:val="nil"/>
              <w:bottom w:val="single" w:color="000000" w:sz="8" w:space="0"/>
              <w:right w:val="single" w:color="000000" w:sz="8" w:space="0"/>
            </w:tcBorders>
            <w:vAlign w:val="center"/>
          </w:tcPr>
          <w:p w14:paraId="6AC47D4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6590A53B">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E415462">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《复印机、打印机和传真机能效限定值及能效等级》（GB21521）</w:t>
            </w:r>
          </w:p>
        </w:tc>
      </w:tr>
      <w:tr w14:paraId="7B99879A">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2E14D81C">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5</w:t>
            </w:r>
          </w:p>
        </w:tc>
        <w:tc>
          <w:tcPr>
            <w:tcW w:w="1041" w:type="dxa"/>
            <w:tcBorders>
              <w:top w:val="nil"/>
              <w:left w:val="nil"/>
              <w:bottom w:val="single" w:color="000000" w:sz="8" w:space="0"/>
              <w:right w:val="single" w:color="000000" w:sz="8" w:space="0"/>
            </w:tcBorders>
            <w:vAlign w:val="center"/>
          </w:tcPr>
          <w:p w14:paraId="3D2494B2">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A020519泵</w:t>
            </w:r>
          </w:p>
        </w:tc>
        <w:tc>
          <w:tcPr>
            <w:tcW w:w="1516" w:type="dxa"/>
            <w:tcBorders>
              <w:top w:val="nil"/>
              <w:left w:val="nil"/>
              <w:bottom w:val="single" w:color="000000" w:sz="8" w:space="0"/>
              <w:right w:val="single" w:color="000000" w:sz="8" w:space="0"/>
            </w:tcBorders>
            <w:vAlign w:val="center"/>
          </w:tcPr>
          <w:p w14:paraId="32147D4D">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A02051901离心泵</w:t>
            </w:r>
          </w:p>
        </w:tc>
        <w:tc>
          <w:tcPr>
            <w:tcW w:w="1612" w:type="dxa"/>
            <w:tcBorders>
              <w:top w:val="nil"/>
              <w:left w:val="nil"/>
              <w:bottom w:val="single" w:color="000000" w:sz="8" w:space="0"/>
              <w:right w:val="single" w:color="000000" w:sz="8" w:space="0"/>
            </w:tcBorders>
            <w:vAlign w:val="center"/>
          </w:tcPr>
          <w:p w14:paraId="32036955">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7CCAAAB">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《清水离心泵能效限定值及节能评价值》（GB19762）</w:t>
            </w:r>
          </w:p>
        </w:tc>
      </w:tr>
      <w:tr w14:paraId="1C5624A1">
        <w:tblPrEx>
          <w:tblCellMar>
            <w:top w:w="0" w:type="dxa"/>
            <w:left w:w="108" w:type="dxa"/>
            <w:bottom w:w="0" w:type="dxa"/>
            <w:right w:w="108" w:type="dxa"/>
          </w:tblCellMar>
        </w:tblPrEx>
        <w:trPr>
          <w:trHeight w:val="735" w:hRule="atLeast"/>
        </w:trPr>
        <w:tc>
          <w:tcPr>
            <w:tcW w:w="716" w:type="dxa"/>
            <w:vMerge w:val="restart"/>
            <w:tcBorders>
              <w:top w:val="nil"/>
              <w:left w:val="single" w:color="000000" w:sz="8" w:space="0"/>
              <w:bottom w:val="single" w:color="000000" w:sz="8" w:space="0"/>
              <w:right w:val="single" w:color="000000" w:sz="8" w:space="0"/>
            </w:tcBorders>
            <w:vAlign w:val="center"/>
          </w:tcPr>
          <w:p w14:paraId="138F0E03">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6</w:t>
            </w:r>
          </w:p>
        </w:tc>
        <w:tc>
          <w:tcPr>
            <w:tcW w:w="1041" w:type="dxa"/>
            <w:vMerge w:val="restart"/>
            <w:tcBorders>
              <w:top w:val="nil"/>
              <w:left w:val="single" w:color="000000" w:sz="8" w:space="0"/>
              <w:bottom w:val="single" w:color="000000" w:sz="8" w:space="0"/>
              <w:right w:val="single" w:color="000000" w:sz="8" w:space="0"/>
            </w:tcBorders>
            <w:vAlign w:val="center"/>
          </w:tcPr>
          <w:p w14:paraId="7C42200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A020523制冷空调设备</w:t>
            </w:r>
          </w:p>
        </w:tc>
        <w:tc>
          <w:tcPr>
            <w:tcW w:w="1516" w:type="dxa"/>
            <w:vMerge w:val="restart"/>
            <w:tcBorders>
              <w:top w:val="nil"/>
              <w:left w:val="single" w:color="000000" w:sz="8" w:space="0"/>
              <w:bottom w:val="single" w:color="000000" w:sz="8" w:space="0"/>
              <w:right w:val="single" w:color="000000" w:sz="8" w:space="0"/>
            </w:tcBorders>
            <w:vAlign w:val="center"/>
          </w:tcPr>
          <w:p w14:paraId="473B3716">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★A02052301制冷压缩机</w:t>
            </w:r>
          </w:p>
        </w:tc>
        <w:tc>
          <w:tcPr>
            <w:tcW w:w="1612" w:type="dxa"/>
            <w:tcBorders>
              <w:top w:val="nil"/>
              <w:left w:val="nil"/>
              <w:bottom w:val="single" w:color="000000" w:sz="8" w:space="0"/>
              <w:right w:val="single" w:color="000000" w:sz="8" w:space="0"/>
            </w:tcBorders>
            <w:vAlign w:val="center"/>
          </w:tcPr>
          <w:p w14:paraId="71D1933C">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冷水机组</w:t>
            </w:r>
          </w:p>
        </w:tc>
        <w:tc>
          <w:tcPr>
            <w:tcW w:w="4335" w:type="dxa"/>
            <w:tcBorders>
              <w:top w:val="nil"/>
              <w:left w:val="nil"/>
              <w:bottom w:val="single" w:color="000000" w:sz="8" w:space="0"/>
              <w:right w:val="single" w:color="000000" w:sz="8" w:space="0"/>
            </w:tcBorders>
            <w:vAlign w:val="center"/>
          </w:tcPr>
          <w:p w14:paraId="65D2A0CE">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《冷水机组能效限定值及能效等级》（GB19577），《低环境温度空气源热泵（冷水）机组能效限定值及能效等级》（GB37480）</w:t>
            </w:r>
          </w:p>
        </w:tc>
      </w:tr>
      <w:tr w14:paraId="317A5D9B">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1521E1AF">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5591C31F">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07DA8A6A">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5E9C8B74">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水源热泵机组</w:t>
            </w:r>
          </w:p>
        </w:tc>
        <w:tc>
          <w:tcPr>
            <w:tcW w:w="4335" w:type="dxa"/>
            <w:tcBorders>
              <w:top w:val="nil"/>
              <w:left w:val="nil"/>
              <w:bottom w:val="single" w:color="000000" w:sz="8" w:space="0"/>
              <w:right w:val="single" w:color="000000" w:sz="8" w:space="0"/>
            </w:tcBorders>
            <w:vAlign w:val="center"/>
          </w:tcPr>
          <w:p w14:paraId="14F71CDE">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《水（地）源热泵机组能效限定值及能效等级》（GB30721）</w:t>
            </w:r>
          </w:p>
        </w:tc>
      </w:tr>
      <w:tr w14:paraId="3AE0F2E1">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4BAC5547">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57AC27E">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6E9A98F0">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0F9CA5C5">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溴化锂吸收式冷水机组</w:t>
            </w:r>
          </w:p>
        </w:tc>
        <w:tc>
          <w:tcPr>
            <w:tcW w:w="4335" w:type="dxa"/>
            <w:tcBorders>
              <w:top w:val="nil"/>
              <w:left w:val="nil"/>
              <w:bottom w:val="single" w:color="000000" w:sz="8" w:space="0"/>
              <w:right w:val="single" w:color="000000" w:sz="8" w:space="0"/>
            </w:tcBorders>
            <w:vAlign w:val="center"/>
          </w:tcPr>
          <w:p w14:paraId="57B58D54">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《溴化锂吸收式冷水机组能效限定值及能效等级》（GB29540）</w:t>
            </w:r>
          </w:p>
        </w:tc>
      </w:tr>
      <w:tr w14:paraId="554C0D28">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7D2EAD69">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F0DA9A9">
            <w:pPr>
              <w:widowControl/>
              <w:spacing w:before="120"/>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521E44C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★A02052305空调机组</w:t>
            </w:r>
          </w:p>
        </w:tc>
        <w:tc>
          <w:tcPr>
            <w:tcW w:w="1612" w:type="dxa"/>
            <w:tcBorders>
              <w:top w:val="nil"/>
              <w:left w:val="nil"/>
              <w:bottom w:val="single" w:color="000000" w:sz="8" w:space="0"/>
              <w:right w:val="single" w:color="000000" w:sz="8" w:space="0"/>
            </w:tcBorders>
            <w:vAlign w:val="center"/>
          </w:tcPr>
          <w:p w14:paraId="5C4693B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多联式空调（热泵）机组(制冷量&gt;14000W)</w:t>
            </w:r>
          </w:p>
        </w:tc>
        <w:tc>
          <w:tcPr>
            <w:tcW w:w="4335" w:type="dxa"/>
            <w:tcBorders>
              <w:top w:val="nil"/>
              <w:left w:val="nil"/>
              <w:bottom w:val="single" w:color="000000" w:sz="8" w:space="0"/>
              <w:right w:val="single" w:color="000000" w:sz="8" w:space="0"/>
            </w:tcBorders>
            <w:vAlign w:val="center"/>
          </w:tcPr>
          <w:p w14:paraId="5266CC1F">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7970DF4F">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7BF618E0">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CE60845">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588D48A2">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4B7DB8C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单元式空气调节机(制冷量&gt;14000W</w:t>
            </w:r>
          </w:p>
        </w:tc>
        <w:tc>
          <w:tcPr>
            <w:tcW w:w="4335" w:type="dxa"/>
            <w:tcBorders>
              <w:top w:val="nil"/>
              <w:left w:val="nil"/>
              <w:bottom w:val="single" w:color="000000" w:sz="8" w:space="0"/>
              <w:right w:val="single" w:color="000000" w:sz="8" w:space="0"/>
            </w:tcBorders>
            <w:vAlign w:val="center"/>
          </w:tcPr>
          <w:p w14:paraId="56773418">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《单元式空气调节机能效限定值及能效等级》（GB19576）《风管送风式空调机组能效限定值及能效等级》（GB37479）</w:t>
            </w:r>
          </w:p>
        </w:tc>
      </w:tr>
      <w:tr w14:paraId="7075D88D">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5AB1C787">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0250F9D">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622BE97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★A02052309专用制冷、空调设备</w:t>
            </w:r>
          </w:p>
        </w:tc>
        <w:tc>
          <w:tcPr>
            <w:tcW w:w="1612" w:type="dxa"/>
            <w:tcBorders>
              <w:top w:val="nil"/>
              <w:left w:val="nil"/>
              <w:bottom w:val="single" w:color="000000" w:sz="8" w:space="0"/>
              <w:right w:val="single" w:color="000000" w:sz="8" w:space="0"/>
            </w:tcBorders>
            <w:vAlign w:val="center"/>
          </w:tcPr>
          <w:p w14:paraId="33443DE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机房空调</w:t>
            </w:r>
          </w:p>
        </w:tc>
        <w:tc>
          <w:tcPr>
            <w:tcW w:w="4335" w:type="dxa"/>
            <w:tcBorders>
              <w:top w:val="nil"/>
              <w:left w:val="nil"/>
              <w:bottom w:val="single" w:color="000000" w:sz="8" w:space="0"/>
              <w:right w:val="single" w:color="000000" w:sz="8" w:space="0"/>
            </w:tcBorders>
            <w:vAlign w:val="center"/>
          </w:tcPr>
          <w:p w14:paraId="7BB207E2">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《单元式空气调节机能效限定值及能效等级》（GB19576）</w:t>
            </w:r>
          </w:p>
        </w:tc>
      </w:tr>
      <w:tr w14:paraId="76F4A224">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098BF23E">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787CB2CB">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2DF750EC">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A02052399其他制冷空调设备</w:t>
            </w:r>
          </w:p>
        </w:tc>
        <w:tc>
          <w:tcPr>
            <w:tcW w:w="1612" w:type="dxa"/>
            <w:tcBorders>
              <w:top w:val="nil"/>
              <w:left w:val="nil"/>
              <w:bottom w:val="single" w:color="000000" w:sz="8" w:space="0"/>
              <w:right w:val="single" w:color="000000" w:sz="8" w:space="0"/>
            </w:tcBorders>
            <w:vAlign w:val="center"/>
          </w:tcPr>
          <w:p w14:paraId="55D636F4">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冷却塔</w:t>
            </w:r>
          </w:p>
        </w:tc>
        <w:tc>
          <w:tcPr>
            <w:tcW w:w="4335" w:type="dxa"/>
            <w:tcBorders>
              <w:top w:val="nil"/>
              <w:left w:val="nil"/>
              <w:bottom w:val="single" w:color="000000" w:sz="8" w:space="0"/>
              <w:right w:val="single" w:color="000000" w:sz="8" w:space="0"/>
            </w:tcBorders>
            <w:vAlign w:val="center"/>
          </w:tcPr>
          <w:p w14:paraId="4D4D3039">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《机械通风冷却塔第1部分：中小型开式冷却塔》（GB/T7190.1）；《机械通风冷却塔第2部分：大型开式冷却塔》（GB/T7190.2）</w:t>
            </w:r>
          </w:p>
        </w:tc>
      </w:tr>
      <w:tr w14:paraId="72D63DA9">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166A76F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7</w:t>
            </w:r>
          </w:p>
        </w:tc>
        <w:tc>
          <w:tcPr>
            <w:tcW w:w="1041" w:type="dxa"/>
            <w:tcBorders>
              <w:top w:val="nil"/>
              <w:left w:val="nil"/>
              <w:bottom w:val="single" w:color="000000" w:sz="8" w:space="0"/>
              <w:right w:val="single" w:color="000000" w:sz="8" w:space="0"/>
            </w:tcBorders>
            <w:vAlign w:val="center"/>
          </w:tcPr>
          <w:p w14:paraId="6E366A4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A020601电机</w:t>
            </w:r>
          </w:p>
        </w:tc>
        <w:tc>
          <w:tcPr>
            <w:tcW w:w="1516" w:type="dxa"/>
            <w:tcBorders>
              <w:top w:val="nil"/>
              <w:left w:val="nil"/>
              <w:bottom w:val="single" w:color="000000" w:sz="8" w:space="0"/>
              <w:right w:val="single" w:color="000000" w:sz="8" w:space="0"/>
            </w:tcBorders>
            <w:vAlign w:val="center"/>
          </w:tcPr>
          <w:p w14:paraId="30235795">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3019455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27EFC9F">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《中小型三相异步电动机能效限定值及能效等级》（GB18613）</w:t>
            </w:r>
          </w:p>
        </w:tc>
      </w:tr>
      <w:tr w14:paraId="73200DE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0BD35B6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8</w:t>
            </w:r>
          </w:p>
        </w:tc>
        <w:tc>
          <w:tcPr>
            <w:tcW w:w="1041" w:type="dxa"/>
            <w:tcBorders>
              <w:top w:val="nil"/>
              <w:left w:val="nil"/>
              <w:bottom w:val="single" w:color="000000" w:sz="8" w:space="0"/>
              <w:right w:val="single" w:color="000000" w:sz="8" w:space="0"/>
            </w:tcBorders>
            <w:vAlign w:val="center"/>
          </w:tcPr>
          <w:p w14:paraId="11E5297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A020602变压器</w:t>
            </w:r>
          </w:p>
        </w:tc>
        <w:tc>
          <w:tcPr>
            <w:tcW w:w="1516" w:type="dxa"/>
            <w:tcBorders>
              <w:top w:val="nil"/>
              <w:left w:val="nil"/>
              <w:bottom w:val="single" w:color="000000" w:sz="8" w:space="0"/>
              <w:right w:val="single" w:color="000000" w:sz="8" w:space="0"/>
            </w:tcBorders>
            <w:vAlign w:val="center"/>
          </w:tcPr>
          <w:p w14:paraId="4334AC7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配电变压器</w:t>
            </w:r>
          </w:p>
        </w:tc>
        <w:tc>
          <w:tcPr>
            <w:tcW w:w="1612" w:type="dxa"/>
            <w:tcBorders>
              <w:top w:val="nil"/>
              <w:left w:val="nil"/>
              <w:bottom w:val="single" w:color="000000" w:sz="8" w:space="0"/>
              <w:right w:val="single" w:color="000000" w:sz="8" w:space="0"/>
            </w:tcBorders>
            <w:vAlign w:val="center"/>
          </w:tcPr>
          <w:p w14:paraId="2665A83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1E6EB23D">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《三相配电变压器能效限定值及能效等级》（GB20052）</w:t>
            </w:r>
          </w:p>
        </w:tc>
      </w:tr>
      <w:tr w14:paraId="36952D28">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4714B04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9</w:t>
            </w:r>
          </w:p>
        </w:tc>
        <w:tc>
          <w:tcPr>
            <w:tcW w:w="1041" w:type="dxa"/>
            <w:tcBorders>
              <w:top w:val="nil"/>
              <w:left w:val="nil"/>
              <w:bottom w:val="single" w:color="000000" w:sz="8" w:space="0"/>
              <w:right w:val="single" w:color="000000" w:sz="8" w:space="0"/>
            </w:tcBorders>
            <w:vAlign w:val="center"/>
          </w:tcPr>
          <w:p w14:paraId="3BF06EDB">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★A020609镇流器</w:t>
            </w:r>
          </w:p>
        </w:tc>
        <w:tc>
          <w:tcPr>
            <w:tcW w:w="1516" w:type="dxa"/>
            <w:tcBorders>
              <w:top w:val="nil"/>
              <w:left w:val="nil"/>
              <w:bottom w:val="single" w:color="000000" w:sz="8" w:space="0"/>
              <w:right w:val="single" w:color="000000" w:sz="8" w:space="0"/>
            </w:tcBorders>
            <w:vAlign w:val="center"/>
          </w:tcPr>
          <w:p w14:paraId="6F463065">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管型荧光灯镇流器</w:t>
            </w:r>
          </w:p>
        </w:tc>
        <w:tc>
          <w:tcPr>
            <w:tcW w:w="1612" w:type="dxa"/>
            <w:tcBorders>
              <w:top w:val="nil"/>
              <w:left w:val="nil"/>
              <w:bottom w:val="single" w:color="000000" w:sz="8" w:space="0"/>
              <w:right w:val="single" w:color="000000" w:sz="8" w:space="0"/>
            </w:tcBorders>
            <w:vAlign w:val="center"/>
          </w:tcPr>
          <w:p w14:paraId="3CF0B82A">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8DB6933">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《管形荧光灯镇流器能效限定值及能效等级》（GB17896）</w:t>
            </w:r>
          </w:p>
        </w:tc>
      </w:tr>
      <w:tr w14:paraId="0C236947">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3BE5B425">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041" w:type="dxa"/>
            <w:vMerge w:val="restart"/>
            <w:tcBorders>
              <w:top w:val="nil"/>
              <w:left w:val="single" w:color="000000" w:sz="8" w:space="0"/>
              <w:bottom w:val="single" w:color="000000" w:sz="8" w:space="0"/>
              <w:right w:val="single" w:color="000000" w:sz="8" w:space="0"/>
            </w:tcBorders>
            <w:vAlign w:val="center"/>
          </w:tcPr>
          <w:p w14:paraId="0FD5C763">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A020618生活用电器</w:t>
            </w:r>
          </w:p>
        </w:tc>
        <w:tc>
          <w:tcPr>
            <w:tcW w:w="1516" w:type="dxa"/>
            <w:tcBorders>
              <w:top w:val="nil"/>
              <w:left w:val="nil"/>
              <w:bottom w:val="single" w:color="000000" w:sz="8" w:space="0"/>
              <w:right w:val="single" w:color="000000" w:sz="8" w:space="0"/>
            </w:tcBorders>
            <w:vAlign w:val="center"/>
          </w:tcPr>
          <w:p w14:paraId="61400B4A">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A0206180101电冰箱</w:t>
            </w:r>
          </w:p>
        </w:tc>
        <w:tc>
          <w:tcPr>
            <w:tcW w:w="1612" w:type="dxa"/>
            <w:tcBorders>
              <w:top w:val="nil"/>
              <w:left w:val="nil"/>
              <w:bottom w:val="single" w:color="000000" w:sz="8" w:space="0"/>
              <w:right w:val="single" w:color="000000" w:sz="8" w:space="0"/>
            </w:tcBorders>
            <w:vAlign w:val="center"/>
          </w:tcPr>
          <w:p w14:paraId="7BBF2A2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E10806C">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《家用电冰箱耗电量限定值及能效等级》（GB 12021.2）</w:t>
            </w:r>
          </w:p>
        </w:tc>
      </w:tr>
      <w:tr w14:paraId="369E46A7">
        <w:tblPrEx>
          <w:tblCellMar>
            <w:top w:w="0" w:type="dxa"/>
            <w:left w:w="108" w:type="dxa"/>
            <w:bottom w:w="0" w:type="dxa"/>
            <w:right w:w="108" w:type="dxa"/>
          </w:tblCellMar>
        </w:tblPrEx>
        <w:trPr>
          <w:trHeight w:val="975" w:hRule="atLeast"/>
        </w:trPr>
        <w:tc>
          <w:tcPr>
            <w:tcW w:w="716" w:type="dxa"/>
            <w:vMerge w:val="continue"/>
            <w:tcBorders>
              <w:top w:val="nil"/>
              <w:left w:val="single" w:color="000000" w:sz="8" w:space="0"/>
              <w:bottom w:val="single" w:color="000000" w:sz="8" w:space="0"/>
              <w:right w:val="single" w:color="000000" w:sz="8" w:space="0"/>
            </w:tcBorders>
            <w:vAlign w:val="center"/>
          </w:tcPr>
          <w:p w14:paraId="2B1947A8">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4F50F61E">
            <w:pPr>
              <w:widowControl/>
              <w:spacing w:before="120"/>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237FCD7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★A0206180203空调机</w:t>
            </w:r>
          </w:p>
        </w:tc>
        <w:tc>
          <w:tcPr>
            <w:tcW w:w="1612" w:type="dxa"/>
            <w:tcBorders>
              <w:top w:val="nil"/>
              <w:left w:val="nil"/>
              <w:bottom w:val="single" w:color="000000" w:sz="8" w:space="0"/>
              <w:right w:val="single" w:color="000000" w:sz="8" w:space="0"/>
            </w:tcBorders>
            <w:vAlign w:val="center"/>
          </w:tcPr>
          <w:p w14:paraId="7EB2AC9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房间空气调节器</w:t>
            </w:r>
          </w:p>
        </w:tc>
        <w:tc>
          <w:tcPr>
            <w:tcW w:w="4335" w:type="dxa"/>
            <w:tcBorders>
              <w:top w:val="nil"/>
              <w:left w:val="nil"/>
              <w:bottom w:val="single" w:color="000000" w:sz="8" w:space="0"/>
              <w:right w:val="single" w:color="000000" w:sz="8" w:space="0"/>
            </w:tcBorders>
            <w:vAlign w:val="center"/>
          </w:tcPr>
          <w:p w14:paraId="08E097FF">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《转速可控型房间空气调节器能效限定值及能效等级》（GB21455-2013），待2019年修订发布后，按《房间空气调节器能效限定值及能效等级》（GB21455-2019实施。</w:t>
            </w:r>
          </w:p>
        </w:tc>
      </w:tr>
      <w:tr w14:paraId="345E7B57">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1D457F40">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127403EA">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58A2EEF7">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679C3F2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多联式空调（热泵）机组（制冷量≤ 14000W）</w:t>
            </w:r>
          </w:p>
        </w:tc>
        <w:tc>
          <w:tcPr>
            <w:tcW w:w="4335" w:type="dxa"/>
            <w:tcBorders>
              <w:top w:val="nil"/>
              <w:left w:val="nil"/>
              <w:bottom w:val="single" w:color="000000" w:sz="8" w:space="0"/>
              <w:right w:val="single" w:color="000000" w:sz="8" w:space="0"/>
            </w:tcBorders>
            <w:vAlign w:val="center"/>
          </w:tcPr>
          <w:p w14:paraId="6535BC5C">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《多联式空调（热泵）机组能效限定值及能源效率等级》（GB21454）</w:t>
            </w:r>
          </w:p>
        </w:tc>
      </w:tr>
      <w:tr w14:paraId="7D356980">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32AFC54F">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9A11FA8">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38CEA003">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525596E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单元式空气调节机(制冷量≤14000W)</w:t>
            </w:r>
          </w:p>
        </w:tc>
        <w:tc>
          <w:tcPr>
            <w:tcW w:w="4335" w:type="dxa"/>
            <w:tcBorders>
              <w:top w:val="nil"/>
              <w:left w:val="nil"/>
              <w:bottom w:val="single" w:color="000000" w:sz="8" w:space="0"/>
              <w:right w:val="single" w:color="000000" w:sz="8" w:space="0"/>
            </w:tcBorders>
            <w:vAlign w:val="center"/>
          </w:tcPr>
          <w:p w14:paraId="0E031C04">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《单元式空气调节机能效限定值及能源效率等级》（GB19576）《风管送风式空调机组能效限定值及能效等级》（GB37479）</w:t>
            </w:r>
          </w:p>
        </w:tc>
      </w:tr>
      <w:tr w14:paraId="24A73F10">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558415B1">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65953C00">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665A763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A0206180301洗衣机</w:t>
            </w:r>
          </w:p>
        </w:tc>
        <w:tc>
          <w:tcPr>
            <w:tcW w:w="1612" w:type="dxa"/>
            <w:tcBorders>
              <w:top w:val="nil"/>
              <w:left w:val="nil"/>
              <w:bottom w:val="single" w:color="000000" w:sz="8" w:space="0"/>
              <w:right w:val="single" w:color="000000" w:sz="8" w:space="0"/>
            </w:tcBorders>
            <w:vAlign w:val="center"/>
          </w:tcPr>
          <w:p w14:paraId="34EA79AC">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190F92E3">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《电动洗衣机能效水效限定值及等级》（GB12021.4）</w:t>
            </w:r>
          </w:p>
        </w:tc>
      </w:tr>
      <w:tr w14:paraId="05B4BD8B">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2251FEDF">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86FD368">
            <w:pPr>
              <w:widowControl/>
              <w:spacing w:before="120"/>
              <w:jc w:val="left"/>
              <w:rPr>
                <w:rFonts w:ascii="宋体" w:hAnsi="宋体" w:cs="宋体"/>
                <w:color w:val="auto"/>
                <w:kern w:val="0"/>
                <w:sz w:val="20"/>
                <w:szCs w:val="20"/>
              </w:rPr>
            </w:pPr>
          </w:p>
        </w:tc>
        <w:tc>
          <w:tcPr>
            <w:tcW w:w="1516" w:type="dxa"/>
            <w:vMerge w:val="restart"/>
            <w:tcBorders>
              <w:top w:val="nil"/>
              <w:left w:val="single" w:color="000000" w:sz="8" w:space="0"/>
              <w:bottom w:val="single" w:color="000000" w:sz="8" w:space="0"/>
              <w:right w:val="single" w:color="000000" w:sz="8" w:space="0"/>
            </w:tcBorders>
            <w:vAlign w:val="center"/>
          </w:tcPr>
          <w:p w14:paraId="5DC0CC16">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A02061808热水器</w:t>
            </w:r>
          </w:p>
        </w:tc>
        <w:tc>
          <w:tcPr>
            <w:tcW w:w="1612" w:type="dxa"/>
            <w:tcBorders>
              <w:top w:val="nil"/>
              <w:left w:val="nil"/>
              <w:bottom w:val="single" w:color="000000" w:sz="8" w:space="0"/>
              <w:right w:val="single" w:color="000000" w:sz="8" w:space="0"/>
            </w:tcBorders>
            <w:vAlign w:val="center"/>
          </w:tcPr>
          <w:p w14:paraId="3FCC1F6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★电热水器</w:t>
            </w:r>
          </w:p>
        </w:tc>
        <w:tc>
          <w:tcPr>
            <w:tcW w:w="4335" w:type="dxa"/>
            <w:tcBorders>
              <w:top w:val="nil"/>
              <w:left w:val="nil"/>
              <w:bottom w:val="single" w:color="000000" w:sz="8" w:space="0"/>
              <w:right w:val="single" w:color="000000" w:sz="8" w:space="0"/>
            </w:tcBorders>
            <w:vAlign w:val="center"/>
          </w:tcPr>
          <w:p w14:paraId="327D2566">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《储水式电热水器能效限定值及能效等级》（GB21519）</w:t>
            </w:r>
          </w:p>
        </w:tc>
      </w:tr>
      <w:tr w14:paraId="5D406558">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653DCB69">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16949860">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1176D22F">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15C57BF5">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燃气热水器</w:t>
            </w:r>
          </w:p>
        </w:tc>
        <w:tc>
          <w:tcPr>
            <w:tcW w:w="4335" w:type="dxa"/>
            <w:tcBorders>
              <w:top w:val="nil"/>
              <w:left w:val="nil"/>
              <w:bottom w:val="single" w:color="000000" w:sz="8" w:space="0"/>
              <w:right w:val="single" w:color="000000" w:sz="8" w:space="0"/>
            </w:tcBorders>
            <w:vAlign w:val="center"/>
          </w:tcPr>
          <w:p w14:paraId="095AC148">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《家用燃气快速热水器和燃气采暖热水炉能效限定值及能效等级》（GB20665）</w:t>
            </w:r>
          </w:p>
        </w:tc>
      </w:tr>
      <w:tr w14:paraId="715E5978">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1D9710F4">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3F68BCC6">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1CEF0E48">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770AF80F">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热泵热水器</w:t>
            </w:r>
          </w:p>
        </w:tc>
        <w:tc>
          <w:tcPr>
            <w:tcW w:w="4335" w:type="dxa"/>
            <w:tcBorders>
              <w:top w:val="nil"/>
              <w:left w:val="nil"/>
              <w:bottom w:val="single" w:color="000000" w:sz="8" w:space="0"/>
              <w:right w:val="single" w:color="000000" w:sz="8" w:space="0"/>
            </w:tcBorders>
            <w:vAlign w:val="center"/>
          </w:tcPr>
          <w:p w14:paraId="0BC1E4E4">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《热泵热水机（器）能效限定值及能效等级》（GB29541）</w:t>
            </w:r>
          </w:p>
        </w:tc>
      </w:tr>
      <w:tr w14:paraId="2E7AEAA0">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0A8B0FD4">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2903902A">
            <w:pPr>
              <w:widowControl/>
              <w:spacing w:before="120"/>
              <w:jc w:val="left"/>
              <w:rPr>
                <w:rFonts w:ascii="宋体" w:hAnsi="宋体" w:cs="宋体"/>
                <w:color w:val="auto"/>
                <w:kern w:val="0"/>
                <w:sz w:val="20"/>
                <w:szCs w:val="20"/>
              </w:rPr>
            </w:pPr>
          </w:p>
        </w:tc>
        <w:tc>
          <w:tcPr>
            <w:tcW w:w="1516" w:type="dxa"/>
            <w:vMerge w:val="continue"/>
            <w:tcBorders>
              <w:top w:val="nil"/>
              <w:left w:val="single" w:color="000000" w:sz="8" w:space="0"/>
              <w:bottom w:val="single" w:color="000000" w:sz="8" w:space="0"/>
              <w:right w:val="single" w:color="000000" w:sz="8" w:space="0"/>
            </w:tcBorders>
            <w:vAlign w:val="center"/>
          </w:tcPr>
          <w:p w14:paraId="6652477F">
            <w:pPr>
              <w:widowControl/>
              <w:spacing w:before="120"/>
              <w:jc w:val="left"/>
              <w:rPr>
                <w:rFonts w:ascii="宋体" w:hAnsi="宋体" w:cs="宋体"/>
                <w:color w:val="auto"/>
                <w:kern w:val="0"/>
                <w:sz w:val="20"/>
                <w:szCs w:val="20"/>
              </w:rPr>
            </w:pPr>
          </w:p>
        </w:tc>
        <w:tc>
          <w:tcPr>
            <w:tcW w:w="1612" w:type="dxa"/>
            <w:tcBorders>
              <w:top w:val="nil"/>
              <w:left w:val="nil"/>
              <w:bottom w:val="single" w:color="000000" w:sz="8" w:space="0"/>
              <w:right w:val="single" w:color="000000" w:sz="8" w:space="0"/>
            </w:tcBorders>
            <w:vAlign w:val="center"/>
          </w:tcPr>
          <w:p w14:paraId="46E4BC9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太阳能热水系统</w:t>
            </w:r>
          </w:p>
        </w:tc>
        <w:tc>
          <w:tcPr>
            <w:tcW w:w="4335" w:type="dxa"/>
            <w:tcBorders>
              <w:top w:val="nil"/>
              <w:left w:val="nil"/>
              <w:bottom w:val="single" w:color="000000" w:sz="8" w:space="0"/>
              <w:right w:val="single" w:color="000000" w:sz="8" w:space="0"/>
            </w:tcBorders>
            <w:vAlign w:val="center"/>
          </w:tcPr>
          <w:p w14:paraId="73B6C406">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《家用太阳能热水系统能效限定值及能效等级》（GB26969）</w:t>
            </w:r>
          </w:p>
        </w:tc>
      </w:tr>
      <w:tr w14:paraId="180603E7">
        <w:tblPrEx>
          <w:tblCellMar>
            <w:top w:w="0" w:type="dxa"/>
            <w:left w:w="108" w:type="dxa"/>
            <w:bottom w:w="0" w:type="dxa"/>
            <w:right w:w="108" w:type="dxa"/>
          </w:tblCellMar>
        </w:tblPrEx>
        <w:trPr>
          <w:trHeight w:val="495" w:hRule="atLeast"/>
        </w:trPr>
        <w:tc>
          <w:tcPr>
            <w:tcW w:w="716" w:type="dxa"/>
            <w:vMerge w:val="restart"/>
            <w:tcBorders>
              <w:top w:val="nil"/>
              <w:left w:val="single" w:color="000000" w:sz="8" w:space="0"/>
              <w:bottom w:val="single" w:color="000000" w:sz="8" w:space="0"/>
              <w:right w:val="single" w:color="000000" w:sz="8" w:space="0"/>
            </w:tcBorders>
            <w:vAlign w:val="center"/>
          </w:tcPr>
          <w:p w14:paraId="718C2422">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11</w:t>
            </w:r>
          </w:p>
        </w:tc>
        <w:tc>
          <w:tcPr>
            <w:tcW w:w="1041" w:type="dxa"/>
            <w:vMerge w:val="restart"/>
            <w:tcBorders>
              <w:top w:val="nil"/>
              <w:left w:val="single" w:color="000000" w:sz="8" w:space="0"/>
              <w:bottom w:val="single" w:color="000000" w:sz="8" w:space="0"/>
              <w:right w:val="single" w:color="000000" w:sz="8" w:space="0"/>
            </w:tcBorders>
            <w:vAlign w:val="center"/>
          </w:tcPr>
          <w:p w14:paraId="1B91131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A020619照明设备</w:t>
            </w:r>
          </w:p>
        </w:tc>
        <w:tc>
          <w:tcPr>
            <w:tcW w:w="1516" w:type="dxa"/>
            <w:tcBorders>
              <w:top w:val="nil"/>
              <w:left w:val="nil"/>
              <w:bottom w:val="single" w:color="000000" w:sz="8" w:space="0"/>
              <w:right w:val="single" w:color="000000" w:sz="8" w:space="0"/>
            </w:tcBorders>
            <w:vAlign w:val="center"/>
          </w:tcPr>
          <w:p w14:paraId="41657692">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★普通照明用双端荧光灯</w:t>
            </w:r>
          </w:p>
        </w:tc>
        <w:tc>
          <w:tcPr>
            <w:tcW w:w="1612" w:type="dxa"/>
            <w:tcBorders>
              <w:top w:val="nil"/>
              <w:left w:val="nil"/>
              <w:bottom w:val="single" w:color="000000" w:sz="8" w:space="0"/>
              <w:right w:val="single" w:color="000000" w:sz="8" w:space="0"/>
            </w:tcBorders>
            <w:vAlign w:val="center"/>
          </w:tcPr>
          <w:p w14:paraId="3F6F5EBB">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FA9B936">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《普通照明用双端荧光灯能效限定值及能效等级》（GB19043）</w:t>
            </w:r>
          </w:p>
        </w:tc>
      </w:tr>
      <w:tr w14:paraId="728A3E4F">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035565B3">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43EB641">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33457AC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LED道路/隧道照明产品</w:t>
            </w:r>
          </w:p>
        </w:tc>
        <w:tc>
          <w:tcPr>
            <w:tcW w:w="1612" w:type="dxa"/>
            <w:tcBorders>
              <w:top w:val="nil"/>
              <w:left w:val="nil"/>
              <w:bottom w:val="single" w:color="000000" w:sz="8" w:space="0"/>
              <w:right w:val="single" w:color="000000" w:sz="8" w:space="0"/>
            </w:tcBorders>
            <w:vAlign w:val="center"/>
          </w:tcPr>
          <w:p w14:paraId="31E3384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5D354CD9">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《道路和隧道照明用LED灯具能效限定值及能效等级》（GB37478）</w:t>
            </w:r>
          </w:p>
        </w:tc>
      </w:tr>
      <w:tr w14:paraId="4FDFFEB8">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4C3FFEEE">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100BA7C9">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22F2BA92">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LED筒灯</w:t>
            </w:r>
          </w:p>
        </w:tc>
        <w:tc>
          <w:tcPr>
            <w:tcW w:w="1612" w:type="dxa"/>
            <w:tcBorders>
              <w:top w:val="nil"/>
              <w:left w:val="nil"/>
              <w:bottom w:val="single" w:color="000000" w:sz="8" w:space="0"/>
              <w:right w:val="single" w:color="000000" w:sz="8" w:space="0"/>
            </w:tcBorders>
            <w:vAlign w:val="center"/>
          </w:tcPr>
          <w:p w14:paraId="62AEED2D">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4C897FD">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0252B915">
        <w:tblPrEx>
          <w:tblCellMar>
            <w:top w:w="0" w:type="dxa"/>
            <w:left w:w="108" w:type="dxa"/>
            <w:bottom w:w="0" w:type="dxa"/>
            <w:right w:w="108" w:type="dxa"/>
          </w:tblCellMar>
        </w:tblPrEx>
        <w:trPr>
          <w:trHeight w:val="735" w:hRule="atLeast"/>
        </w:trPr>
        <w:tc>
          <w:tcPr>
            <w:tcW w:w="716" w:type="dxa"/>
            <w:vMerge w:val="continue"/>
            <w:tcBorders>
              <w:top w:val="nil"/>
              <w:left w:val="single" w:color="000000" w:sz="8" w:space="0"/>
              <w:bottom w:val="single" w:color="000000" w:sz="8" w:space="0"/>
              <w:right w:val="single" w:color="000000" w:sz="8" w:space="0"/>
            </w:tcBorders>
            <w:vAlign w:val="center"/>
          </w:tcPr>
          <w:p w14:paraId="2789529F">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706152EC">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57FE291F">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普通照明用非定向自镇流LED灯</w:t>
            </w:r>
          </w:p>
        </w:tc>
        <w:tc>
          <w:tcPr>
            <w:tcW w:w="1612" w:type="dxa"/>
            <w:tcBorders>
              <w:top w:val="nil"/>
              <w:left w:val="nil"/>
              <w:bottom w:val="single" w:color="000000" w:sz="8" w:space="0"/>
              <w:right w:val="single" w:color="000000" w:sz="8" w:space="0"/>
            </w:tcBorders>
            <w:vAlign w:val="center"/>
          </w:tcPr>
          <w:p w14:paraId="29614E93">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458DF689">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《室内照明用LED产品能效限定值及能效等级》（GB30255）</w:t>
            </w:r>
          </w:p>
        </w:tc>
      </w:tr>
      <w:tr w14:paraId="1B362762">
        <w:tblPrEx>
          <w:tblCellMar>
            <w:top w:w="0" w:type="dxa"/>
            <w:left w:w="108" w:type="dxa"/>
            <w:bottom w:w="0" w:type="dxa"/>
            <w:right w:w="108" w:type="dxa"/>
          </w:tblCellMar>
        </w:tblPrEx>
        <w:trPr>
          <w:trHeight w:val="735" w:hRule="atLeast"/>
        </w:trPr>
        <w:tc>
          <w:tcPr>
            <w:tcW w:w="716" w:type="dxa"/>
            <w:tcBorders>
              <w:top w:val="nil"/>
              <w:left w:val="single" w:color="000000" w:sz="8" w:space="0"/>
              <w:bottom w:val="single" w:color="000000" w:sz="8" w:space="0"/>
              <w:right w:val="single" w:color="000000" w:sz="8" w:space="0"/>
            </w:tcBorders>
            <w:vAlign w:val="center"/>
          </w:tcPr>
          <w:p w14:paraId="3F9E0BF4">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12</w:t>
            </w:r>
          </w:p>
        </w:tc>
        <w:tc>
          <w:tcPr>
            <w:tcW w:w="1041" w:type="dxa"/>
            <w:tcBorders>
              <w:top w:val="nil"/>
              <w:left w:val="nil"/>
              <w:bottom w:val="single" w:color="000000" w:sz="8" w:space="0"/>
              <w:right w:val="single" w:color="000000" w:sz="8" w:space="0"/>
            </w:tcBorders>
            <w:vAlign w:val="center"/>
          </w:tcPr>
          <w:p w14:paraId="565BE243">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★A020910电视设备</w:t>
            </w:r>
          </w:p>
        </w:tc>
        <w:tc>
          <w:tcPr>
            <w:tcW w:w="1516" w:type="dxa"/>
            <w:tcBorders>
              <w:top w:val="nil"/>
              <w:left w:val="nil"/>
              <w:bottom w:val="single" w:color="000000" w:sz="8" w:space="0"/>
              <w:right w:val="single" w:color="000000" w:sz="8" w:space="0"/>
            </w:tcBorders>
            <w:vAlign w:val="center"/>
          </w:tcPr>
          <w:p w14:paraId="0AE12BF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A02091001普通电视设备（电视机）</w:t>
            </w:r>
          </w:p>
        </w:tc>
        <w:tc>
          <w:tcPr>
            <w:tcW w:w="1612" w:type="dxa"/>
            <w:tcBorders>
              <w:top w:val="nil"/>
              <w:left w:val="nil"/>
              <w:bottom w:val="single" w:color="000000" w:sz="8" w:space="0"/>
              <w:right w:val="single" w:color="000000" w:sz="8" w:space="0"/>
            </w:tcBorders>
            <w:vAlign w:val="center"/>
          </w:tcPr>
          <w:p w14:paraId="32C74C7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44C02D3">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《平板电视能效限定值及能效等级》（GB24850）</w:t>
            </w:r>
          </w:p>
        </w:tc>
      </w:tr>
      <w:tr w14:paraId="750CC8A9">
        <w:tblPrEx>
          <w:tblCellMar>
            <w:top w:w="0" w:type="dxa"/>
            <w:left w:w="108" w:type="dxa"/>
            <w:bottom w:w="0" w:type="dxa"/>
            <w:right w:w="108" w:type="dxa"/>
          </w:tblCellMar>
        </w:tblPrEx>
        <w:trPr>
          <w:trHeight w:val="975" w:hRule="atLeast"/>
        </w:trPr>
        <w:tc>
          <w:tcPr>
            <w:tcW w:w="716" w:type="dxa"/>
            <w:tcBorders>
              <w:top w:val="nil"/>
              <w:left w:val="single" w:color="000000" w:sz="8" w:space="0"/>
              <w:bottom w:val="single" w:color="000000" w:sz="8" w:space="0"/>
              <w:right w:val="single" w:color="000000" w:sz="8" w:space="0"/>
            </w:tcBorders>
            <w:vAlign w:val="center"/>
          </w:tcPr>
          <w:p w14:paraId="1527EBBF">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13</w:t>
            </w:r>
          </w:p>
        </w:tc>
        <w:tc>
          <w:tcPr>
            <w:tcW w:w="1041" w:type="dxa"/>
            <w:tcBorders>
              <w:top w:val="nil"/>
              <w:left w:val="nil"/>
              <w:bottom w:val="single" w:color="000000" w:sz="8" w:space="0"/>
              <w:right w:val="single" w:color="000000" w:sz="8" w:space="0"/>
            </w:tcBorders>
            <w:vAlign w:val="center"/>
          </w:tcPr>
          <w:p w14:paraId="6BD0A2BF">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★A020911视频设备</w:t>
            </w:r>
          </w:p>
        </w:tc>
        <w:tc>
          <w:tcPr>
            <w:tcW w:w="1516" w:type="dxa"/>
            <w:tcBorders>
              <w:top w:val="nil"/>
              <w:left w:val="nil"/>
              <w:bottom w:val="single" w:color="000000" w:sz="8" w:space="0"/>
              <w:right w:val="single" w:color="000000" w:sz="8" w:space="0"/>
            </w:tcBorders>
            <w:vAlign w:val="center"/>
          </w:tcPr>
          <w:p w14:paraId="5538DE2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A02091107视频监控设备</w:t>
            </w:r>
          </w:p>
        </w:tc>
        <w:tc>
          <w:tcPr>
            <w:tcW w:w="1612" w:type="dxa"/>
            <w:tcBorders>
              <w:top w:val="nil"/>
              <w:left w:val="nil"/>
              <w:bottom w:val="single" w:color="000000" w:sz="8" w:space="0"/>
              <w:right w:val="single" w:color="000000" w:sz="8" w:space="0"/>
            </w:tcBorders>
            <w:vAlign w:val="center"/>
          </w:tcPr>
          <w:p w14:paraId="439970C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监视器</w:t>
            </w:r>
          </w:p>
        </w:tc>
        <w:tc>
          <w:tcPr>
            <w:tcW w:w="4335" w:type="dxa"/>
            <w:tcBorders>
              <w:top w:val="nil"/>
              <w:left w:val="nil"/>
              <w:bottom w:val="single" w:color="000000" w:sz="8" w:space="0"/>
              <w:right w:val="single" w:color="000000" w:sz="8" w:space="0"/>
            </w:tcBorders>
            <w:vAlign w:val="center"/>
          </w:tcPr>
          <w:p w14:paraId="0D49001B">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14:paraId="788C771C">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01A20DF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14</w:t>
            </w:r>
          </w:p>
        </w:tc>
        <w:tc>
          <w:tcPr>
            <w:tcW w:w="1041" w:type="dxa"/>
            <w:tcBorders>
              <w:top w:val="nil"/>
              <w:left w:val="nil"/>
              <w:bottom w:val="single" w:color="000000" w:sz="8" w:space="0"/>
              <w:right w:val="single" w:color="000000" w:sz="8" w:space="0"/>
            </w:tcBorders>
            <w:vAlign w:val="center"/>
          </w:tcPr>
          <w:p w14:paraId="0CB59D33">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A031210饮食炊事机械</w:t>
            </w:r>
          </w:p>
        </w:tc>
        <w:tc>
          <w:tcPr>
            <w:tcW w:w="1516" w:type="dxa"/>
            <w:tcBorders>
              <w:top w:val="nil"/>
              <w:left w:val="nil"/>
              <w:bottom w:val="single" w:color="000000" w:sz="8" w:space="0"/>
              <w:right w:val="single" w:color="000000" w:sz="8" w:space="0"/>
            </w:tcBorders>
            <w:vAlign w:val="center"/>
          </w:tcPr>
          <w:p w14:paraId="132EBFB6">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商用燃气灶具</w:t>
            </w:r>
          </w:p>
        </w:tc>
        <w:tc>
          <w:tcPr>
            <w:tcW w:w="1612" w:type="dxa"/>
            <w:tcBorders>
              <w:top w:val="nil"/>
              <w:left w:val="nil"/>
              <w:bottom w:val="single" w:color="000000" w:sz="8" w:space="0"/>
              <w:right w:val="single" w:color="000000" w:sz="8" w:space="0"/>
            </w:tcBorders>
            <w:vAlign w:val="center"/>
          </w:tcPr>
          <w:p w14:paraId="44C22F9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771E33CB">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《商用燃气灶具能效限定值及能效等级》（GB30531）</w:t>
            </w:r>
          </w:p>
        </w:tc>
      </w:tr>
      <w:tr w14:paraId="3DCE6D7E">
        <w:tblPrEx>
          <w:tblCellMar>
            <w:top w:w="0" w:type="dxa"/>
            <w:left w:w="108" w:type="dxa"/>
            <w:bottom w:w="0" w:type="dxa"/>
            <w:right w:w="108" w:type="dxa"/>
          </w:tblCellMar>
        </w:tblPrEx>
        <w:trPr>
          <w:trHeight w:val="285" w:hRule="atLeast"/>
        </w:trPr>
        <w:tc>
          <w:tcPr>
            <w:tcW w:w="716" w:type="dxa"/>
            <w:vMerge w:val="restart"/>
            <w:tcBorders>
              <w:top w:val="nil"/>
              <w:left w:val="single" w:color="000000" w:sz="8" w:space="0"/>
              <w:bottom w:val="single" w:color="000000" w:sz="8" w:space="0"/>
              <w:right w:val="single" w:color="000000" w:sz="8" w:space="0"/>
            </w:tcBorders>
            <w:vAlign w:val="center"/>
          </w:tcPr>
          <w:p w14:paraId="3C36AD44">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1041" w:type="dxa"/>
            <w:vMerge w:val="restart"/>
            <w:tcBorders>
              <w:top w:val="nil"/>
              <w:left w:val="single" w:color="000000" w:sz="8" w:space="0"/>
              <w:bottom w:val="single" w:color="000000" w:sz="8" w:space="0"/>
              <w:right w:val="single" w:color="000000" w:sz="8" w:space="0"/>
            </w:tcBorders>
            <w:vAlign w:val="center"/>
          </w:tcPr>
          <w:p w14:paraId="7EAE17D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★A060805便器</w:t>
            </w:r>
          </w:p>
        </w:tc>
        <w:tc>
          <w:tcPr>
            <w:tcW w:w="1516" w:type="dxa"/>
            <w:tcBorders>
              <w:top w:val="nil"/>
              <w:left w:val="nil"/>
              <w:bottom w:val="single" w:color="000000" w:sz="8" w:space="0"/>
              <w:right w:val="single" w:color="000000" w:sz="8" w:space="0"/>
            </w:tcBorders>
            <w:vAlign w:val="center"/>
          </w:tcPr>
          <w:p w14:paraId="41E19AA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坐便器</w:t>
            </w:r>
          </w:p>
        </w:tc>
        <w:tc>
          <w:tcPr>
            <w:tcW w:w="1612" w:type="dxa"/>
            <w:tcBorders>
              <w:top w:val="nil"/>
              <w:left w:val="nil"/>
              <w:bottom w:val="single" w:color="000000" w:sz="8" w:space="0"/>
              <w:right w:val="single" w:color="000000" w:sz="8" w:space="0"/>
            </w:tcBorders>
            <w:vAlign w:val="center"/>
          </w:tcPr>
          <w:p w14:paraId="061FBC7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FDAB057">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《坐便器水效限定值及水效等级》（GB25502）</w:t>
            </w:r>
          </w:p>
        </w:tc>
      </w:tr>
      <w:tr w14:paraId="6E8EE25D">
        <w:tblPrEx>
          <w:tblCellMar>
            <w:top w:w="0" w:type="dxa"/>
            <w:left w:w="108" w:type="dxa"/>
            <w:bottom w:w="0" w:type="dxa"/>
            <w:right w:w="108" w:type="dxa"/>
          </w:tblCellMar>
        </w:tblPrEx>
        <w:trPr>
          <w:trHeight w:val="495" w:hRule="atLeast"/>
        </w:trPr>
        <w:tc>
          <w:tcPr>
            <w:tcW w:w="716" w:type="dxa"/>
            <w:vMerge w:val="continue"/>
            <w:tcBorders>
              <w:top w:val="nil"/>
              <w:left w:val="single" w:color="000000" w:sz="8" w:space="0"/>
              <w:bottom w:val="single" w:color="000000" w:sz="8" w:space="0"/>
              <w:right w:val="single" w:color="000000" w:sz="8" w:space="0"/>
            </w:tcBorders>
            <w:vAlign w:val="center"/>
          </w:tcPr>
          <w:p w14:paraId="065AFE4B">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7D6A817E">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09AA806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蹲便器</w:t>
            </w:r>
          </w:p>
        </w:tc>
        <w:tc>
          <w:tcPr>
            <w:tcW w:w="1612" w:type="dxa"/>
            <w:tcBorders>
              <w:top w:val="nil"/>
              <w:left w:val="nil"/>
              <w:bottom w:val="single" w:color="000000" w:sz="8" w:space="0"/>
              <w:right w:val="single" w:color="000000" w:sz="8" w:space="0"/>
            </w:tcBorders>
            <w:vAlign w:val="center"/>
          </w:tcPr>
          <w:p w14:paraId="5D5AF3D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2DDB091D">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《蹲便器用水效率限定值及用水效率等级》（GB30717）</w:t>
            </w:r>
          </w:p>
        </w:tc>
      </w:tr>
      <w:tr w14:paraId="249B00E2">
        <w:tblPrEx>
          <w:tblCellMar>
            <w:top w:w="0" w:type="dxa"/>
            <w:left w:w="108" w:type="dxa"/>
            <w:bottom w:w="0" w:type="dxa"/>
            <w:right w:w="108" w:type="dxa"/>
          </w:tblCellMar>
        </w:tblPrEx>
        <w:trPr>
          <w:trHeight w:val="468" w:hRule="atLeast"/>
        </w:trPr>
        <w:tc>
          <w:tcPr>
            <w:tcW w:w="716" w:type="dxa"/>
            <w:vMerge w:val="continue"/>
            <w:tcBorders>
              <w:top w:val="nil"/>
              <w:left w:val="single" w:color="000000" w:sz="8" w:space="0"/>
              <w:bottom w:val="single" w:color="000000" w:sz="8" w:space="0"/>
              <w:right w:val="single" w:color="000000" w:sz="8" w:space="0"/>
            </w:tcBorders>
            <w:vAlign w:val="center"/>
          </w:tcPr>
          <w:p w14:paraId="46893287">
            <w:pPr>
              <w:widowControl/>
              <w:spacing w:before="120"/>
              <w:jc w:val="left"/>
              <w:rPr>
                <w:rFonts w:ascii="宋体" w:hAnsi="宋体" w:cs="宋体"/>
                <w:color w:val="auto"/>
                <w:kern w:val="0"/>
                <w:sz w:val="20"/>
                <w:szCs w:val="20"/>
              </w:rPr>
            </w:pPr>
          </w:p>
        </w:tc>
        <w:tc>
          <w:tcPr>
            <w:tcW w:w="1041" w:type="dxa"/>
            <w:vMerge w:val="continue"/>
            <w:tcBorders>
              <w:top w:val="nil"/>
              <w:left w:val="single" w:color="000000" w:sz="8" w:space="0"/>
              <w:bottom w:val="single" w:color="000000" w:sz="8" w:space="0"/>
              <w:right w:val="single" w:color="000000" w:sz="8" w:space="0"/>
            </w:tcBorders>
            <w:vAlign w:val="center"/>
          </w:tcPr>
          <w:p w14:paraId="008812E6">
            <w:pPr>
              <w:widowControl/>
              <w:spacing w:before="120"/>
              <w:jc w:val="left"/>
              <w:rPr>
                <w:rFonts w:ascii="宋体" w:hAnsi="宋体" w:cs="宋体"/>
                <w:color w:val="auto"/>
                <w:kern w:val="0"/>
                <w:sz w:val="20"/>
                <w:szCs w:val="20"/>
              </w:rPr>
            </w:pPr>
          </w:p>
        </w:tc>
        <w:tc>
          <w:tcPr>
            <w:tcW w:w="1516" w:type="dxa"/>
            <w:tcBorders>
              <w:top w:val="nil"/>
              <w:left w:val="nil"/>
              <w:bottom w:val="single" w:color="000000" w:sz="8" w:space="0"/>
              <w:right w:val="single" w:color="000000" w:sz="8" w:space="0"/>
            </w:tcBorders>
            <w:vAlign w:val="center"/>
          </w:tcPr>
          <w:p w14:paraId="61321D0C">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小便器</w:t>
            </w:r>
          </w:p>
        </w:tc>
        <w:tc>
          <w:tcPr>
            <w:tcW w:w="1612" w:type="dxa"/>
            <w:tcBorders>
              <w:top w:val="nil"/>
              <w:left w:val="nil"/>
              <w:bottom w:val="single" w:color="000000" w:sz="8" w:space="0"/>
              <w:right w:val="single" w:color="000000" w:sz="8" w:space="0"/>
            </w:tcBorders>
            <w:vAlign w:val="center"/>
          </w:tcPr>
          <w:p w14:paraId="066005F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07179158">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《小便器用水效率限定值及用水效率等级》（GB28377）</w:t>
            </w:r>
          </w:p>
        </w:tc>
      </w:tr>
      <w:tr w14:paraId="2E2D7185">
        <w:tblPrEx>
          <w:tblCellMar>
            <w:top w:w="0" w:type="dxa"/>
            <w:left w:w="108" w:type="dxa"/>
            <w:bottom w:w="0" w:type="dxa"/>
            <w:right w:w="108" w:type="dxa"/>
          </w:tblCellMar>
        </w:tblPrEx>
        <w:trPr>
          <w:trHeight w:val="708" w:hRule="atLeast"/>
        </w:trPr>
        <w:tc>
          <w:tcPr>
            <w:tcW w:w="716" w:type="dxa"/>
            <w:tcBorders>
              <w:top w:val="nil"/>
              <w:left w:val="single" w:color="000000" w:sz="8" w:space="0"/>
              <w:bottom w:val="single" w:color="000000" w:sz="8" w:space="0"/>
              <w:right w:val="single" w:color="000000" w:sz="8" w:space="0"/>
            </w:tcBorders>
            <w:vAlign w:val="center"/>
          </w:tcPr>
          <w:p w14:paraId="7A335523">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16</w:t>
            </w:r>
          </w:p>
        </w:tc>
        <w:tc>
          <w:tcPr>
            <w:tcW w:w="1041" w:type="dxa"/>
            <w:tcBorders>
              <w:top w:val="nil"/>
              <w:left w:val="nil"/>
              <w:bottom w:val="single" w:color="000000" w:sz="8" w:space="0"/>
              <w:right w:val="single" w:color="000000" w:sz="8" w:space="0"/>
            </w:tcBorders>
            <w:vAlign w:val="center"/>
          </w:tcPr>
          <w:p w14:paraId="57F3470A">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★A060806水嘴</w:t>
            </w:r>
          </w:p>
        </w:tc>
        <w:tc>
          <w:tcPr>
            <w:tcW w:w="1516" w:type="dxa"/>
            <w:tcBorders>
              <w:top w:val="nil"/>
              <w:left w:val="nil"/>
              <w:bottom w:val="single" w:color="000000" w:sz="8" w:space="0"/>
              <w:right w:val="single" w:color="000000" w:sz="8" w:space="0"/>
            </w:tcBorders>
            <w:vAlign w:val="center"/>
          </w:tcPr>
          <w:p w14:paraId="69F85E80">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6452A758">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3417BB92">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《水嘴用水效率限定值及用水效率等级》（GB 25501）</w:t>
            </w:r>
          </w:p>
        </w:tc>
      </w:tr>
      <w:tr w14:paraId="78D5BAFA">
        <w:tblPrEx>
          <w:tblCellMar>
            <w:top w:w="0" w:type="dxa"/>
            <w:left w:w="108" w:type="dxa"/>
            <w:bottom w:w="0" w:type="dxa"/>
            <w:right w:w="108" w:type="dxa"/>
          </w:tblCellMar>
        </w:tblPrEx>
        <w:trPr>
          <w:trHeight w:val="578" w:hRule="atLeast"/>
        </w:trPr>
        <w:tc>
          <w:tcPr>
            <w:tcW w:w="716" w:type="dxa"/>
            <w:tcBorders>
              <w:top w:val="nil"/>
              <w:left w:val="single" w:color="000000" w:sz="8" w:space="0"/>
              <w:bottom w:val="single" w:color="000000" w:sz="8" w:space="0"/>
              <w:right w:val="single" w:color="000000" w:sz="8" w:space="0"/>
            </w:tcBorders>
            <w:vAlign w:val="center"/>
          </w:tcPr>
          <w:p w14:paraId="62865F76">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17</w:t>
            </w:r>
          </w:p>
        </w:tc>
        <w:tc>
          <w:tcPr>
            <w:tcW w:w="1041" w:type="dxa"/>
            <w:tcBorders>
              <w:top w:val="nil"/>
              <w:left w:val="nil"/>
              <w:bottom w:val="single" w:color="000000" w:sz="8" w:space="0"/>
              <w:right w:val="single" w:color="000000" w:sz="8" w:space="0"/>
            </w:tcBorders>
            <w:vAlign w:val="center"/>
          </w:tcPr>
          <w:p w14:paraId="56CE67C7">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A060807便器冲洗阀</w:t>
            </w:r>
          </w:p>
        </w:tc>
        <w:tc>
          <w:tcPr>
            <w:tcW w:w="1516" w:type="dxa"/>
            <w:tcBorders>
              <w:top w:val="nil"/>
              <w:left w:val="nil"/>
              <w:bottom w:val="single" w:color="000000" w:sz="8" w:space="0"/>
              <w:right w:val="single" w:color="000000" w:sz="8" w:space="0"/>
            </w:tcBorders>
            <w:vAlign w:val="center"/>
          </w:tcPr>
          <w:p w14:paraId="1D5A0F32">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5AA404E1">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6142A5CE">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《便器冲洗阀用水效率限定值及用水效率等级》（GB28379）</w:t>
            </w:r>
          </w:p>
        </w:tc>
      </w:tr>
      <w:tr w14:paraId="10134327">
        <w:tblPrEx>
          <w:tblCellMar>
            <w:top w:w="0" w:type="dxa"/>
            <w:left w:w="108" w:type="dxa"/>
            <w:bottom w:w="0" w:type="dxa"/>
            <w:right w:w="108" w:type="dxa"/>
          </w:tblCellMar>
        </w:tblPrEx>
        <w:trPr>
          <w:trHeight w:val="495" w:hRule="atLeast"/>
        </w:trPr>
        <w:tc>
          <w:tcPr>
            <w:tcW w:w="716" w:type="dxa"/>
            <w:tcBorders>
              <w:top w:val="nil"/>
              <w:left w:val="single" w:color="000000" w:sz="8" w:space="0"/>
              <w:bottom w:val="single" w:color="000000" w:sz="8" w:space="0"/>
              <w:right w:val="single" w:color="000000" w:sz="8" w:space="0"/>
            </w:tcBorders>
            <w:vAlign w:val="center"/>
          </w:tcPr>
          <w:p w14:paraId="65053869">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18</w:t>
            </w:r>
          </w:p>
        </w:tc>
        <w:tc>
          <w:tcPr>
            <w:tcW w:w="1041" w:type="dxa"/>
            <w:tcBorders>
              <w:top w:val="nil"/>
              <w:left w:val="nil"/>
              <w:bottom w:val="single" w:color="000000" w:sz="8" w:space="0"/>
              <w:right w:val="single" w:color="000000" w:sz="8" w:space="0"/>
            </w:tcBorders>
            <w:vAlign w:val="center"/>
          </w:tcPr>
          <w:p w14:paraId="54EABE9E">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A060810淋浴器</w:t>
            </w:r>
          </w:p>
        </w:tc>
        <w:tc>
          <w:tcPr>
            <w:tcW w:w="1516" w:type="dxa"/>
            <w:tcBorders>
              <w:top w:val="nil"/>
              <w:left w:val="nil"/>
              <w:bottom w:val="single" w:color="000000" w:sz="8" w:space="0"/>
              <w:right w:val="single" w:color="000000" w:sz="8" w:space="0"/>
            </w:tcBorders>
            <w:vAlign w:val="center"/>
          </w:tcPr>
          <w:p w14:paraId="5F55B19F">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1612" w:type="dxa"/>
            <w:tcBorders>
              <w:top w:val="nil"/>
              <w:left w:val="nil"/>
              <w:bottom w:val="single" w:color="000000" w:sz="8" w:space="0"/>
              <w:right w:val="single" w:color="000000" w:sz="8" w:space="0"/>
            </w:tcBorders>
            <w:vAlign w:val="center"/>
          </w:tcPr>
          <w:p w14:paraId="7B955806">
            <w:pPr>
              <w:widowControl/>
              <w:spacing w:before="120"/>
              <w:jc w:val="center"/>
              <w:rPr>
                <w:rFonts w:ascii="宋体" w:hAnsi="宋体" w:cs="宋体"/>
                <w:color w:val="auto"/>
                <w:kern w:val="0"/>
                <w:sz w:val="20"/>
                <w:szCs w:val="20"/>
              </w:rPr>
            </w:pPr>
            <w:r>
              <w:rPr>
                <w:rFonts w:hint="eastAsia" w:ascii="宋体" w:hAnsi="宋体" w:cs="宋体"/>
                <w:color w:val="auto"/>
                <w:kern w:val="0"/>
                <w:sz w:val="20"/>
                <w:szCs w:val="20"/>
              </w:rPr>
              <w:t>　</w:t>
            </w:r>
          </w:p>
        </w:tc>
        <w:tc>
          <w:tcPr>
            <w:tcW w:w="4335" w:type="dxa"/>
            <w:tcBorders>
              <w:top w:val="nil"/>
              <w:left w:val="nil"/>
              <w:bottom w:val="single" w:color="000000" w:sz="8" w:space="0"/>
              <w:right w:val="single" w:color="000000" w:sz="8" w:space="0"/>
            </w:tcBorders>
            <w:vAlign w:val="center"/>
          </w:tcPr>
          <w:p w14:paraId="74759607">
            <w:pPr>
              <w:widowControl/>
              <w:spacing w:before="120"/>
              <w:jc w:val="left"/>
              <w:rPr>
                <w:rFonts w:ascii="宋体" w:hAnsi="宋体" w:cs="宋体"/>
                <w:color w:val="auto"/>
                <w:kern w:val="0"/>
                <w:sz w:val="20"/>
                <w:szCs w:val="20"/>
              </w:rPr>
            </w:pPr>
            <w:r>
              <w:rPr>
                <w:rFonts w:hint="eastAsia" w:ascii="宋体" w:hAnsi="宋体" w:cs="宋体"/>
                <w:color w:val="auto"/>
                <w:kern w:val="0"/>
                <w:sz w:val="20"/>
                <w:szCs w:val="20"/>
              </w:rPr>
              <w:t>《淋浴器用水效率限定值及用水效率等级》（GB28378）</w:t>
            </w:r>
          </w:p>
        </w:tc>
      </w:tr>
    </w:tbl>
    <w:p w14:paraId="29A263F9">
      <w:pPr>
        <w:pStyle w:val="2"/>
        <w:spacing w:before="120" w:line="300" w:lineRule="atLeast"/>
        <w:rPr>
          <w:color w:val="auto"/>
          <w:sz w:val="21"/>
          <w:szCs w:val="21"/>
        </w:rPr>
      </w:pPr>
      <w:r>
        <w:rPr>
          <w:rFonts w:hint="eastAsia"/>
          <w:color w:val="auto"/>
          <w:sz w:val="21"/>
          <w:szCs w:val="21"/>
        </w:rPr>
        <w:t>注：1.节能产品认证应依据相关国家标准的最新版本，依据国家标准中二级能效（水效）指标。</w:t>
      </w:r>
    </w:p>
    <w:p w14:paraId="603F6C8D">
      <w:pPr>
        <w:pStyle w:val="2"/>
        <w:numPr>
          <w:ilvl w:val="0"/>
          <w:numId w:val="4"/>
        </w:numPr>
        <w:spacing w:before="120" w:line="300" w:lineRule="atLeast"/>
        <w:rPr>
          <w:color w:val="auto"/>
          <w:sz w:val="21"/>
          <w:szCs w:val="21"/>
        </w:rPr>
      </w:pPr>
      <w:r>
        <w:rPr>
          <w:rFonts w:hint="eastAsia"/>
          <w:color w:val="auto"/>
          <w:sz w:val="21"/>
          <w:szCs w:val="21"/>
        </w:rPr>
        <w:t>以“★”标注的为政府强制采购产品。</w:t>
      </w:r>
    </w:p>
    <w:p w14:paraId="41F0F585">
      <w:pPr>
        <w:spacing w:before="120"/>
        <w:rPr>
          <w:color w:val="auto"/>
        </w:rPr>
      </w:pPr>
    </w:p>
    <w:p w14:paraId="5CB20F16">
      <w:pPr>
        <w:spacing w:before="120"/>
        <w:ind w:left="-70"/>
        <w:rPr>
          <w:color w:val="auto"/>
        </w:rPr>
      </w:pPr>
    </w:p>
    <w:p w14:paraId="7D75D7FC">
      <w:pPr>
        <w:pStyle w:val="19"/>
        <w:spacing w:before="120"/>
        <w:ind w:left="-70" w:firstLine="441"/>
        <w:rPr>
          <w:color w:val="auto"/>
        </w:rPr>
      </w:pPr>
    </w:p>
    <w:p w14:paraId="1934FB4F">
      <w:pPr>
        <w:pStyle w:val="19"/>
        <w:spacing w:before="120"/>
        <w:ind w:left="-70" w:firstLine="441"/>
        <w:rPr>
          <w:color w:val="auto"/>
        </w:rPr>
      </w:pPr>
    </w:p>
    <w:p w14:paraId="1F80F86F">
      <w:pPr>
        <w:pStyle w:val="19"/>
        <w:spacing w:before="120"/>
        <w:ind w:left="-70" w:firstLine="441"/>
        <w:rPr>
          <w:color w:val="auto"/>
        </w:rPr>
      </w:pPr>
    </w:p>
    <w:p w14:paraId="6BBF327D">
      <w:pPr>
        <w:pStyle w:val="19"/>
        <w:spacing w:before="120"/>
        <w:ind w:left="-70" w:firstLine="441"/>
        <w:rPr>
          <w:color w:val="auto"/>
        </w:rPr>
      </w:pPr>
    </w:p>
    <w:p w14:paraId="3EDEF888">
      <w:pPr>
        <w:pStyle w:val="19"/>
        <w:spacing w:before="120"/>
        <w:ind w:left="-70" w:firstLine="441"/>
        <w:rPr>
          <w:color w:val="auto"/>
        </w:rPr>
      </w:pPr>
    </w:p>
    <w:p w14:paraId="79CFF85F">
      <w:pPr>
        <w:pStyle w:val="19"/>
        <w:spacing w:before="120"/>
        <w:ind w:left="-70" w:firstLine="441"/>
        <w:rPr>
          <w:color w:val="auto"/>
        </w:rPr>
      </w:pPr>
    </w:p>
    <w:p w14:paraId="46FEFB27">
      <w:pPr>
        <w:pStyle w:val="19"/>
        <w:spacing w:before="120"/>
        <w:ind w:left="-70" w:firstLine="441"/>
        <w:rPr>
          <w:color w:val="auto"/>
        </w:rPr>
      </w:pPr>
    </w:p>
    <w:p w14:paraId="337D62E1">
      <w:pPr>
        <w:pStyle w:val="19"/>
        <w:spacing w:before="120"/>
        <w:ind w:left="-70" w:firstLine="441"/>
        <w:rPr>
          <w:color w:val="auto"/>
        </w:rPr>
      </w:pPr>
    </w:p>
    <w:p w14:paraId="5FDB858C">
      <w:pPr>
        <w:pStyle w:val="19"/>
        <w:spacing w:before="120"/>
        <w:ind w:left="-70" w:firstLine="441"/>
        <w:rPr>
          <w:color w:val="auto"/>
        </w:rPr>
      </w:pPr>
    </w:p>
    <w:p w14:paraId="3738BDF9">
      <w:pPr>
        <w:pStyle w:val="19"/>
        <w:spacing w:before="120"/>
        <w:ind w:left="-70" w:firstLine="441"/>
        <w:rPr>
          <w:color w:val="auto"/>
        </w:rPr>
      </w:pPr>
    </w:p>
    <w:p w14:paraId="3D894656">
      <w:pPr>
        <w:pStyle w:val="19"/>
        <w:spacing w:before="120"/>
        <w:ind w:left="-70" w:firstLine="441"/>
        <w:rPr>
          <w:color w:val="auto"/>
        </w:rPr>
      </w:pPr>
    </w:p>
    <w:p w14:paraId="321E0362">
      <w:pPr>
        <w:pStyle w:val="19"/>
        <w:spacing w:before="120"/>
        <w:ind w:left="-70" w:firstLine="441"/>
        <w:rPr>
          <w:color w:val="auto"/>
        </w:rPr>
      </w:pPr>
    </w:p>
    <w:p w14:paraId="2457114D">
      <w:pPr>
        <w:pStyle w:val="19"/>
        <w:spacing w:before="120"/>
        <w:ind w:left="-70" w:firstLine="441"/>
        <w:rPr>
          <w:color w:val="auto"/>
        </w:rPr>
      </w:pPr>
    </w:p>
    <w:p w14:paraId="72374637">
      <w:pPr>
        <w:pStyle w:val="19"/>
        <w:spacing w:before="120"/>
        <w:ind w:left="-70" w:firstLine="441"/>
        <w:rPr>
          <w:color w:val="auto"/>
        </w:rPr>
      </w:pPr>
    </w:p>
    <w:p w14:paraId="3445941D">
      <w:pPr>
        <w:pStyle w:val="19"/>
        <w:spacing w:before="120"/>
        <w:ind w:left="-70" w:firstLine="441"/>
        <w:rPr>
          <w:color w:val="auto"/>
        </w:rPr>
      </w:pPr>
    </w:p>
    <w:p w14:paraId="563DF8D3">
      <w:pPr>
        <w:spacing w:before="120"/>
        <w:rPr>
          <w:color w:val="auto"/>
        </w:rPr>
      </w:pPr>
    </w:p>
    <w:p w14:paraId="11CD2E71">
      <w:pPr>
        <w:pStyle w:val="2"/>
        <w:spacing w:before="120" w:line="300" w:lineRule="atLeast"/>
        <w:ind w:left="-70" w:firstLine="1082"/>
        <w:jc w:val="center"/>
        <w:rPr>
          <w:color w:val="auto"/>
        </w:rPr>
      </w:pPr>
      <w:r>
        <w:rPr>
          <w:rFonts w:hint="eastAsia"/>
          <w:color w:val="auto"/>
        </w:rPr>
        <w:t xml:space="preserve">第四章  </w:t>
      </w:r>
      <w:bookmarkStart w:id="43" w:name="_Hlk68601507"/>
      <w:r>
        <w:rPr>
          <w:rFonts w:hint="eastAsia"/>
          <w:color w:val="auto"/>
        </w:rPr>
        <w:t>评审程序和评定成交的标准</w:t>
      </w:r>
      <w:bookmarkEnd w:id="32"/>
      <w:bookmarkEnd w:id="43"/>
    </w:p>
    <w:p w14:paraId="2133E807">
      <w:pPr>
        <w:spacing w:before="120" w:line="300" w:lineRule="atLeast"/>
        <w:ind w:left="-70" w:firstLine="787"/>
        <w:jc w:val="center"/>
        <w:rPr>
          <w:rFonts w:ascii="宋体" w:hAnsi="宋体"/>
          <w:b/>
          <w:color w:val="auto"/>
          <w:sz w:val="32"/>
          <w:szCs w:val="32"/>
        </w:rPr>
      </w:pPr>
      <w:r>
        <w:rPr>
          <w:rFonts w:hint="eastAsia" w:ascii="宋体" w:hAnsi="宋体"/>
          <w:b/>
          <w:color w:val="auto"/>
          <w:sz w:val="32"/>
          <w:szCs w:val="32"/>
        </w:rPr>
        <w:t>一、评审程序</w:t>
      </w:r>
    </w:p>
    <w:p w14:paraId="560ABEFF">
      <w:pPr>
        <w:pStyle w:val="19"/>
        <w:spacing w:before="120"/>
        <w:ind w:left="-70" w:firstLine="441"/>
        <w:rPr>
          <w:color w:val="auto"/>
        </w:rPr>
      </w:pPr>
    </w:p>
    <w:p w14:paraId="3914C2D8">
      <w:pPr>
        <w:spacing w:before="120" w:line="360" w:lineRule="auto"/>
        <w:ind w:left="-70" w:firstLine="482" w:firstLineChars="200"/>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.确认谈判文件</w:t>
      </w:r>
    </w:p>
    <w:p w14:paraId="73F7CE55">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由谈判小组确认谈判文件。</w:t>
      </w:r>
    </w:p>
    <w:p w14:paraId="5B9C1BC3">
      <w:pPr>
        <w:spacing w:before="120" w:line="360" w:lineRule="auto"/>
        <w:ind w:left="-70" w:firstLine="482" w:firstLineChars="200"/>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.资格审查</w:t>
      </w:r>
    </w:p>
    <w:p w14:paraId="43EAB10F">
      <w:pPr>
        <w:snapToGrid w:val="0"/>
        <w:spacing w:before="120" w:line="360" w:lineRule="auto"/>
        <w:ind w:left="-70"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.1响应文件开启后，谈判小组依法对供应商的资格证明文件进行审查。</w:t>
      </w:r>
    </w:p>
    <w:p w14:paraId="2AC6CDD0">
      <w:pPr>
        <w:snapToGrid w:val="0"/>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（1）查询渠道：</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color w:val="auto"/>
          <w:szCs w:val="21"/>
        </w:rPr>
        <w:t>广西政府采购云平台</w:t>
      </w:r>
      <w:r>
        <w:rPr>
          <w:rFonts w:ascii="宋体" w:hAnsi="宋体" w:cs="宋体"/>
          <w:color w:val="auto"/>
          <w:szCs w:val="21"/>
        </w:rPr>
        <w:t>“信用中国”网站（www.creditchina.gov.cn）、中国政府采购网（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Fonts w:cs="宋体"/>
          <w:color w:val="auto"/>
        </w:rPr>
        <w:t>www.ccgp.gov.cn</w:t>
      </w:r>
      <w:r>
        <w:rPr>
          <w:rFonts w:cs="宋体"/>
          <w:color w:val="auto"/>
        </w:rPr>
        <w:fldChar w:fldCharType="end"/>
      </w:r>
      <w:r>
        <w:rPr>
          <w:rFonts w:ascii="宋体" w:hAnsi="宋体" w:cs="宋体"/>
          <w:color w:val="auto"/>
          <w:szCs w:val="21"/>
        </w:rPr>
        <w:t>）</w:t>
      </w:r>
      <w:r>
        <w:rPr>
          <w:rFonts w:hint="eastAsia" w:ascii="宋体" w:hAnsi="宋体" w:cs="宋体"/>
          <w:color w:val="auto"/>
          <w:szCs w:val="21"/>
        </w:rPr>
        <w:t xml:space="preserve">。 </w:t>
      </w:r>
    </w:p>
    <w:p w14:paraId="71E71058">
      <w:pPr>
        <w:snapToGrid w:val="0"/>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（2）信用查询截止时点：</w:t>
      </w:r>
      <w:r>
        <w:rPr>
          <w:rFonts w:ascii="宋体" w:hAnsi="宋体" w:cs="宋体"/>
          <w:color w:val="auto"/>
          <w:szCs w:val="21"/>
        </w:rPr>
        <w:t>资格审查结束前</w:t>
      </w:r>
      <w:r>
        <w:rPr>
          <w:rFonts w:hint="eastAsia" w:ascii="宋体" w:hAnsi="宋体" w:cs="宋体"/>
          <w:color w:val="auto"/>
          <w:szCs w:val="21"/>
        </w:rPr>
        <w:t>。</w:t>
      </w:r>
    </w:p>
    <w:p w14:paraId="5C136162">
      <w:pPr>
        <w:snapToGrid w:val="0"/>
        <w:spacing w:before="120" w:line="360" w:lineRule="auto"/>
        <w:ind w:left="-70" w:firstLine="420" w:firstLineChars="200"/>
        <w:jc w:val="left"/>
        <w:rPr>
          <w:rFonts w:ascii="宋体" w:hAnsi="宋体" w:cs="宋体"/>
          <w:color w:val="auto"/>
          <w:szCs w:val="21"/>
        </w:rPr>
      </w:pPr>
      <w:r>
        <w:rPr>
          <w:rFonts w:hint="eastAsia" w:ascii="宋体" w:hAnsi="宋体" w:cs="宋体"/>
          <w:color w:val="auto"/>
          <w:szCs w:val="21"/>
        </w:rPr>
        <w:t>（3）查询记录和证据留存方式：将查询网站中的查询记录截图并作为评审资料保存。</w:t>
      </w:r>
    </w:p>
    <w:p w14:paraId="3FA5CBCD">
      <w:pPr>
        <w:snapToGrid w:val="0"/>
        <w:spacing w:before="120" w:line="360" w:lineRule="auto"/>
        <w:ind w:left="-70" w:firstLine="420" w:firstLineChars="200"/>
        <w:jc w:val="left"/>
        <w:rPr>
          <w:rFonts w:ascii="宋体" w:hAnsi="宋体" w:cs="宋体"/>
          <w:color w:val="auto"/>
          <w:szCs w:val="21"/>
        </w:rPr>
      </w:pPr>
      <w:r>
        <w:rPr>
          <w:rFonts w:hint="eastAsia" w:ascii="宋体" w:hAnsi="宋体" w:cs="宋体"/>
          <w:color w:val="auto"/>
          <w:szCs w:val="21"/>
        </w:rPr>
        <w:t>（4）信用信息使用规则：信用信息使用规则：根据财政部《关于在政府采购活动中查询及使用信用记录有关问题的通知》（财库〔2016〕125号）的规定，对在“信用中国”网站(www.creditchina.gov.cn)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0B1571A">
      <w:pPr>
        <w:snapToGrid w:val="0"/>
        <w:spacing w:before="120" w:line="360" w:lineRule="auto"/>
        <w:ind w:left="-70"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.2资格审查标准为本谈判文件中载明对供应商资格要求的条件。本项目资格审查采用合格制，凡符合谈判文件规定的供应商资格要求的供应商均通过资格审查。</w:t>
      </w:r>
    </w:p>
    <w:p w14:paraId="259D7CD8">
      <w:pPr>
        <w:spacing w:before="120" w:line="360" w:lineRule="auto"/>
        <w:ind w:left="-70"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.3 供应商有下列情形之一的，资格审查不通过，其响应文件按无效响应处理：</w:t>
      </w:r>
    </w:p>
    <w:p w14:paraId="57EEB948">
      <w:pPr>
        <w:snapToGrid w:val="0"/>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）不具备谈判文件中规定的资格要求的；</w:t>
      </w:r>
    </w:p>
    <w:p w14:paraId="3BE69984">
      <w:pPr>
        <w:spacing w:before="120" w:line="360" w:lineRule="auto"/>
        <w:ind w:left="-70" w:firstLine="420" w:firstLineChars="200"/>
        <w:contextualSpacing/>
        <w:rPr>
          <w:rFonts w:ascii="宋体" w:hAnsi="宋体" w:cs="宋体"/>
          <w:color w:val="auto"/>
          <w:szCs w:val="21"/>
        </w:rPr>
      </w:pPr>
      <w:r>
        <w:rPr>
          <w:rFonts w:hint="eastAsia" w:ascii="宋体" w:hAnsi="宋体" w:cs="宋体"/>
          <w:color w:val="auto"/>
          <w:szCs w:val="21"/>
        </w:rPr>
        <w:t>（2）响应文件中的资格证明文件缺少任一项“供应商须知前附表”资格证明文件规定的“必须提供”的文件资料的；</w:t>
      </w:r>
    </w:p>
    <w:p w14:paraId="40E8DEEC">
      <w:pPr>
        <w:spacing w:before="120" w:line="360" w:lineRule="auto"/>
        <w:ind w:left="-70" w:firstLine="420" w:firstLineChars="200"/>
        <w:contextualSpacing/>
        <w:rPr>
          <w:rFonts w:ascii="宋体" w:hAnsi="宋体" w:cs="宋体"/>
          <w:color w:val="auto"/>
          <w:szCs w:val="21"/>
        </w:rPr>
      </w:pPr>
      <w:r>
        <w:rPr>
          <w:rFonts w:hint="eastAsia" w:ascii="宋体" w:hAnsi="宋体" w:cs="宋体"/>
          <w:color w:val="auto"/>
          <w:szCs w:val="21"/>
        </w:rPr>
        <w:t>（3）响应文件中的资格证明文件出现任一项不符合“供应商须知前附表”资格证明文件规定的“必须提供”的文件资料要求或者无效的；</w:t>
      </w:r>
    </w:p>
    <w:p w14:paraId="2BD5ECEB">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（4）同一合同项下的不同供应商，单位负责人为同一人或者存在直接控股、管理关系的；为本项目提供过整体设计、规范编制或者项目管理、监理、检测等服务的供应商，再参加该采购项目的其他采购活动的。</w:t>
      </w:r>
    </w:p>
    <w:p w14:paraId="47A70BEE">
      <w:pPr>
        <w:spacing w:before="120" w:line="360" w:lineRule="auto"/>
        <w:ind w:left="-70"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.4通过资格审查的合格供应商不足3家（本章</w:t>
      </w:r>
      <w:r>
        <w:rPr>
          <w:rFonts w:ascii="宋体" w:hAnsi="宋体" w:cs="宋体"/>
          <w:color w:val="auto"/>
          <w:szCs w:val="21"/>
        </w:rPr>
        <w:t>3</w:t>
      </w:r>
      <w:r>
        <w:rPr>
          <w:rFonts w:hint="eastAsia" w:ascii="宋体" w:hAnsi="宋体" w:cs="宋体"/>
          <w:color w:val="auto"/>
          <w:szCs w:val="21"/>
        </w:rPr>
        <w:t>.7条规定除外）的，不得进入符合性审查环节，应当重新开展采购活动。</w:t>
      </w:r>
    </w:p>
    <w:p w14:paraId="5C4AABFB">
      <w:pPr>
        <w:spacing w:before="120" w:line="360" w:lineRule="auto"/>
        <w:ind w:left="-70" w:firstLine="482" w:firstLineChars="200"/>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.符合性审查</w:t>
      </w:r>
    </w:p>
    <w:p w14:paraId="71949572">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w:t>
      </w:r>
      <w:r>
        <w:rPr>
          <w:rFonts w:hint="eastAsia" w:ascii="宋体" w:hAnsi="宋体" w:cs="宋体"/>
          <w:color w:val="auto"/>
          <w:szCs w:val="21"/>
        </w:rPr>
        <w:t>由谈判小组对</w:t>
      </w:r>
      <w:r>
        <w:rPr>
          <w:rFonts w:hint="eastAsia" w:ascii="宋体" w:hAnsi="宋体"/>
          <w:color w:val="auto"/>
          <w:szCs w:val="21"/>
        </w:rPr>
        <w:t>资格审查的合格</w:t>
      </w:r>
      <w:r>
        <w:rPr>
          <w:rFonts w:hint="eastAsia" w:ascii="宋体" w:hAnsi="宋体" w:cs="宋体"/>
          <w:color w:val="auto"/>
          <w:szCs w:val="21"/>
        </w:rPr>
        <w:t>的供应商的响应文件进行竞标报价、商务、技术等实质性要求符合性审查，以确定其是否满足谈判文件的实质性要求。</w:t>
      </w:r>
    </w:p>
    <w:p w14:paraId="39CA0325">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.2</w:t>
      </w:r>
      <w:r>
        <w:rPr>
          <w:rFonts w:hint="eastAsia" w:ascii="宋体" w:hAnsi="宋体" w:cs="宋体"/>
          <w:color w:val="auto"/>
          <w:szCs w:val="21"/>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B369A2">
      <w:pPr>
        <w:spacing w:before="120" w:line="360" w:lineRule="auto"/>
        <w:ind w:left="-70" w:firstLine="420" w:firstLineChars="200"/>
        <w:rPr>
          <w:rFonts w:ascii="宋体" w:hAnsi="宋体" w:cs="宋体"/>
          <w:color w:val="auto"/>
          <w:spacing w:val="-6"/>
          <w:szCs w:val="21"/>
        </w:rPr>
      </w:pPr>
      <w:r>
        <w:rPr>
          <w:rFonts w:ascii="宋体" w:hAnsi="宋体" w:cs="宋体"/>
          <w:color w:val="auto"/>
          <w:szCs w:val="21"/>
        </w:rPr>
        <w:t>3</w:t>
      </w:r>
      <w:r>
        <w:rPr>
          <w:rFonts w:hint="eastAsia" w:ascii="宋体" w:hAnsi="宋体" w:cs="宋体"/>
          <w:color w:val="auto"/>
          <w:szCs w:val="21"/>
        </w:rPr>
        <w:t>.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w:t>
      </w:r>
      <w:r>
        <w:rPr>
          <w:rFonts w:hint="eastAsia" w:ascii="宋体" w:hAnsi="宋体" w:cs="宋体"/>
          <w:color w:val="auto"/>
        </w:rPr>
        <w:t>有利于采购人</w:t>
      </w:r>
      <w:r>
        <w:rPr>
          <w:rFonts w:hint="eastAsia" w:ascii="宋体" w:hAnsi="宋体" w:cs="宋体"/>
          <w:color w:val="auto"/>
          <w:szCs w:val="21"/>
        </w:rPr>
        <w:t>的原则由谈判小组进行判定。供应商的澄清、说明或者更正必须由法定代表人或者其委托代理人签字或者加盖供应商公章。</w:t>
      </w:r>
    </w:p>
    <w:p w14:paraId="39CCCD93">
      <w:pPr>
        <w:spacing w:before="120" w:line="360" w:lineRule="auto"/>
        <w:ind w:left="-70" w:firstLine="396" w:firstLineChars="200"/>
        <w:rPr>
          <w:rFonts w:ascii="宋体" w:hAnsi="宋体" w:cs="宋体"/>
          <w:color w:val="auto"/>
          <w:szCs w:val="21"/>
        </w:rPr>
      </w:pPr>
      <w:r>
        <w:rPr>
          <w:rFonts w:ascii="宋体" w:hAnsi="宋体" w:cs="宋体"/>
          <w:color w:val="auto"/>
          <w:spacing w:val="-6"/>
          <w:szCs w:val="21"/>
        </w:rPr>
        <w:t>3.4</w:t>
      </w:r>
      <w:r>
        <w:rPr>
          <w:rFonts w:hint="eastAsia" w:ascii="宋体" w:hAnsi="宋体" w:cs="宋体"/>
          <w:color w:val="auto"/>
          <w:szCs w:val="21"/>
        </w:rPr>
        <w:t xml:space="preserve">首次响应文件报价出现前后不一致的，按照下列规定修正： </w:t>
      </w:r>
    </w:p>
    <w:p w14:paraId="4C6FFA52">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3E210307">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0A1C4424">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6E909C62">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145EC7D1">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3F934802">
      <w:pPr>
        <w:spacing w:before="120" w:line="360" w:lineRule="auto"/>
        <w:ind w:left="-70"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6C51024F">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在评审时，如发现下列情形之一的，将被视为响应文件无效响应处理：</w:t>
      </w:r>
    </w:p>
    <w:p w14:paraId="235788C5">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（1）商务技术评审</w:t>
      </w:r>
    </w:p>
    <w:p w14:paraId="6E1323AE">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1）响应文件未按谈判文件要求签署、盖章的；</w:t>
      </w:r>
    </w:p>
    <w:p w14:paraId="0DDAE159">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14:paraId="5E019F20">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3）提交的竞标保证金无效的或者未按照谈判文件的规定提交竞标保证金；</w:t>
      </w:r>
    </w:p>
    <w:p w14:paraId="6A14C111">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4）响应文件中的报价商务技术文件出现任一项不符合“供应商须知前附表”中“必须提供”或者“委托时必须提供”文件资料要求的规定或者提供的报价商务技术文件无效。</w:t>
      </w:r>
    </w:p>
    <w:p w14:paraId="3B832F69">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5）商务条款成交“▲”的条款发生负偏离或者允许负偏离的条款数超过“供应商须知前附表”规定项数的；</w:t>
      </w:r>
    </w:p>
    <w:p w14:paraId="760F5CE8">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6）未对竞标有效期作出响应或者响应文件承诺的竞标有效期不满足谈判文件要求；</w:t>
      </w:r>
    </w:p>
    <w:p w14:paraId="2CE59023">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7）响应文件的实质性内容未使用中文表述、使用计量单位不符合谈判文件要求的；</w:t>
      </w:r>
    </w:p>
    <w:p w14:paraId="67D39AD0">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8）响应文件中的文件资料因填写不齐全或者内容虚假或者出现其他情形而导致被谈判小组认定无效的；</w:t>
      </w:r>
    </w:p>
    <w:p w14:paraId="7F11993E">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9）响应文件含有采购人不能接受的附加条件的；</w:t>
      </w:r>
    </w:p>
    <w:p w14:paraId="27D09800">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条的情形的；</w:t>
      </w:r>
    </w:p>
    <w:p w14:paraId="37573437">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11）技术要求成交“▲”的条款发生负偏离或允许负偏离的条款数超过“供应商须知前附表”规定项数的；</w:t>
      </w:r>
    </w:p>
    <w:p w14:paraId="0615574C">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12）虚假竞标，或者出现其他情形而导致被谈判小组认定无效的；</w:t>
      </w:r>
    </w:p>
    <w:p w14:paraId="0BA24581">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13）</w:t>
      </w:r>
      <w:bookmarkStart w:id="44" w:name="_Hlk71704147"/>
      <w:r>
        <w:rPr>
          <w:rFonts w:hint="eastAsia" w:ascii="宋体" w:hAnsi="宋体" w:cs="宋体"/>
          <w:color w:val="auto"/>
          <w:szCs w:val="21"/>
        </w:rPr>
        <w:t>谈判文件未载明允许提供备选（替代）竞标方案或明确不允许提供备选（替代）竞标方案时，供应商提供了备选（替代）竞标方案的；</w:t>
      </w:r>
      <w:bookmarkEnd w:id="44"/>
    </w:p>
    <w:p w14:paraId="1EB38A05">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14）响应文件标注的项目名称或者项目编号与谈判文件标注的项目名称或者项目编号不一致的；</w:t>
      </w:r>
    </w:p>
    <w:p w14:paraId="4B1D2D8F">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15）</w:t>
      </w:r>
      <w:r>
        <w:rPr>
          <w:rFonts w:hint="eastAsia" w:ascii="宋体" w:hAnsi="宋体"/>
          <w:b/>
          <w:color w:val="auto"/>
          <w:szCs w:val="21"/>
        </w:rPr>
        <w:t>谈判文件明确不允许分包，响应文件拟分包的；</w:t>
      </w:r>
    </w:p>
    <w:p w14:paraId="3B476D37">
      <w:pPr>
        <w:spacing w:before="120" w:line="360" w:lineRule="auto"/>
        <w:ind w:left="-70"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6）未响应谈判文件实质性要求；</w:t>
      </w:r>
    </w:p>
    <w:p w14:paraId="10C07EBA">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17）法律、法规和谈判文件规定的其他无效情形。</w:t>
      </w:r>
    </w:p>
    <w:p w14:paraId="59AB4BDF">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2）报</w:t>
      </w:r>
      <w:r>
        <w:rPr>
          <w:rFonts w:hint="eastAsia" w:ascii="宋体" w:hAnsi="宋体" w:cs="宋体"/>
          <w:color w:val="auto"/>
          <w:szCs w:val="21"/>
        </w:rPr>
        <w:t>价评审</w:t>
      </w:r>
    </w:p>
    <w:p w14:paraId="78162E3A">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1）响应文件未提供“供应商须知前附表” 报价商务技术文件中规定的“竞标报价表”的；</w:t>
      </w:r>
    </w:p>
    <w:p w14:paraId="7BEFD0D7">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2）未采用人民币报价或者未按照谈判文件标明的币种报价的；</w:t>
      </w:r>
    </w:p>
    <w:p w14:paraId="337DB818">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的；供应商未就所竞标分标的单项内容作唯一报价的；供应商未就所竞标分标的全部内容作完整唯一总价报价的；供应商响应文件中存在有选择、有条件报价的（谈判文件允许有备选方案或者其他约定的除外）；</w:t>
      </w:r>
    </w:p>
    <w:p w14:paraId="121EF217">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 xml:space="preserve">4）最后报价超过所竞标分标规定的采购预算金额或者最高限价的（如本项目公布了最高限价）； </w:t>
      </w:r>
    </w:p>
    <w:p w14:paraId="36C57AE4">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5）修正后的报价，供应商不确认的；或者经供应商确认修正后的最后报价超过所竞标分标规定的采购预算金额或者最高限价（如本项目公布了最高限价）；</w:t>
      </w:r>
    </w:p>
    <w:p w14:paraId="2462434B">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响应文件响应的标的数量及单位与竞争性谈判采购文件要求实质性不一致的。</w:t>
      </w:r>
    </w:p>
    <w:p w14:paraId="3D0A876A">
      <w:pPr>
        <w:spacing w:before="120" w:line="360" w:lineRule="auto"/>
        <w:ind w:left="-70"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6谈判小组对响应文件进行评审，未实质性响应谈判文件的响应文件按无效响应处理。谈判小组应当将资格和符合性不通过的情况告知有关供应商。谈判小组从符合谈判文件规定的相应资格条件的供应商名单中确定不少于3家的供应商参加谈判。</w:t>
      </w:r>
    </w:p>
    <w:p w14:paraId="45206B17">
      <w:pPr>
        <w:spacing w:before="120" w:line="360" w:lineRule="auto"/>
        <w:ind w:left="-70"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7公开招标的货物、服务采购项目，招标过程中提交响应文件或者经评审实质性响应采购文件要求的供应商只有两家时，采购人、采购代理机构按照《政府采购非招标采购方式管理办法》（财政部74号令）第四条经本级财政部门批准后可以与该两家供应商进行竞争性谈判采购。</w:t>
      </w:r>
    </w:p>
    <w:p w14:paraId="27CFBB11">
      <w:pPr>
        <w:spacing w:before="120" w:line="360" w:lineRule="auto"/>
        <w:ind w:left="-70" w:firstLine="420" w:firstLineChars="200"/>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.8通过符合性审查的合格供应商不足3家的，不得进入谈判环节，应当重新开展采购活动。</w:t>
      </w:r>
    </w:p>
    <w:p w14:paraId="53715DDB">
      <w:pPr>
        <w:spacing w:before="120" w:line="360" w:lineRule="auto"/>
        <w:ind w:left="-70" w:firstLine="482" w:firstLineChars="200"/>
        <w:rPr>
          <w:rFonts w:ascii="黑体" w:hAnsi="黑体" w:eastAsia="黑体" w:cs="宋体"/>
          <w:b/>
          <w:bCs/>
          <w:color w:val="auto"/>
          <w:sz w:val="24"/>
        </w:rPr>
      </w:pPr>
      <w:r>
        <w:rPr>
          <w:rFonts w:hint="eastAsia" w:ascii="黑体" w:hAnsi="黑体" w:eastAsia="黑体" w:cs="宋体"/>
          <w:b/>
          <w:bCs/>
          <w:color w:val="auto"/>
          <w:sz w:val="24"/>
        </w:rPr>
        <w:t>4</w:t>
      </w:r>
      <w:r>
        <w:rPr>
          <w:rFonts w:ascii="黑体" w:hAnsi="黑体" w:eastAsia="黑体" w:cs="宋体"/>
          <w:b/>
          <w:bCs/>
          <w:color w:val="auto"/>
          <w:sz w:val="24"/>
        </w:rPr>
        <w:t>.</w:t>
      </w:r>
      <w:r>
        <w:rPr>
          <w:rFonts w:hint="eastAsia" w:ascii="黑体" w:hAnsi="黑体" w:eastAsia="黑体" w:cs="宋体"/>
          <w:b/>
          <w:bCs/>
          <w:color w:val="auto"/>
          <w:sz w:val="24"/>
        </w:rPr>
        <w:t>谈判程序</w:t>
      </w:r>
    </w:p>
    <w:p w14:paraId="73AF17C2">
      <w:pPr>
        <w:spacing w:before="120" w:line="360" w:lineRule="auto"/>
        <w:ind w:left="-70" w:firstLine="420" w:firstLineChars="200"/>
        <w:rPr>
          <w:rFonts w:ascii="宋体" w:hAnsi="宋体" w:cs="宋体"/>
          <w:color w:val="auto"/>
          <w:szCs w:val="21"/>
        </w:rPr>
      </w:pPr>
      <w:r>
        <w:rPr>
          <w:rFonts w:hint="eastAsia" w:ascii="宋体" w:hAnsi="宋体" w:cs="宋体"/>
          <w:color w:val="auto"/>
          <w:kern w:val="0"/>
          <w:szCs w:val="21"/>
        </w:rPr>
        <w:t>4</w:t>
      </w:r>
      <w:r>
        <w:rPr>
          <w:rFonts w:ascii="宋体" w:hAnsi="宋体" w:cs="宋体"/>
          <w:color w:val="auto"/>
          <w:kern w:val="0"/>
          <w:szCs w:val="21"/>
        </w:rPr>
        <w:t>.1</w:t>
      </w:r>
      <w:r>
        <w:rPr>
          <w:rFonts w:hint="eastAsia" w:ascii="宋体" w:hAnsi="宋体" w:cs="宋体"/>
          <w:color w:val="auto"/>
          <w:kern w:val="0"/>
          <w:szCs w:val="21"/>
        </w:rPr>
        <w:t>谈判小组按照“供应商须知前附表”第2</w:t>
      </w:r>
      <w:r>
        <w:rPr>
          <w:rFonts w:ascii="宋体" w:hAnsi="宋体" w:cs="宋体"/>
          <w:color w:val="auto"/>
          <w:kern w:val="0"/>
          <w:szCs w:val="21"/>
        </w:rPr>
        <w:t>6</w:t>
      </w:r>
      <w:r>
        <w:rPr>
          <w:rFonts w:hint="eastAsia" w:ascii="宋体" w:hAnsi="宋体" w:cs="宋体"/>
          <w:color w:val="auto"/>
          <w:kern w:val="0"/>
          <w:szCs w:val="21"/>
        </w:rPr>
        <w:t>条确定的</w:t>
      </w:r>
      <w:r>
        <w:rPr>
          <w:rFonts w:hint="eastAsia" w:ascii="宋体" w:hAnsi="宋体" w:cs="宋体"/>
          <w:color w:val="auto"/>
          <w:szCs w:val="21"/>
        </w:rPr>
        <w:t>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659B29C6">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2523526">
      <w:pPr>
        <w:spacing w:before="120" w:line="360" w:lineRule="auto"/>
        <w:ind w:left="-70"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对谈判文件作出的实质性变动是谈判文件的有效组成部分，谈判小组应当及时以电子谈判记录形式同时通知所有参加谈判的供应商。</w:t>
      </w:r>
    </w:p>
    <w:p w14:paraId="422E89CD">
      <w:pPr>
        <w:spacing w:before="120" w:line="360" w:lineRule="auto"/>
        <w:ind w:left="-70"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供应商必须按照谈判文件的变动情况和谈判小组的要求以电子回函的形式重新提交响应文件，并由其法定代表人或者委托代理人签字或者加盖供应商公章。由委托代理人签字的，</w:t>
      </w:r>
      <w:r>
        <w:rPr>
          <w:rFonts w:hint="eastAsia" w:ascii="宋体" w:hAnsi="宋体" w:cs="宋体"/>
          <w:bCs/>
          <w:color w:val="auto"/>
          <w:szCs w:val="21"/>
        </w:rPr>
        <w:t>若委托代理人不是响应文件中授权的委托代理人时，必须同时出示有效的授权委托书原件</w:t>
      </w:r>
      <w:r>
        <w:rPr>
          <w:rFonts w:hint="eastAsia" w:ascii="宋体" w:hAnsi="宋体" w:cs="宋体"/>
          <w:color w:val="auto"/>
          <w:szCs w:val="21"/>
        </w:rPr>
        <w:t>。供应商为自然人的，必须由本人签字并附身份证明。参加谈判的供应商未在规定时间内以电子回函的形式重新提交响应文件的，视同退出谈判，其响应文件按无效响应处理。</w:t>
      </w:r>
    </w:p>
    <w:p w14:paraId="1ED59700">
      <w:pPr>
        <w:spacing w:before="120" w:line="360" w:lineRule="auto"/>
        <w:ind w:left="-70"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谈判中，谈判的任何一方不得透露与谈判有关的其他供应商的技术资料、价格和其他信息。</w:t>
      </w:r>
    </w:p>
    <w:p w14:paraId="5E8FBE84">
      <w:pPr>
        <w:tabs>
          <w:tab w:val="left" w:pos="2835"/>
        </w:tabs>
        <w:spacing w:before="120" w:line="360" w:lineRule="auto"/>
        <w:ind w:left="-70" w:firstLine="420" w:firstLineChars="200"/>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6</w:t>
      </w:r>
      <w:r>
        <w:rPr>
          <w:rFonts w:hint="eastAsia" w:ascii="宋体" w:hAnsi="宋体"/>
          <w:color w:val="auto"/>
          <w:szCs w:val="21"/>
        </w:rPr>
        <w:t>对谈判过程提交的响应文件进行有效性、完整性和响应程度审查，通过审查的合格供应商不足3家的，采购人或者采购代理机构应当重新开展采购活动。</w:t>
      </w:r>
    </w:p>
    <w:p w14:paraId="69173609">
      <w:pPr>
        <w:spacing w:before="120" w:line="360" w:lineRule="auto"/>
        <w:ind w:left="-70"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 xml:space="preserve"> 最后报价</w:t>
      </w:r>
    </w:p>
    <w:p w14:paraId="099C04BF">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文件能够详细列明采购标的的技术、服务要求的，谈判结束后，谈判小组应当要求所有继续参加谈判的供应商在规定时间内以电子文件形式提交最后报价，提交最后报价的供应商不得少于3家，除本章第3.7条外，否则必须重新采购。</w:t>
      </w:r>
    </w:p>
    <w:p w14:paraId="2AB4490C">
      <w:pPr>
        <w:spacing w:before="120" w:line="360" w:lineRule="auto"/>
        <w:ind w:left="-70" w:firstLine="420" w:firstLineChars="200"/>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以电子文件形式提交最后报价。</w:t>
      </w:r>
    </w:p>
    <w:p w14:paraId="2528F752">
      <w:pPr>
        <w:spacing w:before="120" w:line="360" w:lineRule="auto"/>
        <w:ind w:left="-70"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最后报价是供应商响应文件的有效组成部分。</w:t>
      </w:r>
    </w:p>
    <w:p w14:paraId="39D40D33">
      <w:pPr>
        <w:spacing w:before="120" w:line="360" w:lineRule="auto"/>
        <w:ind w:left="-70"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已经提交响应文件的供应商，在提交最后报价之前，可以根据谈判情况退出谈判。采购人、采购代理机构将退还退出谈判的供应商的保证金。</w:t>
      </w:r>
    </w:p>
    <w:p w14:paraId="73291C81">
      <w:pPr>
        <w:spacing w:before="120" w:line="360" w:lineRule="auto"/>
        <w:ind w:left="-70" w:firstLine="420" w:firstLineChars="200"/>
        <w:rPr>
          <w:rFonts w:ascii="宋体" w:hAnsi="宋体" w:cs="宋体"/>
          <w:color w:val="auto"/>
          <w:szCs w:val="21"/>
        </w:rPr>
      </w:pPr>
      <w:r>
        <w:rPr>
          <w:rFonts w:ascii="宋体" w:hAnsi="宋体" w:cs="宋体"/>
          <w:color w:val="auto"/>
          <w:szCs w:val="21"/>
        </w:rPr>
        <w:t>5.5</w:t>
      </w:r>
      <w:r>
        <w:rPr>
          <w:rFonts w:hint="eastAsia" w:ascii="宋体" w:hAnsi="宋体" w:cs="宋体"/>
          <w:color w:val="auto"/>
          <w:szCs w:val="21"/>
        </w:rPr>
        <w:t>供应商未在规定时间内提交最后报价的，视为退出谈判，其响应文件按无效响应处理。</w:t>
      </w:r>
    </w:p>
    <w:p w14:paraId="3CDFAB1A">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.6</w:t>
      </w:r>
      <w:r>
        <w:rPr>
          <w:rFonts w:hint="eastAsia" w:ascii="宋体" w:hAnsi="宋体" w:cs="宋体"/>
          <w:color w:val="auto"/>
          <w:szCs w:val="21"/>
        </w:rPr>
        <w:t>谈判小组收齐某一分标最后报价后或达到规定时间后统一开启，谈判小组对最后报价进行有效性、完整性和响应程度的审查。</w:t>
      </w:r>
    </w:p>
    <w:p w14:paraId="5A7AB223">
      <w:pPr>
        <w:spacing w:before="120" w:line="360" w:lineRule="auto"/>
        <w:ind w:left="-70" w:firstLine="420" w:firstLineChars="200"/>
        <w:rPr>
          <w:rFonts w:ascii="宋体" w:hAnsi="宋体" w:cs="宋体"/>
          <w:color w:val="auto"/>
          <w:szCs w:val="21"/>
        </w:rPr>
      </w:pPr>
      <w:r>
        <w:rPr>
          <w:rFonts w:ascii="宋体" w:hAnsi="宋体" w:cs="宋体"/>
          <w:color w:val="auto"/>
          <w:szCs w:val="21"/>
        </w:rPr>
        <w:t>5.7</w:t>
      </w:r>
      <w:r>
        <w:rPr>
          <w:rFonts w:hint="eastAsia" w:ascii="宋体" w:hAnsi="宋体" w:cs="宋体"/>
          <w:color w:val="auto"/>
          <w:szCs w:val="21"/>
        </w:rPr>
        <w:t>响应文件首次及最后报价出现前后不一致的，按照本章第</w:t>
      </w:r>
      <w:r>
        <w:rPr>
          <w:rFonts w:ascii="宋体" w:hAnsi="宋体" w:cs="宋体"/>
          <w:color w:val="auto"/>
          <w:szCs w:val="21"/>
        </w:rPr>
        <w:t>3.4</w:t>
      </w:r>
      <w:r>
        <w:rPr>
          <w:rFonts w:hint="eastAsia" w:ascii="宋体" w:hAnsi="宋体" w:cs="宋体"/>
          <w:color w:val="auto"/>
          <w:szCs w:val="21"/>
        </w:rPr>
        <w:t xml:space="preserve">条的规定修正。 </w:t>
      </w:r>
    </w:p>
    <w:p w14:paraId="25DBE62A">
      <w:pPr>
        <w:spacing w:before="120" w:line="360" w:lineRule="auto"/>
        <w:ind w:left="-70" w:firstLine="420" w:firstLineChars="200"/>
        <w:rPr>
          <w:rFonts w:ascii="宋体" w:hAnsi="宋体" w:cs="宋体"/>
          <w:color w:val="auto"/>
          <w:szCs w:val="21"/>
        </w:rPr>
      </w:pPr>
      <w:r>
        <w:rPr>
          <w:rFonts w:ascii="宋体" w:hAnsi="宋体" w:cs="宋体"/>
          <w:color w:val="auto"/>
          <w:szCs w:val="21"/>
        </w:rPr>
        <w:t>5.8</w:t>
      </w:r>
      <w:r>
        <w:rPr>
          <w:rFonts w:hint="eastAsia" w:ascii="宋体" w:hAnsi="宋体" w:cs="宋体"/>
          <w:color w:val="auto"/>
          <w:szCs w:val="21"/>
        </w:rPr>
        <w:t>经供应商确认修正后的最后报价作为评审及签订合同的依据。</w:t>
      </w:r>
    </w:p>
    <w:p w14:paraId="2A22D4DC">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9</w:t>
      </w:r>
      <w:r>
        <w:rPr>
          <w:rFonts w:hint="eastAsia" w:ascii="宋体" w:hAnsi="宋体" w:cs="宋体"/>
          <w:color w:val="auto"/>
          <w:szCs w:val="21"/>
        </w:rPr>
        <w:t>供应商出现最后报价按无效响应处理或者响应文件按无效响应处理时</w:t>
      </w:r>
      <w:r>
        <w:rPr>
          <w:rFonts w:hint="eastAsia" w:ascii="宋体" w:hAnsi="宋体"/>
          <w:color w:val="auto"/>
          <w:sz w:val="22"/>
          <w:szCs w:val="22"/>
        </w:rPr>
        <w:t>，谈判小组应当告知有关供应商</w:t>
      </w:r>
      <w:r>
        <w:rPr>
          <w:rFonts w:hint="eastAsia" w:ascii="宋体" w:hAnsi="宋体" w:cs="宋体"/>
          <w:color w:val="auto"/>
          <w:szCs w:val="21"/>
        </w:rPr>
        <w:t>。</w:t>
      </w:r>
    </w:p>
    <w:p w14:paraId="6E94AFEC">
      <w:pPr>
        <w:spacing w:before="120" w:line="360" w:lineRule="auto"/>
        <w:ind w:left="-70" w:firstLine="420" w:firstLineChars="200"/>
        <w:rPr>
          <w:rFonts w:ascii="宋体" w:hAnsi="宋体" w:cs="宋体"/>
          <w:color w:val="auto"/>
          <w:szCs w:val="21"/>
        </w:rPr>
      </w:pPr>
      <w:r>
        <w:rPr>
          <w:rFonts w:ascii="宋体" w:hAnsi="宋体" w:cs="宋体"/>
          <w:color w:val="auto"/>
          <w:szCs w:val="21"/>
        </w:rPr>
        <w:t>5.10</w:t>
      </w:r>
      <w:r>
        <w:rPr>
          <w:rFonts w:hint="eastAsia" w:ascii="宋体" w:hAnsi="宋体" w:cs="宋体"/>
          <w:color w:val="auto"/>
          <w:szCs w:val="21"/>
        </w:rPr>
        <w:t>最后报价结束后，谈判小组不得再与供应商进行任何形式的商谈。</w:t>
      </w:r>
    </w:p>
    <w:p w14:paraId="172B7040">
      <w:pPr>
        <w:spacing w:before="120" w:line="360" w:lineRule="auto"/>
        <w:ind w:left="-70" w:firstLine="472" w:firstLineChars="196"/>
        <w:rPr>
          <w:rFonts w:ascii="黑体" w:hAnsi="黑体" w:eastAsia="黑体" w:cs="宋体"/>
          <w:b/>
          <w:bCs/>
          <w:color w:val="auto"/>
          <w:sz w:val="24"/>
        </w:rPr>
      </w:pPr>
      <w:r>
        <w:rPr>
          <w:rFonts w:ascii="黑体" w:hAnsi="黑体" w:eastAsia="黑体" w:cs="宋体"/>
          <w:b/>
          <w:bCs/>
          <w:color w:val="auto"/>
          <w:sz w:val="24"/>
        </w:rPr>
        <w:t>6.</w:t>
      </w:r>
      <w:r>
        <w:rPr>
          <w:rFonts w:hint="eastAsia" w:ascii="黑体" w:hAnsi="黑体" w:eastAsia="黑体" w:cs="宋体"/>
          <w:b/>
          <w:bCs/>
          <w:color w:val="auto"/>
          <w:sz w:val="24"/>
        </w:rPr>
        <w:t xml:space="preserve"> 最后报价政府采购政策性扣除</w:t>
      </w:r>
    </w:p>
    <w:p w14:paraId="5367EA28">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6.1根据《政府采购促进中小企业发展管理办法》</w:t>
      </w:r>
      <w:r>
        <w:rPr>
          <w:rFonts w:ascii="宋体" w:hAnsi="宋体" w:cs="宋体"/>
          <w:color w:val="auto"/>
          <w:szCs w:val="21"/>
        </w:rPr>
        <w:t>（财库〔2020〕46号）</w:t>
      </w:r>
      <w:r>
        <w:rPr>
          <w:rFonts w:hint="eastAsia" w:hAnsi="宋体" w:cs="宋体"/>
          <w:color w:val="auto"/>
          <w:szCs w:val="21"/>
        </w:rPr>
        <w:t>及</w:t>
      </w:r>
      <w:r>
        <w:rPr>
          <w:rFonts w:ascii="宋体" w:hAnsi="宋体" w:cs="宋体"/>
          <w:color w:val="auto"/>
          <w:szCs w:val="21"/>
        </w:rPr>
        <w:t>《</w:t>
      </w:r>
      <w:r>
        <w:rPr>
          <w:rFonts w:hint="eastAsia" w:hAnsi="宋体" w:cs="宋体"/>
          <w:color w:val="auto"/>
          <w:szCs w:val="21"/>
        </w:rPr>
        <w:t>广西壮族自治区财政厅关于持续优化政府采购营商环境推动高质量发展的通知</w:t>
      </w:r>
      <w:r>
        <w:rPr>
          <w:rFonts w:ascii="宋体" w:hAnsi="宋体" w:cs="宋体"/>
          <w:color w:val="auto"/>
          <w:szCs w:val="21"/>
        </w:rPr>
        <w:t>》（</w:t>
      </w:r>
      <w:r>
        <w:rPr>
          <w:rFonts w:hint="eastAsia" w:hAnsi="宋体" w:cs="宋体"/>
          <w:color w:val="auto"/>
          <w:szCs w:val="21"/>
        </w:rPr>
        <w:t>桂财采〔2024〕55号</w:t>
      </w:r>
      <w:r>
        <w:rPr>
          <w:rFonts w:ascii="宋体" w:hAnsi="宋体" w:cs="宋体"/>
          <w:color w:val="auto"/>
          <w:szCs w:val="21"/>
        </w:rPr>
        <w:t>）</w:t>
      </w:r>
      <w:r>
        <w:rPr>
          <w:rFonts w:hint="eastAsia" w:ascii="宋体" w:hAnsi="宋体" w:cs="宋体"/>
          <w:color w:val="auto"/>
          <w:szCs w:val="21"/>
        </w:rPr>
        <w:t xml:space="preserve">的规定，供应商在其响应文件中提供《中小企业声明函》，且货物全部由小微企业承接，对其最后报价给予 10%的扣除，扣除后的价格为评标报价，即评标报价=最后报价×（1-10%）。接受大中型企业与小微企业组成联合体或者允许大中型企业向一家或者多家小微企业分包的采购项目，采购人、采购代理机构应当对联合体或者大中型企业的报价给予4%的扣除，用扣除后的价格参加评审，扣除后的价格为评标报价，即评标报价=最后报价×（1-4%）。不符合上述给予扣除情形的，评标报价=竞标报价。 </w:t>
      </w:r>
    </w:p>
    <w:p w14:paraId="0121706A">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评审价为供应商的最后报价，评审价只是作为评审时使用。最终成交供应商的成交金额等于最后报价（如有修正，以确认修正的最后报价为准）</w:t>
      </w:r>
    </w:p>
    <w:p w14:paraId="134EB77F">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 xml:space="preserve">6.2按照《财政部、司法部关于政府采购支持监狱企业发展有关问题的通知》（财库〔2014〕68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 </w:t>
      </w:r>
    </w:p>
    <w:p w14:paraId="56A3194C">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 xml:space="preserve">6.3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14:paraId="24BDCD56">
      <w:pPr>
        <w:spacing w:before="120" w:line="360" w:lineRule="auto"/>
        <w:ind w:left="-70" w:firstLine="420" w:firstLineChars="200"/>
        <w:rPr>
          <w:rFonts w:ascii="宋体" w:hAnsi="宋体" w:cs="宋体"/>
          <w:color w:val="auto"/>
          <w:szCs w:val="21"/>
        </w:rPr>
      </w:pPr>
      <w:r>
        <w:rPr>
          <w:rFonts w:hint="eastAsia" w:ascii="宋体" w:hAnsi="宋体" w:cs="宋体"/>
          <w:color w:val="auto"/>
          <w:szCs w:val="21"/>
        </w:rPr>
        <w:t xml:space="preserve"> 6.4</w:t>
      </w:r>
      <w:r>
        <w:rPr>
          <w:rFonts w:hint="eastAsia" w:ascii="宋体" w:hAnsi="宋体" w:cs="宋体"/>
          <w:b/>
          <w:bCs/>
          <w:color w:val="auto"/>
          <w:szCs w:val="21"/>
        </w:rPr>
        <w:t>如果本项目落实政府采购政策为部分预留份额或专门面向中小微企业采购的项目，则不再享受最后报价政府采购政策性扣除。</w:t>
      </w:r>
    </w:p>
    <w:p w14:paraId="5D320B5C">
      <w:pPr>
        <w:spacing w:before="120" w:line="360" w:lineRule="auto"/>
        <w:ind w:left="-70" w:firstLine="787"/>
        <w:jc w:val="center"/>
        <w:rPr>
          <w:rFonts w:ascii="宋体" w:hAnsi="宋体"/>
          <w:b/>
          <w:color w:val="auto"/>
          <w:sz w:val="32"/>
          <w:szCs w:val="32"/>
        </w:rPr>
      </w:pPr>
      <w:r>
        <w:rPr>
          <w:rFonts w:hint="eastAsia" w:ascii="宋体" w:hAnsi="宋体"/>
          <w:b/>
          <w:color w:val="auto"/>
          <w:sz w:val="32"/>
          <w:szCs w:val="32"/>
        </w:rPr>
        <w:t>二、评定成交的标准</w:t>
      </w:r>
    </w:p>
    <w:p w14:paraId="244CA98B">
      <w:pPr>
        <w:spacing w:before="120" w:line="360" w:lineRule="auto"/>
        <w:ind w:left="-70" w:firstLine="482" w:firstLineChars="200"/>
        <w:rPr>
          <w:rFonts w:ascii="黑体" w:hAnsi="黑体" w:eastAsia="黑体" w:cs="宋体"/>
          <w:b/>
          <w:bCs/>
          <w:color w:val="auto"/>
          <w:sz w:val="24"/>
        </w:rPr>
      </w:pPr>
      <w:r>
        <w:rPr>
          <w:rFonts w:ascii="黑体" w:hAnsi="黑体" w:eastAsia="黑体" w:cs="宋体"/>
          <w:b/>
          <w:bCs/>
          <w:color w:val="auto"/>
          <w:sz w:val="24"/>
        </w:rPr>
        <w:t>7.</w:t>
      </w:r>
      <w:r>
        <w:rPr>
          <w:rFonts w:hint="eastAsia" w:ascii="黑体" w:hAnsi="黑体" w:eastAsia="黑体" w:cs="宋体"/>
          <w:b/>
          <w:bCs/>
          <w:color w:val="auto"/>
          <w:sz w:val="24"/>
        </w:rPr>
        <w:t xml:space="preserve"> 成交候选人推荐原则</w:t>
      </w:r>
    </w:p>
    <w:p w14:paraId="05E42687">
      <w:pPr>
        <w:spacing w:before="120" w:line="360" w:lineRule="auto"/>
        <w:ind w:left="-70" w:firstLine="420" w:firstLineChars="200"/>
        <w:jc w:val="center"/>
        <w:rPr>
          <w:rFonts w:ascii="宋体" w:hAnsi="宋体" w:cs="宋体"/>
          <w:color w:val="auto"/>
        </w:rPr>
      </w:pPr>
      <w:r>
        <w:rPr>
          <w:rFonts w:hint="eastAsia" w:ascii="宋体" w:hAnsi="宋体" w:cs="宋体"/>
          <w:color w:val="auto"/>
        </w:rPr>
        <w:t>谈判小组应当从质量和服务均能满足谈判文件实质性响应要求的供应商中，按照评标价由低到高的顺序提出3名以上成交候选人（评标价相同时，按照最后报价由低到高顺序依次推荐；最后报价相同时，由谈判小组按“供应商须知前附表”第26条规定的顺序推荐）,并编写评审报告。在符合采购需求、质量和</w:t>
      </w:r>
    </w:p>
    <w:p w14:paraId="229CEFF2">
      <w:pPr>
        <w:spacing w:before="120" w:line="360" w:lineRule="auto"/>
        <w:ind w:left="-70" w:firstLine="588"/>
        <w:rPr>
          <w:rFonts w:ascii="宋体" w:hAnsi="宋体" w:cs="宋体"/>
          <w:color w:val="auto"/>
        </w:rPr>
      </w:pPr>
      <w:r>
        <w:rPr>
          <w:rFonts w:hint="eastAsia" w:ascii="宋体" w:hAnsi="宋体" w:cs="宋体"/>
          <w:color w:val="auto"/>
        </w:rPr>
        <w:t>服务相等的前提下，以提出最低评标报价的竞标人作为成交候选供应商。</w:t>
      </w:r>
      <w:r>
        <w:rPr>
          <w:rFonts w:hint="eastAsia" w:ascii="宋体" w:hAnsi="宋体" w:cs="宋体"/>
          <w:color w:val="auto"/>
        </w:rPr>
        <w:br w:type="page"/>
      </w:r>
      <w:bookmarkStart w:id="45" w:name="_Toc74322012"/>
      <w:r>
        <w:rPr>
          <w:rFonts w:hint="eastAsia" w:ascii="宋体" w:hAnsi="宋体" w:cs="宋体"/>
          <w:color w:val="auto"/>
        </w:rPr>
        <w:t xml:space="preserve">                    </w:t>
      </w:r>
    </w:p>
    <w:p w14:paraId="36C15337">
      <w:pPr>
        <w:spacing w:before="120" w:line="360" w:lineRule="auto"/>
        <w:ind w:left="-70" w:firstLine="588"/>
        <w:rPr>
          <w:rFonts w:ascii="宋体" w:hAnsi="宋体" w:cs="宋体"/>
          <w:color w:val="auto"/>
        </w:rPr>
      </w:pPr>
    </w:p>
    <w:p w14:paraId="43BB78A3">
      <w:pPr>
        <w:spacing w:before="120" w:line="360" w:lineRule="auto"/>
        <w:ind w:left="-70" w:firstLine="588"/>
        <w:rPr>
          <w:rFonts w:ascii="宋体" w:hAnsi="宋体" w:cs="宋体"/>
          <w:color w:val="auto"/>
        </w:rPr>
      </w:pPr>
    </w:p>
    <w:p w14:paraId="026214BB">
      <w:pPr>
        <w:spacing w:before="120" w:line="360" w:lineRule="auto"/>
        <w:ind w:left="-70" w:firstLine="588"/>
        <w:rPr>
          <w:rFonts w:ascii="宋体" w:hAnsi="宋体" w:cs="宋体"/>
          <w:color w:val="auto"/>
        </w:rPr>
      </w:pPr>
    </w:p>
    <w:p w14:paraId="7155E027">
      <w:pPr>
        <w:spacing w:before="120" w:line="360" w:lineRule="auto"/>
        <w:ind w:left="-70" w:firstLine="588"/>
        <w:rPr>
          <w:rFonts w:ascii="宋体" w:hAnsi="宋体" w:cs="宋体"/>
          <w:color w:val="auto"/>
        </w:rPr>
      </w:pPr>
    </w:p>
    <w:p w14:paraId="232B9CA7">
      <w:pPr>
        <w:spacing w:before="120" w:line="360" w:lineRule="auto"/>
        <w:ind w:left="-70" w:firstLine="588"/>
        <w:rPr>
          <w:rFonts w:ascii="宋体" w:hAnsi="宋体" w:cs="宋体"/>
          <w:color w:val="auto"/>
        </w:rPr>
      </w:pPr>
    </w:p>
    <w:p w14:paraId="1E914D55">
      <w:pPr>
        <w:spacing w:before="120" w:line="360" w:lineRule="auto"/>
        <w:rPr>
          <w:rFonts w:ascii="宋体" w:hAnsi="宋体" w:cs="宋体"/>
          <w:color w:val="auto"/>
        </w:rPr>
      </w:pPr>
    </w:p>
    <w:p w14:paraId="1299114B">
      <w:pPr>
        <w:spacing w:before="120" w:line="360" w:lineRule="auto"/>
        <w:ind w:left="-70" w:firstLine="588"/>
        <w:rPr>
          <w:rFonts w:ascii="宋体" w:hAnsi="宋体" w:cs="宋体"/>
          <w:color w:val="auto"/>
        </w:rPr>
      </w:pPr>
    </w:p>
    <w:p w14:paraId="3A361218">
      <w:pPr>
        <w:spacing w:before="120" w:line="360" w:lineRule="auto"/>
        <w:ind w:left="-70" w:firstLine="588"/>
        <w:rPr>
          <w:rFonts w:ascii="宋体" w:hAnsi="宋体" w:cs="宋体"/>
          <w:color w:val="auto"/>
        </w:rPr>
      </w:pPr>
    </w:p>
    <w:p w14:paraId="7CE6F6EC">
      <w:pPr>
        <w:spacing w:before="120" w:line="360" w:lineRule="auto"/>
        <w:ind w:left="-70" w:firstLine="588"/>
        <w:rPr>
          <w:rFonts w:ascii="宋体" w:hAnsi="宋体" w:cs="宋体"/>
          <w:color w:val="auto"/>
        </w:rPr>
      </w:pPr>
    </w:p>
    <w:p w14:paraId="58CC782A">
      <w:pPr>
        <w:spacing w:before="120" w:line="360" w:lineRule="auto"/>
        <w:ind w:left="-70" w:firstLine="588"/>
        <w:rPr>
          <w:rFonts w:ascii="宋体" w:hAnsi="宋体" w:cs="宋体"/>
          <w:color w:val="auto"/>
        </w:rPr>
      </w:pPr>
    </w:p>
    <w:p w14:paraId="4C37405F">
      <w:pPr>
        <w:spacing w:before="120" w:line="360" w:lineRule="auto"/>
        <w:rPr>
          <w:rFonts w:ascii="宋体" w:hAnsi="宋体" w:cs="宋体"/>
          <w:color w:val="auto"/>
        </w:rPr>
      </w:pPr>
    </w:p>
    <w:p w14:paraId="0A1A6BA2">
      <w:pPr>
        <w:spacing w:before="120" w:line="360" w:lineRule="auto"/>
        <w:ind w:left="-70" w:firstLine="2717" w:firstLineChars="615"/>
        <w:jc w:val="both"/>
        <w:rPr>
          <w:color w:val="auto"/>
        </w:rPr>
      </w:pPr>
      <w:r>
        <w:rPr>
          <w:rFonts w:hint="eastAsia"/>
          <w:b/>
          <w:bCs/>
          <w:color w:val="auto"/>
          <w:sz w:val="44"/>
          <w:szCs w:val="44"/>
        </w:rPr>
        <w:t>第五章 响应文件格式</w:t>
      </w:r>
      <w:bookmarkEnd w:id="45"/>
    </w:p>
    <w:p w14:paraId="50ACC5BB">
      <w:pPr>
        <w:spacing w:before="120" w:line="240" w:lineRule="atLeast"/>
        <w:ind w:left="-70" w:firstLine="787"/>
        <w:rPr>
          <w:rFonts w:ascii="宋体" w:hAnsi="宋体"/>
          <w:b/>
          <w:color w:val="auto"/>
          <w:sz w:val="32"/>
          <w:szCs w:val="32"/>
        </w:rPr>
      </w:pPr>
    </w:p>
    <w:p w14:paraId="5846E268">
      <w:pPr>
        <w:spacing w:before="120" w:line="240" w:lineRule="atLeast"/>
        <w:ind w:left="-70" w:firstLine="787"/>
        <w:rPr>
          <w:rFonts w:ascii="宋体" w:hAnsi="宋体"/>
          <w:b/>
          <w:color w:val="auto"/>
          <w:sz w:val="32"/>
          <w:szCs w:val="32"/>
        </w:rPr>
      </w:pPr>
    </w:p>
    <w:p w14:paraId="166E39A4">
      <w:pPr>
        <w:spacing w:before="120" w:line="240" w:lineRule="atLeast"/>
        <w:ind w:left="-70" w:firstLine="787"/>
        <w:rPr>
          <w:rFonts w:ascii="宋体" w:hAnsi="宋体"/>
          <w:b/>
          <w:color w:val="auto"/>
          <w:sz w:val="32"/>
          <w:szCs w:val="32"/>
        </w:rPr>
      </w:pPr>
    </w:p>
    <w:p w14:paraId="0E368052">
      <w:pPr>
        <w:spacing w:before="120" w:line="240" w:lineRule="atLeast"/>
        <w:ind w:left="-70" w:firstLine="787"/>
        <w:rPr>
          <w:rFonts w:ascii="宋体" w:hAnsi="宋体"/>
          <w:b/>
          <w:color w:val="auto"/>
          <w:sz w:val="32"/>
          <w:szCs w:val="32"/>
        </w:rPr>
      </w:pPr>
    </w:p>
    <w:p w14:paraId="4337E8DC">
      <w:pPr>
        <w:spacing w:before="120" w:line="240" w:lineRule="atLeast"/>
        <w:ind w:left="-70" w:firstLine="787"/>
        <w:rPr>
          <w:rFonts w:ascii="宋体" w:hAnsi="宋体"/>
          <w:b/>
          <w:color w:val="auto"/>
          <w:sz w:val="32"/>
          <w:szCs w:val="32"/>
        </w:rPr>
      </w:pPr>
    </w:p>
    <w:p w14:paraId="0280336D">
      <w:pPr>
        <w:spacing w:before="120" w:line="240" w:lineRule="atLeast"/>
        <w:ind w:left="-70" w:firstLine="787"/>
        <w:rPr>
          <w:rFonts w:ascii="宋体" w:hAnsi="宋体"/>
          <w:b/>
          <w:color w:val="auto"/>
          <w:sz w:val="32"/>
          <w:szCs w:val="32"/>
        </w:rPr>
      </w:pPr>
    </w:p>
    <w:p w14:paraId="73DB9844">
      <w:pPr>
        <w:spacing w:before="120" w:line="240" w:lineRule="atLeast"/>
        <w:ind w:left="-70" w:firstLine="787"/>
        <w:rPr>
          <w:rFonts w:ascii="宋体" w:hAnsi="宋体"/>
          <w:b/>
          <w:color w:val="auto"/>
          <w:sz w:val="32"/>
          <w:szCs w:val="32"/>
        </w:rPr>
      </w:pPr>
    </w:p>
    <w:p w14:paraId="3DCBD92A">
      <w:pPr>
        <w:spacing w:before="120" w:line="240" w:lineRule="atLeast"/>
        <w:ind w:left="-70" w:firstLine="787"/>
        <w:rPr>
          <w:rFonts w:ascii="宋体" w:hAnsi="宋体"/>
          <w:b/>
          <w:color w:val="auto"/>
          <w:sz w:val="32"/>
          <w:szCs w:val="32"/>
        </w:rPr>
      </w:pPr>
    </w:p>
    <w:p w14:paraId="7FAE76A4">
      <w:pPr>
        <w:spacing w:before="120" w:line="240" w:lineRule="atLeast"/>
        <w:ind w:left="-70" w:firstLine="787"/>
        <w:rPr>
          <w:rFonts w:ascii="宋体" w:hAnsi="宋体"/>
          <w:b/>
          <w:color w:val="auto"/>
          <w:sz w:val="32"/>
          <w:szCs w:val="32"/>
        </w:rPr>
      </w:pPr>
    </w:p>
    <w:p w14:paraId="5ED81ACE">
      <w:pPr>
        <w:spacing w:before="120" w:line="240" w:lineRule="atLeast"/>
        <w:ind w:left="-70" w:firstLine="787"/>
        <w:rPr>
          <w:rFonts w:ascii="宋体" w:hAnsi="宋体"/>
          <w:b/>
          <w:color w:val="auto"/>
          <w:sz w:val="32"/>
          <w:szCs w:val="32"/>
        </w:rPr>
      </w:pPr>
    </w:p>
    <w:p w14:paraId="3BDF019A">
      <w:pPr>
        <w:spacing w:before="120" w:line="240" w:lineRule="atLeast"/>
        <w:ind w:left="-70" w:firstLine="787"/>
        <w:rPr>
          <w:rFonts w:ascii="宋体" w:hAnsi="宋体"/>
          <w:b/>
          <w:color w:val="auto"/>
          <w:sz w:val="32"/>
          <w:szCs w:val="32"/>
        </w:rPr>
      </w:pPr>
    </w:p>
    <w:p w14:paraId="7CC3B264">
      <w:pPr>
        <w:spacing w:before="120" w:line="240" w:lineRule="atLeast"/>
        <w:ind w:left="-70" w:firstLine="787"/>
        <w:rPr>
          <w:rFonts w:ascii="宋体" w:hAnsi="宋体"/>
          <w:b/>
          <w:color w:val="auto"/>
          <w:sz w:val="32"/>
          <w:szCs w:val="32"/>
        </w:rPr>
      </w:pPr>
    </w:p>
    <w:p w14:paraId="458144A3">
      <w:pPr>
        <w:spacing w:before="120" w:line="240" w:lineRule="atLeast"/>
        <w:ind w:left="-70" w:firstLine="787"/>
        <w:rPr>
          <w:rFonts w:ascii="宋体" w:hAnsi="宋体"/>
          <w:b/>
          <w:color w:val="auto"/>
          <w:sz w:val="32"/>
          <w:szCs w:val="32"/>
        </w:rPr>
      </w:pPr>
    </w:p>
    <w:p w14:paraId="6D2FF282">
      <w:pPr>
        <w:spacing w:before="120" w:line="240" w:lineRule="atLeast"/>
        <w:rPr>
          <w:b/>
          <w:color w:val="auto"/>
          <w:sz w:val="32"/>
          <w:szCs w:val="32"/>
        </w:rPr>
      </w:pPr>
      <w:bookmarkStart w:id="46" w:name="_Toc71365382"/>
      <w:bookmarkStart w:id="47" w:name="_Toc71366060"/>
      <w:r>
        <w:rPr>
          <w:rFonts w:hint="eastAsia"/>
          <w:b/>
          <w:color w:val="auto"/>
          <w:sz w:val="32"/>
          <w:szCs w:val="32"/>
        </w:rPr>
        <w:t>一、资格证明文件格式</w:t>
      </w:r>
      <w:bookmarkEnd w:id="46"/>
      <w:bookmarkEnd w:id="47"/>
    </w:p>
    <w:p w14:paraId="246CE644">
      <w:pPr>
        <w:snapToGrid w:val="0"/>
        <w:spacing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r>
        <w:rPr>
          <w:rFonts w:hint="eastAsia" w:ascii="宋体" w:hAnsi="宋体"/>
          <w:b/>
          <w:color w:val="auto"/>
          <w:sz w:val="24"/>
        </w:rPr>
        <w:t xml:space="preserve"> </w:t>
      </w:r>
    </w:p>
    <w:p w14:paraId="2DDF9186">
      <w:pPr>
        <w:snapToGrid w:val="0"/>
        <w:spacing w:beforeLines="50" w:after="50"/>
        <w:ind w:left="-70"/>
        <w:rPr>
          <w:rFonts w:ascii="宋体" w:hAnsi="宋体"/>
          <w:bCs/>
          <w:color w:val="auto"/>
          <w:sz w:val="32"/>
          <w:szCs w:val="20"/>
        </w:rPr>
      </w:pPr>
      <w:r>
        <w:rPr>
          <w:rFonts w:hint="eastAsia" w:ascii="宋体" w:hAnsi="宋体"/>
          <w:color w:val="auto"/>
          <w:sz w:val="24"/>
        </w:rPr>
        <w:t xml:space="preserve">                                                  </w:t>
      </w:r>
    </w:p>
    <w:p w14:paraId="55940EC8">
      <w:pPr>
        <w:snapToGrid w:val="0"/>
        <w:spacing w:beforeLines="50" w:after="50"/>
        <w:ind w:left="-70" w:firstLine="1078"/>
        <w:jc w:val="center"/>
        <w:rPr>
          <w:rFonts w:ascii="方正小标宋简体" w:hAnsi="方正小标宋简体" w:eastAsia="方正小标宋简体" w:cs="方正小标宋简体"/>
          <w:bCs/>
          <w:color w:val="auto"/>
          <w:sz w:val="44"/>
          <w:szCs w:val="44"/>
        </w:rPr>
      </w:pPr>
    </w:p>
    <w:p w14:paraId="7C82BEDD">
      <w:pPr>
        <w:snapToGrid w:val="0"/>
        <w:spacing w:beforeLines="50" w:after="50"/>
        <w:ind w:left="-70" w:firstLine="2058"/>
        <w:jc w:val="both"/>
        <w:rPr>
          <w:rFonts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5791BA9D">
      <w:pPr>
        <w:snapToGrid w:val="0"/>
        <w:spacing w:beforeLines="50" w:after="50"/>
        <w:ind w:left="-70"/>
        <w:rPr>
          <w:rFonts w:ascii="宋体" w:hAnsi="宋体"/>
          <w:color w:val="auto"/>
          <w:sz w:val="24"/>
          <w:szCs w:val="20"/>
        </w:rPr>
      </w:pPr>
    </w:p>
    <w:p w14:paraId="71CB8A1D">
      <w:pPr>
        <w:snapToGrid w:val="0"/>
        <w:spacing w:beforeLines="50" w:after="50"/>
        <w:ind w:left="-70" w:firstLine="784"/>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资  格  证  明  文  件</w:t>
      </w:r>
    </w:p>
    <w:p w14:paraId="7C19E436">
      <w:pPr>
        <w:snapToGrid w:val="0"/>
        <w:spacing w:beforeLines="50" w:after="50"/>
        <w:ind w:left="-70"/>
        <w:rPr>
          <w:rFonts w:ascii="宋体" w:hAnsi="宋体"/>
          <w:bCs/>
          <w:color w:val="auto"/>
          <w:sz w:val="24"/>
          <w:szCs w:val="20"/>
        </w:rPr>
      </w:pPr>
    </w:p>
    <w:p w14:paraId="65B4AD86">
      <w:pPr>
        <w:snapToGrid w:val="0"/>
        <w:spacing w:beforeLines="50" w:after="50"/>
        <w:ind w:left="-70"/>
        <w:rPr>
          <w:rFonts w:ascii="宋体" w:hAnsi="宋体"/>
          <w:bCs/>
          <w:color w:val="auto"/>
          <w:sz w:val="24"/>
          <w:szCs w:val="20"/>
        </w:rPr>
      </w:pPr>
    </w:p>
    <w:p w14:paraId="205E3EA8">
      <w:pPr>
        <w:snapToGrid w:val="0"/>
        <w:spacing w:beforeLines="50" w:after="50"/>
        <w:ind w:left="-70"/>
        <w:rPr>
          <w:rFonts w:ascii="宋体" w:hAnsi="宋体"/>
          <w:bCs/>
          <w:color w:val="auto"/>
          <w:sz w:val="24"/>
          <w:szCs w:val="20"/>
        </w:rPr>
      </w:pPr>
    </w:p>
    <w:p w14:paraId="35931A61">
      <w:pPr>
        <w:snapToGrid w:val="0"/>
        <w:spacing w:beforeLines="50" w:after="50"/>
        <w:ind w:left="-70"/>
        <w:rPr>
          <w:rFonts w:ascii="宋体" w:hAnsi="宋体"/>
          <w:bCs/>
          <w:color w:val="auto"/>
          <w:sz w:val="24"/>
          <w:szCs w:val="20"/>
        </w:rPr>
      </w:pPr>
    </w:p>
    <w:p w14:paraId="520699B1">
      <w:pPr>
        <w:snapToGrid w:val="0"/>
        <w:spacing w:beforeLines="50" w:after="50"/>
        <w:ind w:left="-70"/>
        <w:rPr>
          <w:rFonts w:ascii="宋体" w:hAnsi="宋体"/>
          <w:bCs/>
          <w:color w:val="auto"/>
          <w:sz w:val="24"/>
          <w:szCs w:val="20"/>
        </w:rPr>
      </w:pPr>
    </w:p>
    <w:p w14:paraId="3A0B8C17">
      <w:pPr>
        <w:snapToGrid w:val="0"/>
        <w:spacing w:beforeLines="50" w:after="50"/>
        <w:ind w:left="-70" w:firstLine="960" w:firstLineChars="300"/>
        <w:rPr>
          <w:rFonts w:ascii="宋体" w:hAnsi="宋体" w:cs="仿宋_GB2312"/>
          <w:bCs/>
          <w:color w:val="auto"/>
          <w:sz w:val="32"/>
          <w:szCs w:val="32"/>
        </w:rPr>
      </w:pPr>
      <w:r>
        <w:rPr>
          <w:rFonts w:hint="eastAsia" w:ascii="宋体" w:hAnsi="宋体" w:cs="仿宋_GB2312"/>
          <w:bCs/>
          <w:color w:val="auto"/>
          <w:sz w:val="32"/>
          <w:szCs w:val="32"/>
        </w:rPr>
        <w:t>项目名称：</w:t>
      </w:r>
    </w:p>
    <w:p w14:paraId="4DE02529">
      <w:pPr>
        <w:snapToGrid w:val="0"/>
        <w:spacing w:beforeLines="50" w:after="50"/>
        <w:ind w:left="-70" w:firstLine="720" w:firstLineChars="225"/>
        <w:rPr>
          <w:rFonts w:ascii="宋体" w:hAnsi="宋体" w:cs="仿宋_GB2312"/>
          <w:bCs/>
          <w:color w:val="auto"/>
          <w:sz w:val="32"/>
          <w:szCs w:val="32"/>
        </w:rPr>
      </w:pPr>
    </w:p>
    <w:p w14:paraId="268AD0CF">
      <w:pPr>
        <w:snapToGrid w:val="0"/>
        <w:spacing w:beforeLines="50" w:after="50"/>
        <w:ind w:left="-70" w:firstLine="1040" w:firstLineChars="325"/>
        <w:rPr>
          <w:rFonts w:ascii="宋体" w:hAnsi="宋体" w:cs="仿宋_GB2312"/>
          <w:bCs/>
          <w:color w:val="auto"/>
          <w:sz w:val="32"/>
          <w:szCs w:val="32"/>
        </w:rPr>
      </w:pPr>
      <w:r>
        <w:rPr>
          <w:rFonts w:hint="eastAsia" w:ascii="宋体" w:hAnsi="宋体" w:cs="仿宋_GB2312"/>
          <w:bCs/>
          <w:color w:val="auto"/>
          <w:sz w:val="32"/>
          <w:szCs w:val="32"/>
        </w:rPr>
        <w:t>项目编号：</w:t>
      </w:r>
    </w:p>
    <w:p w14:paraId="2A8AC5E4">
      <w:pPr>
        <w:snapToGrid w:val="0"/>
        <w:spacing w:beforeLines="50" w:after="50"/>
        <w:ind w:left="-70" w:firstLine="720" w:firstLineChars="225"/>
        <w:rPr>
          <w:rFonts w:ascii="宋体" w:hAnsi="宋体" w:cs="仿宋_GB2312"/>
          <w:bCs/>
          <w:color w:val="auto"/>
          <w:sz w:val="32"/>
          <w:szCs w:val="32"/>
        </w:rPr>
      </w:pPr>
    </w:p>
    <w:p w14:paraId="62300F4E">
      <w:pPr>
        <w:snapToGrid w:val="0"/>
        <w:spacing w:beforeLines="50" w:after="50"/>
        <w:ind w:left="-70" w:firstLine="1040" w:firstLineChars="3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593A9D14">
      <w:pPr>
        <w:snapToGrid w:val="0"/>
        <w:spacing w:beforeLines="50" w:after="50"/>
        <w:ind w:left="-70" w:firstLine="720" w:firstLineChars="225"/>
        <w:rPr>
          <w:rFonts w:ascii="宋体" w:hAnsi="宋体" w:cs="仿宋_GB2312"/>
          <w:bCs/>
          <w:color w:val="auto"/>
          <w:sz w:val="32"/>
          <w:szCs w:val="32"/>
        </w:rPr>
      </w:pPr>
    </w:p>
    <w:p w14:paraId="007CEEA2">
      <w:pPr>
        <w:pStyle w:val="6"/>
        <w:snapToGrid w:val="0"/>
        <w:spacing w:before="120" w:after="50"/>
        <w:ind w:left="-70" w:firstLine="1040" w:firstLineChars="325"/>
        <w:rPr>
          <w:rFonts w:ascii="宋体" w:hAnsi="宋体" w:cs="仿宋_GB2312"/>
          <w:bCs/>
          <w:color w:val="auto"/>
          <w:sz w:val="32"/>
          <w:szCs w:val="32"/>
        </w:rPr>
      </w:pPr>
      <w:r>
        <w:rPr>
          <w:rFonts w:hint="eastAsia" w:ascii="宋体" w:hAnsi="宋体" w:cs="仿宋_GB2312"/>
          <w:bCs/>
          <w:color w:val="auto"/>
          <w:sz w:val="32"/>
          <w:szCs w:val="32"/>
        </w:rPr>
        <w:t>供应商名称：</w:t>
      </w:r>
    </w:p>
    <w:p w14:paraId="54F28511">
      <w:pPr>
        <w:snapToGrid w:val="0"/>
        <w:spacing w:beforeLines="50" w:after="50"/>
        <w:ind w:left="-70" w:firstLine="640" w:firstLineChars="200"/>
        <w:rPr>
          <w:rFonts w:ascii="宋体" w:hAnsi="宋体" w:cs="仿宋_GB2312"/>
          <w:bCs/>
          <w:color w:val="auto"/>
          <w:sz w:val="32"/>
          <w:szCs w:val="32"/>
        </w:rPr>
      </w:pPr>
    </w:p>
    <w:p w14:paraId="372A3968">
      <w:pPr>
        <w:pStyle w:val="6"/>
        <w:snapToGrid w:val="0"/>
        <w:spacing w:before="120" w:after="50"/>
        <w:ind w:left="-70" w:firstLine="720" w:firstLineChars="225"/>
        <w:rPr>
          <w:rFonts w:ascii="宋体" w:hAnsi="宋体" w:cs="仿宋_GB2312"/>
          <w:bCs/>
          <w:color w:val="auto"/>
          <w:sz w:val="32"/>
          <w:szCs w:val="32"/>
        </w:rPr>
      </w:pPr>
    </w:p>
    <w:p w14:paraId="2574712F">
      <w:pPr>
        <w:pStyle w:val="6"/>
        <w:snapToGrid w:val="0"/>
        <w:spacing w:before="120" w:after="50"/>
        <w:ind w:left="-70" w:firstLine="1280" w:firstLineChars="400"/>
        <w:rPr>
          <w:rFonts w:ascii="宋体" w:hAnsi="宋体" w:cs="仿宋_GB2312"/>
          <w:bCs/>
          <w:color w:val="auto"/>
          <w:sz w:val="32"/>
          <w:szCs w:val="32"/>
        </w:rPr>
      </w:pPr>
    </w:p>
    <w:p w14:paraId="74738C93">
      <w:pPr>
        <w:snapToGrid w:val="0"/>
        <w:spacing w:beforeLines="50" w:after="50"/>
        <w:ind w:left="-70" w:firstLine="784"/>
        <w:jc w:val="center"/>
        <w:rPr>
          <w:rFonts w:ascii="宋体" w:hAnsi="宋体" w:cs="仿宋_GB2312"/>
          <w:color w:val="auto"/>
          <w:sz w:val="32"/>
          <w:szCs w:val="32"/>
        </w:rPr>
      </w:pPr>
      <w:r>
        <w:rPr>
          <w:rFonts w:hint="eastAsia" w:ascii="宋体" w:hAnsi="宋体" w:cs="仿宋_GB2312"/>
          <w:color w:val="auto"/>
          <w:sz w:val="32"/>
          <w:szCs w:val="32"/>
        </w:rPr>
        <w:t>年    月    日</w:t>
      </w:r>
    </w:p>
    <w:p w14:paraId="6E3827B8">
      <w:pPr>
        <w:snapToGrid w:val="0"/>
        <w:spacing w:beforeLines="50" w:after="50" w:line="360" w:lineRule="auto"/>
        <w:ind w:left="-70"/>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14:paraId="09C6ABCD">
      <w:pPr>
        <w:snapToGrid w:val="0"/>
        <w:spacing w:beforeLines="50" w:after="50" w:line="360" w:lineRule="auto"/>
        <w:ind w:left="-70" w:firstLine="784"/>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0CBDF4B2">
      <w:pPr>
        <w:snapToGrid w:val="0"/>
        <w:spacing w:beforeLines="50" w:after="50" w:line="360" w:lineRule="auto"/>
        <w:ind w:left="-70"/>
        <w:rPr>
          <w:rFonts w:ascii="宋体" w:hAnsi="宋体"/>
          <w:color w:val="auto"/>
          <w:sz w:val="24"/>
          <w:szCs w:val="20"/>
        </w:rPr>
      </w:pPr>
      <w:r>
        <w:rPr>
          <w:rFonts w:ascii="宋体" w:hAnsi="宋体"/>
          <w:color w:val="auto"/>
          <w:sz w:val="24"/>
          <w:szCs w:val="20"/>
        </w:rPr>
        <w:t xml:space="preserve"> </w:t>
      </w:r>
    </w:p>
    <w:p w14:paraId="28153B0C">
      <w:pPr>
        <w:spacing w:before="120" w:line="360" w:lineRule="auto"/>
        <w:ind w:left="-70" w:firstLine="588"/>
        <w:rPr>
          <w:rFonts w:ascii="宋体" w:hAnsi="宋体"/>
          <w:color w:val="auto"/>
          <w:szCs w:val="21"/>
        </w:rPr>
      </w:pPr>
    </w:p>
    <w:p w14:paraId="620AE521">
      <w:pPr>
        <w:spacing w:before="120" w:line="360" w:lineRule="auto"/>
        <w:ind w:left="-70" w:firstLine="588"/>
        <w:rPr>
          <w:rFonts w:ascii="宋体" w:hAnsi="宋体"/>
          <w:color w:val="auto"/>
          <w:szCs w:val="21"/>
        </w:rPr>
      </w:pPr>
    </w:p>
    <w:p w14:paraId="50CC5500">
      <w:pPr>
        <w:spacing w:before="120" w:line="360" w:lineRule="auto"/>
        <w:ind w:left="-70" w:firstLine="588"/>
        <w:rPr>
          <w:rFonts w:ascii="宋体" w:hAnsi="宋体"/>
          <w:color w:val="auto"/>
          <w:szCs w:val="21"/>
        </w:rPr>
      </w:pPr>
    </w:p>
    <w:p w14:paraId="1B175474">
      <w:pPr>
        <w:spacing w:before="120" w:line="360" w:lineRule="auto"/>
        <w:ind w:left="-70" w:firstLine="588"/>
        <w:rPr>
          <w:rFonts w:ascii="宋体" w:hAnsi="宋体"/>
          <w:color w:val="auto"/>
          <w:szCs w:val="21"/>
        </w:rPr>
      </w:pPr>
    </w:p>
    <w:p w14:paraId="247C7AF4">
      <w:pPr>
        <w:spacing w:before="120" w:line="300" w:lineRule="auto"/>
        <w:ind w:left="-70" w:firstLine="588"/>
        <w:rPr>
          <w:rFonts w:ascii="宋体" w:hAnsi="宋体"/>
          <w:color w:val="auto"/>
          <w:szCs w:val="21"/>
        </w:rPr>
      </w:pPr>
    </w:p>
    <w:p w14:paraId="25D32565">
      <w:pPr>
        <w:spacing w:before="120" w:line="300" w:lineRule="auto"/>
        <w:ind w:left="-70" w:firstLine="588"/>
        <w:rPr>
          <w:rFonts w:ascii="宋体" w:hAnsi="宋体"/>
          <w:color w:val="auto"/>
          <w:szCs w:val="21"/>
        </w:rPr>
      </w:pPr>
    </w:p>
    <w:p w14:paraId="5D278000">
      <w:pPr>
        <w:spacing w:before="120" w:line="300" w:lineRule="auto"/>
        <w:ind w:left="-70" w:firstLine="588"/>
        <w:rPr>
          <w:rFonts w:ascii="宋体" w:hAnsi="宋体"/>
          <w:color w:val="auto"/>
          <w:szCs w:val="21"/>
        </w:rPr>
      </w:pPr>
    </w:p>
    <w:p w14:paraId="39984B55">
      <w:pPr>
        <w:spacing w:before="120" w:line="300" w:lineRule="auto"/>
        <w:ind w:left="-70" w:firstLine="588"/>
        <w:rPr>
          <w:rFonts w:ascii="宋体" w:hAnsi="宋体"/>
          <w:color w:val="auto"/>
          <w:szCs w:val="21"/>
        </w:rPr>
      </w:pPr>
    </w:p>
    <w:p w14:paraId="2C5BD214">
      <w:pPr>
        <w:spacing w:before="120" w:line="300" w:lineRule="auto"/>
        <w:ind w:left="-70" w:firstLine="588"/>
        <w:rPr>
          <w:rFonts w:ascii="宋体" w:hAnsi="宋体"/>
          <w:color w:val="auto"/>
          <w:szCs w:val="21"/>
        </w:rPr>
      </w:pPr>
    </w:p>
    <w:p w14:paraId="085AE210">
      <w:pPr>
        <w:spacing w:before="120" w:line="300" w:lineRule="auto"/>
        <w:ind w:left="-70" w:firstLine="588"/>
        <w:rPr>
          <w:rFonts w:ascii="宋体" w:hAnsi="宋体"/>
          <w:color w:val="auto"/>
          <w:szCs w:val="21"/>
        </w:rPr>
      </w:pPr>
    </w:p>
    <w:p w14:paraId="131A50B9">
      <w:pPr>
        <w:spacing w:before="120" w:line="300" w:lineRule="auto"/>
        <w:ind w:left="-70" w:firstLine="588"/>
        <w:rPr>
          <w:rFonts w:ascii="宋体" w:hAnsi="宋体"/>
          <w:color w:val="auto"/>
          <w:szCs w:val="21"/>
        </w:rPr>
      </w:pPr>
    </w:p>
    <w:p w14:paraId="5A1B65B7">
      <w:pPr>
        <w:spacing w:before="120" w:line="300" w:lineRule="auto"/>
        <w:ind w:left="-70" w:firstLine="588"/>
        <w:rPr>
          <w:rFonts w:ascii="宋体" w:hAnsi="宋体"/>
          <w:color w:val="auto"/>
          <w:szCs w:val="21"/>
        </w:rPr>
      </w:pPr>
    </w:p>
    <w:p w14:paraId="199B089D">
      <w:pPr>
        <w:spacing w:before="120" w:line="300" w:lineRule="auto"/>
        <w:ind w:left="-70" w:firstLine="588"/>
        <w:rPr>
          <w:rFonts w:ascii="宋体" w:hAnsi="宋体"/>
          <w:color w:val="auto"/>
          <w:szCs w:val="21"/>
        </w:rPr>
      </w:pPr>
    </w:p>
    <w:p w14:paraId="4B9F364C">
      <w:pPr>
        <w:spacing w:before="120" w:line="300" w:lineRule="auto"/>
        <w:ind w:left="-70" w:firstLine="588"/>
        <w:rPr>
          <w:rFonts w:ascii="宋体" w:hAnsi="宋体"/>
          <w:color w:val="auto"/>
          <w:szCs w:val="21"/>
        </w:rPr>
      </w:pPr>
    </w:p>
    <w:p w14:paraId="77B0D627">
      <w:pPr>
        <w:spacing w:before="120" w:line="300" w:lineRule="auto"/>
        <w:ind w:left="-70" w:firstLine="588"/>
        <w:rPr>
          <w:rFonts w:ascii="宋体" w:hAnsi="宋体"/>
          <w:color w:val="auto"/>
          <w:szCs w:val="21"/>
        </w:rPr>
      </w:pPr>
    </w:p>
    <w:p w14:paraId="6A17602F">
      <w:pPr>
        <w:spacing w:before="120" w:line="320" w:lineRule="exact"/>
        <w:ind w:left="-70" w:firstLine="588"/>
        <w:jc w:val="left"/>
        <w:rPr>
          <w:rFonts w:ascii="宋体" w:hAnsi="宋体"/>
          <w:color w:val="auto"/>
          <w:szCs w:val="21"/>
        </w:rPr>
      </w:pPr>
    </w:p>
    <w:p w14:paraId="1112316A">
      <w:pPr>
        <w:snapToGrid w:val="0"/>
        <w:spacing w:beforeLines="50" w:after="50"/>
        <w:ind w:left="-70" w:firstLine="787"/>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供应商直接控股、管理关系信息表</w:t>
      </w:r>
    </w:p>
    <w:p w14:paraId="4A49FD1E">
      <w:pPr>
        <w:snapToGrid w:val="0"/>
        <w:spacing w:beforeLines="50" w:after="50"/>
        <w:ind w:left="-70" w:firstLine="787"/>
        <w:jc w:val="center"/>
        <w:rPr>
          <w:rFonts w:ascii="宋体" w:hAnsi="宋体"/>
          <w:b/>
          <w:color w:val="auto"/>
          <w:sz w:val="32"/>
          <w:szCs w:val="32"/>
        </w:rPr>
      </w:pPr>
    </w:p>
    <w:p w14:paraId="1CEF1BFE">
      <w:pPr>
        <w:snapToGrid w:val="0"/>
        <w:spacing w:beforeLines="50" w:after="50"/>
        <w:ind w:left="-70" w:firstLine="787"/>
        <w:jc w:val="center"/>
        <w:rPr>
          <w:rFonts w:ascii="宋体" w:hAnsi="宋体"/>
          <w:b/>
          <w:color w:val="auto"/>
          <w:sz w:val="32"/>
          <w:szCs w:val="32"/>
        </w:rPr>
      </w:pPr>
      <w:r>
        <w:rPr>
          <w:rFonts w:hint="eastAsia" w:ascii="宋体" w:hAnsi="宋体"/>
          <w:b/>
          <w:color w:val="auto"/>
          <w:sz w:val="32"/>
          <w:szCs w:val="32"/>
        </w:rPr>
        <w:t>供应商直接控股股东信息表</w:t>
      </w:r>
    </w:p>
    <w:p w14:paraId="480F026C">
      <w:pPr>
        <w:snapToGrid w:val="0"/>
        <w:spacing w:before="120" w:afterLines="50"/>
        <w:ind w:left="-70" w:firstLine="787"/>
        <w:jc w:val="center"/>
        <w:rPr>
          <w:rFonts w:ascii="宋体" w:hAnsi="宋体"/>
          <w:b/>
          <w:color w:val="auto"/>
          <w:sz w:val="32"/>
          <w:szCs w:val="32"/>
        </w:rPr>
      </w:pPr>
    </w:p>
    <w:tbl>
      <w:tblPr>
        <w:tblStyle w:val="28"/>
        <w:tblW w:w="9698" w:type="dxa"/>
        <w:jc w:val="center"/>
        <w:shd w:val="clear" w:color="auto" w:fill="FBFBFB"/>
        <w:tblLayout w:type="fixed"/>
        <w:tblCellMar>
          <w:top w:w="0" w:type="dxa"/>
          <w:left w:w="0" w:type="dxa"/>
          <w:bottom w:w="0" w:type="dxa"/>
          <w:right w:w="0" w:type="dxa"/>
        </w:tblCellMar>
      </w:tblPr>
      <w:tblGrid>
        <w:gridCol w:w="841"/>
        <w:gridCol w:w="2538"/>
        <w:gridCol w:w="1390"/>
        <w:gridCol w:w="4098"/>
        <w:gridCol w:w="831"/>
      </w:tblGrid>
      <w:tr w14:paraId="059175DD">
        <w:tblPrEx>
          <w:shd w:val="clear" w:color="auto" w:fill="FBFBFB"/>
          <w:tblCellMar>
            <w:top w:w="0" w:type="dxa"/>
            <w:left w:w="0" w:type="dxa"/>
            <w:bottom w:w="0" w:type="dxa"/>
            <w:right w:w="0" w:type="dxa"/>
          </w:tblCellMar>
        </w:tblPrEx>
        <w:trPr>
          <w:trHeight w:val="1035" w:hRule="atLeast"/>
          <w:tblHeader/>
          <w:jc w:val="center"/>
        </w:trPr>
        <w:tc>
          <w:tcPr>
            <w:tcW w:w="84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9A77049">
            <w:pPr>
              <w:widowControl/>
              <w:spacing w:before="120" w:line="360" w:lineRule="auto"/>
              <w:jc w:val="both"/>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253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20303F">
            <w:pPr>
              <w:widowControl/>
              <w:spacing w:before="120" w:line="360" w:lineRule="auto"/>
              <w:jc w:val="both"/>
              <w:rPr>
                <w:rFonts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7CD151">
            <w:pPr>
              <w:widowControl/>
              <w:spacing w:before="120" w:line="360" w:lineRule="auto"/>
              <w:jc w:val="both"/>
              <w:rPr>
                <w:rFonts w:ascii="宋体" w:hAnsi="宋体" w:cs="宋体"/>
                <w:b/>
                <w:bCs/>
                <w:color w:val="auto"/>
                <w:kern w:val="0"/>
                <w:sz w:val="28"/>
                <w:szCs w:val="28"/>
              </w:rPr>
            </w:pPr>
            <w:r>
              <w:rPr>
                <w:rFonts w:hint="eastAsia" w:ascii="宋体" w:hAnsi="宋体" w:cs="宋体"/>
                <w:b/>
                <w:bCs/>
                <w:color w:val="auto"/>
                <w:kern w:val="0"/>
                <w:sz w:val="28"/>
                <w:szCs w:val="28"/>
              </w:rPr>
              <w:t>出资比例</w:t>
            </w:r>
          </w:p>
        </w:tc>
        <w:tc>
          <w:tcPr>
            <w:tcW w:w="409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07A0A4">
            <w:pPr>
              <w:widowControl/>
              <w:spacing w:before="120" w:line="360" w:lineRule="auto"/>
              <w:jc w:val="both"/>
              <w:rPr>
                <w:rFonts w:ascii="宋体" w:hAnsi="宋体" w:cs="宋体"/>
                <w:b/>
                <w:bCs/>
                <w:color w:val="auto"/>
                <w:kern w:val="0"/>
                <w:sz w:val="28"/>
                <w:szCs w:val="28"/>
              </w:rPr>
            </w:pPr>
            <w:r>
              <w:rPr>
                <w:rFonts w:hint="eastAsia" w:ascii="宋体" w:hAnsi="宋体" w:cs="宋体"/>
                <w:b/>
                <w:bCs/>
                <w:color w:val="auto"/>
                <w:kern w:val="0"/>
                <w:sz w:val="28"/>
                <w:szCs w:val="28"/>
              </w:rPr>
              <w:t>身份证号码或者统一社会信用代码</w:t>
            </w:r>
          </w:p>
        </w:tc>
        <w:tc>
          <w:tcPr>
            <w:tcW w:w="83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D6C134">
            <w:pPr>
              <w:widowControl/>
              <w:spacing w:before="120" w:line="360" w:lineRule="auto"/>
              <w:jc w:val="both"/>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4ACA1FAB">
        <w:tblPrEx>
          <w:tblCellMar>
            <w:top w:w="0" w:type="dxa"/>
            <w:left w:w="0" w:type="dxa"/>
            <w:bottom w:w="0" w:type="dxa"/>
            <w:right w:w="0" w:type="dxa"/>
          </w:tblCellMar>
        </w:tblPrEx>
        <w:trPr>
          <w:trHeight w:val="525"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9AD6A2">
            <w:pPr>
              <w:widowControl/>
              <w:spacing w:before="120" w:line="360" w:lineRule="auto"/>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06BF01">
            <w:pPr>
              <w:widowControl/>
              <w:spacing w:before="120" w:line="360" w:lineRule="auto"/>
              <w:ind w:left="-70" w:firstLine="686"/>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21D3D5">
            <w:pPr>
              <w:widowControl/>
              <w:spacing w:before="120" w:line="360" w:lineRule="auto"/>
              <w:ind w:left="-70" w:firstLine="686"/>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73FDB7">
            <w:pPr>
              <w:widowControl/>
              <w:spacing w:before="120" w:line="360" w:lineRule="auto"/>
              <w:ind w:left="-70" w:firstLine="686"/>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D8A590">
            <w:pPr>
              <w:widowControl/>
              <w:spacing w:before="120" w:line="360" w:lineRule="auto"/>
              <w:ind w:left="-70" w:firstLine="686"/>
              <w:jc w:val="center"/>
              <w:rPr>
                <w:rFonts w:ascii="宋体" w:hAnsi="宋体" w:cs="宋体"/>
                <w:color w:val="auto"/>
                <w:kern w:val="0"/>
                <w:sz w:val="28"/>
                <w:szCs w:val="28"/>
              </w:rPr>
            </w:pPr>
          </w:p>
        </w:tc>
      </w:tr>
      <w:tr w14:paraId="1E72DA8A">
        <w:tblPrEx>
          <w:tblCellMar>
            <w:top w:w="0" w:type="dxa"/>
            <w:left w:w="0" w:type="dxa"/>
            <w:bottom w:w="0" w:type="dxa"/>
            <w:right w:w="0" w:type="dxa"/>
          </w:tblCellMar>
        </w:tblPrEx>
        <w:trPr>
          <w:trHeight w:val="495"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F21AEF">
            <w:pPr>
              <w:widowControl/>
              <w:spacing w:before="120" w:line="360" w:lineRule="auto"/>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AEBE80">
            <w:pPr>
              <w:widowControl/>
              <w:spacing w:before="120" w:line="360" w:lineRule="auto"/>
              <w:ind w:left="-70" w:firstLine="686"/>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E91DC">
            <w:pPr>
              <w:widowControl/>
              <w:spacing w:before="120" w:line="360" w:lineRule="auto"/>
              <w:ind w:left="-70" w:firstLine="686"/>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DC4015">
            <w:pPr>
              <w:widowControl/>
              <w:spacing w:before="120" w:line="360" w:lineRule="auto"/>
              <w:ind w:left="-70" w:firstLine="686"/>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5A6CA5">
            <w:pPr>
              <w:widowControl/>
              <w:spacing w:before="120" w:line="360" w:lineRule="auto"/>
              <w:ind w:left="-70" w:firstLine="686"/>
              <w:jc w:val="center"/>
              <w:rPr>
                <w:rFonts w:ascii="宋体" w:hAnsi="宋体" w:cs="宋体"/>
                <w:color w:val="auto"/>
                <w:kern w:val="0"/>
                <w:sz w:val="28"/>
                <w:szCs w:val="28"/>
              </w:rPr>
            </w:pPr>
          </w:p>
        </w:tc>
      </w:tr>
      <w:tr w14:paraId="74E2560B">
        <w:tblPrEx>
          <w:tblCellMar>
            <w:top w:w="0" w:type="dxa"/>
            <w:left w:w="0" w:type="dxa"/>
            <w:bottom w:w="0" w:type="dxa"/>
            <w:right w:w="0" w:type="dxa"/>
          </w:tblCellMar>
        </w:tblPrEx>
        <w:trPr>
          <w:trHeight w:val="564"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3AC45C">
            <w:pPr>
              <w:widowControl/>
              <w:spacing w:before="120" w:line="360" w:lineRule="auto"/>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071E0B">
            <w:pPr>
              <w:widowControl/>
              <w:spacing w:before="120" w:line="360" w:lineRule="auto"/>
              <w:ind w:left="-70" w:firstLine="686"/>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668282">
            <w:pPr>
              <w:widowControl/>
              <w:spacing w:before="120" w:line="360" w:lineRule="auto"/>
              <w:ind w:left="-70" w:firstLine="686"/>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CB27D4">
            <w:pPr>
              <w:widowControl/>
              <w:spacing w:before="120" w:line="360" w:lineRule="auto"/>
              <w:ind w:left="-70" w:firstLine="686"/>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3AB24D">
            <w:pPr>
              <w:widowControl/>
              <w:spacing w:before="120" w:line="360" w:lineRule="auto"/>
              <w:ind w:left="-70" w:firstLine="686"/>
              <w:jc w:val="center"/>
              <w:rPr>
                <w:rFonts w:ascii="宋体" w:hAnsi="宋体" w:cs="宋体"/>
                <w:color w:val="auto"/>
                <w:kern w:val="0"/>
                <w:sz w:val="28"/>
                <w:szCs w:val="28"/>
              </w:rPr>
            </w:pPr>
          </w:p>
        </w:tc>
      </w:tr>
      <w:tr w14:paraId="6F1B4AE6">
        <w:tblPrEx>
          <w:tblCellMar>
            <w:top w:w="0" w:type="dxa"/>
            <w:left w:w="0" w:type="dxa"/>
            <w:bottom w:w="0" w:type="dxa"/>
            <w:right w:w="0" w:type="dxa"/>
          </w:tblCellMar>
        </w:tblPrEx>
        <w:trPr>
          <w:trHeight w:val="680" w:hRule="atLeast"/>
          <w:jc w:val="center"/>
        </w:trPr>
        <w:tc>
          <w:tcPr>
            <w:tcW w:w="84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6AD243">
            <w:pPr>
              <w:widowControl/>
              <w:spacing w:before="120" w:line="360" w:lineRule="auto"/>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253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DCD226">
            <w:pPr>
              <w:widowControl/>
              <w:spacing w:before="120" w:line="360" w:lineRule="auto"/>
              <w:ind w:left="-70" w:firstLine="686"/>
              <w:jc w:val="center"/>
              <w:rPr>
                <w:rFonts w:ascii="宋体" w:hAnsi="宋体" w:cs="宋体"/>
                <w:color w:val="auto"/>
                <w:kern w:val="0"/>
                <w:sz w:val="28"/>
                <w:szCs w:val="28"/>
              </w:rPr>
            </w:pPr>
          </w:p>
        </w:tc>
        <w:tc>
          <w:tcPr>
            <w:tcW w:w="1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C7DEE3">
            <w:pPr>
              <w:widowControl/>
              <w:spacing w:before="120" w:line="360" w:lineRule="auto"/>
              <w:ind w:left="-70" w:firstLine="686"/>
              <w:jc w:val="center"/>
              <w:rPr>
                <w:rFonts w:ascii="宋体" w:hAnsi="宋体" w:cs="宋体"/>
                <w:color w:val="auto"/>
                <w:kern w:val="0"/>
                <w:sz w:val="28"/>
                <w:szCs w:val="28"/>
              </w:rPr>
            </w:pPr>
          </w:p>
        </w:tc>
        <w:tc>
          <w:tcPr>
            <w:tcW w:w="409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4ED98F">
            <w:pPr>
              <w:widowControl/>
              <w:spacing w:before="120" w:line="360" w:lineRule="auto"/>
              <w:ind w:left="-70" w:firstLine="686"/>
              <w:jc w:val="center"/>
              <w:rPr>
                <w:rFonts w:ascii="宋体" w:hAnsi="宋体" w:cs="宋体"/>
                <w:color w:val="auto"/>
                <w:kern w:val="0"/>
                <w:sz w:val="28"/>
                <w:szCs w:val="28"/>
              </w:rPr>
            </w:pPr>
          </w:p>
        </w:tc>
        <w:tc>
          <w:tcPr>
            <w:tcW w:w="83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431165">
            <w:pPr>
              <w:widowControl/>
              <w:spacing w:before="120" w:line="360" w:lineRule="auto"/>
              <w:ind w:left="-70" w:firstLine="686"/>
              <w:jc w:val="center"/>
              <w:rPr>
                <w:rFonts w:ascii="宋体" w:hAnsi="宋体" w:cs="宋体"/>
                <w:color w:val="auto"/>
                <w:kern w:val="0"/>
                <w:sz w:val="28"/>
                <w:szCs w:val="28"/>
              </w:rPr>
            </w:pPr>
          </w:p>
        </w:tc>
      </w:tr>
    </w:tbl>
    <w:p w14:paraId="127E4D6E">
      <w:pPr>
        <w:spacing w:before="120" w:line="360" w:lineRule="auto"/>
        <w:ind w:left="-70"/>
        <w:contextualSpacing/>
        <w:jc w:val="left"/>
        <w:rPr>
          <w:rFonts w:ascii="宋体" w:hAnsi="宋体" w:cs="宋体"/>
          <w:color w:val="auto"/>
          <w:sz w:val="24"/>
        </w:rPr>
      </w:pPr>
      <w:r>
        <w:rPr>
          <w:rFonts w:hint="eastAsia" w:ascii="宋体" w:hAnsi="宋体" w:cs="宋体"/>
          <w:color w:val="auto"/>
          <w:sz w:val="24"/>
        </w:rPr>
        <w:t>注：</w:t>
      </w:r>
    </w:p>
    <w:p w14:paraId="3E6A5604">
      <w:pPr>
        <w:spacing w:before="120" w:line="360" w:lineRule="auto"/>
        <w:ind w:left="-70"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B88A137">
      <w:pPr>
        <w:spacing w:before="120" w:line="360" w:lineRule="auto"/>
        <w:ind w:left="-70"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14:paraId="7EDEE8A0">
      <w:pPr>
        <w:spacing w:before="120" w:line="360" w:lineRule="auto"/>
        <w:ind w:left="-70"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3.供应商不存在直接控股股东的，则填“无”。</w:t>
      </w:r>
    </w:p>
    <w:p w14:paraId="73684EAC">
      <w:pPr>
        <w:spacing w:before="120" w:line="360" w:lineRule="auto"/>
        <w:ind w:left="-70" w:firstLine="420" w:firstLineChars="200"/>
        <w:contextualSpacing/>
        <w:jc w:val="left"/>
        <w:rPr>
          <w:rFonts w:ascii="宋体" w:hAnsi="宋体" w:cs="宋体"/>
          <w:color w:val="auto"/>
          <w:szCs w:val="21"/>
        </w:rPr>
      </w:pPr>
    </w:p>
    <w:p w14:paraId="72749319">
      <w:pPr>
        <w:spacing w:before="120" w:line="360" w:lineRule="auto"/>
        <w:ind w:left="-70" w:firstLine="560" w:firstLineChars="200"/>
        <w:contextualSpacing/>
        <w:jc w:val="left"/>
        <w:rPr>
          <w:rFonts w:ascii="宋体" w:hAnsi="宋体" w:cs="宋体"/>
          <w:color w:val="auto"/>
          <w:sz w:val="28"/>
          <w:szCs w:val="28"/>
        </w:rPr>
      </w:pPr>
    </w:p>
    <w:p w14:paraId="37725E94">
      <w:pPr>
        <w:spacing w:before="120" w:line="360" w:lineRule="auto"/>
        <w:ind w:left="-70" w:right="480"/>
        <w:contextualSpacing/>
        <w:jc w:val="center"/>
        <w:rPr>
          <w:rFonts w:ascii="宋体" w:hAnsi="宋体" w:cs="宋体"/>
          <w:color w:val="auto"/>
          <w:sz w:val="24"/>
          <w:u w:val="single"/>
        </w:rPr>
      </w:pPr>
      <w:r>
        <w:rPr>
          <w:rFonts w:hint="eastAsia" w:ascii="宋体" w:hAnsi="宋体" w:cs="宋体"/>
          <w:color w:val="auto"/>
          <w:sz w:val="24"/>
        </w:rPr>
        <w:t xml:space="preserve"> </w:t>
      </w:r>
      <w:r>
        <w:rPr>
          <w:rFonts w:ascii="宋体" w:hAnsi="宋体" w:cs="宋体"/>
          <w:color w:val="auto"/>
          <w:sz w:val="24"/>
        </w:rPr>
        <w:t xml:space="preserve">       </w:t>
      </w:r>
      <w:r>
        <w:rPr>
          <w:rFonts w:hint="eastAsia" w:ascii="宋体" w:hAnsi="宋体" w:cs="宋体"/>
          <w:color w:val="auto"/>
          <w:sz w:val="24"/>
        </w:rPr>
        <w:t>法定代表人或者委托代理人签字：</w:t>
      </w:r>
      <w:r>
        <w:rPr>
          <w:rFonts w:hint="eastAsia" w:ascii="宋体" w:hAnsi="宋体" w:cs="宋体"/>
          <w:color w:val="auto"/>
          <w:sz w:val="24"/>
          <w:u w:val="single"/>
        </w:rPr>
        <w:t xml:space="preserve"> </w:t>
      </w:r>
      <w:r>
        <w:rPr>
          <w:rFonts w:ascii="宋体" w:hAnsi="宋体" w:cs="宋体"/>
          <w:color w:val="auto"/>
          <w:sz w:val="24"/>
          <w:u w:val="single"/>
        </w:rPr>
        <w:t xml:space="preserve">                   </w:t>
      </w:r>
    </w:p>
    <w:p w14:paraId="76B90B82">
      <w:pPr>
        <w:spacing w:before="120" w:line="360" w:lineRule="auto"/>
        <w:ind w:left="-70" w:right="480" w:firstLine="3360" w:firstLineChars="1400"/>
        <w:contextualSpacing/>
        <w:rPr>
          <w:rFonts w:ascii="宋体" w:hAnsi="宋体" w:cs="宋体"/>
          <w:color w:val="auto"/>
          <w:sz w:val="24"/>
          <w:u w:val="single"/>
        </w:rPr>
      </w:pPr>
      <w:r>
        <w:rPr>
          <w:rFonts w:hint="eastAsia" w:ascii="宋体" w:hAnsi="宋体" w:cs="宋体"/>
          <w:color w:val="auto"/>
          <w:sz w:val="24"/>
        </w:rPr>
        <w:t xml:space="preserve">供应商（盖公章 ）： </w:t>
      </w:r>
      <w:r>
        <w:rPr>
          <w:rFonts w:hint="eastAsia" w:ascii="宋体" w:hAnsi="宋体" w:cs="宋体"/>
          <w:color w:val="auto"/>
          <w:sz w:val="24"/>
          <w:u w:val="single"/>
        </w:rPr>
        <w:t xml:space="preserve">                              </w:t>
      </w:r>
    </w:p>
    <w:p w14:paraId="7AEB053B">
      <w:pPr>
        <w:spacing w:before="120" w:line="360" w:lineRule="auto"/>
        <w:ind w:left="-70" w:right="480" w:firstLine="5280" w:firstLineChars="2200"/>
        <w:contextualSpacing/>
        <w:rPr>
          <w:rFonts w:ascii="宋体" w:hAnsi="宋体" w:cs="宋体"/>
          <w:color w:val="auto"/>
          <w:sz w:val="28"/>
          <w:szCs w:val="28"/>
        </w:rPr>
      </w:pPr>
      <w:r>
        <w:rPr>
          <w:rFonts w:hint="eastAsia" w:ascii="宋体" w:hAnsi="宋体" w:cs="宋体"/>
          <w:color w:val="auto"/>
          <w:sz w:val="24"/>
        </w:rPr>
        <w:t>年    月    日</w:t>
      </w:r>
    </w:p>
    <w:p w14:paraId="45842F6B">
      <w:pPr>
        <w:snapToGrid w:val="0"/>
        <w:spacing w:before="120"/>
        <w:ind w:left="-70" w:firstLine="689"/>
        <w:jc w:val="center"/>
        <w:rPr>
          <w:rFonts w:ascii="宋体" w:hAnsi="宋体"/>
          <w:b/>
          <w:color w:val="auto"/>
          <w:sz w:val="28"/>
          <w:szCs w:val="28"/>
        </w:rPr>
      </w:pPr>
      <w:r>
        <w:rPr>
          <w:rFonts w:ascii="宋体" w:hAnsi="宋体"/>
          <w:b/>
          <w:color w:val="auto"/>
          <w:sz w:val="28"/>
          <w:szCs w:val="28"/>
        </w:rPr>
        <w:br w:type="page"/>
      </w:r>
    </w:p>
    <w:p w14:paraId="1C884192">
      <w:pPr>
        <w:snapToGrid w:val="0"/>
        <w:spacing w:before="120"/>
        <w:ind w:left="-70" w:firstLine="787"/>
        <w:jc w:val="center"/>
        <w:rPr>
          <w:rFonts w:ascii="宋体" w:hAnsi="宋体"/>
          <w:b/>
          <w:color w:val="auto"/>
          <w:sz w:val="32"/>
          <w:szCs w:val="32"/>
        </w:rPr>
      </w:pPr>
      <w:r>
        <w:rPr>
          <w:rFonts w:hint="eastAsia" w:ascii="宋体" w:hAnsi="宋体"/>
          <w:b/>
          <w:color w:val="auto"/>
          <w:sz w:val="32"/>
          <w:szCs w:val="32"/>
        </w:rPr>
        <w:t>供应商直接管理关系信息表</w:t>
      </w:r>
    </w:p>
    <w:p w14:paraId="7FB2E325">
      <w:pPr>
        <w:snapToGrid w:val="0"/>
        <w:spacing w:before="120"/>
        <w:ind w:left="-70" w:firstLine="787"/>
        <w:jc w:val="center"/>
        <w:rPr>
          <w:rFonts w:ascii="宋体" w:hAnsi="宋体"/>
          <w:b/>
          <w:color w:val="auto"/>
          <w:sz w:val="32"/>
          <w:szCs w:val="32"/>
        </w:rPr>
      </w:pPr>
    </w:p>
    <w:tbl>
      <w:tblPr>
        <w:tblStyle w:val="28"/>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5CD57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F8DC9C9">
            <w:pPr>
              <w:widowControl/>
              <w:spacing w:before="120"/>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84360D1">
            <w:pPr>
              <w:widowControl/>
              <w:spacing w:before="120"/>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3C509B6">
            <w:pPr>
              <w:widowControl/>
              <w:spacing w:before="120"/>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7C90D4">
            <w:pPr>
              <w:widowControl/>
              <w:spacing w:before="120"/>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14:paraId="64BABBE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9BBD86">
            <w:pPr>
              <w:widowControl/>
              <w:wordWrap w:val="0"/>
              <w:spacing w:before="120"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01D228">
            <w:pPr>
              <w:widowControl/>
              <w:wordWrap w:val="0"/>
              <w:spacing w:before="120" w:line="200" w:lineRule="atLeast"/>
              <w:ind w:left="-70" w:firstLine="686"/>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A8E5C6">
            <w:pPr>
              <w:widowControl/>
              <w:wordWrap w:val="0"/>
              <w:spacing w:before="120" w:line="200" w:lineRule="atLeast"/>
              <w:ind w:left="-70" w:firstLine="686"/>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9A5665">
            <w:pPr>
              <w:widowControl/>
              <w:wordWrap w:val="0"/>
              <w:spacing w:before="120" w:line="200" w:lineRule="atLeast"/>
              <w:ind w:left="-70" w:firstLine="686"/>
              <w:jc w:val="center"/>
              <w:rPr>
                <w:rFonts w:ascii="宋体" w:hAnsi="宋体" w:cs="宋体"/>
                <w:color w:val="auto"/>
                <w:kern w:val="0"/>
                <w:sz w:val="28"/>
                <w:szCs w:val="28"/>
              </w:rPr>
            </w:pPr>
          </w:p>
        </w:tc>
      </w:tr>
      <w:tr w14:paraId="3A7A166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E077BC">
            <w:pPr>
              <w:widowControl/>
              <w:wordWrap w:val="0"/>
              <w:spacing w:before="120"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680E54">
            <w:pPr>
              <w:widowControl/>
              <w:wordWrap w:val="0"/>
              <w:spacing w:before="120" w:line="200" w:lineRule="atLeast"/>
              <w:ind w:left="-70" w:firstLine="686"/>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F9388C">
            <w:pPr>
              <w:widowControl/>
              <w:wordWrap w:val="0"/>
              <w:spacing w:before="120" w:line="200" w:lineRule="atLeast"/>
              <w:ind w:left="-70" w:firstLine="686"/>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4C3BD">
            <w:pPr>
              <w:widowControl/>
              <w:wordWrap w:val="0"/>
              <w:spacing w:before="120" w:line="200" w:lineRule="atLeast"/>
              <w:ind w:left="-70" w:firstLine="686"/>
              <w:jc w:val="center"/>
              <w:rPr>
                <w:rFonts w:ascii="宋体" w:hAnsi="宋体" w:cs="宋体"/>
                <w:color w:val="auto"/>
                <w:kern w:val="0"/>
                <w:sz w:val="28"/>
                <w:szCs w:val="28"/>
              </w:rPr>
            </w:pPr>
          </w:p>
        </w:tc>
      </w:tr>
      <w:tr w14:paraId="0986F52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F5E07D">
            <w:pPr>
              <w:widowControl/>
              <w:wordWrap w:val="0"/>
              <w:spacing w:before="120"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083A01">
            <w:pPr>
              <w:widowControl/>
              <w:wordWrap w:val="0"/>
              <w:spacing w:before="120" w:line="200" w:lineRule="atLeast"/>
              <w:ind w:left="-70" w:firstLine="686"/>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97B23">
            <w:pPr>
              <w:widowControl/>
              <w:wordWrap w:val="0"/>
              <w:spacing w:before="120" w:line="200" w:lineRule="atLeast"/>
              <w:ind w:left="-70" w:firstLine="686"/>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3B55EA4">
            <w:pPr>
              <w:widowControl/>
              <w:wordWrap w:val="0"/>
              <w:spacing w:before="120" w:line="200" w:lineRule="atLeast"/>
              <w:ind w:left="-70" w:firstLine="686"/>
              <w:jc w:val="center"/>
              <w:rPr>
                <w:rFonts w:ascii="宋体" w:hAnsi="宋体" w:cs="宋体"/>
                <w:color w:val="auto"/>
                <w:kern w:val="0"/>
                <w:sz w:val="28"/>
                <w:szCs w:val="28"/>
              </w:rPr>
            </w:pPr>
          </w:p>
        </w:tc>
      </w:tr>
      <w:tr w14:paraId="1764370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1CA88F">
            <w:pPr>
              <w:widowControl/>
              <w:wordWrap w:val="0"/>
              <w:spacing w:before="120"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27C71F">
            <w:pPr>
              <w:widowControl/>
              <w:wordWrap w:val="0"/>
              <w:spacing w:before="120" w:line="200" w:lineRule="atLeast"/>
              <w:ind w:left="-70" w:firstLine="686"/>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C14058">
            <w:pPr>
              <w:widowControl/>
              <w:wordWrap w:val="0"/>
              <w:spacing w:before="120" w:line="200" w:lineRule="atLeast"/>
              <w:ind w:left="-70" w:firstLine="686"/>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B019C4">
            <w:pPr>
              <w:widowControl/>
              <w:wordWrap w:val="0"/>
              <w:spacing w:before="120" w:line="200" w:lineRule="atLeast"/>
              <w:ind w:left="-70" w:firstLine="686"/>
              <w:jc w:val="center"/>
              <w:rPr>
                <w:rFonts w:ascii="宋体" w:hAnsi="宋体" w:cs="宋体"/>
                <w:color w:val="auto"/>
                <w:kern w:val="0"/>
                <w:sz w:val="28"/>
                <w:szCs w:val="28"/>
              </w:rPr>
            </w:pPr>
          </w:p>
        </w:tc>
      </w:tr>
    </w:tbl>
    <w:p w14:paraId="018802FA">
      <w:pPr>
        <w:spacing w:before="120" w:line="360" w:lineRule="auto"/>
        <w:ind w:left="-70"/>
        <w:contextualSpacing/>
        <w:jc w:val="left"/>
        <w:rPr>
          <w:rFonts w:ascii="宋体" w:hAnsi="宋体"/>
          <w:color w:val="auto"/>
          <w:sz w:val="24"/>
        </w:rPr>
      </w:pPr>
      <w:r>
        <w:rPr>
          <w:rFonts w:hint="eastAsia" w:ascii="宋体" w:hAnsi="宋体"/>
          <w:color w:val="auto"/>
          <w:sz w:val="24"/>
        </w:rPr>
        <w:t>注：</w:t>
      </w:r>
    </w:p>
    <w:p w14:paraId="4180757D">
      <w:pPr>
        <w:spacing w:before="120" w:line="360" w:lineRule="auto"/>
        <w:ind w:left="-70"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14:paraId="4504D651">
      <w:pPr>
        <w:spacing w:before="120" w:line="360" w:lineRule="auto"/>
        <w:ind w:left="-70"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14:paraId="507A270C">
      <w:pPr>
        <w:spacing w:before="120" w:line="360" w:lineRule="auto"/>
        <w:ind w:left="-70" w:firstLine="480" w:firstLineChars="200"/>
        <w:contextualSpacing/>
        <w:jc w:val="left"/>
        <w:rPr>
          <w:rFonts w:ascii="宋体" w:hAnsi="宋体"/>
          <w:color w:val="auto"/>
          <w:sz w:val="24"/>
        </w:rPr>
      </w:pPr>
      <w:r>
        <w:rPr>
          <w:rFonts w:hint="eastAsia" w:ascii="宋体" w:hAnsi="宋体"/>
          <w:color w:val="auto"/>
          <w:sz w:val="24"/>
        </w:rPr>
        <w:t>3.供应商不存在直接管理关系的，则填“无”。</w:t>
      </w:r>
    </w:p>
    <w:p w14:paraId="228B9897">
      <w:pPr>
        <w:spacing w:before="120" w:line="360" w:lineRule="auto"/>
        <w:ind w:left="-70" w:firstLine="686"/>
        <w:contextualSpacing/>
        <w:jc w:val="left"/>
        <w:rPr>
          <w:rFonts w:ascii="宋体" w:hAnsi="宋体"/>
          <w:color w:val="auto"/>
          <w:sz w:val="28"/>
          <w:szCs w:val="28"/>
        </w:rPr>
      </w:pPr>
    </w:p>
    <w:p w14:paraId="4036E722">
      <w:pPr>
        <w:spacing w:before="120" w:line="360" w:lineRule="auto"/>
        <w:ind w:left="-70" w:firstLine="686"/>
        <w:contextualSpacing/>
        <w:jc w:val="left"/>
        <w:rPr>
          <w:rFonts w:ascii="宋体" w:hAnsi="宋体"/>
          <w:color w:val="auto"/>
          <w:sz w:val="28"/>
          <w:szCs w:val="28"/>
        </w:rPr>
      </w:pPr>
    </w:p>
    <w:p w14:paraId="5A93617F">
      <w:pPr>
        <w:spacing w:before="120" w:line="360" w:lineRule="auto"/>
        <w:ind w:left="-70" w:firstLine="686"/>
        <w:contextualSpacing/>
        <w:jc w:val="left"/>
        <w:rPr>
          <w:color w:val="auto"/>
          <w:sz w:val="28"/>
          <w:szCs w:val="28"/>
        </w:rPr>
      </w:pPr>
    </w:p>
    <w:p w14:paraId="1DA2DA5B">
      <w:pPr>
        <w:spacing w:before="120" w:line="360" w:lineRule="auto"/>
        <w:ind w:left="-70" w:firstLine="686"/>
        <w:contextualSpacing/>
        <w:jc w:val="left"/>
        <w:rPr>
          <w:color w:val="auto"/>
          <w:sz w:val="28"/>
          <w:szCs w:val="28"/>
        </w:rPr>
      </w:pPr>
    </w:p>
    <w:p w14:paraId="5A8A9C32">
      <w:pPr>
        <w:spacing w:before="120" w:line="360" w:lineRule="auto"/>
        <w:ind w:left="-70" w:firstLine="686"/>
        <w:contextualSpacing/>
        <w:jc w:val="left"/>
        <w:rPr>
          <w:color w:val="auto"/>
          <w:sz w:val="28"/>
          <w:szCs w:val="28"/>
        </w:rPr>
      </w:pPr>
    </w:p>
    <w:p w14:paraId="679BEB0F">
      <w:pPr>
        <w:spacing w:before="120" w:line="360" w:lineRule="auto"/>
        <w:ind w:left="-70" w:firstLine="686"/>
        <w:contextualSpacing/>
        <w:jc w:val="left"/>
        <w:rPr>
          <w:rFonts w:ascii="宋体" w:hAnsi="宋体"/>
          <w:color w:val="auto"/>
          <w:sz w:val="28"/>
          <w:szCs w:val="28"/>
        </w:rPr>
      </w:pPr>
    </w:p>
    <w:p w14:paraId="05839DA0">
      <w:pPr>
        <w:spacing w:before="120" w:line="360" w:lineRule="auto"/>
        <w:ind w:left="-70" w:right="480"/>
        <w:contextualSpacing/>
        <w:jc w:val="center"/>
        <w:rPr>
          <w:rFonts w:ascii="宋体" w:hAnsi="宋体"/>
          <w:color w:val="auto"/>
          <w:sz w:val="24"/>
          <w:u w:val="single"/>
        </w:rPr>
      </w:pPr>
      <w:r>
        <w:rPr>
          <w:rFonts w:hint="eastAsia" w:ascii="宋体" w:hAnsi="宋体"/>
          <w:color w:val="auto"/>
          <w:sz w:val="24"/>
        </w:rPr>
        <w:t xml:space="preserve"> </w:t>
      </w:r>
      <w:r>
        <w:rPr>
          <w:rFonts w:ascii="宋体" w:hAnsi="宋体"/>
          <w:color w:val="auto"/>
          <w:sz w:val="24"/>
        </w:rPr>
        <w:t xml:space="preserve">             </w:t>
      </w:r>
      <w:r>
        <w:rPr>
          <w:rFonts w:hint="eastAsia" w:ascii="宋体" w:hAnsi="宋体"/>
          <w:color w:val="auto"/>
          <w:sz w:val="24"/>
        </w:rPr>
        <w:t>法定代表人或者委托代理人签字：</w:t>
      </w:r>
      <w:r>
        <w:rPr>
          <w:rFonts w:hint="eastAsia" w:ascii="宋体" w:hAnsi="宋体"/>
          <w:color w:val="auto"/>
          <w:sz w:val="24"/>
          <w:u w:val="single"/>
        </w:rPr>
        <w:t xml:space="preserve"> </w:t>
      </w:r>
      <w:r>
        <w:rPr>
          <w:rFonts w:ascii="宋体" w:hAnsi="宋体"/>
          <w:color w:val="auto"/>
          <w:sz w:val="24"/>
          <w:u w:val="single"/>
        </w:rPr>
        <w:t xml:space="preserve">                  </w:t>
      </w:r>
    </w:p>
    <w:p w14:paraId="333FF1C1">
      <w:pPr>
        <w:spacing w:before="120" w:line="360" w:lineRule="auto"/>
        <w:ind w:left="-70" w:right="480" w:firstLine="3720" w:firstLineChars="1550"/>
        <w:contextualSpacing/>
        <w:rPr>
          <w:rFonts w:ascii="宋体" w:hAnsi="宋体"/>
          <w:color w:val="auto"/>
          <w:sz w:val="24"/>
        </w:rPr>
      </w:pPr>
      <w:r>
        <w:rPr>
          <w:rFonts w:hint="eastAsia" w:ascii="宋体" w:hAnsi="宋体"/>
          <w:color w:val="auto"/>
          <w:sz w:val="24"/>
        </w:rPr>
        <w:t>供应商（盖公章）：</w:t>
      </w:r>
      <w:r>
        <w:rPr>
          <w:rFonts w:hint="eastAsia" w:ascii="宋体" w:hAnsi="宋体"/>
          <w:color w:val="auto"/>
          <w:sz w:val="24"/>
          <w:u w:val="single"/>
        </w:rPr>
        <w:t xml:space="preserve">                </w:t>
      </w:r>
    </w:p>
    <w:p w14:paraId="2E6B5E76">
      <w:pPr>
        <w:spacing w:before="120" w:line="360" w:lineRule="auto"/>
        <w:ind w:left="-70" w:right="480" w:firstLine="240" w:firstLineChars="100"/>
        <w:contextualSpacing/>
        <w:jc w:val="center"/>
        <w:rPr>
          <w:rFonts w:ascii="宋体" w:hAnsi="宋体"/>
          <w:color w:val="auto"/>
          <w:sz w:val="28"/>
          <w:szCs w:val="28"/>
        </w:rPr>
      </w:pPr>
      <w:r>
        <w:rPr>
          <w:rFonts w:hint="eastAsia" w:ascii="宋体" w:hAnsi="宋体"/>
          <w:color w:val="auto"/>
          <w:sz w:val="24"/>
        </w:rPr>
        <w:t xml:space="preserve">                                        年    月    日</w:t>
      </w:r>
    </w:p>
    <w:p w14:paraId="566D0771">
      <w:pPr>
        <w:spacing w:before="120" w:line="320" w:lineRule="exact"/>
        <w:ind w:left="-70" w:firstLine="787"/>
        <w:jc w:val="center"/>
        <w:rPr>
          <w:rFonts w:ascii="方正小标宋简体" w:hAnsi="宋体" w:eastAsia="方正小标宋简体"/>
          <w:b/>
          <w:color w:val="auto"/>
          <w:sz w:val="32"/>
          <w:szCs w:val="32"/>
        </w:rPr>
      </w:pPr>
      <w:r>
        <w:rPr>
          <w:rFonts w:ascii="宋体" w:hAnsi="宋体"/>
          <w:b/>
          <w:color w:val="auto"/>
          <w:sz w:val="32"/>
          <w:szCs w:val="32"/>
        </w:rPr>
        <w:br w:type="page"/>
      </w:r>
      <w:r>
        <w:rPr>
          <w:rFonts w:hint="eastAsia" w:ascii="方正小标宋简体" w:hAnsi="宋体" w:eastAsia="方正小标宋简体"/>
          <w:b/>
          <w:color w:val="auto"/>
          <w:sz w:val="32"/>
          <w:szCs w:val="32"/>
        </w:rPr>
        <w:t>竞标声明</w:t>
      </w:r>
    </w:p>
    <w:p w14:paraId="04D301DE">
      <w:pPr>
        <w:spacing w:before="120" w:line="320" w:lineRule="exact"/>
        <w:ind w:left="-70"/>
        <w:jc w:val="center"/>
        <w:rPr>
          <w:rFonts w:ascii="宋体" w:hAnsi="宋体"/>
          <w:color w:val="auto"/>
          <w:sz w:val="24"/>
          <w:szCs w:val="20"/>
        </w:rPr>
      </w:pPr>
    </w:p>
    <w:p w14:paraId="52BDE406">
      <w:pPr>
        <w:spacing w:before="120" w:line="360" w:lineRule="auto"/>
        <w:ind w:left="-70"/>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p>
    <w:p w14:paraId="0A16CF2F">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 xml:space="preserve"> 供应商名称 </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14:paraId="58E7C978">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 xml:space="preserve"> 项目名称 </w:t>
      </w:r>
      <w:r>
        <w:rPr>
          <w:rFonts w:hint="eastAsia" w:ascii="宋体" w:hAnsi="宋体" w:cs="宋体"/>
          <w:color w:val="auto"/>
          <w:sz w:val="24"/>
        </w:rPr>
        <w:t>项目的竞标，为便于贵方公正、择优地确定成交供应商及其竞标产品和服务，我方就本次竞标有关事项郑重声明如下：</w:t>
      </w:r>
    </w:p>
    <w:p w14:paraId="345094F2">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14:paraId="7509C260">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14:paraId="1520D395">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14:paraId="750D80FE">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（1）将按谈判文件的约定履行合同责任和义务；</w:t>
      </w:r>
    </w:p>
    <w:p w14:paraId="5875C60F">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（2）已详细审查全部谈判文件，包括补遗文件（如有）；</w:t>
      </w:r>
    </w:p>
    <w:p w14:paraId="7ADB85BD">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（3）同意提供按照贵方可能要求的与谈判有关的一切数据或者资料；</w:t>
      </w:r>
    </w:p>
    <w:p w14:paraId="4E2D16DF">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（4）响应谈判文件规定的竞标有效期。</w:t>
      </w:r>
    </w:p>
    <w:p w14:paraId="70F1A62D">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14:paraId="1E8DA24F">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14:paraId="19494C28">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14:paraId="4D996724">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14:paraId="404BA0DF">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14:paraId="5486760C">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058AD736">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14:paraId="1A943947">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1227A8">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AEFD6A5">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14:paraId="2B9D428E">
      <w:pPr>
        <w:spacing w:before="120" w:line="360" w:lineRule="auto"/>
        <w:ind w:left="-70"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1CFEE3D2">
      <w:pPr>
        <w:pStyle w:val="15"/>
        <w:spacing w:before="120" w:line="360" w:lineRule="auto"/>
        <w:ind w:left="-70" w:firstLine="480" w:firstLineChars="200"/>
        <w:contextualSpacing/>
        <w:rPr>
          <w:rFonts w:hAnsi="宋体" w:cs="宋体"/>
          <w:color w:val="auto"/>
          <w:sz w:val="24"/>
          <w:szCs w:val="24"/>
          <w:u w:val="single"/>
        </w:rPr>
      </w:pPr>
      <w:r>
        <w:rPr>
          <w:rFonts w:hint="eastAsia" w:hAnsi="宋体" w:cs="宋体"/>
          <w:color w:val="auto"/>
          <w:sz w:val="24"/>
          <w:szCs w:val="24"/>
        </w:rPr>
        <w:t>7.与本谈判有关的一切正式往来信函请寄：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邮政编号：</w:t>
      </w:r>
      <w:r>
        <w:rPr>
          <w:rFonts w:hint="eastAsia" w:hAnsi="宋体" w:cs="宋体"/>
          <w:color w:val="auto"/>
          <w:sz w:val="24"/>
          <w:szCs w:val="24"/>
          <w:u w:val="single"/>
        </w:rPr>
        <w:t xml:space="preserve">    </w:t>
      </w:r>
    </w:p>
    <w:p w14:paraId="614DB69A">
      <w:pPr>
        <w:pStyle w:val="15"/>
        <w:spacing w:before="120" w:line="360" w:lineRule="auto"/>
        <w:ind w:left="-70" w:firstLine="480" w:firstLineChars="200"/>
        <w:contextualSpacing/>
        <w:rPr>
          <w:rFonts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电子函件：</w:t>
      </w:r>
      <w:r>
        <w:rPr>
          <w:rFonts w:hint="eastAsia" w:hAnsi="宋体" w:cs="宋体"/>
          <w:color w:val="auto"/>
          <w:sz w:val="24"/>
          <w:szCs w:val="24"/>
          <w:u w:val="single"/>
        </w:rPr>
        <w:t xml:space="preserve">             </w:t>
      </w:r>
      <w:r>
        <w:rPr>
          <w:rFonts w:hint="eastAsia" w:hAnsi="宋体" w:cs="宋体"/>
          <w:color w:val="auto"/>
          <w:sz w:val="24"/>
          <w:szCs w:val="24"/>
        </w:rPr>
        <w:t xml:space="preserve">    </w:t>
      </w:r>
    </w:p>
    <w:p w14:paraId="7F514EA7">
      <w:pPr>
        <w:pStyle w:val="14"/>
        <w:tabs>
          <w:tab w:val="left" w:pos="939"/>
        </w:tabs>
        <w:spacing w:before="120"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帐号/行号：</w:t>
      </w:r>
      <w:r>
        <w:rPr>
          <w:rFonts w:hint="eastAsia" w:ascii="宋体" w:hAnsi="宋体" w:cs="宋体"/>
          <w:color w:val="auto"/>
          <w:sz w:val="24"/>
          <w:u w:val="single"/>
        </w:rPr>
        <w:t xml:space="preserve">           </w:t>
      </w:r>
    </w:p>
    <w:p w14:paraId="3983BE75">
      <w:pPr>
        <w:pStyle w:val="14"/>
        <w:tabs>
          <w:tab w:val="left" w:pos="939"/>
        </w:tabs>
        <w:spacing w:before="120" w:line="360" w:lineRule="auto"/>
        <w:ind w:left="141" w:leftChars="67" w:firstLine="360" w:firstLineChars="15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14:paraId="68A23782">
      <w:pPr>
        <w:pStyle w:val="14"/>
        <w:tabs>
          <w:tab w:val="left" w:pos="939"/>
        </w:tabs>
        <w:spacing w:before="120" w:line="360" w:lineRule="auto"/>
        <w:ind w:left="141" w:leftChars="67" w:firstLine="360" w:firstLineChars="150"/>
        <w:rPr>
          <w:rFonts w:ascii="宋体" w:hAnsi="宋体" w:cs="宋体"/>
          <w:color w:val="auto"/>
          <w:szCs w:val="21"/>
        </w:rPr>
      </w:pPr>
      <w:r>
        <w:rPr>
          <w:rFonts w:hint="eastAsia" w:ascii="宋体" w:hAnsi="宋体" w:cs="宋体"/>
          <w:color w:val="auto"/>
          <w:sz w:val="24"/>
        </w:rPr>
        <w:t>特此承诺。</w:t>
      </w:r>
    </w:p>
    <w:p w14:paraId="0B68E806">
      <w:pPr>
        <w:spacing w:before="120" w:line="360" w:lineRule="auto"/>
        <w:ind w:left="-70" w:firstLine="590"/>
        <w:contextualSpacing/>
        <w:jc w:val="left"/>
        <w:rPr>
          <w:rFonts w:ascii="宋体" w:hAnsi="宋体"/>
          <w:b/>
          <w:color w:val="auto"/>
          <w:sz w:val="24"/>
        </w:rPr>
      </w:pPr>
      <w:r>
        <w:rPr>
          <w:rFonts w:hint="eastAsia" w:ascii="宋体" w:hAnsi="宋体"/>
          <w:b/>
          <w:color w:val="auto"/>
          <w:sz w:val="24"/>
        </w:rPr>
        <w:t xml:space="preserve">    注：如为联合体竞标，盖章处须加盖联合体各方公章并由联合体各方法定代表人分别签署，否则响应文件按无效响应处理。</w:t>
      </w:r>
    </w:p>
    <w:p w14:paraId="3C3CE551">
      <w:pPr>
        <w:spacing w:before="120" w:line="360" w:lineRule="auto"/>
        <w:ind w:left="-70" w:firstLine="588"/>
        <w:contextualSpacing/>
        <w:jc w:val="left"/>
        <w:rPr>
          <w:rFonts w:ascii="宋体" w:hAnsi="宋体" w:cs="宋体"/>
          <w:color w:val="auto"/>
          <w:szCs w:val="21"/>
        </w:rPr>
      </w:pPr>
    </w:p>
    <w:p w14:paraId="75915215">
      <w:pPr>
        <w:spacing w:before="120" w:line="360" w:lineRule="auto"/>
        <w:ind w:left="-70" w:firstLine="4320" w:firstLineChars="1800"/>
        <w:contextualSpacing/>
        <w:rPr>
          <w:color w:val="auto"/>
          <w:sz w:val="24"/>
        </w:rPr>
      </w:pPr>
      <w:r>
        <w:rPr>
          <w:rFonts w:hint="eastAsia"/>
          <w:color w:val="auto"/>
          <w:sz w:val="24"/>
        </w:rPr>
        <w:t>法定代表人（签字或者盖章）：</w:t>
      </w:r>
      <w:r>
        <w:rPr>
          <w:rFonts w:hint="eastAsia"/>
          <w:color w:val="auto"/>
          <w:sz w:val="24"/>
          <w:u w:val="single"/>
        </w:rPr>
        <w:t xml:space="preserve">           </w:t>
      </w:r>
      <w:r>
        <w:rPr>
          <w:rFonts w:hint="eastAsia"/>
          <w:color w:val="auto"/>
          <w:sz w:val="24"/>
        </w:rPr>
        <w:t xml:space="preserve">                                     </w:t>
      </w:r>
    </w:p>
    <w:p w14:paraId="1F815CA4">
      <w:pPr>
        <w:spacing w:before="120" w:line="360" w:lineRule="auto"/>
        <w:ind w:left="-70" w:firstLine="4320" w:firstLineChars="1800"/>
        <w:contextualSpacing/>
        <w:rPr>
          <w:rFonts w:ascii="宋体" w:hAnsi="宋体" w:cs="宋体"/>
          <w:color w:val="auto"/>
          <w:sz w:val="24"/>
          <w:u w:val="single"/>
        </w:rPr>
      </w:pPr>
      <w:r>
        <w:rPr>
          <w:rFonts w:hint="eastAsia"/>
          <w:color w:val="auto"/>
          <w:sz w:val="24"/>
        </w:rPr>
        <w:t>供应商（盖公章）：</w:t>
      </w:r>
      <w:r>
        <w:rPr>
          <w:rFonts w:hint="eastAsia"/>
          <w:color w:val="auto"/>
          <w:sz w:val="24"/>
          <w:u w:val="single"/>
        </w:rPr>
        <w:t xml:space="preserve">                               </w:t>
      </w:r>
      <w:r>
        <w:rPr>
          <w:rFonts w:hint="eastAsia"/>
          <w:color w:val="auto"/>
          <w:sz w:val="24"/>
        </w:rPr>
        <w:t xml:space="preserve">       </w:t>
      </w:r>
      <w:r>
        <w:rPr>
          <w:rFonts w:hint="eastAsia" w:ascii="宋体" w:hAnsi="宋体" w:cs="宋体"/>
          <w:color w:val="auto"/>
          <w:sz w:val="24"/>
        </w:rPr>
        <w:t xml:space="preserve">    </w:t>
      </w:r>
    </w:p>
    <w:p w14:paraId="0A1EEBA5">
      <w:pPr>
        <w:spacing w:before="120" w:line="360" w:lineRule="auto"/>
        <w:ind w:left="-70" w:right="482" w:firstLine="240" w:firstLineChars="100"/>
        <w:contextualSpacing/>
        <w:jc w:val="center"/>
        <w:rPr>
          <w:rFonts w:ascii="宋体" w:hAnsi="宋体"/>
          <w:color w:val="auto"/>
          <w:sz w:val="24"/>
        </w:rPr>
      </w:pPr>
      <w:r>
        <w:rPr>
          <w:rFonts w:hint="eastAsia" w:ascii="宋体" w:hAnsi="宋体" w:cs="宋体"/>
          <w:color w:val="auto"/>
          <w:sz w:val="24"/>
        </w:rPr>
        <w:t xml:space="preserve">                                                        </w:t>
      </w:r>
      <w:r>
        <w:rPr>
          <w:rFonts w:hint="eastAsia"/>
          <w:color w:val="auto"/>
          <w:sz w:val="24"/>
        </w:rPr>
        <w:t xml:space="preserve"> 年    月    日 </w:t>
      </w:r>
    </w:p>
    <w:p w14:paraId="2E1B492E">
      <w:pPr>
        <w:spacing w:before="120" w:line="360" w:lineRule="auto"/>
        <w:ind w:right="420"/>
        <w:contextualSpacing/>
        <w:jc w:val="left"/>
        <w:rPr>
          <w:rFonts w:ascii="宋体" w:hAnsi="宋体"/>
          <w:b/>
          <w:color w:val="auto"/>
          <w:sz w:val="32"/>
          <w:szCs w:val="32"/>
        </w:rPr>
      </w:pPr>
      <w:r>
        <w:rPr>
          <w:rFonts w:hint="eastAsia" w:ascii="方正小标宋简体" w:hAnsi="方正小标宋简体" w:eastAsia="方正小标宋简体" w:cs="方正小标宋简体"/>
          <w:color w:val="auto"/>
          <w:sz w:val="32"/>
          <w:szCs w:val="32"/>
        </w:rPr>
        <w:br w:type="page"/>
      </w:r>
      <w:r>
        <w:rPr>
          <w:rFonts w:hint="eastAsia" w:ascii="宋体" w:hAnsi="宋体"/>
          <w:b/>
          <w:bCs/>
          <w:color w:val="auto"/>
          <w:sz w:val="32"/>
          <w:szCs w:val="32"/>
        </w:rPr>
        <w:t>二、</w:t>
      </w:r>
      <w:r>
        <w:rPr>
          <w:rFonts w:hint="eastAsia" w:ascii="宋体" w:hAnsi="宋体"/>
          <w:b/>
          <w:color w:val="auto"/>
          <w:sz w:val="32"/>
          <w:szCs w:val="32"/>
        </w:rPr>
        <w:t xml:space="preserve">报价文件格式 </w:t>
      </w:r>
    </w:p>
    <w:p w14:paraId="309C7F62">
      <w:pPr>
        <w:snapToGrid w:val="0"/>
        <w:spacing w:beforeLines="50"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14:paraId="5A8C9B3F">
      <w:pPr>
        <w:snapToGrid w:val="0"/>
        <w:spacing w:beforeLines="50" w:after="50"/>
        <w:ind w:left="-70"/>
        <w:rPr>
          <w:rFonts w:ascii="宋体" w:hAnsi="宋体"/>
          <w:color w:val="auto"/>
          <w:sz w:val="24"/>
        </w:rPr>
      </w:pPr>
      <w:r>
        <w:rPr>
          <w:rFonts w:hint="eastAsia" w:ascii="宋体" w:hAnsi="宋体"/>
          <w:color w:val="auto"/>
          <w:sz w:val="24"/>
        </w:rPr>
        <w:t xml:space="preserve">                                                   </w:t>
      </w:r>
    </w:p>
    <w:p w14:paraId="4152AB15">
      <w:pPr>
        <w:snapToGrid w:val="0"/>
        <w:spacing w:beforeLines="50" w:after="50"/>
        <w:ind w:left="-70"/>
        <w:rPr>
          <w:rFonts w:ascii="宋体" w:hAnsi="宋体"/>
          <w:color w:val="auto"/>
          <w:sz w:val="24"/>
        </w:rPr>
      </w:pPr>
    </w:p>
    <w:p w14:paraId="7255CB93">
      <w:pPr>
        <w:snapToGrid w:val="0"/>
        <w:spacing w:beforeLines="50" w:after="50"/>
        <w:ind w:left="-70"/>
        <w:rPr>
          <w:rFonts w:ascii="宋体" w:hAnsi="宋体"/>
          <w:color w:val="auto"/>
          <w:sz w:val="24"/>
          <w:szCs w:val="20"/>
        </w:rPr>
      </w:pPr>
    </w:p>
    <w:p w14:paraId="025D179F">
      <w:pPr>
        <w:snapToGrid w:val="0"/>
        <w:spacing w:beforeLines="50" w:after="50"/>
        <w:ind w:left="-70" w:firstLine="2058"/>
        <w:jc w:val="both"/>
        <w:rPr>
          <w:rFonts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4B553D03">
      <w:pPr>
        <w:snapToGrid w:val="0"/>
        <w:spacing w:beforeLines="50" w:after="50"/>
        <w:ind w:left="-70"/>
        <w:rPr>
          <w:rFonts w:ascii="宋体" w:hAnsi="宋体"/>
          <w:color w:val="auto"/>
          <w:sz w:val="24"/>
          <w:szCs w:val="20"/>
        </w:rPr>
      </w:pPr>
    </w:p>
    <w:p w14:paraId="11E08D42">
      <w:pPr>
        <w:snapToGrid w:val="0"/>
        <w:spacing w:beforeLines="50" w:after="50"/>
        <w:ind w:left="-70" w:firstLine="784"/>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报  价   文  件</w:t>
      </w:r>
    </w:p>
    <w:p w14:paraId="3F18B665">
      <w:pPr>
        <w:snapToGrid w:val="0"/>
        <w:spacing w:beforeLines="50" w:after="50"/>
        <w:ind w:left="-70"/>
        <w:rPr>
          <w:rFonts w:ascii="宋体" w:hAnsi="宋体"/>
          <w:bCs/>
          <w:color w:val="auto"/>
          <w:sz w:val="24"/>
          <w:szCs w:val="20"/>
        </w:rPr>
      </w:pPr>
    </w:p>
    <w:p w14:paraId="6E8C33FC">
      <w:pPr>
        <w:snapToGrid w:val="0"/>
        <w:spacing w:beforeLines="50" w:after="50"/>
        <w:ind w:left="-70"/>
        <w:rPr>
          <w:rFonts w:ascii="宋体" w:hAnsi="宋体"/>
          <w:bCs/>
          <w:color w:val="auto"/>
          <w:sz w:val="24"/>
          <w:szCs w:val="20"/>
        </w:rPr>
      </w:pPr>
    </w:p>
    <w:p w14:paraId="5FE5E810">
      <w:pPr>
        <w:snapToGrid w:val="0"/>
        <w:spacing w:beforeLines="50" w:after="50"/>
        <w:ind w:left="-70"/>
        <w:rPr>
          <w:rFonts w:ascii="宋体" w:hAnsi="宋体"/>
          <w:bCs/>
          <w:color w:val="auto"/>
          <w:sz w:val="24"/>
          <w:szCs w:val="20"/>
        </w:rPr>
      </w:pPr>
    </w:p>
    <w:p w14:paraId="256F336B">
      <w:pPr>
        <w:snapToGrid w:val="0"/>
        <w:spacing w:beforeLines="50" w:after="50"/>
        <w:ind w:left="-70"/>
        <w:rPr>
          <w:rFonts w:ascii="宋体" w:hAnsi="宋体"/>
          <w:bCs/>
          <w:color w:val="auto"/>
          <w:sz w:val="24"/>
          <w:szCs w:val="20"/>
        </w:rPr>
      </w:pPr>
    </w:p>
    <w:p w14:paraId="6D76C74C">
      <w:pPr>
        <w:snapToGrid w:val="0"/>
        <w:spacing w:beforeLines="50" w:after="50"/>
        <w:ind w:left="-70"/>
        <w:rPr>
          <w:rFonts w:ascii="宋体" w:hAnsi="宋体"/>
          <w:bCs/>
          <w:color w:val="auto"/>
          <w:sz w:val="24"/>
          <w:szCs w:val="20"/>
        </w:rPr>
      </w:pPr>
    </w:p>
    <w:p w14:paraId="7E43F792">
      <w:pPr>
        <w:snapToGrid w:val="0"/>
        <w:spacing w:beforeLines="50" w:after="50"/>
        <w:ind w:left="-70"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663D9108">
      <w:pPr>
        <w:snapToGrid w:val="0"/>
        <w:spacing w:beforeLines="50" w:after="50"/>
        <w:ind w:left="-70" w:firstLine="720" w:firstLineChars="225"/>
        <w:rPr>
          <w:rFonts w:ascii="宋体" w:hAnsi="宋体" w:cs="仿宋_GB2312"/>
          <w:bCs/>
          <w:color w:val="auto"/>
          <w:sz w:val="32"/>
          <w:szCs w:val="32"/>
        </w:rPr>
      </w:pPr>
    </w:p>
    <w:p w14:paraId="01DC1766">
      <w:pPr>
        <w:snapToGrid w:val="0"/>
        <w:spacing w:beforeLines="50" w:after="50"/>
        <w:ind w:left="-70"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07E9F5E6">
      <w:pPr>
        <w:snapToGrid w:val="0"/>
        <w:spacing w:beforeLines="50" w:after="50"/>
        <w:ind w:left="-70"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59DE57C7">
      <w:pPr>
        <w:snapToGrid w:val="0"/>
        <w:spacing w:beforeLines="50" w:after="50"/>
        <w:ind w:left="-70"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29476166">
      <w:pPr>
        <w:snapToGrid w:val="0"/>
        <w:spacing w:beforeLines="50" w:after="50"/>
        <w:ind w:left="-70" w:firstLine="720" w:firstLineChars="225"/>
        <w:rPr>
          <w:rFonts w:ascii="宋体" w:hAnsi="宋体" w:cs="仿宋_GB2312"/>
          <w:bCs/>
          <w:color w:val="auto"/>
          <w:sz w:val="32"/>
          <w:szCs w:val="32"/>
        </w:rPr>
      </w:pPr>
    </w:p>
    <w:p w14:paraId="5B8357BE">
      <w:pPr>
        <w:pStyle w:val="6"/>
        <w:snapToGrid w:val="0"/>
        <w:spacing w:before="120" w:after="50"/>
        <w:ind w:left="-70"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6225F5D6">
      <w:pPr>
        <w:pStyle w:val="6"/>
        <w:snapToGrid w:val="0"/>
        <w:spacing w:before="120" w:after="50"/>
        <w:ind w:left="-70" w:firstLine="640" w:firstLineChars="200"/>
        <w:rPr>
          <w:rFonts w:ascii="宋体" w:hAnsi="宋体" w:cs="仿宋_GB2312"/>
          <w:bCs/>
          <w:color w:val="auto"/>
          <w:sz w:val="32"/>
          <w:szCs w:val="32"/>
        </w:rPr>
      </w:pPr>
    </w:p>
    <w:p w14:paraId="105E7FD2">
      <w:pPr>
        <w:pStyle w:val="6"/>
        <w:snapToGrid w:val="0"/>
        <w:spacing w:before="120" w:after="50"/>
        <w:ind w:left="-70" w:firstLine="784"/>
        <w:rPr>
          <w:rFonts w:ascii="宋体" w:hAnsi="宋体" w:cs="仿宋_GB2312"/>
          <w:bCs/>
          <w:color w:val="auto"/>
          <w:sz w:val="32"/>
          <w:szCs w:val="32"/>
        </w:rPr>
      </w:pPr>
    </w:p>
    <w:p w14:paraId="21A1B0CB">
      <w:pPr>
        <w:pStyle w:val="6"/>
        <w:snapToGrid w:val="0"/>
        <w:spacing w:before="120" w:after="50"/>
        <w:ind w:left="-70" w:firstLine="1280" w:firstLineChars="400"/>
        <w:rPr>
          <w:rFonts w:ascii="宋体" w:hAnsi="宋体" w:cs="仿宋_GB2312"/>
          <w:bCs/>
          <w:color w:val="auto"/>
          <w:sz w:val="32"/>
          <w:szCs w:val="32"/>
        </w:rPr>
      </w:pPr>
    </w:p>
    <w:p w14:paraId="72400D6A">
      <w:pPr>
        <w:snapToGrid w:val="0"/>
        <w:spacing w:beforeLines="50" w:after="50"/>
        <w:ind w:left="-70" w:firstLine="784"/>
        <w:jc w:val="center"/>
        <w:rPr>
          <w:rFonts w:ascii="宋体" w:hAnsi="宋体" w:cs="仿宋_GB2312"/>
          <w:color w:val="auto"/>
          <w:sz w:val="32"/>
          <w:szCs w:val="32"/>
        </w:rPr>
      </w:pPr>
      <w:r>
        <w:rPr>
          <w:rFonts w:hint="eastAsia" w:ascii="宋体" w:hAnsi="宋体" w:cs="仿宋_GB2312"/>
          <w:color w:val="auto"/>
          <w:sz w:val="32"/>
          <w:szCs w:val="32"/>
        </w:rPr>
        <w:t>年    月    日</w:t>
      </w:r>
    </w:p>
    <w:p w14:paraId="5B3D68E2">
      <w:pPr>
        <w:snapToGrid w:val="0"/>
        <w:spacing w:beforeLines="50" w:after="50" w:line="360" w:lineRule="auto"/>
        <w:ind w:left="-70"/>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2.报价文件目录</w:t>
      </w:r>
    </w:p>
    <w:p w14:paraId="0B3D86B0">
      <w:pPr>
        <w:snapToGrid w:val="0"/>
        <w:spacing w:beforeLines="50" w:after="50" w:line="360" w:lineRule="auto"/>
        <w:ind w:left="-70" w:firstLine="640" w:firstLineChars="200"/>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53E02A67">
      <w:pPr>
        <w:spacing w:before="120" w:line="400" w:lineRule="exact"/>
        <w:ind w:left="-70" w:firstLine="784"/>
        <w:rPr>
          <w:rFonts w:ascii="仿宋_GB2312" w:hAnsi="仿宋_GB2312" w:eastAsia="仿宋_GB2312" w:cs="仿宋_GB2312"/>
          <w:color w:val="auto"/>
          <w:sz w:val="32"/>
          <w:szCs w:val="32"/>
        </w:rPr>
      </w:pPr>
    </w:p>
    <w:p w14:paraId="4DABDE3A">
      <w:pPr>
        <w:tabs>
          <w:tab w:val="left" w:pos="3479"/>
        </w:tabs>
        <w:spacing w:before="120" w:line="520" w:lineRule="exact"/>
        <w:ind w:left="-70" w:firstLine="1078"/>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bCs/>
          <w:color w:val="auto"/>
          <w:sz w:val="44"/>
          <w:szCs w:val="44"/>
        </w:rPr>
        <w:t>竞标报价表</w:t>
      </w:r>
    </w:p>
    <w:p w14:paraId="14E5CD4D">
      <w:pPr>
        <w:spacing w:before="120" w:line="520" w:lineRule="exact"/>
        <w:ind w:left="-70" w:firstLine="784"/>
        <w:jc w:val="center"/>
        <w:rPr>
          <w:rFonts w:ascii="方正小标宋简体" w:hAnsi="方正小标宋简体" w:eastAsia="方正小标宋简体" w:cs="方正小标宋简体"/>
          <w:bCs/>
          <w:color w:val="auto"/>
          <w:sz w:val="32"/>
          <w:szCs w:val="32"/>
        </w:rPr>
      </w:pPr>
    </w:p>
    <w:p w14:paraId="1DDEBFD9">
      <w:pPr>
        <w:snapToGrid w:val="0"/>
        <w:spacing w:before="120" w:after="50" w:line="360" w:lineRule="auto"/>
        <w:ind w:left="-70"/>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分标（如有）：</w:t>
      </w:r>
      <w:r>
        <w:rPr>
          <w:rFonts w:hint="eastAsia" w:ascii="宋体" w:hAnsi="宋体" w:cs="仿宋_GB2312"/>
          <w:color w:val="auto"/>
          <w:sz w:val="24"/>
          <w:u w:val="single"/>
        </w:rPr>
        <w:t xml:space="preserve">            </w:t>
      </w:r>
    </w:p>
    <w:p w14:paraId="359B36C6">
      <w:pPr>
        <w:snapToGrid w:val="0"/>
        <w:spacing w:before="120" w:after="50" w:line="360" w:lineRule="auto"/>
        <w:ind w:left="-70"/>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tbl>
      <w:tblPr>
        <w:tblStyle w:val="28"/>
        <w:tblW w:w="105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2321"/>
        <w:gridCol w:w="1849"/>
        <w:gridCol w:w="1725"/>
      </w:tblGrid>
      <w:tr w14:paraId="5FA0E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6398EA52">
            <w:pPr>
              <w:spacing w:before="120" w:line="360" w:lineRule="auto"/>
              <w:jc w:val="center"/>
              <w:rPr>
                <w:rFonts w:hint="eastAsia" w:ascii="宋体" w:hAnsi="宋体" w:eastAsia="宋体" w:cs="仿宋_GB2312"/>
                <w:b/>
                <w:bCs/>
                <w:color w:val="auto"/>
                <w:sz w:val="24"/>
                <w:lang w:eastAsia="zh-CN"/>
              </w:rPr>
            </w:pPr>
            <w:r>
              <w:rPr>
                <w:rFonts w:hint="eastAsia" w:ascii="宋体" w:hAnsi="宋体" w:eastAsia="宋体" w:cs="仿宋_GB2312"/>
                <w:b/>
                <w:bCs/>
                <w:color w:val="auto"/>
                <w:sz w:val="24"/>
                <w:lang w:eastAsia="zh-CN"/>
              </w:rPr>
              <w:t>序号</w:t>
            </w:r>
          </w:p>
        </w:tc>
        <w:tc>
          <w:tcPr>
            <w:tcW w:w="1065" w:type="dxa"/>
            <w:tcBorders>
              <w:top w:val="single" w:color="auto" w:sz="4" w:space="0"/>
              <w:left w:val="single" w:color="auto" w:sz="4" w:space="0"/>
              <w:bottom w:val="single" w:color="auto" w:sz="4" w:space="0"/>
              <w:right w:val="single" w:color="auto" w:sz="4" w:space="0"/>
            </w:tcBorders>
            <w:vAlign w:val="center"/>
          </w:tcPr>
          <w:p w14:paraId="3E5CA3EB">
            <w:pPr>
              <w:spacing w:before="120" w:line="360" w:lineRule="auto"/>
              <w:jc w:val="center"/>
              <w:rPr>
                <w:rFonts w:hint="eastAsia" w:ascii="宋体" w:hAnsi="宋体" w:eastAsia="宋体" w:cs="仿宋_GB2312"/>
                <w:b/>
                <w:bCs/>
                <w:color w:val="auto"/>
                <w:sz w:val="24"/>
              </w:rPr>
            </w:pPr>
            <w:r>
              <w:rPr>
                <w:rFonts w:hint="eastAsia" w:ascii="宋体" w:hAnsi="宋体" w:eastAsia="宋体" w:cs="仿宋_GB2312"/>
                <w:b/>
                <w:bCs/>
                <w:color w:val="auto"/>
                <w:sz w:val="24"/>
              </w:rPr>
              <w:t>货物</w:t>
            </w:r>
          </w:p>
          <w:p w14:paraId="05696411">
            <w:pPr>
              <w:spacing w:before="120" w:line="360" w:lineRule="auto"/>
              <w:jc w:val="center"/>
              <w:rPr>
                <w:rFonts w:hint="eastAsia" w:ascii="宋体" w:hAnsi="宋体" w:eastAsia="宋体" w:cs="仿宋_GB2312"/>
                <w:b/>
                <w:bCs/>
                <w:color w:val="auto"/>
                <w:sz w:val="24"/>
              </w:rPr>
            </w:pPr>
            <w:r>
              <w:rPr>
                <w:rFonts w:hint="eastAsia" w:ascii="宋体" w:hAnsi="宋体" w:eastAsia="宋体" w:cs="仿宋_GB2312"/>
                <w:b/>
                <w:bCs/>
                <w:color w:val="auto"/>
                <w:sz w:val="24"/>
              </w:rPr>
              <w:t>名称</w:t>
            </w:r>
          </w:p>
        </w:tc>
        <w:tc>
          <w:tcPr>
            <w:tcW w:w="1005" w:type="dxa"/>
            <w:tcBorders>
              <w:top w:val="single" w:color="auto" w:sz="4" w:space="0"/>
              <w:left w:val="single" w:color="auto" w:sz="4" w:space="0"/>
              <w:bottom w:val="single" w:color="auto" w:sz="4" w:space="0"/>
              <w:right w:val="single" w:color="auto" w:sz="4" w:space="0"/>
            </w:tcBorders>
            <w:vAlign w:val="center"/>
          </w:tcPr>
          <w:p w14:paraId="55C1F281">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数量及单位</w:t>
            </w:r>
          </w:p>
          <w:p w14:paraId="7CDEFFE0">
            <w:pPr>
              <w:spacing w:before="120" w:line="360" w:lineRule="auto"/>
              <w:ind w:left="-70" w:firstLine="590"/>
              <w:jc w:val="center"/>
              <w:rPr>
                <w:rFonts w:ascii="宋体" w:hAnsi="宋体" w:cs="仿宋_GB2312"/>
                <w:b/>
                <w:bCs/>
                <w:color w:val="auto"/>
                <w:sz w:val="24"/>
              </w:rPr>
            </w:pPr>
            <w:r>
              <w:rPr>
                <w:rFonts w:hint="eastAsia" w:ascii="宋体" w:hAnsi="宋体" w:cs="仿宋_GB2312"/>
                <w:b/>
                <w:bCs/>
                <w:color w:val="auto"/>
                <w:sz w:val="24"/>
              </w:rPr>
              <w:t>①</w:t>
            </w:r>
          </w:p>
        </w:tc>
        <w:tc>
          <w:tcPr>
            <w:tcW w:w="870" w:type="dxa"/>
            <w:tcBorders>
              <w:top w:val="single" w:color="auto" w:sz="4" w:space="0"/>
              <w:left w:val="single" w:color="auto" w:sz="4" w:space="0"/>
              <w:bottom w:val="single" w:color="auto" w:sz="4" w:space="0"/>
              <w:right w:val="single" w:color="auto" w:sz="4" w:space="0"/>
            </w:tcBorders>
            <w:vAlign w:val="center"/>
          </w:tcPr>
          <w:p w14:paraId="0CB74505">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品牌</w:t>
            </w:r>
          </w:p>
        </w:tc>
        <w:tc>
          <w:tcPr>
            <w:tcW w:w="1065" w:type="dxa"/>
            <w:tcBorders>
              <w:top w:val="single" w:color="auto" w:sz="4" w:space="0"/>
              <w:left w:val="single" w:color="auto" w:sz="4" w:space="0"/>
              <w:bottom w:val="single" w:color="auto" w:sz="4" w:space="0"/>
              <w:right w:val="single" w:color="auto" w:sz="4" w:space="0"/>
            </w:tcBorders>
            <w:vAlign w:val="center"/>
          </w:tcPr>
          <w:p w14:paraId="342CC6A5">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规格</w:t>
            </w:r>
          </w:p>
          <w:p w14:paraId="2FBBEF68">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型号</w:t>
            </w:r>
          </w:p>
        </w:tc>
        <w:tc>
          <w:tcPr>
            <w:tcW w:w="2321" w:type="dxa"/>
            <w:tcBorders>
              <w:top w:val="single" w:color="auto" w:sz="4" w:space="0"/>
              <w:left w:val="single" w:color="auto" w:sz="4" w:space="0"/>
              <w:bottom w:val="single" w:color="auto" w:sz="4" w:space="0"/>
              <w:right w:val="single" w:color="auto" w:sz="4" w:space="0"/>
            </w:tcBorders>
            <w:vAlign w:val="center"/>
          </w:tcPr>
          <w:p w14:paraId="7D7365B5">
            <w:pPr>
              <w:spacing w:before="120" w:line="360" w:lineRule="auto"/>
              <w:ind w:left="-70" w:firstLine="590"/>
              <w:jc w:val="both"/>
              <w:rPr>
                <w:rFonts w:ascii="宋体" w:hAnsi="宋体" w:cs="仿宋_GB2312"/>
                <w:b/>
                <w:bCs/>
                <w:color w:val="auto"/>
                <w:sz w:val="24"/>
              </w:rPr>
            </w:pPr>
            <w:r>
              <w:rPr>
                <w:rFonts w:hint="eastAsia" w:ascii="宋体" w:hAnsi="宋体" w:cs="仿宋_GB2312"/>
                <w:b/>
                <w:bCs/>
                <w:color w:val="auto"/>
                <w:sz w:val="24"/>
              </w:rPr>
              <w:t>制造商</w:t>
            </w:r>
          </w:p>
        </w:tc>
        <w:tc>
          <w:tcPr>
            <w:tcW w:w="1849" w:type="dxa"/>
            <w:tcBorders>
              <w:top w:val="single" w:color="auto" w:sz="4" w:space="0"/>
              <w:left w:val="single" w:color="auto" w:sz="4" w:space="0"/>
              <w:bottom w:val="single" w:color="auto" w:sz="4" w:space="0"/>
              <w:right w:val="single" w:color="auto" w:sz="4" w:space="0"/>
            </w:tcBorders>
            <w:vAlign w:val="center"/>
          </w:tcPr>
          <w:p w14:paraId="1F4F728D">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单价</w:t>
            </w:r>
          </w:p>
          <w:p w14:paraId="57FCA7EF">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②</w:t>
            </w:r>
          </w:p>
        </w:tc>
        <w:tc>
          <w:tcPr>
            <w:tcW w:w="1725" w:type="dxa"/>
            <w:tcBorders>
              <w:top w:val="single" w:color="auto" w:sz="4" w:space="0"/>
              <w:left w:val="single" w:color="auto" w:sz="4" w:space="0"/>
              <w:bottom w:val="single" w:color="auto" w:sz="4" w:space="0"/>
              <w:right w:val="single" w:color="auto" w:sz="4" w:space="0"/>
            </w:tcBorders>
            <w:vAlign w:val="center"/>
          </w:tcPr>
          <w:p w14:paraId="00A68918">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竞标报价</w:t>
            </w:r>
          </w:p>
          <w:p w14:paraId="5C92939B">
            <w:pPr>
              <w:spacing w:before="120" w:line="360" w:lineRule="auto"/>
              <w:jc w:val="center"/>
              <w:rPr>
                <w:rFonts w:ascii="宋体" w:hAnsi="宋体" w:cs="仿宋_GB2312"/>
                <w:b/>
                <w:bCs/>
                <w:color w:val="auto"/>
                <w:sz w:val="24"/>
              </w:rPr>
            </w:pPr>
            <w:r>
              <w:rPr>
                <w:rFonts w:hint="eastAsia" w:ascii="宋体" w:hAnsi="宋体" w:cs="仿宋_GB2312"/>
                <w:b/>
                <w:bCs/>
                <w:color w:val="auto"/>
                <w:sz w:val="24"/>
              </w:rPr>
              <w:t>③=①×②</w:t>
            </w:r>
          </w:p>
        </w:tc>
      </w:tr>
      <w:tr w14:paraId="07638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D3843C4">
            <w:pPr>
              <w:spacing w:before="120" w:line="360" w:lineRule="auto"/>
              <w:ind w:left="-70"/>
              <w:jc w:val="center"/>
              <w:rPr>
                <w:rFonts w:ascii="宋体" w:hAnsi="宋体" w:cs="仿宋_GB2312"/>
                <w:color w:val="auto"/>
                <w:sz w:val="24"/>
              </w:rPr>
            </w:pPr>
            <w:r>
              <w:rPr>
                <w:rFonts w:hint="eastAsia" w:ascii="宋体" w:hAnsi="宋体" w:cs="仿宋_GB2312"/>
                <w:color w:val="auto"/>
                <w:sz w:val="24"/>
              </w:rPr>
              <w:t>1</w:t>
            </w:r>
          </w:p>
        </w:tc>
        <w:tc>
          <w:tcPr>
            <w:tcW w:w="1065" w:type="dxa"/>
            <w:tcBorders>
              <w:top w:val="single" w:color="auto" w:sz="4" w:space="0"/>
              <w:left w:val="single" w:color="auto" w:sz="4" w:space="0"/>
              <w:bottom w:val="single" w:color="auto" w:sz="4" w:space="0"/>
              <w:right w:val="single" w:color="auto" w:sz="4" w:space="0"/>
            </w:tcBorders>
            <w:vAlign w:val="center"/>
          </w:tcPr>
          <w:p w14:paraId="42B9046E">
            <w:pPr>
              <w:spacing w:before="120" w:line="360" w:lineRule="auto"/>
              <w:ind w:left="-70"/>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481EFC48">
            <w:pPr>
              <w:spacing w:before="120" w:line="360" w:lineRule="auto"/>
              <w:ind w:left="-70"/>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7F5AB8D1">
            <w:pPr>
              <w:spacing w:before="120" w:line="360" w:lineRule="auto"/>
              <w:ind w:left="-70"/>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02BA75E1">
            <w:pPr>
              <w:spacing w:before="120" w:line="360" w:lineRule="auto"/>
              <w:ind w:left="-70"/>
              <w:jc w:val="center"/>
              <w:rPr>
                <w:rFonts w:ascii="宋体" w:hAnsi="宋体" w:cs="仿宋_GB2312"/>
                <w:color w:val="auto"/>
                <w:sz w:val="24"/>
              </w:rPr>
            </w:pPr>
          </w:p>
        </w:tc>
        <w:tc>
          <w:tcPr>
            <w:tcW w:w="2321" w:type="dxa"/>
            <w:tcBorders>
              <w:top w:val="single" w:color="auto" w:sz="4" w:space="0"/>
              <w:left w:val="single" w:color="auto" w:sz="4" w:space="0"/>
              <w:bottom w:val="single" w:color="auto" w:sz="4" w:space="0"/>
              <w:right w:val="single" w:color="auto" w:sz="4" w:space="0"/>
            </w:tcBorders>
            <w:vAlign w:val="center"/>
          </w:tcPr>
          <w:p w14:paraId="0C04C7A7">
            <w:pPr>
              <w:spacing w:before="120" w:line="360" w:lineRule="auto"/>
              <w:ind w:left="-70"/>
              <w:jc w:val="center"/>
              <w:rPr>
                <w:rFonts w:ascii="宋体" w:hAnsi="宋体" w:cs="仿宋_GB2312"/>
                <w:color w:val="auto"/>
                <w:sz w:val="24"/>
              </w:rPr>
            </w:pPr>
          </w:p>
        </w:tc>
        <w:tc>
          <w:tcPr>
            <w:tcW w:w="1849" w:type="dxa"/>
            <w:tcBorders>
              <w:top w:val="single" w:color="auto" w:sz="4" w:space="0"/>
              <w:left w:val="single" w:color="auto" w:sz="4" w:space="0"/>
              <w:bottom w:val="single" w:color="auto" w:sz="4" w:space="0"/>
              <w:right w:val="single" w:color="auto" w:sz="4" w:space="0"/>
            </w:tcBorders>
            <w:vAlign w:val="center"/>
          </w:tcPr>
          <w:p w14:paraId="5CDB6723">
            <w:pPr>
              <w:spacing w:before="120" w:line="360" w:lineRule="auto"/>
              <w:ind w:left="-70"/>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404AAB3B">
            <w:pPr>
              <w:spacing w:before="120" w:line="360" w:lineRule="auto"/>
              <w:ind w:left="-70"/>
              <w:jc w:val="center"/>
              <w:rPr>
                <w:rFonts w:ascii="宋体" w:hAnsi="宋体" w:cs="仿宋_GB2312"/>
                <w:color w:val="auto"/>
                <w:sz w:val="24"/>
              </w:rPr>
            </w:pPr>
          </w:p>
        </w:tc>
      </w:tr>
      <w:tr w14:paraId="2A842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5EBA98CB">
            <w:pPr>
              <w:spacing w:before="120" w:line="360" w:lineRule="auto"/>
              <w:ind w:left="-70"/>
              <w:jc w:val="center"/>
              <w:rPr>
                <w:rFonts w:ascii="宋体" w:hAnsi="宋体" w:cs="仿宋_GB2312"/>
                <w:color w:val="auto"/>
                <w:sz w:val="24"/>
              </w:rPr>
            </w:pPr>
            <w:r>
              <w:rPr>
                <w:rFonts w:hint="eastAsia" w:ascii="宋体" w:hAnsi="宋体" w:cs="仿宋_GB2312"/>
                <w:color w:val="auto"/>
                <w:sz w:val="24"/>
              </w:rPr>
              <w:t>2</w:t>
            </w:r>
          </w:p>
        </w:tc>
        <w:tc>
          <w:tcPr>
            <w:tcW w:w="1065" w:type="dxa"/>
            <w:tcBorders>
              <w:top w:val="single" w:color="auto" w:sz="4" w:space="0"/>
              <w:left w:val="single" w:color="auto" w:sz="4" w:space="0"/>
              <w:bottom w:val="single" w:color="auto" w:sz="4" w:space="0"/>
              <w:right w:val="single" w:color="auto" w:sz="4" w:space="0"/>
            </w:tcBorders>
            <w:vAlign w:val="center"/>
          </w:tcPr>
          <w:p w14:paraId="106EF1AD">
            <w:pPr>
              <w:spacing w:before="120" w:line="360" w:lineRule="auto"/>
              <w:ind w:left="-70"/>
              <w:jc w:val="center"/>
              <w:rPr>
                <w:rFonts w:ascii="宋体" w:hAnsi="宋体" w:cs="仿宋_GB2312"/>
                <w:color w:val="auto"/>
                <w:sz w:val="24"/>
              </w:rPr>
            </w:pPr>
          </w:p>
        </w:tc>
        <w:tc>
          <w:tcPr>
            <w:tcW w:w="1005" w:type="dxa"/>
            <w:tcBorders>
              <w:top w:val="single" w:color="auto" w:sz="4" w:space="0"/>
              <w:left w:val="single" w:color="auto" w:sz="4" w:space="0"/>
              <w:bottom w:val="single" w:color="auto" w:sz="4" w:space="0"/>
              <w:right w:val="single" w:color="auto" w:sz="4" w:space="0"/>
            </w:tcBorders>
            <w:vAlign w:val="center"/>
          </w:tcPr>
          <w:p w14:paraId="4F3706A3">
            <w:pPr>
              <w:spacing w:before="120" w:line="360" w:lineRule="auto"/>
              <w:ind w:left="-70"/>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7B7E0D67">
            <w:pPr>
              <w:spacing w:before="120" w:line="360" w:lineRule="auto"/>
              <w:ind w:left="-70"/>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209B5427">
            <w:pPr>
              <w:spacing w:before="120" w:line="360" w:lineRule="auto"/>
              <w:ind w:left="-70"/>
              <w:jc w:val="center"/>
              <w:rPr>
                <w:rFonts w:ascii="宋体" w:hAnsi="宋体" w:cs="仿宋_GB2312"/>
                <w:color w:val="auto"/>
                <w:sz w:val="24"/>
              </w:rPr>
            </w:pPr>
          </w:p>
        </w:tc>
        <w:tc>
          <w:tcPr>
            <w:tcW w:w="2321" w:type="dxa"/>
            <w:tcBorders>
              <w:top w:val="single" w:color="auto" w:sz="4" w:space="0"/>
              <w:left w:val="single" w:color="auto" w:sz="4" w:space="0"/>
              <w:bottom w:val="single" w:color="auto" w:sz="4" w:space="0"/>
              <w:right w:val="single" w:color="auto" w:sz="4" w:space="0"/>
            </w:tcBorders>
            <w:vAlign w:val="center"/>
          </w:tcPr>
          <w:p w14:paraId="4FBAA280">
            <w:pPr>
              <w:spacing w:before="120" w:line="360" w:lineRule="auto"/>
              <w:ind w:left="-70"/>
              <w:jc w:val="center"/>
              <w:rPr>
                <w:rFonts w:ascii="宋体" w:hAnsi="宋体" w:cs="仿宋_GB2312"/>
                <w:color w:val="auto"/>
                <w:sz w:val="24"/>
              </w:rPr>
            </w:pPr>
          </w:p>
        </w:tc>
        <w:tc>
          <w:tcPr>
            <w:tcW w:w="1849" w:type="dxa"/>
            <w:tcBorders>
              <w:top w:val="single" w:color="auto" w:sz="4" w:space="0"/>
              <w:left w:val="single" w:color="auto" w:sz="4" w:space="0"/>
              <w:bottom w:val="single" w:color="auto" w:sz="4" w:space="0"/>
              <w:right w:val="single" w:color="auto" w:sz="4" w:space="0"/>
            </w:tcBorders>
            <w:vAlign w:val="center"/>
          </w:tcPr>
          <w:p w14:paraId="4BF29C34">
            <w:pPr>
              <w:spacing w:before="120" w:line="360" w:lineRule="auto"/>
              <w:ind w:left="-70"/>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608C77F9">
            <w:pPr>
              <w:spacing w:before="120" w:line="360" w:lineRule="auto"/>
              <w:ind w:left="-70"/>
              <w:jc w:val="center"/>
              <w:rPr>
                <w:rFonts w:ascii="宋体" w:hAnsi="宋体" w:cs="仿宋_GB2312"/>
                <w:color w:val="auto"/>
                <w:sz w:val="24"/>
              </w:rPr>
            </w:pPr>
          </w:p>
        </w:tc>
      </w:tr>
      <w:tr w14:paraId="794FE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vAlign w:val="center"/>
          </w:tcPr>
          <w:p w14:paraId="46EE1E79">
            <w:pPr>
              <w:spacing w:before="120" w:line="360" w:lineRule="auto"/>
              <w:ind w:left="-70"/>
              <w:jc w:val="center"/>
              <w:rPr>
                <w:rFonts w:ascii="宋体" w:hAnsi="宋体" w:cs="仿宋_GB2312"/>
                <w:color w:val="auto"/>
                <w:sz w:val="24"/>
              </w:rPr>
            </w:pPr>
            <w:r>
              <w:rPr>
                <w:rFonts w:hint="eastAsia" w:ascii="宋体" w:hAnsi="宋体" w:cs="仿宋_GB2312"/>
                <w:color w:val="auto"/>
                <w:sz w:val="24"/>
              </w:rPr>
              <w:t>…</w:t>
            </w:r>
          </w:p>
        </w:tc>
        <w:tc>
          <w:tcPr>
            <w:tcW w:w="1065" w:type="dxa"/>
            <w:tcBorders>
              <w:top w:val="single" w:color="auto" w:sz="4" w:space="0"/>
              <w:left w:val="single" w:color="auto" w:sz="4" w:space="0"/>
              <w:bottom w:val="single" w:color="auto" w:sz="4" w:space="0"/>
              <w:right w:val="single" w:color="auto" w:sz="4" w:space="0"/>
            </w:tcBorders>
            <w:vAlign w:val="center"/>
          </w:tcPr>
          <w:p w14:paraId="53394C67">
            <w:pPr>
              <w:spacing w:before="120" w:line="360" w:lineRule="auto"/>
              <w:ind w:left="-70"/>
              <w:jc w:val="center"/>
              <w:rPr>
                <w:rFonts w:ascii="宋体" w:hAnsi="宋体" w:cs="仿宋_GB2312"/>
                <w:color w:val="auto"/>
                <w:sz w:val="24"/>
              </w:rPr>
            </w:pPr>
            <w:r>
              <w:rPr>
                <w:rFonts w:hint="eastAsia" w:ascii="宋体" w:hAnsi="宋体" w:cs="仿宋_GB2312"/>
                <w:color w:val="auto"/>
                <w:sz w:val="24"/>
              </w:rPr>
              <w:t>……</w:t>
            </w:r>
          </w:p>
        </w:tc>
        <w:tc>
          <w:tcPr>
            <w:tcW w:w="1005" w:type="dxa"/>
            <w:tcBorders>
              <w:top w:val="single" w:color="auto" w:sz="4" w:space="0"/>
              <w:left w:val="single" w:color="auto" w:sz="4" w:space="0"/>
              <w:bottom w:val="single" w:color="auto" w:sz="4" w:space="0"/>
              <w:right w:val="single" w:color="auto" w:sz="4" w:space="0"/>
            </w:tcBorders>
            <w:vAlign w:val="center"/>
          </w:tcPr>
          <w:p w14:paraId="6FA59E33">
            <w:pPr>
              <w:spacing w:before="120" w:line="360" w:lineRule="auto"/>
              <w:ind w:left="-70"/>
              <w:jc w:val="center"/>
              <w:rPr>
                <w:rFonts w:ascii="宋体" w:hAnsi="宋体" w:cs="仿宋_GB2312"/>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00A37C22">
            <w:pPr>
              <w:spacing w:before="120" w:line="360" w:lineRule="auto"/>
              <w:ind w:left="-70"/>
              <w:jc w:val="center"/>
              <w:rPr>
                <w:rFonts w:ascii="宋体" w:hAnsi="宋体" w:cs="仿宋_GB2312"/>
                <w:color w:val="auto"/>
                <w:sz w:val="24"/>
              </w:rPr>
            </w:pPr>
          </w:p>
        </w:tc>
        <w:tc>
          <w:tcPr>
            <w:tcW w:w="1065" w:type="dxa"/>
            <w:tcBorders>
              <w:top w:val="single" w:color="auto" w:sz="4" w:space="0"/>
              <w:left w:val="single" w:color="auto" w:sz="4" w:space="0"/>
              <w:bottom w:val="single" w:color="auto" w:sz="4" w:space="0"/>
              <w:right w:val="single" w:color="auto" w:sz="4" w:space="0"/>
            </w:tcBorders>
            <w:vAlign w:val="center"/>
          </w:tcPr>
          <w:p w14:paraId="453D5916">
            <w:pPr>
              <w:spacing w:before="120" w:line="360" w:lineRule="auto"/>
              <w:ind w:left="-70"/>
              <w:jc w:val="center"/>
              <w:rPr>
                <w:rFonts w:ascii="宋体" w:hAnsi="宋体" w:cs="仿宋_GB2312"/>
                <w:color w:val="auto"/>
                <w:sz w:val="24"/>
              </w:rPr>
            </w:pPr>
          </w:p>
        </w:tc>
        <w:tc>
          <w:tcPr>
            <w:tcW w:w="2321" w:type="dxa"/>
            <w:tcBorders>
              <w:top w:val="single" w:color="auto" w:sz="4" w:space="0"/>
              <w:left w:val="single" w:color="auto" w:sz="4" w:space="0"/>
              <w:bottom w:val="single" w:color="auto" w:sz="4" w:space="0"/>
              <w:right w:val="single" w:color="auto" w:sz="4" w:space="0"/>
            </w:tcBorders>
            <w:vAlign w:val="center"/>
          </w:tcPr>
          <w:p w14:paraId="1074890D">
            <w:pPr>
              <w:spacing w:before="120" w:line="360" w:lineRule="auto"/>
              <w:ind w:left="-70"/>
              <w:jc w:val="center"/>
              <w:rPr>
                <w:rFonts w:ascii="宋体" w:hAnsi="宋体" w:cs="仿宋_GB2312"/>
                <w:color w:val="auto"/>
                <w:sz w:val="24"/>
              </w:rPr>
            </w:pPr>
          </w:p>
        </w:tc>
        <w:tc>
          <w:tcPr>
            <w:tcW w:w="1849" w:type="dxa"/>
            <w:tcBorders>
              <w:top w:val="single" w:color="auto" w:sz="4" w:space="0"/>
              <w:left w:val="single" w:color="auto" w:sz="4" w:space="0"/>
              <w:bottom w:val="single" w:color="auto" w:sz="4" w:space="0"/>
              <w:right w:val="single" w:color="auto" w:sz="4" w:space="0"/>
            </w:tcBorders>
          </w:tcPr>
          <w:p w14:paraId="499EDEE7">
            <w:pPr>
              <w:spacing w:before="120" w:line="360" w:lineRule="auto"/>
              <w:ind w:left="-70"/>
              <w:jc w:val="center"/>
              <w:rPr>
                <w:rFonts w:ascii="宋体" w:hAnsi="宋体" w:cs="仿宋_GB2312"/>
                <w:color w:val="auto"/>
                <w:sz w:val="24"/>
              </w:rPr>
            </w:pPr>
          </w:p>
        </w:tc>
        <w:tc>
          <w:tcPr>
            <w:tcW w:w="1725" w:type="dxa"/>
            <w:tcBorders>
              <w:top w:val="single" w:color="auto" w:sz="4" w:space="0"/>
              <w:left w:val="single" w:color="auto" w:sz="4" w:space="0"/>
              <w:bottom w:val="single" w:color="auto" w:sz="4" w:space="0"/>
              <w:right w:val="single" w:color="auto" w:sz="4" w:space="0"/>
            </w:tcBorders>
            <w:vAlign w:val="center"/>
          </w:tcPr>
          <w:p w14:paraId="6156A2F5">
            <w:pPr>
              <w:spacing w:before="120" w:line="360" w:lineRule="auto"/>
              <w:ind w:left="-70"/>
              <w:jc w:val="center"/>
              <w:rPr>
                <w:rFonts w:ascii="宋体" w:hAnsi="宋体" w:cs="仿宋_GB2312"/>
                <w:color w:val="auto"/>
                <w:sz w:val="24"/>
              </w:rPr>
            </w:pPr>
          </w:p>
        </w:tc>
      </w:tr>
      <w:tr w14:paraId="0EA63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8"/>
            <w:tcBorders>
              <w:top w:val="single" w:color="auto" w:sz="4" w:space="0"/>
              <w:left w:val="single" w:color="auto" w:sz="4" w:space="0"/>
              <w:bottom w:val="single" w:color="auto" w:sz="4" w:space="0"/>
              <w:right w:val="single" w:color="auto" w:sz="4" w:space="0"/>
            </w:tcBorders>
          </w:tcPr>
          <w:p w14:paraId="24756186">
            <w:pPr>
              <w:snapToGrid w:val="0"/>
              <w:spacing w:before="120" w:after="50" w:line="360" w:lineRule="auto"/>
              <w:ind w:left="-70"/>
              <w:rPr>
                <w:rFonts w:ascii="宋体" w:hAnsi="宋体" w:cs="仿宋_GB2312"/>
                <w:color w:val="auto"/>
                <w:sz w:val="24"/>
              </w:rPr>
            </w:pPr>
            <w:r>
              <w:rPr>
                <w:rFonts w:hint="eastAsia" w:ascii="宋体" w:hAnsi="宋体" w:cs="仿宋_GB2312"/>
                <w:color w:val="auto"/>
                <w:sz w:val="24"/>
              </w:rPr>
              <w:t>合计金额大写：人民币</w:t>
            </w:r>
            <w:r>
              <w:rPr>
                <w:rFonts w:hint="eastAsia" w:ascii="宋体" w:hAnsi="宋体" w:cs="仿宋_GB2312"/>
                <w:color w:val="auto"/>
                <w:sz w:val="24"/>
                <w:u w:val="single"/>
              </w:rPr>
              <w:t xml:space="preserve">           </w:t>
            </w:r>
            <w:r>
              <w:rPr>
                <w:rFonts w:hint="eastAsia" w:ascii="宋体" w:hAnsi="宋体" w:cs="仿宋_GB2312"/>
                <w:color w:val="auto"/>
                <w:sz w:val="24"/>
              </w:rPr>
              <w:t>（￥</w:t>
            </w:r>
            <w:r>
              <w:rPr>
                <w:rFonts w:hint="eastAsia" w:ascii="宋体" w:hAnsi="宋体" w:cs="仿宋_GB2312"/>
                <w:color w:val="auto"/>
                <w:sz w:val="24"/>
                <w:u w:val="single"/>
              </w:rPr>
              <w:t xml:space="preserve">           </w:t>
            </w:r>
            <w:r>
              <w:rPr>
                <w:rFonts w:hint="eastAsia" w:ascii="宋体" w:hAnsi="宋体" w:cs="仿宋_GB2312"/>
                <w:color w:val="auto"/>
                <w:sz w:val="24"/>
              </w:rPr>
              <w:t>）</w:t>
            </w:r>
          </w:p>
          <w:p w14:paraId="0EF35ACD">
            <w:pPr>
              <w:snapToGrid w:val="0"/>
              <w:spacing w:before="120" w:after="50" w:line="360" w:lineRule="auto"/>
              <w:ind w:left="-70"/>
              <w:rPr>
                <w:rFonts w:ascii="宋体" w:hAnsi="宋体" w:cs="仿宋_GB2312"/>
                <w:color w:val="auto"/>
                <w:sz w:val="24"/>
                <w:u w:val="single"/>
              </w:rPr>
            </w:pPr>
            <w:r>
              <w:rPr>
                <w:rFonts w:hint="eastAsia" w:ascii="宋体" w:hAnsi="宋体" w:cs="仿宋_GB2312"/>
                <w:color w:val="auto"/>
                <w:sz w:val="24"/>
              </w:rPr>
              <w:t>（1） 非预留给中小企业货物制造商竞标总报价合计金额</w:t>
            </w:r>
            <w:r>
              <w:rPr>
                <w:rFonts w:hint="eastAsia" w:ascii="宋体" w:hAnsi="宋体" w:cs="仿宋_GB2312"/>
                <w:color w:val="auto"/>
                <w:sz w:val="24"/>
                <w:u w:val="single"/>
              </w:rPr>
              <w:t>大写： 人民币 （¥      ）</w:t>
            </w:r>
            <w:r>
              <w:rPr>
                <w:rFonts w:hint="eastAsia" w:ascii="宋体" w:hAnsi="宋体" w:cs="仿宋_GB2312"/>
                <w:color w:val="auto"/>
                <w:sz w:val="24"/>
              </w:rPr>
              <w:t>，所占比例：</w:t>
            </w:r>
            <w:r>
              <w:rPr>
                <w:rFonts w:hint="eastAsia" w:ascii="宋体" w:hAnsi="宋体" w:cs="仿宋_GB2312"/>
                <w:color w:val="auto"/>
                <w:sz w:val="24"/>
                <w:u w:val="single"/>
              </w:rPr>
              <w:t xml:space="preserve">       </w:t>
            </w:r>
            <w:r>
              <w:rPr>
                <w:rFonts w:hint="eastAsia" w:ascii="宋体" w:hAnsi="宋体" w:cs="仿宋_GB2312"/>
                <w:color w:val="auto"/>
                <w:sz w:val="24"/>
              </w:rPr>
              <w:t>；</w:t>
            </w:r>
          </w:p>
          <w:p w14:paraId="1E02CFC0">
            <w:pPr>
              <w:snapToGrid w:val="0"/>
              <w:spacing w:before="120" w:after="50" w:line="360" w:lineRule="auto"/>
              <w:ind w:left="-70"/>
              <w:rPr>
                <w:rFonts w:ascii="宋体" w:hAnsi="宋体" w:cs="仿宋_GB2312"/>
                <w:color w:val="auto"/>
                <w:sz w:val="24"/>
              </w:rPr>
            </w:pPr>
            <w:r>
              <w:rPr>
                <w:rFonts w:hint="eastAsia" w:ascii="宋体" w:hAnsi="宋体" w:cs="仿宋_GB2312"/>
                <w:color w:val="auto"/>
                <w:sz w:val="24"/>
              </w:rPr>
              <w:t>（2）部分预留给中小企业货物制造商竞标总报价合计金额</w:t>
            </w:r>
            <w:r>
              <w:rPr>
                <w:rFonts w:hint="eastAsia" w:ascii="宋体" w:hAnsi="宋体" w:cs="仿宋_GB2312"/>
                <w:color w:val="auto"/>
                <w:sz w:val="24"/>
                <w:u w:val="single"/>
              </w:rPr>
              <w:t>大写：人民币 （¥       ）</w:t>
            </w:r>
            <w:r>
              <w:rPr>
                <w:rFonts w:hint="eastAsia" w:ascii="宋体" w:hAnsi="宋体" w:cs="仿宋_GB2312"/>
                <w:color w:val="auto"/>
                <w:sz w:val="24"/>
              </w:rPr>
              <w:t>，所占比例：</w:t>
            </w:r>
            <w:r>
              <w:rPr>
                <w:rFonts w:hint="eastAsia" w:ascii="宋体" w:hAnsi="宋体" w:cs="仿宋_GB2312"/>
                <w:color w:val="auto"/>
                <w:sz w:val="24"/>
                <w:u w:val="single"/>
              </w:rPr>
              <w:t xml:space="preserve">        </w:t>
            </w:r>
            <w:r>
              <w:rPr>
                <w:rFonts w:hint="eastAsia" w:ascii="宋体" w:hAnsi="宋体" w:cs="仿宋_GB2312"/>
                <w:color w:val="auto"/>
                <w:sz w:val="24"/>
              </w:rPr>
              <w:t>；</w:t>
            </w:r>
          </w:p>
          <w:p w14:paraId="7EC9B213">
            <w:pPr>
              <w:snapToGrid w:val="0"/>
              <w:spacing w:before="120" w:after="50" w:line="360" w:lineRule="auto"/>
              <w:ind w:left="-70"/>
              <w:rPr>
                <w:rFonts w:ascii="宋体" w:hAnsi="宋体" w:cs="仿宋_GB2312"/>
                <w:color w:val="auto"/>
                <w:sz w:val="24"/>
                <w:u w:val="single"/>
              </w:rPr>
            </w:pPr>
            <w:r>
              <w:rPr>
                <w:rFonts w:hint="eastAsia" w:ascii="宋体" w:hAnsi="宋体" w:cs="仿宋_GB2312"/>
                <w:color w:val="auto"/>
                <w:sz w:val="24"/>
              </w:rPr>
              <w:t>（3）1+2 合计金额</w:t>
            </w:r>
            <w:r>
              <w:rPr>
                <w:rFonts w:hint="eastAsia" w:ascii="宋体" w:hAnsi="宋体" w:cs="仿宋_GB2312"/>
                <w:color w:val="auto"/>
                <w:sz w:val="24"/>
                <w:u w:val="single"/>
              </w:rPr>
              <w:t>大写：人民币        （¥        ）</w:t>
            </w:r>
            <w:r>
              <w:rPr>
                <w:rFonts w:hint="eastAsia" w:ascii="宋体" w:hAnsi="宋体" w:cs="仿宋_GB2312"/>
                <w:color w:val="auto"/>
                <w:sz w:val="24"/>
              </w:rPr>
              <w:t>；</w:t>
            </w:r>
          </w:p>
          <w:p w14:paraId="600E1F8B">
            <w:pPr>
              <w:snapToGrid w:val="0"/>
              <w:spacing w:before="120" w:after="50" w:line="360" w:lineRule="auto"/>
              <w:rPr>
                <w:rFonts w:ascii="宋体" w:hAnsi="宋体" w:cs="仿宋_GB2312"/>
                <w:color w:val="auto"/>
                <w:sz w:val="24"/>
              </w:rPr>
            </w:pPr>
            <w:r>
              <w:rPr>
                <w:rFonts w:hint="eastAsia" w:ascii="宋体" w:hAnsi="宋体" w:cs="仿宋_GB2312"/>
                <w:color w:val="auto"/>
                <w:sz w:val="24"/>
              </w:rPr>
              <w:t>(4)竞标货物中，属于优先采购节能产品总值为</w:t>
            </w:r>
            <w:r>
              <w:rPr>
                <w:rFonts w:hint="eastAsia" w:ascii="宋体" w:hAnsi="宋体" w:cs="仿宋_GB2312"/>
                <w:color w:val="auto"/>
                <w:sz w:val="24"/>
                <w:u w:val="single"/>
              </w:rPr>
              <w:t xml:space="preserve">¥    </w:t>
            </w:r>
            <w:r>
              <w:rPr>
                <w:rFonts w:hint="eastAsia" w:ascii="宋体" w:hAnsi="宋体" w:cs="仿宋_GB2312"/>
                <w:color w:val="auto"/>
                <w:sz w:val="24"/>
              </w:rPr>
              <w:t>（具体明细详见附表，附表格式自拟），占本竞标报价的比例为</w:t>
            </w:r>
            <w:r>
              <w:rPr>
                <w:rFonts w:hint="eastAsia" w:ascii="宋体" w:hAnsi="宋体" w:cs="仿宋_GB2312"/>
                <w:color w:val="auto"/>
                <w:sz w:val="24"/>
                <w:u w:val="single"/>
              </w:rPr>
              <w:t xml:space="preserve">    %；</w:t>
            </w:r>
            <w:r>
              <w:rPr>
                <w:rFonts w:hint="eastAsia" w:ascii="宋体" w:hAnsi="宋体" w:cs="仿宋_GB2312"/>
                <w:color w:val="auto"/>
                <w:sz w:val="24"/>
              </w:rPr>
              <w:t>属于优先采购环境标志产品总值为</w:t>
            </w:r>
            <w:r>
              <w:rPr>
                <w:rFonts w:hint="eastAsia" w:ascii="宋体" w:hAnsi="宋体" w:cs="仿宋_GB2312"/>
                <w:color w:val="auto"/>
                <w:sz w:val="24"/>
                <w:u w:val="single"/>
              </w:rPr>
              <w:t>¥    （</w:t>
            </w:r>
            <w:r>
              <w:rPr>
                <w:rFonts w:hint="eastAsia" w:ascii="宋体" w:hAnsi="宋体" w:cs="仿宋_GB2312"/>
                <w:color w:val="auto"/>
                <w:sz w:val="24"/>
              </w:rPr>
              <w:t>具体明细详见附表，附表格式自拟），占本竞标报价的比例为</w:t>
            </w:r>
            <w:r>
              <w:rPr>
                <w:rFonts w:hint="eastAsia" w:ascii="宋体" w:hAnsi="宋体" w:cs="仿宋_GB2312"/>
                <w:color w:val="auto"/>
                <w:sz w:val="24"/>
                <w:u w:val="single"/>
              </w:rPr>
              <w:t xml:space="preserve">     %</w:t>
            </w:r>
            <w:r>
              <w:rPr>
                <w:rFonts w:hint="eastAsia" w:ascii="宋体" w:hAnsi="宋体" w:cs="仿宋_GB2312"/>
                <w:color w:val="auto"/>
                <w:sz w:val="24"/>
              </w:rPr>
              <w:t>。</w:t>
            </w:r>
          </w:p>
          <w:p w14:paraId="14267215">
            <w:pPr>
              <w:snapToGrid w:val="0"/>
              <w:spacing w:before="120" w:after="50" w:line="360" w:lineRule="auto"/>
              <w:rPr>
                <w:rFonts w:ascii="宋体" w:hAnsi="宋体" w:cs="仿宋_GB2312"/>
                <w:color w:val="auto"/>
                <w:sz w:val="24"/>
                <w:u w:val="single"/>
              </w:rPr>
            </w:pPr>
            <w:r>
              <w:rPr>
                <w:rFonts w:hint="eastAsia" w:ascii="宋体" w:hAnsi="宋体" w:cs="仿宋_GB2312"/>
                <w:color w:val="auto"/>
                <w:sz w:val="24"/>
              </w:rPr>
              <w:t>备注：本项目属于部分预留份额专门面向中小企业采购的项目，预留预算总金额</w:t>
            </w:r>
            <w:r>
              <w:rPr>
                <w:rFonts w:hint="eastAsia" w:ascii="宋体" w:hAnsi="宋体" w:cs="仿宋_GB2312"/>
                <w:color w:val="auto"/>
                <w:sz w:val="24"/>
                <w:lang w:eastAsia="zh-CN"/>
              </w:rPr>
              <w:t>不低于</w:t>
            </w:r>
            <w:r>
              <w:rPr>
                <w:rFonts w:hint="eastAsia" w:ascii="宋体" w:hAnsi="宋体" w:cs="仿宋_GB2312"/>
                <w:color w:val="auto"/>
                <w:sz w:val="24"/>
                <w:lang w:val="en-US" w:eastAsia="zh-CN"/>
              </w:rPr>
              <w:t>70.14</w:t>
            </w:r>
            <w:r>
              <w:rPr>
                <w:rFonts w:hint="eastAsia" w:ascii="宋体" w:hAnsi="宋体" w:cs="仿宋_GB2312"/>
                <w:color w:val="auto"/>
                <w:sz w:val="24"/>
              </w:rPr>
              <w:t>%专门面向中小企业采购，预留份额部分货物制造商应为中小企业或监狱企业或残疾人福利性单位。属于部分预留份额专门面向中小企业采购的项目不得小于</w:t>
            </w:r>
            <w:r>
              <w:rPr>
                <w:rFonts w:hint="eastAsia" w:ascii="宋体" w:hAnsi="宋体" w:cs="仿宋_GB2312"/>
                <w:color w:val="auto"/>
                <w:sz w:val="24"/>
                <w:lang w:val="en-US" w:eastAsia="zh-CN"/>
              </w:rPr>
              <w:t>70.14</w:t>
            </w:r>
            <w:r>
              <w:rPr>
                <w:rFonts w:hint="eastAsia" w:ascii="宋体" w:hAnsi="宋体" w:cs="仿宋_GB2312"/>
                <w:color w:val="auto"/>
                <w:sz w:val="24"/>
              </w:rPr>
              <w:t>%，否则竞标无效。</w:t>
            </w:r>
          </w:p>
        </w:tc>
      </w:tr>
    </w:tbl>
    <w:p w14:paraId="5596EA6E">
      <w:pPr>
        <w:spacing w:before="120" w:line="360" w:lineRule="auto"/>
        <w:ind w:left="-70"/>
        <w:contextualSpacing/>
        <w:jc w:val="left"/>
        <w:rPr>
          <w:rFonts w:ascii="宋体" w:hAnsi="宋体" w:cs="仿宋_GB2312"/>
          <w:color w:val="auto"/>
          <w:sz w:val="24"/>
        </w:rPr>
      </w:pPr>
    </w:p>
    <w:p w14:paraId="2D9317DF">
      <w:pPr>
        <w:spacing w:before="120" w:line="360" w:lineRule="auto"/>
        <w:ind w:left="-70"/>
        <w:contextualSpacing/>
        <w:jc w:val="left"/>
        <w:rPr>
          <w:rFonts w:ascii="宋体" w:hAnsi="宋体" w:cs="仿宋_GB2312"/>
          <w:color w:val="auto"/>
          <w:sz w:val="24"/>
        </w:rPr>
      </w:pPr>
      <w:r>
        <w:rPr>
          <w:rFonts w:hint="eastAsia" w:ascii="宋体" w:hAnsi="宋体" w:cs="仿宋_GB2312"/>
          <w:color w:val="auto"/>
          <w:sz w:val="24"/>
        </w:rPr>
        <w:t xml:space="preserve">注: </w:t>
      </w:r>
    </w:p>
    <w:p w14:paraId="11461E9C">
      <w:pPr>
        <w:spacing w:before="120" w:line="360" w:lineRule="exact"/>
        <w:ind w:left="-70" w:firstLine="480" w:firstLineChars="200"/>
        <w:contextualSpacing/>
        <w:jc w:val="left"/>
        <w:rPr>
          <w:rFonts w:ascii="宋体" w:hAnsi="宋体" w:cs="仿宋_GB2312"/>
          <w:color w:val="auto"/>
          <w:sz w:val="24"/>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以上竞标报价表中“货物名称、产地、品牌及型号、数量及单位、”必须如实填写完整，品牌、规格型号没有则填无，填写有缺漏</w:t>
      </w:r>
      <w:r>
        <w:rPr>
          <w:rFonts w:hint="eastAsia" w:ascii="宋体" w:hAnsi="宋体"/>
          <w:bCs/>
          <w:color w:val="auto"/>
          <w:sz w:val="24"/>
        </w:rPr>
        <w:t>的，</w:t>
      </w:r>
      <w:r>
        <w:rPr>
          <w:rFonts w:hint="eastAsia" w:ascii="宋体" w:hAnsi="宋体" w:cs="仿宋_GB2312"/>
          <w:b/>
          <w:color w:val="auto"/>
          <w:sz w:val="24"/>
        </w:rPr>
        <w:t>其响应文件按无效响应处理</w:t>
      </w:r>
      <w:r>
        <w:rPr>
          <w:rFonts w:hint="eastAsia" w:ascii="宋体" w:hAnsi="宋体"/>
          <w:b/>
          <w:color w:val="auto"/>
          <w:sz w:val="24"/>
        </w:rPr>
        <w:t>。</w:t>
      </w:r>
    </w:p>
    <w:p w14:paraId="47B2CC78">
      <w:pPr>
        <w:spacing w:before="120" w:line="360" w:lineRule="exact"/>
        <w:ind w:left="-70"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.供应商的报价表必须加盖供应商公章并由法定代表人或者委托代理人签字，</w:t>
      </w:r>
      <w:r>
        <w:rPr>
          <w:rFonts w:hint="eastAsia" w:ascii="宋体" w:hAnsi="宋体" w:cs="仿宋_GB2312"/>
          <w:b/>
          <w:color w:val="auto"/>
          <w:sz w:val="24"/>
        </w:rPr>
        <w:t>否则其响应文件按无效响应处理</w:t>
      </w:r>
      <w:r>
        <w:rPr>
          <w:rFonts w:hint="eastAsia" w:ascii="宋体" w:hAnsi="宋体" w:cs="仿宋_GB2312"/>
          <w:color w:val="auto"/>
          <w:sz w:val="24"/>
        </w:rPr>
        <w:t>。</w:t>
      </w:r>
    </w:p>
    <w:p w14:paraId="3CE1FAB1">
      <w:pPr>
        <w:spacing w:before="120" w:line="360" w:lineRule="exact"/>
        <w:ind w:left="-70" w:firstLine="480" w:firstLineChars="200"/>
        <w:contextualSpacing/>
        <w:jc w:val="left"/>
        <w:rPr>
          <w:rFonts w:ascii="宋体" w:hAnsi="宋体" w:cs="仿宋_GB2312"/>
          <w:b/>
          <w:color w:val="auto"/>
          <w:sz w:val="24"/>
        </w:rPr>
      </w:pPr>
      <w:r>
        <w:rPr>
          <w:rFonts w:ascii="宋体" w:hAnsi="宋体" w:cs="仿宋_GB2312"/>
          <w:bCs/>
          <w:color w:val="auto"/>
          <w:sz w:val="24"/>
        </w:rPr>
        <w:t>3</w:t>
      </w:r>
      <w:r>
        <w:rPr>
          <w:rFonts w:hint="eastAsia" w:ascii="宋体" w:hAnsi="宋体" w:cs="仿宋_GB2312"/>
          <w:bCs/>
          <w:color w:val="auto"/>
          <w:sz w:val="24"/>
        </w:rPr>
        <w:t>.</w:t>
      </w:r>
      <w:r>
        <w:rPr>
          <w:rFonts w:hint="eastAsia" w:ascii="宋体" w:hAnsi="宋体" w:cs="仿宋_GB2312"/>
          <w:color w:val="auto"/>
          <w:sz w:val="24"/>
        </w:rPr>
        <w:t>报价一经涂改，应在涂改处加盖供应商公章或者由法定代表人或者授权委托人签字或者盖章</w:t>
      </w:r>
      <w:r>
        <w:rPr>
          <w:rFonts w:hint="eastAsia" w:ascii="宋体" w:hAnsi="宋体" w:cs="仿宋_GB2312"/>
          <w:b/>
          <w:color w:val="auto"/>
          <w:sz w:val="24"/>
        </w:rPr>
        <w:t>，否则其响应文件按无效响应处理。</w:t>
      </w:r>
    </w:p>
    <w:p w14:paraId="1002C078">
      <w:pPr>
        <w:spacing w:before="120" w:line="360" w:lineRule="exact"/>
        <w:ind w:left="-70" w:firstLine="480" w:firstLineChars="200"/>
        <w:contextualSpacing/>
        <w:jc w:val="left"/>
        <w:rPr>
          <w:rFonts w:ascii="宋体" w:hAnsi="宋体" w:cs="仿宋_GB2312"/>
          <w:color w:val="auto"/>
          <w:sz w:val="24"/>
        </w:rPr>
      </w:pPr>
      <w:r>
        <w:rPr>
          <w:rFonts w:ascii="宋体" w:hAnsi="宋体" w:cs="仿宋_GB2312"/>
          <w:color w:val="auto"/>
          <w:sz w:val="24"/>
        </w:rPr>
        <w:t>4</w:t>
      </w:r>
      <w:r>
        <w:rPr>
          <w:rFonts w:hint="eastAsia" w:ascii="宋体" w:hAnsi="宋体" w:cs="仿宋_GB2312"/>
          <w:color w:val="auto"/>
          <w:sz w:val="24"/>
        </w:rPr>
        <w:t>.谈判文件中列明采购专用耗材的，应按谈判文件规定的耗材量或者按耗材的常规试用量提供报价。</w:t>
      </w:r>
    </w:p>
    <w:p w14:paraId="5FE2D9FC">
      <w:pPr>
        <w:spacing w:before="120" w:line="360" w:lineRule="exact"/>
        <w:ind w:left="-70" w:firstLine="480" w:firstLineChars="200"/>
        <w:contextualSpacing/>
        <w:jc w:val="left"/>
        <w:rPr>
          <w:rFonts w:ascii="宋体" w:hAnsi="宋体" w:cs="仿宋_GB2312"/>
          <w:color w:val="auto"/>
          <w:sz w:val="24"/>
        </w:rPr>
      </w:pPr>
      <w:r>
        <w:rPr>
          <w:rFonts w:ascii="宋体" w:hAnsi="宋体" w:cs="仿宋_GB2312"/>
          <w:color w:val="auto"/>
          <w:sz w:val="24"/>
        </w:rPr>
        <w:t>5</w:t>
      </w:r>
      <w:r>
        <w:rPr>
          <w:rFonts w:hint="eastAsia" w:ascii="宋体" w:hAnsi="宋体" w:cs="仿宋_GB2312"/>
          <w:color w:val="auto"/>
          <w:sz w:val="24"/>
        </w:rPr>
        <w:t>.如为联合体竞标,“供应商名称”处必须列明联合体各方名称，标注联合体牵头人名称，</w:t>
      </w:r>
      <w:r>
        <w:rPr>
          <w:rFonts w:hint="eastAsia" w:ascii="宋体" w:hAnsi="宋体" w:cs="仿宋_GB2312"/>
          <w:b/>
          <w:color w:val="auto"/>
          <w:sz w:val="24"/>
        </w:rPr>
        <w:t>否则其响应文件按无效响应处理。（采购人可根据项目情况自行修改是否需要联合体各方签字盖章）</w:t>
      </w:r>
    </w:p>
    <w:p w14:paraId="54329A89">
      <w:pPr>
        <w:spacing w:before="120" w:line="360" w:lineRule="exact"/>
        <w:ind w:left="-70" w:firstLine="480" w:firstLineChars="200"/>
        <w:contextualSpacing/>
        <w:jc w:val="left"/>
        <w:rPr>
          <w:rFonts w:ascii="宋体" w:hAnsi="宋体" w:cs="仿宋_GB2312"/>
          <w:color w:val="auto"/>
          <w:sz w:val="24"/>
        </w:rPr>
      </w:pPr>
      <w:r>
        <w:rPr>
          <w:rFonts w:ascii="宋体" w:hAnsi="宋体" w:cs="仿宋_GB2312"/>
          <w:color w:val="auto"/>
          <w:sz w:val="24"/>
        </w:rPr>
        <w:t>6</w:t>
      </w:r>
      <w:r>
        <w:rPr>
          <w:rFonts w:hint="eastAsia" w:ascii="宋体" w:hAnsi="宋体" w:cs="仿宋_GB2312"/>
          <w:color w:val="auto"/>
          <w:sz w:val="24"/>
        </w:rPr>
        <w:t>.如为联合体竞标,盖章处须加盖联合体各方公章，</w:t>
      </w:r>
      <w:r>
        <w:rPr>
          <w:rFonts w:hint="eastAsia" w:ascii="宋体" w:hAnsi="宋体" w:cs="仿宋_GB2312"/>
          <w:b/>
          <w:color w:val="auto"/>
          <w:sz w:val="24"/>
        </w:rPr>
        <w:t>否则其响应文件按无效响应处理。</w:t>
      </w:r>
    </w:p>
    <w:p w14:paraId="7CEB2BBC">
      <w:pPr>
        <w:spacing w:before="120" w:line="360" w:lineRule="exact"/>
        <w:ind w:left="-70" w:firstLine="480" w:firstLineChars="200"/>
        <w:contextualSpacing/>
        <w:rPr>
          <w:rFonts w:ascii="宋体" w:hAnsi="宋体" w:cs="仿宋_GB2312"/>
          <w:color w:val="auto"/>
          <w:sz w:val="24"/>
        </w:rPr>
      </w:pPr>
      <w:r>
        <w:rPr>
          <w:rFonts w:ascii="宋体" w:hAnsi="宋体" w:cs="仿宋_GB2312"/>
          <w:color w:val="auto"/>
          <w:sz w:val="24"/>
        </w:rPr>
        <w:t>7</w:t>
      </w:r>
      <w:r>
        <w:rPr>
          <w:rFonts w:hint="eastAsia" w:ascii="宋体" w:hAnsi="宋体" w:cs="仿宋_GB2312"/>
          <w:color w:val="auto"/>
          <w:sz w:val="24"/>
        </w:rPr>
        <w:t>.</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否则其响应文件按无效响应处理。</w:t>
      </w:r>
      <w:r>
        <w:rPr>
          <w:rFonts w:hint="eastAsia" w:ascii="宋体" w:hAnsi="宋体" w:cs="仿宋_GB2312"/>
          <w:b/>
          <w:color w:val="auto"/>
          <w:sz w:val="24"/>
        </w:rPr>
        <w:t>（采购人可根据项目情况自行修改是否需要联合体各方签字盖章）</w:t>
      </w:r>
    </w:p>
    <w:p w14:paraId="377BD6F8">
      <w:pPr>
        <w:spacing w:before="120" w:line="400" w:lineRule="exact"/>
        <w:ind w:left="-70" w:right="-817" w:rightChars="-389" w:firstLine="590"/>
        <w:contextualSpacing/>
        <w:rPr>
          <w:rFonts w:ascii="宋体" w:hAnsi="宋体" w:cs="仿宋_GB2312"/>
          <w:b/>
          <w:bCs/>
          <w:color w:val="auto"/>
          <w:sz w:val="24"/>
        </w:rPr>
      </w:pPr>
    </w:p>
    <w:p w14:paraId="5A5B1058">
      <w:pPr>
        <w:spacing w:before="120" w:line="400" w:lineRule="exact"/>
        <w:ind w:left="-70" w:right="-817" w:rightChars="-389" w:firstLine="590"/>
        <w:contextualSpacing/>
        <w:rPr>
          <w:rFonts w:ascii="宋体" w:hAnsi="宋体" w:cs="仿宋_GB2312"/>
          <w:b/>
          <w:bCs/>
          <w:color w:val="auto"/>
          <w:sz w:val="24"/>
        </w:rPr>
      </w:pPr>
    </w:p>
    <w:p w14:paraId="47CA7EBA">
      <w:pPr>
        <w:spacing w:before="120" w:line="400" w:lineRule="exact"/>
        <w:ind w:left="-70" w:right="-817" w:rightChars="-389"/>
        <w:contextualSpacing/>
        <w:rPr>
          <w:rFonts w:ascii="宋体" w:hAnsi="宋体" w:cs="仿宋_GB2312"/>
          <w:color w:val="auto"/>
          <w:sz w:val="24"/>
        </w:rPr>
      </w:pPr>
    </w:p>
    <w:p w14:paraId="2B2C5ABB">
      <w:pPr>
        <w:spacing w:before="120" w:line="400" w:lineRule="exact"/>
        <w:ind w:left="-70"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                    </w:t>
      </w:r>
    </w:p>
    <w:p w14:paraId="5184E753">
      <w:pPr>
        <w:spacing w:before="120" w:line="400" w:lineRule="exact"/>
        <w:ind w:left="-70"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供应商（盖公章）：      </w:t>
      </w:r>
    </w:p>
    <w:p w14:paraId="5D6A5D45">
      <w:pPr>
        <w:spacing w:before="120" w:line="400" w:lineRule="exact"/>
        <w:ind w:left="-70"/>
        <w:jc w:val="center"/>
        <w:rPr>
          <w:rFonts w:ascii="方正小标宋简体" w:hAnsi="方正小标宋简体" w:eastAsia="方正小标宋简体" w:cs="方正小标宋简体"/>
          <w:color w:val="auto"/>
          <w:sz w:val="44"/>
          <w:szCs w:val="44"/>
        </w:rPr>
      </w:pPr>
      <w:r>
        <w:rPr>
          <w:rFonts w:hint="eastAsia" w:ascii="宋体" w:hAnsi="宋体" w:cs="仿宋_GB2312"/>
          <w:color w:val="auto"/>
          <w:sz w:val="24"/>
        </w:rPr>
        <w:t>日期：   年   月   日</w:t>
      </w:r>
      <w:r>
        <w:rPr>
          <w:rFonts w:hint="eastAsia" w:ascii="宋体" w:hAnsi="Courier New"/>
          <w:b/>
          <w:color w:val="auto"/>
          <w:sz w:val="32"/>
          <w:szCs w:val="32"/>
        </w:rPr>
        <w:br w:type="page"/>
      </w:r>
    </w:p>
    <w:p w14:paraId="414C8815">
      <w:pPr>
        <w:spacing w:before="120" w:line="360" w:lineRule="auto"/>
        <w:ind w:right="420"/>
        <w:contextualSpacing/>
        <w:jc w:val="left"/>
        <w:rPr>
          <w:rFonts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 xml:space="preserve">商务技术文件格式 </w:t>
      </w:r>
    </w:p>
    <w:p w14:paraId="69ED33EF">
      <w:pPr>
        <w:snapToGrid w:val="0"/>
        <w:spacing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14:paraId="56EBB157">
      <w:pPr>
        <w:snapToGrid w:val="0"/>
        <w:spacing w:beforeLines="50" w:after="50"/>
        <w:ind w:left="-70"/>
        <w:rPr>
          <w:rFonts w:ascii="宋体" w:hAnsi="宋体"/>
          <w:color w:val="auto"/>
          <w:sz w:val="24"/>
        </w:rPr>
      </w:pPr>
      <w:r>
        <w:rPr>
          <w:rFonts w:hint="eastAsia" w:ascii="宋体" w:hAnsi="宋体"/>
          <w:color w:val="auto"/>
          <w:sz w:val="24"/>
        </w:rPr>
        <w:t xml:space="preserve">                                                   </w:t>
      </w:r>
    </w:p>
    <w:p w14:paraId="5A02B407">
      <w:pPr>
        <w:snapToGrid w:val="0"/>
        <w:spacing w:beforeLines="50" w:after="50"/>
        <w:ind w:left="-70"/>
        <w:rPr>
          <w:rFonts w:ascii="宋体" w:hAnsi="宋体"/>
          <w:color w:val="auto"/>
          <w:sz w:val="24"/>
        </w:rPr>
      </w:pPr>
    </w:p>
    <w:p w14:paraId="1B629703">
      <w:pPr>
        <w:snapToGrid w:val="0"/>
        <w:spacing w:beforeLines="50" w:after="50"/>
        <w:ind w:left="-70"/>
        <w:rPr>
          <w:rFonts w:ascii="宋体" w:hAnsi="宋体"/>
          <w:color w:val="auto"/>
          <w:sz w:val="24"/>
          <w:szCs w:val="20"/>
        </w:rPr>
      </w:pPr>
    </w:p>
    <w:p w14:paraId="4AA0A5BC">
      <w:pPr>
        <w:snapToGrid w:val="0"/>
        <w:spacing w:beforeLines="50" w:after="50"/>
        <w:ind w:left="-70" w:firstLine="2058"/>
        <w:jc w:val="both"/>
        <w:rPr>
          <w:rFonts w:ascii="方正小标宋简体" w:hAnsi="方正小标宋简体" w:eastAsia="方正小标宋简体" w:cs="方正小标宋简体"/>
          <w:bCs/>
          <w:color w:val="auto"/>
          <w:sz w:val="84"/>
          <w:szCs w:val="84"/>
        </w:rPr>
      </w:pPr>
      <w:r>
        <w:rPr>
          <w:rFonts w:hint="eastAsia" w:ascii="方正小标宋简体" w:hAnsi="方正小标宋简体" w:eastAsia="方正小标宋简体" w:cs="方正小标宋简体"/>
          <w:bCs/>
          <w:color w:val="auto"/>
          <w:sz w:val="84"/>
          <w:szCs w:val="84"/>
        </w:rPr>
        <w:t>响  应  文  件</w:t>
      </w:r>
    </w:p>
    <w:p w14:paraId="11C9B7CA">
      <w:pPr>
        <w:snapToGrid w:val="0"/>
        <w:spacing w:beforeLines="50" w:after="50"/>
        <w:ind w:left="-70"/>
        <w:rPr>
          <w:rFonts w:ascii="宋体" w:hAnsi="宋体"/>
          <w:color w:val="auto"/>
          <w:sz w:val="24"/>
          <w:szCs w:val="20"/>
        </w:rPr>
      </w:pPr>
    </w:p>
    <w:p w14:paraId="18BABFDF">
      <w:pPr>
        <w:snapToGrid w:val="0"/>
        <w:spacing w:beforeLines="50" w:after="50"/>
        <w:ind w:left="-70" w:firstLine="2790" w:firstLineChars="872"/>
        <w:jc w:val="both"/>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商  务  技  术  文  件</w:t>
      </w:r>
    </w:p>
    <w:p w14:paraId="72A2852D">
      <w:pPr>
        <w:snapToGrid w:val="0"/>
        <w:spacing w:beforeLines="50" w:after="50"/>
        <w:ind w:left="-70"/>
        <w:rPr>
          <w:rFonts w:ascii="宋体" w:hAnsi="宋体"/>
          <w:bCs/>
          <w:color w:val="auto"/>
          <w:sz w:val="24"/>
          <w:szCs w:val="20"/>
        </w:rPr>
      </w:pPr>
    </w:p>
    <w:p w14:paraId="0D471C94">
      <w:pPr>
        <w:snapToGrid w:val="0"/>
        <w:spacing w:beforeLines="50" w:after="50"/>
        <w:ind w:left="-70"/>
        <w:rPr>
          <w:rFonts w:ascii="宋体" w:hAnsi="宋体"/>
          <w:bCs/>
          <w:color w:val="auto"/>
          <w:sz w:val="24"/>
          <w:szCs w:val="20"/>
        </w:rPr>
      </w:pPr>
    </w:p>
    <w:p w14:paraId="20F97EE4">
      <w:pPr>
        <w:snapToGrid w:val="0"/>
        <w:spacing w:beforeLines="50" w:after="50"/>
        <w:ind w:left="-70"/>
        <w:rPr>
          <w:rFonts w:ascii="宋体" w:hAnsi="宋体"/>
          <w:bCs/>
          <w:color w:val="auto"/>
          <w:sz w:val="24"/>
          <w:szCs w:val="20"/>
        </w:rPr>
      </w:pPr>
    </w:p>
    <w:p w14:paraId="6685F8B0">
      <w:pPr>
        <w:snapToGrid w:val="0"/>
        <w:spacing w:beforeLines="50" w:after="50"/>
        <w:ind w:left="-70"/>
        <w:rPr>
          <w:rFonts w:ascii="宋体" w:hAnsi="宋体"/>
          <w:bCs/>
          <w:color w:val="auto"/>
          <w:sz w:val="24"/>
          <w:szCs w:val="20"/>
        </w:rPr>
      </w:pPr>
    </w:p>
    <w:p w14:paraId="5C05CB36">
      <w:pPr>
        <w:snapToGrid w:val="0"/>
        <w:spacing w:beforeLines="50" w:after="50"/>
        <w:ind w:left="-70"/>
        <w:rPr>
          <w:rFonts w:ascii="宋体" w:hAnsi="宋体"/>
          <w:bCs/>
          <w:color w:val="auto"/>
          <w:sz w:val="24"/>
          <w:szCs w:val="20"/>
        </w:rPr>
      </w:pPr>
    </w:p>
    <w:p w14:paraId="644949FC">
      <w:pPr>
        <w:snapToGrid w:val="0"/>
        <w:spacing w:beforeLines="50" w:after="50"/>
        <w:ind w:left="-70"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14:paraId="12506C14">
      <w:pPr>
        <w:snapToGrid w:val="0"/>
        <w:spacing w:beforeLines="50" w:after="50"/>
        <w:ind w:left="-70" w:firstLine="720" w:firstLineChars="225"/>
        <w:rPr>
          <w:rFonts w:ascii="宋体" w:hAnsi="宋体" w:cs="仿宋_GB2312"/>
          <w:bCs/>
          <w:color w:val="auto"/>
          <w:sz w:val="32"/>
          <w:szCs w:val="32"/>
        </w:rPr>
      </w:pPr>
    </w:p>
    <w:p w14:paraId="3E746AA1">
      <w:pPr>
        <w:snapToGrid w:val="0"/>
        <w:spacing w:beforeLines="50" w:after="50"/>
        <w:ind w:left="-70"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14:paraId="44CDCBD1">
      <w:pPr>
        <w:snapToGrid w:val="0"/>
        <w:spacing w:beforeLines="50" w:after="50"/>
        <w:ind w:left="-70" w:firstLine="720" w:firstLineChars="225"/>
        <w:rPr>
          <w:rFonts w:ascii="宋体" w:hAnsi="宋体" w:cs="仿宋_GB2312"/>
          <w:bCs/>
          <w:color w:val="auto"/>
          <w:sz w:val="32"/>
          <w:szCs w:val="32"/>
        </w:rPr>
      </w:pPr>
      <w:r>
        <w:rPr>
          <w:rFonts w:hint="eastAsia" w:ascii="宋体" w:hAnsi="宋体" w:cs="仿宋_GB2312"/>
          <w:bCs/>
          <w:color w:val="auto"/>
          <w:sz w:val="32"/>
          <w:szCs w:val="32"/>
        </w:rPr>
        <w:t xml:space="preserve"> </w:t>
      </w:r>
    </w:p>
    <w:p w14:paraId="722254F5">
      <w:pPr>
        <w:snapToGrid w:val="0"/>
        <w:spacing w:beforeLines="50" w:after="50"/>
        <w:ind w:left="-70"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14:paraId="062E6525">
      <w:pPr>
        <w:snapToGrid w:val="0"/>
        <w:spacing w:beforeLines="50" w:after="50"/>
        <w:ind w:left="-70" w:firstLine="720" w:firstLineChars="225"/>
        <w:rPr>
          <w:rFonts w:ascii="宋体" w:hAnsi="宋体" w:cs="仿宋_GB2312"/>
          <w:bCs/>
          <w:color w:val="auto"/>
          <w:sz w:val="32"/>
          <w:szCs w:val="32"/>
        </w:rPr>
      </w:pPr>
    </w:p>
    <w:p w14:paraId="3000E04E">
      <w:pPr>
        <w:pStyle w:val="6"/>
        <w:snapToGrid w:val="0"/>
        <w:spacing w:before="120" w:after="50"/>
        <w:ind w:left="-70"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14:paraId="50EF16E9">
      <w:pPr>
        <w:pStyle w:val="6"/>
        <w:snapToGrid w:val="0"/>
        <w:spacing w:before="120" w:after="50"/>
        <w:ind w:left="-70" w:firstLine="640" w:firstLineChars="200"/>
        <w:rPr>
          <w:rFonts w:ascii="宋体" w:hAnsi="宋体" w:cs="仿宋_GB2312"/>
          <w:bCs/>
          <w:color w:val="auto"/>
          <w:sz w:val="32"/>
          <w:szCs w:val="32"/>
        </w:rPr>
      </w:pPr>
    </w:p>
    <w:p w14:paraId="2E835C2F">
      <w:pPr>
        <w:pStyle w:val="6"/>
        <w:snapToGrid w:val="0"/>
        <w:spacing w:before="120" w:after="50"/>
        <w:ind w:left="-70" w:firstLine="784"/>
        <w:rPr>
          <w:rFonts w:ascii="宋体" w:hAnsi="宋体" w:cs="仿宋_GB2312"/>
          <w:bCs/>
          <w:color w:val="auto"/>
          <w:sz w:val="32"/>
          <w:szCs w:val="32"/>
        </w:rPr>
      </w:pPr>
    </w:p>
    <w:p w14:paraId="6283ADB3">
      <w:pPr>
        <w:pStyle w:val="6"/>
        <w:snapToGrid w:val="0"/>
        <w:spacing w:before="120" w:after="50"/>
        <w:ind w:left="-70" w:firstLine="1280" w:firstLineChars="400"/>
        <w:rPr>
          <w:rFonts w:ascii="宋体" w:hAnsi="宋体" w:cs="仿宋_GB2312"/>
          <w:bCs/>
          <w:color w:val="auto"/>
          <w:sz w:val="32"/>
          <w:szCs w:val="32"/>
        </w:rPr>
      </w:pPr>
    </w:p>
    <w:p w14:paraId="11C37923">
      <w:pPr>
        <w:snapToGrid w:val="0"/>
        <w:spacing w:beforeLines="50" w:after="50"/>
        <w:ind w:left="-70" w:firstLine="784"/>
        <w:jc w:val="center"/>
        <w:rPr>
          <w:rFonts w:ascii="宋体" w:hAnsi="宋体" w:cs="仿宋_GB2312"/>
          <w:color w:val="auto"/>
          <w:sz w:val="32"/>
          <w:szCs w:val="32"/>
        </w:rPr>
      </w:pPr>
      <w:r>
        <w:rPr>
          <w:rFonts w:hint="eastAsia" w:ascii="宋体" w:hAnsi="宋体" w:cs="仿宋_GB2312"/>
          <w:color w:val="auto"/>
          <w:sz w:val="32"/>
          <w:szCs w:val="32"/>
        </w:rPr>
        <w:t>年    月    日</w:t>
      </w:r>
    </w:p>
    <w:p w14:paraId="6063A3F0">
      <w:pPr>
        <w:snapToGrid w:val="0"/>
        <w:spacing w:beforeLines="50" w:after="50" w:line="360" w:lineRule="auto"/>
        <w:ind w:left="-70"/>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14:paraId="3B37328D">
      <w:pPr>
        <w:snapToGrid w:val="0"/>
        <w:spacing w:beforeLines="50" w:after="50" w:line="360" w:lineRule="auto"/>
        <w:ind w:left="-70" w:firstLine="640" w:firstLineChars="200"/>
        <w:rPr>
          <w:rFonts w:ascii="宋体" w:hAnsi="宋体"/>
          <w:color w:val="auto"/>
          <w:sz w:val="32"/>
          <w:szCs w:val="32"/>
        </w:rPr>
      </w:pPr>
      <w:r>
        <w:rPr>
          <w:rFonts w:hint="eastAsia" w:ascii="宋体" w:hAnsi="宋体"/>
          <w:color w:val="auto"/>
          <w:sz w:val="32"/>
          <w:szCs w:val="32"/>
        </w:rPr>
        <w:t>根据谈判文件规定及供应商提供的材料自行编写目录（部分格式后附）。</w:t>
      </w:r>
    </w:p>
    <w:p w14:paraId="3F3E16E1">
      <w:pPr>
        <w:pStyle w:val="19"/>
        <w:spacing w:before="120"/>
        <w:ind w:left="-70" w:firstLine="784"/>
        <w:rPr>
          <w:rFonts w:ascii="宋体" w:hAnsi="宋体"/>
          <w:color w:val="auto"/>
          <w:sz w:val="32"/>
          <w:szCs w:val="32"/>
        </w:rPr>
      </w:pPr>
    </w:p>
    <w:p w14:paraId="5413BE77">
      <w:pPr>
        <w:spacing w:before="120"/>
        <w:ind w:left="-70" w:firstLine="784"/>
        <w:rPr>
          <w:rFonts w:ascii="宋体" w:hAnsi="宋体"/>
          <w:color w:val="auto"/>
          <w:sz w:val="32"/>
          <w:szCs w:val="32"/>
        </w:rPr>
      </w:pPr>
    </w:p>
    <w:p w14:paraId="27FBA16C">
      <w:pPr>
        <w:pStyle w:val="19"/>
        <w:spacing w:before="120"/>
        <w:ind w:left="-70" w:firstLine="784"/>
        <w:rPr>
          <w:rFonts w:ascii="宋体" w:hAnsi="宋体"/>
          <w:color w:val="auto"/>
          <w:sz w:val="32"/>
          <w:szCs w:val="32"/>
        </w:rPr>
      </w:pPr>
    </w:p>
    <w:p w14:paraId="0D1731DD">
      <w:pPr>
        <w:spacing w:before="120"/>
        <w:ind w:left="-70" w:firstLine="784"/>
        <w:rPr>
          <w:rFonts w:ascii="宋体" w:hAnsi="宋体"/>
          <w:color w:val="auto"/>
          <w:sz w:val="32"/>
          <w:szCs w:val="32"/>
        </w:rPr>
      </w:pPr>
    </w:p>
    <w:p w14:paraId="765121B5">
      <w:pPr>
        <w:pStyle w:val="19"/>
        <w:spacing w:before="120"/>
        <w:ind w:left="-70" w:firstLine="784"/>
        <w:rPr>
          <w:rFonts w:ascii="宋体" w:hAnsi="宋体"/>
          <w:color w:val="auto"/>
          <w:sz w:val="32"/>
          <w:szCs w:val="32"/>
        </w:rPr>
      </w:pPr>
    </w:p>
    <w:p w14:paraId="67D2E3C2">
      <w:pPr>
        <w:spacing w:before="120"/>
        <w:ind w:left="-70" w:firstLine="784"/>
        <w:rPr>
          <w:rFonts w:ascii="宋体" w:hAnsi="宋体"/>
          <w:color w:val="auto"/>
          <w:sz w:val="32"/>
          <w:szCs w:val="32"/>
        </w:rPr>
      </w:pPr>
    </w:p>
    <w:p w14:paraId="704F9968">
      <w:pPr>
        <w:pStyle w:val="19"/>
        <w:spacing w:before="120"/>
        <w:ind w:left="-70" w:firstLine="784"/>
        <w:rPr>
          <w:rFonts w:ascii="宋体" w:hAnsi="宋体"/>
          <w:color w:val="auto"/>
          <w:sz w:val="32"/>
          <w:szCs w:val="32"/>
        </w:rPr>
      </w:pPr>
    </w:p>
    <w:p w14:paraId="7E49BEE5">
      <w:pPr>
        <w:spacing w:before="120"/>
        <w:ind w:left="-70" w:firstLine="784"/>
        <w:rPr>
          <w:rFonts w:ascii="宋体" w:hAnsi="宋体"/>
          <w:color w:val="auto"/>
          <w:sz w:val="32"/>
          <w:szCs w:val="32"/>
        </w:rPr>
      </w:pPr>
    </w:p>
    <w:p w14:paraId="4C6D74E1">
      <w:pPr>
        <w:pStyle w:val="19"/>
        <w:spacing w:before="120"/>
        <w:ind w:left="-70" w:firstLine="784"/>
        <w:rPr>
          <w:rFonts w:ascii="宋体" w:hAnsi="宋体"/>
          <w:color w:val="auto"/>
          <w:sz w:val="32"/>
          <w:szCs w:val="32"/>
        </w:rPr>
      </w:pPr>
    </w:p>
    <w:p w14:paraId="7CD71925">
      <w:pPr>
        <w:spacing w:before="120"/>
        <w:ind w:left="-70" w:firstLine="784"/>
        <w:rPr>
          <w:rFonts w:ascii="宋体" w:hAnsi="宋体"/>
          <w:color w:val="auto"/>
          <w:sz w:val="32"/>
          <w:szCs w:val="32"/>
        </w:rPr>
      </w:pPr>
    </w:p>
    <w:p w14:paraId="0166A866">
      <w:pPr>
        <w:pStyle w:val="19"/>
        <w:spacing w:before="120"/>
        <w:ind w:left="-70" w:firstLine="784"/>
        <w:rPr>
          <w:rFonts w:ascii="宋体" w:hAnsi="宋体"/>
          <w:color w:val="auto"/>
          <w:sz w:val="32"/>
          <w:szCs w:val="32"/>
        </w:rPr>
      </w:pPr>
    </w:p>
    <w:p w14:paraId="52D3D1E7">
      <w:pPr>
        <w:spacing w:before="120"/>
        <w:ind w:left="-70" w:firstLine="784"/>
        <w:rPr>
          <w:rFonts w:ascii="宋体" w:hAnsi="宋体"/>
          <w:color w:val="auto"/>
          <w:sz w:val="32"/>
          <w:szCs w:val="32"/>
        </w:rPr>
      </w:pPr>
    </w:p>
    <w:p w14:paraId="6D6FED20">
      <w:pPr>
        <w:pStyle w:val="19"/>
        <w:spacing w:before="120"/>
        <w:ind w:left="-70" w:firstLine="784"/>
        <w:rPr>
          <w:rFonts w:ascii="宋体" w:hAnsi="宋体"/>
          <w:color w:val="auto"/>
          <w:sz w:val="32"/>
          <w:szCs w:val="32"/>
        </w:rPr>
      </w:pPr>
    </w:p>
    <w:p w14:paraId="147B1A76">
      <w:pPr>
        <w:spacing w:before="120"/>
        <w:ind w:left="-70" w:firstLine="784"/>
        <w:rPr>
          <w:rFonts w:ascii="宋体" w:hAnsi="宋体"/>
          <w:color w:val="auto"/>
          <w:sz w:val="32"/>
          <w:szCs w:val="32"/>
        </w:rPr>
      </w:pPr>
    </w:p>
    <w:p w14:paraId="23C30B07">
      <w:pPr>
        <w:pStyle w:val="19"/>
        <w:spacing w:before="120"/>
        <w:ind w:left="-70" w:firstLine="784"/>
        <w:rPr>
          <w:rFonts w:ascii="宋体" w:hAnsi="宋体"/>
          <w:color w:val="auto"/>
          <w:sz w:val="32"/>
          <w:szCs w:val="32"/>
        </w:rPr>
      </w:pPr>
    </w:p>
    <w:p w14:paraId="1680A928">
      <w:pPr>
        <w:spacing w:before="120"/>
        <w:ind w:left="-70" w:firstLine="784"/>
        <w:rPr>
          <w:rFonts w:ascii="宋体" w:hAnsi="宋体"/>
          <w:color w:val="auto"/>
          <w:sz w:val="32"/>
          <w:szCs w:val="32"/>
        </w:rPr>
      </w:pPr>
    </w:p>
    <w:p w14:paraId="166FEC47">
      <w:pPr>
        <w:pStyle w:val="19"/>
        <w:spacing w:before="120"/>
        <w:ind w:left="-70" w:firstLine="784"/>
        <w:rPr>
          <w:rFonts w:ascii="宋体" w:hAnsi="宋体"/>
          <w:color w:val="auto"/>
          <w:sz w:val="32"/>
          <w:szCs w:val="32"/>
        </w:rPr>
      </w:pPr>
    </w:p>
    <w:p w14:paraId="5E971AD2">
      <w:pPr>
        <w:spacing w:before="120"/>
        <w:ind w:left="-70" w:firstLine="784"/>
        <w:rPr>
          <w:rFonts w:ascii="宋体" w:hAnsi="宋体"/>
          <w:color w:val="auto"/>
          <w:sz w:val="32"/>
          <w:szCs w:val="32"/>
        </w:rPr>
      </w:pPr>
    </w:p>
    <w:p w14:paraId="67A4B693">
      <w:pPr>
        <w:pStyle w:val="19"/>
        <w:spacing w:before="120"/>
        <w:ind w:left="-70" w:firstLine="784"/>
        <w:rPr>
          <w:rFonts w:ascii="宋体" w:hAnsi="宋体"/>
          <w:color w:val="auto"/>
          <w:sz w:val="32"/>
          <w:szCs w:val="32"/>
        </w:rPr>
      </w:pPr>
    </w:p>
    <w:p w14:paraId="018CEA0D">
      <w:pPr>
        <w:spacing w:before="120"/>
        <w:ind w:left="-70" w:firstLine="784"/>
        <w:rPr>
          <w:rFonts w:ascii="宋体" w:hAnsi="宋体"/>
          <w:color w:val="auto"/>
          <w:sz w:val="32"/>
          <w:szCs w:val="32"/>
        </w:rPr>
      </w:pPr>
    </w:p>
    <w:p w14:paraId="19965A97">
      <w:pPr>
        <w:pStyle w:val="19"/>
        <w:spacing w:before="120"/>
        <w:rPr>
          <w:rFonts w:ascii="宋体" w:hAnsi="宋体"/>
          <w:color w:val="auto"/>
          <w:sz w:val="32"/>
          <w:szCs w:val="32"/>
        </w:rPr>
      </w:pPr>
    </w:p>
    <w:p w14:paraId="78C4614B">
      <w:pPr>
        <w:spacing w:before="120"/>
        <w:ind w:left="-70" w:firstLine="588"/>
        <w:rPr>
          <w:color w:val="auto"/>
        </w:rPr>
      </w:pPr>
    </w:p>
    <w:p w14:paraId="4D9B2B54">
      <w:pPr>
        <w:spacing w:before="120" w:line="520" w:lineRule="exact"/>
        <w:ind w:left="-70" w:firstLine="1078"/>
        <w:jc w:val="center"/>
        <w:rPr>
          <w:rFonts w:ascii="方正小标宋简体" w:hAnsi="方正小标宋简体" w:eastAsia="方正小标宋简体" w:cs="方正小标宋简体"/>
          <w:color w:val="auto"/>
          <w:sz w:val="44"/>
          <w:szCs w:val="44"/>
        </w:rPr>
      </w:pPr>
    </w:p>
    <w:p w14:paraId="267A3812">
      <w:pPr>
        <w:spacing w:before="120" w:line="520" w:lineRule="exact"/>
        <w:ind w:left="-70" w:firstLine="1078"/>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无串通竞标行为的承诺函</w:t>
      </w:r>
    </w:p>
    <w:p w14:paraId="12B8CC52">
      <w:pPr>
        <w:spacing w:before="120" w:line="360" w:lineRule="auto"/>
        <w:ind w:left="-70" w:firstLine="640" w:firstLineChars="200"/>
        <w:contextualSpacing/>
        <w:rPr>
          <w:rFonts w:ascii="仿宋_GB2312" w:hAnsi="仿宋_GB2312" w:eastAsia="仿宋_GB2312" w:cs="仿宋_GB2312"/>
          <w:color w:val="auto"/>
          <w:sz w:val="32"/>
          <w:szCs w:val="32"/>
        </w:rPr>
      </w:pPr>
    </w:p>
    <w:p w14:paraId="6E5F1815">
      <w:pPr>
        <w:spacing w:before="120" w:line="360" w:lineRule="auto"/>
        <w:ind w:left="-70"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14:paraId="5E7F31F8">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1.不同供应商的响应文件由同一单位或者个人编制；</w:t>
      </w:r>
    </w:p>
    <w:p w14:paraId="6CBA4323">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14:paraId="5ACC0D38">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3.不同的供应商的响应文件载明的项目管理员为同一个人；</w:t>
      </w:r>
    </w:p>
    <w:p w14:paraId="49B77425">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14:paraId="7A77DD1E">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14:paraId="2D5EF9C6">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6.不同供应商的竞标保证金从同一单位或者个人账户转出。</w:t>
      </w:r>
    </w:p>
    <w:p w14:paraId="485E6F22">
      <w:pPr>
        <w:spacing w:before="120" w:line="360" w:lineRule="auto"/>
        <w:ind w:left="-70"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14:paraId="682D5E14">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14:paraId="314BF829">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14:paraId="633449A2">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14:paraId="12C88049">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14:paraId="0E2BDC45">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5.供应商之间事先约定一致抬高或者压低竞标报价,或者在竞争性谈判项目中事先约定轮流以高价位或者低价位成交,或者事先约定由某一特定供应商成交,然后再参加竞标；</w:t>
      </w:r>
    </w:p>
    <w:p w14:paraId="293EB55D">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14:paraId="55DC6F34">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14:paraId="2F0630C2">
      <w:pPr>
        <w:spacing w:before="120" w:line="360" w:lineRule="auto"/>
        <w:ind w:left="-70" w:firstLine="480" w:firstLineChars="200"/>
        <w:contextualSpacing/>
        <w:rPr>
          <w:rFonts w:ascii="宋体" w:hAnsi="宋体" w:cs="仿宋_GB2312"/>
          <w:color w:val="auto"/>
          <w:sz w:val="24"/>
        </w:rPr>
      </w:pPr>
    </w:p>
    <w:p w14:paraId="4A030797">
      <w:pPr>
        <w:spacing w:before="120" w:line="360" w:lineRule="auto"/>
        <w:ind w:left="-70"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14:paraId="4F73EEE4">
      <w:pPr>
        <w:spacing w:before="120" w:line="360" w:lineRule="auto"/>
        <w:ind w:left="-70" w:firstLine="480" w:firstLineChars="200"/>
        <w:contextualSpacing/>
        <w:rPr>
          <w:rFonts w:ascii="宋体" w:hAnsi="宋体" w:cs="仿宋_GB2312"/>
          <w:color w:val="auto"/>
          <w:sz w:val="24"/>
        </w:rPr>
      </w:pPr>
    </w:p>
    <w:p w14:paraId="420E4BE1">
      <w:pPr>
        <w:spacing w:before="120" w:line="360" w:lineRule="auto"/>
        <w:ind w:left="-70"/>
        <w:contextualSpacing/>
        <w:rPr>
          <w:rFonts w:ascii="宋体" w:hAnsi="宋体" w:cs="仿宋_GB2312"/>
          <w:color w:val="auto"/>
          <w:sz w:val="24"/>
        </w:rPr>
      </w:pPr>
    </w:p>
    <w:p w14:paraId="076083DA">
      <w:pPr>
        <w:spacing w:before="120" w:line="360" w:lineRule="auto"/>
        <w:ind w:left="-70" w:firstLine="3600" w:firstLineChars="1500"/>
        <w:contextualSpacing/>
        <w:rPr>
          <w:rFonts w:ascii="宋体" w:hAnsi="宋体" w:cs="仿宋_GB2312"/>
          <w:color w:val="auto"/>
          <w:sz w:val="24"/>
        </w:rPr>
      </w:pPr>
      <w:r>
        <w:rPr>
          <w:rFonts w:hint="eastAsia" w:ascii="宋体" w:hAnsi="宋体" w:cs="仿宋_GB2312"/>
          <w:color w:val="auto"/>
          <w:sz w:val="24"/>
        </w:rPr>
        <w:t>供应商（盖公章 ）：</w:t>
      </w:r>
    </w:p>
    <w:p w14:paraId="28BD4FF3">
      <w:pPr>
        <w:spacing w:before="120" w:line="360" w:lineRule="auto"/>
        <w:ind w:left="-70" w:firstLine="480" w:firstLineChars="200"/>
        <w:contextualSpacing/>
        <w:jc w:val="center"/>
        <w:rPr>
          <w:rFonts w:ascii="宋体" w:hAnsi="宋体" w:cs="仿宋_GB2312"/>
          <w:color w:val="auto"/>
          <w:sz w:val="24"/>
        </w:rPr>
      </w:pPr>
      <w:r>
        <w:rPr>
          <w:rFonts w:hint="eastAsia" w:ascii="宋体" w:hAnsi="宋体" w:cs="仿宋_GB2312"/>
          <w:color w:val="auto"/>
          <w:sz w:val="24"/>
        </w:rPr>
        <w:t xml:space="preserve">                               年   月   日</w:t>
      </w:r>
    </w:p>
    <w:p w14:paraId="4A2AF78E">
      <w:pPr>
        <w:spacing w:before="120" w:line="360" w:lineRule="auto"/>
        <w:ind w:left="-70" w:firstLine="640" w:firstLineChars="200"/>
        <w:contextualSpacing/>
        <w:jc w:val="center"/>
        <w:rPr>
          <w:rFonts w:ascii="宋体" w:hAnsi="宋体" w:cs="仿宋_GB2312"/>
          <w:color w:val="auto"/>
          <w:sz w:val="32"/>
          <w:szCs w:val="32"/>
        </w:rPr>
      </w:pPr>
    </w:p>
    <w:p w14:paraId="05D39734">
      <w:pPr>
        <w:spacing w:before="120" w:line="360" w:lineRule="auto"/>
        <w:ind w:left="-70" w:right="-817" w:rightChars="-389" w:firstLine="1078"/>
        <w:contextualSpacing/>
        <w:jc w:val="both"/>
        <w:rPr>
          <w:rFonts w:ascii="仿宋_GB2312" w:hAnsi="仿宋_GB2312" w:eastAsia="仿宋_GB2312" w:cs="仿宋_GB2312"/>
          <w:color w:val="auto"/>
          <w:sz w:val="32"/>
          <w:szCs w:val="32"/>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lang w:val="en-US" w:eastAsia="zh-CN"/>
        </w:rPr>
        <w:t xml:space="preserve">        </w:t>
      </w:r>
      <w:r>
        <w:rPr>
          <w:rFonts w:hint="eastAsia" w:ascii="方正小标宋简体" w:hAnsi="方正小标宋简体" w:eastAsia="方正小标宋简体" w:cs="方正小标宋简体"/>
          <w:bCs/>
          <w:color w:val="auto"/>
          <w:sz w:val="44"/>
          <w:szCs w:val="44"/>
        </w:rPr>
        <w:t>法定代表人身份证明</w:t>
      </w:r>
    </w:p>
    <w:p w14:paraId="092B0F7C">
      <w:pPr>
        <w:spacing w:before="120" w:line="360" w:lineRule="auto"/>
        <w:ind w:left="-70" w:firstLine="784"/>
        <w:contextualSpacing/>
        <w:rPr>
          <w:rFonts w:ascii="仿宋_GB2312" w:hAnsi="仿宋_GB2312" w:eastAsia="仿宋_GB2312" w:cs="仿宋_GB2312"/>
          <w:color w:val="auto"/>
          <w:sz w:val="32"/>
          <w:szCs w:val="32"/>
        </w:rPr>
      </w:pPr>
    </w:p>
    <w:p w14:paraId="5605F1D9">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供应商名称：</w:t>
      </w:r>
      <w:r>
        <w:rPr>
          <w:rFonts w:hint="eastAsia" w:ascii="宋体" w:hAnsi="宋体" w:cs="仿宋_GB2312"/>
          <w:color w:val="auto"/>
          <w:sz w:val="24"/>
          <w:u w:val="single"/>
        </w:rPr>
        <w:t xml:space="preserve">                                                        </w:t>
      </w:r>
    </w:p>
    <w:p w14:paraId="716B3435">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地    址：</w:t>
      </w:r>
      <w:r>
        <w:rPr>
          <w:rFonts w:hint="eastAsia" w:ascii="宋体" w:hAnsi="宋体" w:cs="仿宋_GB2312"/>
          <w:color w:val="auto"/>
          <w:sz w:val="24"/>
          <w:u w:val="single"/>
        </w:rPr>
        <w:t xml:space="preserve">                                                        </w:t>
      </w:r>
    </w:p>
    <w:p w14:paraId="5016E612">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姓    名：</w:t>
      </w:r>
      <w:r>
        <w:rPr>
          <w:rFonts w:hint="eastAsia" w:ascii="宋体" w:hAnsi="宋体" w:cs="仿宋_GB2312"/>
          <w:color w:val="auto"/>
          <w:sz w:val="24"/>
          <w:u w:val="single"/>
        </w:rPr>
        <w:t xml:space="preserve">               </w:t>
      </w:r>
      <w:r>
        <w:rPr>
          <w:rFonts w:hint="eastAsia" w:ascii="宋体" w:hAnsi="宋体" w:cs="仿宋_GB2312"/>
          <w:color w:val="auto"/>
          <w:sz w:val="24"/>
        </w:rPr>
        <w:t>性      别：</w:t>
      </w:r>
      <w:r>
        <w:rPr>
          <w:rFonts w:hint="eastAsia" w:ascii="宋体" w:hAnsi="宋体" w:cs="仿宋_GB2312"/>
          <w:color w:val="auto"/>
          <w:sz w:val="24"/>
          <w:u w:val="single"/>
        </w:rPr>
        <w:t xml:space="preserve">                </w:t>
      </w:r>
    </w:p>
    <w:p w14:paraId="5ADBCCEC">
      <w:pPr>
        <w:spacing w:before="120" w:line="360" w:lineRule="auto"/>
        <w:ind w:left="-70"/>
        <w:contextualSpacing/>
        <w:rPr>
          <w:rFonts w:ascii="宋体" w:hAnsi="宋体" w:cs="仿宋_GB2312"/>
          <w:color w:val="auto"/>
          <w:sz w:val="24"/>
          <w:u w:val="single"/>
        </w:rPr>
      </w:pPr>
      <w:r>
        <w:rPr>
          <w:rFonts w:hint="eastAsia" w:ascii="宋体" w:hAnsi="宋体" w:cs="仿宋_GB2312"/>
          <w:color w:val="auto"/>
          <w:sz w:val="24"/>
        </w:rPr>
        <w:t>年    龄：</w:t>
      </w:r>
      <w:r>
        <w:rPr>
          <w:rFonts w:hint="eastAsia" w:ascii="宋体" w:hAnsi="宋体" w:cs="仿宋_GB2312"/>
          <w:color w:val="auto"/>
          <w:sz w:val="24"/>
          <w:u w:val="single"/>
        </w:rPr>
        <w:t xml:space="preserve">               </w:t>
      </w:r>
      <w:r>
        <w:rPr>
          <w:rFonts w:hint="eastAsia" w:ascii="宋体" w:hAnsi="宋体" w:cs="仿宋_GB2312"/>
          <w:color w:val="auto"/>
          <w:sz w:val="24"/>
        </w:rPr>
        <w:t>职      务：</w:t>
      </w:r>
      <w:r>
        <w:rPr>
          <w:rFonts w:hint="eastAsia" w:ascii="宋体" w:hAnsi="宋体" w:cs="仿宋_GB2312"/>
          <w:color w:val="auto"/>
          <w:sz w:val="24"/>
          <w:u w:val="single"/>
        </w:rPr>
        <w:t xml:space="preserve">                </w:t>
      </w:r>
    </w:p>
    <w:p w14:paraId="538A7A32">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身份证号码：</w:t>
      </w:r>
      <w:r>
        <w:rPr>
          <w:rFonts w:hint="eastAsia" w:ascii="宋体" w:hAnsi="宋体" w:cs="仿宋_GB2312"/>
          <w:color w:val="auto"/>
          <w:sz w:val="24"/>
          <w:u w:val="single"/>
        </w:rPr>
        <w:t xml:space="preserve">                                        </w:t>
      </w:r>
    </w:p>
    <w:p w14:paraId="04D36ED1">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 xml:space="preserve"> </w:t>
      </w:r>
      <w:r>
        <w:rPr>
          <w:rFonts w:ascii="宋体" w:hAnsi="宋体" w:cs="仿宋_GB2312"/>
          <w:color w:val="auto"/>
          <w:sz w:val="24"/>
          <w:u w:val="single"/>
        </w:rPr>
        <w:t xml:space="preserve">   </w:t>
      </w:r>
      <w:r>
        <w:rPr>
          <w:rFonts w:hint="eastAsia" w:ascii="宋体" w:hAnsi="宋体" w:cs="仿宋_GB2312"/>
          <w:color w:val="auto"/>
          <w:sz w:val="24"/>
          <w:u w:val="single"/>
        </w:rPr>
        <w:t xml:space="preserve">供应商名称 </w:t>
      </w:r>
      <w:r>
        <w:rPr>
          <w:rFonts w:ascii="宋体" w:hAnsi="宋体" w:cs="仿宋_GB2312"/>
          <w:color w:val="auto"/>
          <w:sz w:val="24"/>
          <w:u w:val="single"/>
        </w:rPr>
        <w:t xml:space="preserve">  </w:t>
      </w:r>
      <w:r>
        <w:rPr>
          <w:rFonts w:hint="eastAsia" w:ascii="宋体" w:hAnsi="宋体" w:cs="仿宋_GB2312"/>
          <w:color w:val="auto"/>
          <w:sz w:val="24"/>
        </w:rPr>
        <w:t>的法定代表人。</w:t>
      </w:r>
    </w:p>
    <w:p w14:paraId="54525332">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特此证明。</w:t>
      </w:r>
    </w:p>
    <w:p w14:paraId="4B254520">
      <w:pPr>
        <w:spacing w:before="120" w:line="360" w:lineRule="auto"/>
        <w:ind w:left="-70"/>
        <w:contextualSpacing/>
        <w:rPr>
          <w:rFonts w:ascii="宋体" w:hAnsi="宋体" w:cs="仿宋_GB2312"/>
          <w:color w:val="auto"/>
          <w:sz w:val="24"/>
        </w:rPr>
      </w:pPr>
    </w:p>
    <w:p w14:paraId="79B6CBCC">
      <w:pPr>
        <w:spacing w:before="120" w:line="360" w:lineRule="auto"/>
        <w:ind w:left="-70"/>
        <w:contextualSpacing/>
        <w:rPr>
          <w:rFonts w:ascii="宋体" w:hAnsi="宋体" w:cs="仿宋_GB2312"/>
          <w:color w:val="auto"/>
          <w:sz w:val="24"/>
        </w:rPr>
      </w:pPr>
    </w:p>
    <w:p w14:paraId="587D45B3">
      <w:pPr>
        <w:spacing w:before="120" w:line="360" w:lineRule="auto"/>
        <w:ind w:left="-70"/>
        <w:contextualSpacing/>
        <w:rPr>
          <w:rFonts w:ascii="宋体" w:hAnsi="宋体" w:cs="仿宋_GB2312"/>
          <w:color w:val="auto"/>
          <w:sz w:val="24"/>
        </w:rPr>
      </w:pPr>
    </w:p>
    <w:p w14:paraId="1227444F">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14:paraId="305785D2">
      <w:pPr>
        <w:spacing w:before="120" w:line="360" w:lineRule="auto"/>
        <w:ind w:left="-70"/>
        <w:contextualSpacing/>
        <w:rPr>
          <w:rFonts w:ascii="宋体" w:hAnsi="宋体" w:cs="仿宋_GB2312"/>
          <w:color w:val="auto"/>
          <w:sz w:val="24"/>
        </w:rPr>
      </w:pPr>
    </w:p>
    <w:p w14:paraId="7AE0057E">
      <w:pPr>
        <w:spacing w:before="120" w:line="360" w:lineRule="auto"/>
        <w:ind w:left="-70"/>
        <w:contextualSpacing/>
        <w:jc w:val="right"/>
        <w:rPr>
          <w:rFonts w:ascii="宋体" w:hAnsi="宋体" w:cs="仿宋_GB2312"/>
          <w:color w:val="auto"/>
          <w:sz w:val="24"/>
        </w:rPr>
      </w:pPr>
      <w:r>
        <w:rPr>
          <w:rFonts w:hint="eastAsia" w:ascii="宋体" w:hAnsi="宋体" w:cs="仿宋_GB2312"/>
          <w:color w:val="auto"/>
          <w:sz w:val="24"/>
        </w:rPr>
        <w:t>供应商（盖公章）：</w:t>
      </w:r>
      <w:r>
        <w:rPr>
          <w:rFonts w:hint="eastAsia" w:ascii="宋体" w:hAnsi="宋体" w:cs="仿宋_GB2312"/>
          <w:color w:val="auto"/>
          <w:sz w:val="24"/>
          <w:u w:val="single"/>
        </w:rPr>
        <w:t xml:space="preserve">               </w:t>
      </w:r>
    </w:p>
    <w:p w14:paraId="465D02E6">
      <w:pPr>
        <w:spacing w:before="120" w:line="360" w:lineRule="auto"/>
        <w:ind w:left="-70" w:firstLine="4080" w:firstLineChars="1700"/>
        <w:contextualSpacing/>
        <w:rPr>
          <w:rFonts w:ascii="宋体" w:hAnsi="宋体" w:cs="仿宋_GB2312"/>
          <w:color w:val="auto"/>
          <w:sz w:val="24"/>
        </w:rPr>
      </w:pPr>
      <w:r>
        <w:rPr>
          <w:rFonts w:hint="eastAsia" w:ascii="宋体" w:hAnsi="宋体" w:cs="仿宋_GB2312"/>
          <w:color w:val="auto"/>
          <w:sz w:val="24"/>
          <w:u w:val="single"/>
        </w:rPr>
        <w:t xml:space="preserve">     </w:t>
      </w:r>
      <w:r>
        <w:rPr>
          <w:rFonts w:hint="eastAsia" w:ascii="宋体" w:hAnsi="宋体" w:cs="仿宋_GB2312"/>
          <w:color w:val="auto"/>
          <w:sz w:val="24"/>
        </w:rPr>
        <w:t>年</w:t>
      </w:r>
      <w:r>
        <w:rPr>
          <w:rFonts w:hint="eastAsia" w:ascii="宋体" w:hAnsi="宋体" w:cs="仿宋_GB2312"/>
          <w:color w:val="auto"/>
          <w:sz w:val="24"/>
          <w:u w:val="single"/>
        </w:rPr>
        <w:t xml:space="preserve">     </w:t>
      </w:r>
      <w:r>
        <w:rPr>
          <w:rFonts w:hint="eastAsia" w:ascii="宋体" w:hAnsi="宋体" w:cs="仿宋_GB2312"/>
          <w:color w:val="auto"/>
          <w:sz w:val="24"/>
        </w:rPr>
        <w:t>月</w:t>
      </w:r>
      <w:r>
        <w:rPr>
          <w:rFonts w:hint="eastAsia" w:ascii="宋体" w:hAnsi="宋体" w:cs="仿宋_GB2312"/>
          <w:color w:val="auto"/>
          <w:sz w:val="24"/>
          <w:u w:val="single"/>
        </w:rPr>
        <w:t xml:space="preserve">     </w:t>
      </w:r>
      <w:r>
        <w:rPr>
          <w:rFonts w:hint="eastAsia" w:ascii="宋体" w:hAnsi="宋体" w:cs="仿宋_GB2312"/>
          <w:color w:val="auto"/>
          <w:sz w:val="24"/>
        </w:rPr>
        <w:t>日</w:t>
      </w:r>
    </w:p>
    <w:p w14:paraId="6789724C">
      <w:pPr>
        <w:spacing w:before="120" w:line="360" w:lineRule="auto"/>
        <w:ind w:left="-70" w:firstLine="590"/>
        <w:contextualSpacing/>
        <w:jc w:val="center"/>
        <w:rPr>
          <w:rFonts w:ascii="宋体" w:hAnsi="宋体" w:cs="仿宋_GB2312"/>
          <w:b/>
          <w:color w:val="auto"/>
          <w:sz w:val="24"/>
        </w:rPr>
      </w:pPr>
    </w:p>
    <w:p w14:paraId="6A47899C">
      <w:pPr>
        <w:spacing w:before="120" w:line="360" w:lineRule="auto"/>
        <w:ind w:left="-70"/>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14:paraId="48CF899C">
      <w:pPr>
        <w:adjustRightInd w:val="0"/>
        <w:snapToGrid w:val="0"/>
        <w:spacing w:before="120" w:line="300" w:lineRule="auto"/>
        <w:ind w:left="-70" w:firstLine="590"/>
        <w:jc w:val="left"/>
        <w:rPr>
          <w:rFonts w:ascii="宋体" w:hAnsi="宋体"/>
          <w:b/>
          <w:color w:val="auto"/>
          <w:szCs w:val="21"/>
        </w:rPr>
      </w:pPr>
    </w:p>
    <w:p w14:paraId="37FF69A7">
      <w:pPr>
        <w:spacing w:before="120" w:line="520" w:lineRule="exact"/>
        <w:ind w:left="-70" w:firstLine="1078"/>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r>
        <w:rPr>
          <w:rFonts w:hint="eastAsia" w:ascii="方正小标宋简体" w:hAnsi="方正小标宋简体" w:eastAsia="方正小标宋简体" w:cs="方正小标宋简体"/>
          <w:color w:val="auto"/>
          <w:sz w:val="44"/>
          <w:szCs w:val="44"/>
        </w:rPr>
        <w:t>授权委托书</w:t>
      </w:r>
    </w:p>
    <w:p w14:paraId="5F256D9D">
      <w:pPr>
        <w:spacing w:before="120" w:line="520" w:lineRule="exact"/>
        <w:ind w:left="-70" w:firstLine="686"/>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（非联合体竞标格式）</w:t>
      </w:r>
    </w:p>
    <w:p w14:paraId="05ED12A3">
      <w:pPr>
        <w:spacing w:before="120" w:line="520" w:lineRule="exact"/>
        <w:ind w:left="-70" w:firstLine="686"/>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（如有委托时）</w:t>
      </w:r>
    </w:p>
    <w:p w14:paraId="7D1CB345">
      <w:pPr>
        <w:spacing w:before="120" w:line="360" w:lineRule="auto"/>
        <w:ind w:left="-70" w:firstLine="784"/>
        <w:contextualSpacing/>
        <w:rPr>
          <w:rFonts w:ascii="仿宋_GB2312" w:hAnsi="仿宋_GB2312" w:eastAsia="仿宋_GB2312" w:cs="仿宋_GB2312"/>
          <w:color w:val="auto"/>
          <w:sz w:val="32"/>
          <w:szCs w:val="32"/>
        </w:rPr>
      </w:pPr>
    </w:p>
    <w:p w14:paraId="21866A0B">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p>
    <w:p w14:paraId="128EC466">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w:t>
      </w:r>
      <w:r>
        <w:rPr>
          <w:rFonts w:hint="eastAsia" w:ascii="宋体" w:hAnsi="宋体" w:cs="仿宋_GB2312"/>
          <w:color w:val="auto"/>
          <w:sz w:val="24"/>
          <w:u w:val="single"/>
        </w:rPr>
        <w:t xml:space="preserve">      项目名称        </w:t>
      </w:r>
      <w:r>
        <w:rPr>
          <w:rFonts w:hint="eastAsia" w:ascii="宋体" w:hAnsi="宋体" w:cs="仿宋_GB2312"/>
          <w:color w:val="auto"/>
          <w:sz w:val="24"/>
        </w:rPr>
        <w:t>项目的竞标活动，并代表我方全权办理针对上述项目的所有采购程序和环节的具体事务和签署相关文件。</w:t>
      </w:r>
    </w:p>
    <w:p w14:paraId="3764EBF7">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 xml:space="preserve">    我方对委托代理人的签字事项负全部责任。</w:t>
      </w:r>
    </w:p>
    <w:p w14:paraId="7713EBC4">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64649A2A">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33995A21">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附：法定代表人身份证明及委托代理人有效身份证正反面复印件</w:t>
      </w:r>
    </w:p>
    <w:p w14:paraId="07746115">
      <w:pPr>
        <w:spacing w:before="120" w:line="360" w:lineRule="auto"/>
        <w:ind w:left="-70"/>
        <w:contextualSpacing/>
        <w:rPr>
          <w:rFonts w:ascii="宋体" w:hAnsi="宋体" w:cs="仿宋_GB2312"/>
          <w:color w:val="auto"/>
          <w:sz w:val="24"/>
        </w:rPr>
      </w:pPr>
    </w:p>
    <w:p w14:paraId="68571AE1">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 xml:space="preserve">委托代理人（签字）：         法定代表人（签字或者盖章）：                    </w:t>
      </w:r>
    </w:p>
    <w:p w14:paraId="2D757AFE">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14:paraId="7DDAD18C">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 xml:space="preserve">                                </w:t>
      </w:r>
    </w:p>
    <w:p w14:paraId="6C3452FF">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 xml:space="preserve">                         供应商（盖公章）：                      </w:t>
      </w:r>
    </w:p>
    <w:p w14:paraId="3FA7E473">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 xml:space="preserve">                                         年    月    日</w:t>
      </w:r>
    </w:p>
    <w:p w14:paraId="2A3985FD">
      <w:pPr>
        <w:spacing w:before="120" w:line="360" w:lineRule="auto"/>
        <w:ind w:left="-70"/>
        <w:contextualSpacing/>
        <w:rPr>
          <w:rFonts w:ascii="宋体" w:hAnsi="宋体" w:cs="仿宋_GB2312"/>
          <w:color w:val="auto"/>
          <w:sz w:val="24"/>
        </w:rPr>
      </w:pPr>
    </w:p>
    <w:p w14:paraId="06A61C8A">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注：1. 法定代表人必须在授权委托书上亲笔签字或者盖章，委托代理人必须在授权委托书上亲笔签字，</w:t>
      </w:r>
      <w:r>
        <w:rPr>
          <w:rFonts w:hint="eastAsia" w:ascii="宋体" w:hAnsi="宋体" w:cs="仿宋_GB2312"/>
          <w:b/>
          <w:color w:val="auto"/>
          <w:sz w:val="24"/>
        </w:rPr>
        <w:t>否则其响应文件按无效响应处理。</w:t>
      </w:r>
    </w:p>
    <w:p w14:paraId="5A58D6FB">
      <w:pPr>
        <w:spacing w:before="120" w:line="360" w:lineRule="auto"/>
        <w:ind w:left="-70" w:firstLine="480" w:firstLineChars="200"/>
        <w:contextualSpacing/>
        <w:jc w:val="left"/>
        <w:rPr>
          <w:rFonts w:ascii="宋体" w:hAnsi="宋体" w:cs="仿宋_GB2312"/>
          <w:color w:val="auto"/>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p w14:paraId="3B8792FA">
      <w:pPr>
        <w:spacing w:before="120" w:line="360" w:lineRule="auto"/>
        <w:ind w:left="-70" w:firstLine="420" w:firstLineChars="200"/>
        <w:contextualSpacing/>
        <w:jc w:val="left"/>
        <w:rPr>
          <w:rFonts w:ascii="仿宋_GB2312" w:hAnsi="仿宋_GB2312" w:eastAsia="仿宋_GB2312" w:cs="仿宋_GB2312"/>
          <w:color w:val="auto"/>
          <w:szCs w:val="21"/>
        </w:rPr>
      </w:pPr>
    </w:p>
    <w:p w14:paraId="57F85CC3">
      <w:pPr>
        <w:spacing w:before="120"/>
        <w:ind w:left="-70" w:firstLine="588"/>
        <w:contextualSpacing/>
        <w:jc w:val="center"/>
        <w:rPr>
          <w:rFonts w:ascii="方正小标宋简体" w:hAnsi="方正小标宋简体" w:eastAsia="方正小标宋简体" w:cs="方正小标宋简体"/>
          <w:color w:val="auto"/>
          <w:sz w:val="44"/>
          <w:szCs w:val="44"/>
        </w:rPr>
      </w:pPr>
      <w:r>
        <w:rPr>
          <w:rFonts w:ascii="仿宋_GB2312" w:hAnsi="仿宋_GB2312" w:eastAsia="仿宋_GB2312" w:cs="仿宋_GB2312"/>
          <w:color w:val="auto"/>
          <w:szCs w:val="21"/>
        </w:rPr>
        <w:br w:type="page"/>
      </w:r>
      <w:r>
        <w:rPr>
          <w:rFonts w:hint="eastAsia" w:ascii="方正小标宋简体" w:hAnsi="方正小标宋简体" w:eastAsia="方正小标宋简体" w:cs="方正小标宋简体"/>
          <w:color w:val="auto"/>
          <w:sz w:val="44"/>
          <w:szCs w:val="44"/>
        </w:rPr>
        <w:t>授权委托书</w:t>
      </w:r>
    </w:p>
    <w:p w14:paraId="65FEAA23">
      <w:pPr>
        <w:spacing w:before="120"/>
        <w:ind w:left="-70" w:firstLine="686"/>
        <w:contextualSpacing/>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（联合体竞标格式）</w:t>
      </w:r>
    </w:p>
    <w:p w14:paraId="24C01501">
      <w:pPr>
        <w:spacing w:before="120"/>
        <w:ind w:left="-70" w:firstLine="686"/>
        <w:contextualSpacing/>
        <w:jc w:val="center"/>
        <w:rPr>
          <w:rFonts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（如有委托时）</w:t>
      </w:r>
    </w:p>
    <w:p w14:paraId="2E17CBDE">
      <w:pPr>
        <w:spacing w:before="120" w:line="360" w:lineRule="auto"/>
        <w:ind w:left="-70" w:firstLine="784"/>
        <w:contextualSpacing/>
        <w:rPr>
          <w:rFonts w:ascii="仿宋_GB2312" w:hAnsi="仿宋_GB2312" w:eastAsia="仿宋_GB2312" w:cs="仿宋_GB2312"/>
          <w:color w:val="auto"/>
          <w:sz w:val="32"/>
          <w:szCs w:val="32"/>
        </w:rPr>
      </w:pPr>
    </w:p>
    <w:p w14:paraId="08FBC931">
      <w:pPr>
        <w:spacing w:before="120" w:line="360" w:lineRule="auto"/>
        <w:ind w:left="-70" w:firstLine="480" w:firstLineChars="200"/>
        <w:contextualSpacing/>
        <w:jc w:val="left"/>
        <w:rPr>
          <w:rFonts w:ascii="宋体" w:hAnsi="宋体" w:cs="仿宋_GB2312"/>
          <w:color w:val="auto"/>
          <w:sz w:val="24"/>
        </w:rPr>
      </w:pPr>
      <w:r>
        <w:rPr>
          <w:rFonts w:hint="eastAsia" w:ascii="宋体" w:hAnsi="宋体" w:cs="仿宋_GB2312"/>
          <w:color w:val="auto"/>
          <w:sz w:val="24"/>
        </w:rPr>
        <w:t>本授权委托书声明：根据</w:t>
      </w:r>
      <w:r>
        <w:rPr>
          <w:rFonts w:hint="eastAsia" w:ascii="宋体" w:hAnsi="宋体" w:cs="仿宋_GB2312"/>
          <w:color w:val="auto"/>
          <w:sz w:val="24"/>
          <w:u w:val="single"/>
        </w:rPr>
        <w:t xml:space="preserve">                </w:t>
      </w:r>
      <w:r>
        <w:rPr>
          <w:rFonts w:hint="eastAsia" w:ascii="宋体" w:hAnsi="宋体" w:cs="仿宋_GB2312"/>
          <w:color w:val="auto"/>
          <w:sz w:val="24"/>
        </w:rPr>
        <w:t>（牵头人名称）与</w:t>
      </w:r>
      <w:r>
        <w:rPr>
          <w:rFonts w:hint="eastAsia" w:ascii="宋体" w:hAnsi="宋体" w:cs="仿宋_GB2312"/>
          <w:color w:val="auto"/>
          <w:sz w:val="24"/>
          <w:u w:val="single"/>
        </w:rPr>
        <w:t xml:space="preserve">              </w:t>
      </w:r>
      <w:r>
        <w:rPr>
          <w:rFonts w:hint="eastAsia" w:ascii="宋体" w:hAnsi="宋体" w:cs="仿宋_GB2312"/>
          <w:color w:val="auto"/>
          <w:sz w:val="24"/>
        </w:rPr>
        <w:t>（联合体其他成员名称）签订的《联合体竞标协议书》的内容，</w:t>
      </w:r>
      <w:r>
        <w:rPr>
          <w:rFonts w:hint="eastAsia" w:ascii="宋体" w:hAnsi="宋体" w:cs="仿宋_GB2312"/>
          <w:color w:val="auto"/>
          <w:sz w:val="24"/>
          <w:u w:val="single"/>
        </w:rPr>
        <w:t xml:space="preserve">                       </w:t>
      </w:r>
      <w:r>
        <w:rPr>
          <w:rFonts w:hint="eastAsia" w:ascii="宋体" w:hAnsi="宋体" w:cs="仿宋_GB2312"/>
          <w:color w:val="auto"/>
          <w:sz w:val="24"/>
        </w:rPr>
        <w:t>（牵头人名称）的法定代表人</w:t>
      </w:r>
      <w:r>
        <w:rPr>
          <w:rFonts w:hint="eastAsia" w:ascii="宋体" w:hAnsi="宋体" w:cs="仿宋_GB2312"/>
          <w:color w:val="auto"/>
          <w:sz w:val="24"/>
          <w:u w:val="single"/>
        </w:rPr>
        <w:t xml:space="preserve">      </w:t>
      </w:r>
      <w:r>
        <w:rPr>
          <w:rFonts w:hint="eastAsia" w:ascii="宋体" w:hAnsi="宋体" w:cs="仿宋_GB2312"/>
          <w:color w:val="auto"/>
          <w:sz w:val="24"/>
        </w:rPr>
        <w:t>（姓名）现授权</w:t>
      </w:r>
      <w:r>
        <w:rPr>
          <w:rFonts w:hint="eastAsia" w:ascii="宋体" w:hAnsi="宋体" w:cs="仿宋_GB2312"/>
          <w:color w:val="auto"/>
          <w:sz w:val="24"/>
          <w:u w:val="single"/>
        </w:rPr>
        <w:t xml:space="preserve">      </w:t>
      </w:r>
      <w:r>
        <w:rPr>
          <w:rFonts w:hint="eastAsia" w:ascii="宋体" w:hAnsi="宋体" w:cs="仿宋_GB2312"/>
          <w:color w:val="auto"/>
          <w:sz w:val="24"/>
        </w:rPr>
        <w:t>（姓名）为联合委托代理人，并代表我方全权办理针对上述项目的所有采购程序和环节的具体事务和签署相关文件。</w:t>
      </w:r>
    </w:p>
    <w:p w14:paraId="54B6BA06">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我方对委托代理人的签字事项负全部责任。</w:t>
      </w:r>
    </w:p>
    <w:p w14:paraId="06F193C0">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14:paraId="48DCA885">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14:paraId="226D1255">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 xml:space="preserve">    附：法定代表人身份证明及委托代理人有效身份证正反面复印件</w:t>
      </w:r>
    </w:p>
    <w:p w14:paraId="62D3BCB7">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牵头人法定代表人（签字或者盖章）：</w:t>
      </w:r>
    </w:p>
    <w:p w14:paraId="28D05AF4">
      <w:pPr>
        <w:spacing w:before="120" w:line="360" w:lineRule="auto"/>
        <w:ind w:left="-70" w:firstLine="3120" w:firstLineChars="1300"/>
        <w:contextualSpacing/>
        <w:rPr>
          <w:rFonts w:ascii="宋体" w:hAnsi="宋体" w:cs="仿宋_GB2312"/>
          <w:color w:val="auto"/>
          <w:sz w:val="24"/>
        </w:rPr>
      </w:pPr>
      <w:r>
        <w:rPr>
          <w:rFonts w:hint="eastAsia" w:ascii="宋体" w:hAnsi="宋体" w:cs="仿宋_GB2312"/>
          <w:color w:val="auto"/>
          <w:sz w:val="24"/>
        </w:rPr>
        <w:t>牵头人（盖公章）：</w:t>
      </w:r>
    </w:p>
    <w:p w14:paraId="6BF773D9">
      <w:pPr>
        <w:spacing w:before="120" w:line="360" w:lineRule="auto"/>
        <w:ind w:left="-70"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14:paraId="2ADA0ED3">
      <w:pPr>
        <w:spacing w:before="120" w:line="360" w:lineRule="auto"/>
        <w:ind w:left="-70"/>
        <w:contextualSpacing/>
        <w:rPr>
          <w:rFonts w:ascii="宋体" w:hAnsi="宋体" w:cs="仿宋_GB2312"/>
          <w:color w:val="auto"/>
          <w:sz w:val="24"/>
        </w:rPr>
      </w:pPr>
    </w:p>
    <w:p w14:paraId="0F66242C">
      <w:pPr>
        <w:spacing w:before="120" w:line="360" w:lineRule="auto"/>
        <w:ind w:left="-70" w:firstLine="3120" w:firstLineChars="1300"/>
        <w:contextualSpacing/>
        <w:rPr>
          <w:rFonts w:ascii="宋体" w:hAnsi="宋体" w:cs="仿宋_GB2312"/>
          <w:color w:val="auto"/>
          <w:sz w:val="24"/>
        </w:rPr>
      </w:pPr>
      <w:r>
        <w:rPr>
          <w:rFonts w:hint="eastAsia" w:ascii="宋体" w:hAnsi="宋体" w:cs="仿宋_GB2312"/>
          <w:color w:val="auto"/>
          <w:sz w:val="24"/>
        </w:rPr>
        <w:t>被授权人（签字）：</w:t>
      </w:r>
    </w:p>
    <w:p w14:paraId="52D475F7">
      <w:pPr>
        <w:spacing w:before="120" w:line="360" w:lineRule="auto"/>
        <w:ind w:left="-70"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14:paraId="230EBC26">
      <w:pPr>
        <w:spacing w:before="120" w:line="360" w:lineRule="auto"/>
        <w:ind w:left="-70"/>
        <w:contextualSpacing/>
        <w:rPr>
          <w:rFonts w:ascii="宋体" w:hAnsi="宋体" w:cs="仿宋_GB2312"/>
          <w:color w:val="auto"/>
          <w:sz w:val="24"/>
        </w:rPr>
      </w:pPr>
    </w:p>
    <w:p w14:paraId="1A3D0E48">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注：1. 法定代表人必须在授权委托书上亲笔签字或者盖章，委托代理人必须在授权委托书上亲笔签字，</w:t>
      </w:r>
      <w:r>
        <w:rPr>
          <w:rFonts w:hint="eastAsia" w:ascii="宋体" w:hAnsi="宋体" w:cs="仿宋_GB2312"/>
          <w:b/>
          <w:bCs/>
          <w:color w:val="auto"/>
          <w:sz w:val="24"/>
        </w:rPr>
        <w:t>否</w:t>
      </w:r>
      <w:r>
        <w:rPr>
          <w:rFonts w:hint="eastAsia" w:ascii="宋体" w:hAnsi="宋体" w:cs="仿宋_GB2312"/>
          <w:b/>
          <w:color w:val="auto"/>
          <w:sz w:val="24"/>
        </w:rPr>
        <w:t>则其响应文件按无效响应处理。</w:t>
      </w:r>
    </w:p>
    <w:p w14:paraId="5EA2B22A">
      <w:pPr>
        <w:spacing w:before="120" w:line="360" w:lineRule="auto"/>
        <w:ind w:left="-70" w:firstLine="480" w:firstLineChars="200"/>
        <w:contextualSpacing/>
        <w:jc w:val="left"/>
        <w:rPr>
          <w:rFonts w:ascii="宋体" w:hAnsi="宋体" w:cs="仿宋_GB2312"/>
          <w:color w:val="auto"/>
          <w:sz w:val="24"/>
        </w:rPr>
      </w:pPr>
      <w:r>
        <w:rPr>
          <w:rFonts w:hint="eastAsia" w:ascii="宋体" w:hAnsi="宋体" w:cs="仿宋_GB2312"/>
          <w:color w:val="auto"/>
          <w:sz w:val="24"/>
        </w:rPr>
        <w:t>2.本授权委托书应由联合体牵头人的法定代表人按上述规定签署。</w:t>
      </w:r>
    </w:p>
    <w:p w14:paraId="124099DF">
      <w:pPr>
        <w:spacing w:before="120" w:line="360" w:lineRule="auto"/>
        <w:ind w:left="-70" w:firstLine="480" w:firstLineChars="200"/>
        <w:contextualSpacing/>
        <w:jc w:val="left"/>
        <w:rPr>
          <w:rFonts w:ascii="仿宋_GB2312" w:hAnsi="仿宋_GB2312" w:eastAsia="仿宋_GB2312" w:cs="仿宋_GB2312"/>
          <w:color w:val="auto"/>
          <w:szCs w:val="21"/>
        </w:rPr>
      </w:pPr>
      <w:r>
        <w:rPr>
          <w:rFonts w:hint="eastAsia" w:ascii="宋体" w:hAnsi="宋体" w:cs="仿宋_GB2312"/>
          <w:color w:val="auto"/>
          <w:sz w:val="24"/>
        </w:rPr>
        <w:t>3</w:t>
      </w:r>
      <w:r>
        <w:rPr>
          <w:rFonts w:ascii="宋体" w:hAnsi="宋体" w:cs="仿宋_GB2312"/>
          <w:color w:val="auto"/>
          <w:sz w:val="24"/>
        </w:rPr>
        <w:t>.</w:t>
      </w:r>
      <w:r>
        <w:rPr>
          <w:rFonts w:hint="eastAsia" w:ascii="宋体" w:hAnsi="宋体" w:cs="仿宋_GB2312"/>
          <w:color w:val="auto"/>
          <w:sz w:val="24"/>
        </w:rPr>
        <w:t>法人、其他组织竞标时“我方”是指“我单位”，自然人竞标时“我方”是指“本人”。</w:t>
      </w:r>
    </w:p>
    <w:p w14:paraId="1F06C1DF">
      <w:pPr>
        <w:spacing w:before="120" w:line="500" w:lineRule="exact"/>
        <w:ind w:left="-70" w:firstLine="784"/>
        <w:jc w:val="center"/>
        <w:rPr>
          <w:rFonts w:ascii="方正小标宋简体" w:hAnsi="方正小标宋简体" w:eastAsia="方正小标宋简体" w:cs="方正小标宋简体"/>
          <w:bCs/>
          <w:color w:val="auto"/>
          <w:sz w:val="44"/>
          <w:szCs w:val="44"/>
        </w:rPr>
      </w:pPr>
      <w:r>
        <w:rPr>
          <w:rFonts w:hint="eastAsia" w:ascii="仿宋_GB2312" w:hAnsi="仿宋_GB2312" w:eastAsia="仿宋_GB2312" w:cs="仿宋_GB2312"/>
          <w:color w:val="auto"/>
          <w:sz w:val="32"/>
          <w:szCs w:val="32"/>
        </w:rPr>
        <w:br w:type="page"/>
      </w:r>
      <w:r>
        <w:rPr>
          <w:rFonts w:hint="eastAsia" w:ascii="方正小标宋简体" w:hAnsi="方正小标宋简体" w:eastAsia="方正小标宋简体" w:cs="方正小标宋简体"/>
          <w:bCs/>
          <w:color w:val="auto"/>
          <w:sz w:val="44"/>
          <w:szCs w:val="44"/>
        </w:rPr>
        <w:t>商务要求偏离表格式</w:t>
      </w:r>
    </w:p>
    <w:p w14:paraId="79FBA31B">
      <w:pPr>
        <w:spacing w:before="120" w:line="500" w:lineRule="exact"/>
        <w:ind w:left="-70" w:firstLine="686"/>
        <w:jc w:val="center"/>
        <w:rPr>
          <w:rFonts w:ascii="宋体" w:hAnsi="宋体"/>
          <w:b/>
          <w:color w:val="auto"/>
          <w:sz w:val="28"/>
          <w:szCs w:val="28"/>
        </w:rPr>
      </w:pPr>
      <w:r>
        <w:rPr>
          <w:rFonts w:hint="eastAsia" w:ascii="方正小标宋简体" w:hAnsi="方正小标宋简体" w:eastAsia="方正小标宋简体" w:cs="方正小标宋简体"/>
          <w:bCs/>
          <w:color w:val="auto"/>
          <w:sz w:val="28"/>
          <w:szCs w:val="28"/>
        </w:rPr>
        <w:t>（注：按采购需求具体条款修改）</w:t>
      </w:r>
    </w:p>
    <w:p w14:paraId="6BD91BBB">
      <w:pPr>
        <w:snapToGrid w:val="0"/>
        <w:spacing w:before="120"/>
        <w:ind w:left="-70"/>
        <w:jc w:val="left"/>
        <w:rPr>
          <w:rFonts w:ascii="宋体" w:hAnsi="宋体"/>
          <w:color w:val="auto"/>
          <w:sz w:val="24"/>
        </w:rPr>
      </w:pPr>
    </w:p>
    <w:p w14:paraId="55AEEB63">
      <w:pPr>
        <w:pStyle w:val="15"/>
        <w:spacing w:before="120" w:line="360" w:lineRule="auto"/>
        <w:ind w:left="-70"/>
        <w:rPr>
          <w:rFonts w:hAnsi="宋体" w:cs="仿宋_GB2312"/>
          <w:color w:val="auto"/>
          <w:sz w:val="24"/>
          <w:szCs w:val="24"/>
        </w:rPr>
      </w:pPr>
      <w:r>
        <w:rPr>
          <w:rFonts w:hint="eastAsia" w:hAnsi="宋体" w:cs="仿宋_GB2312"/>
          <w:color w:val="auto"/>
          <w:sz w:val="24"/>
          <w:szCs w:val="24"/>
        </w:rPr>
        <w:t>所竞分标：</w:t>
      </w:r>
      <w:r>
        <w:rPr>
          <w:rFonts w:hint="eastAsia" w:hAnsi="宋体" w:cs="仿宋_GB2312"/>
          <w:color w:val="auto"/>
          <w:sz w:val="24"/>
          <w:szCs w:val="24"/>
          <w:u w:val="single"/>
        </w:rPr>
        <w:t xml:space="preserve">              </w:t>
      </w:r>
    </w:p>
    <w:tbl>
      <w:tblPr>
        <w:tblStyle w:val="28"/>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3471C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2783407">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7742375">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谈判文件商务要求</w:t>
            </w:r>
          </w:p>
        </w:tc>
        <w:tc>
          <w:tcPr>
            <w:tcW w:w="2633" w:type="dxa"/>
            <w:tcBorders>
              <w:top w:val="single" w:color="auto" w:sz="4" w:space="0"/>
              <w:left w:val="single" w:color="auto" w:sz="4" w:space="0"/>
              <w:bottom w:val="single" w:color="auto" w:sz="4" w:space="0"/>
              <w:right w:val="single" w:color="auto" w:sz="4" w:space="0"/>
            </w:tcBorders>
            <w:vAlign w:val="center"/>
          </w:tcPr>
          <w:p w14:paraId="05067532">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供应商的响应</w:t>
            </w:r>
          </w:p>
        </w:tc>
        <w:tc>
          <w:tcPr>
            <w:tcW w:w="1829" w:type="dxa"/>
            <w:tcBorders>
              <w:top w:val="single" w:color="auto" w:sz="4" w:space="0"/>
              <w:left w:val="single" w:color="auto" w:sz="4" w:space="0"/>
              <w:bottom w:val="single" w:color="auto" w:sz="4" w:space="0"/>
              <w:right w:val="single" w:color="auto" w:sz="4" w:space="0"/>
            </w:tcBorders>
            <w:vAlign w:val="center"/>
          </w:tcPr>
          <w:p w14:paraId="27C6FDD6">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偏离说明</w:t>
            </w:r>
          </w:p>
        </w:tc>
      </w:tr>
      <w:tr w14:paraId="7AD24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723BB4EA">
            <w:pPr>
              <w:pStyle w:val="26"/>
              <w:spacing w:before="120"/>
              <w:ind w:left="-70" w:firstLine="210"/>
              <w:jc w:val="center"/>
              <w:rPr>
                <w:rFonts w:ascii="宋体" w:hAnsi="宋体"/>
                <w:color w:val="auto"/>
                <w:kern w:val="0"/>
                <w:szCs w:val="21"/>
              </w:rPr>
            </w:pPr>
            <w:r>
              <w:rPr>
                <w:rFonts w:hint="eastAsia" w:ascii="宋体" w:hAnsi="宋体" w:cs="宋体"/>
                <w:color w:val="auto"/>
                <w:szCs w:val="21"/>
              </w:rPr>
              <w:t>竞标报价要求</w:t>
            </w:r>
          </w:p>
        </w:tc>
        <w:tc>
          <w:tcPr>
            <w:tcW w:w="2668" w:type="dxa"/>
            <w:tcBorders>
              <w:top w:val="single" w:color="auto" w:sz="4" w:space="0"/>
              <w:left w:val="single" w:color="auto" w:sz="4" w:space="0"/>
              <w:bottom w:val="single" w:color="auto" w:sz="4" w:space="0"/>
              <w:right w:val="single" w:color="auto" w:sz="4" w:space="0"/>
            </w:tcBorders>
            <w:vAlign w:val="center"/>
          </w:tcPr>
          <w:p w14:paraId="7E795FB7">
            <w:pPr>
              <w:spacing w:before="120"/>
              <w:ind w:left="-70"/>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6D2843E8">
            <w:pPr>
              <w:snapToGrid w:val="0"/>
              <w:spacing w:beforeLines="50" w:line="360" w:lineRule="auto"/>
              <w:ind w:left="-70"/>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7DDE54CD">
            <w:pPr>
              <w:snapToGrid w:val="0"/>
              <w:spacing w:beforeLines="50" w:line="360" w:lineRule="auto"/>
              <w:ind w:left="-70"/>
              <w:jc w:val="center"/>
              <w:rPr>
                <w:rFonts w:ascii="宋体" w:hAnsi="宋体" w:cs="仿宋_GB2312"/>
                <w:color w:val="auto"/>
                <w:sz w:val="24"/>
              </w:rPr>
            </w:pPr>
          </w:p>
        </w:tc>
      </w:tr>
      <w:tr w14:paraId="7EAB44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vAlign w:val="center"/>
          </w:tcPr>
          <w:p w14:paraId="65D757C2">
            <w:pPr>
              <w:pStyle w:val="26"/>
              <w:spacing w:before="120"/>
              <w:ind w:left="-70" w:firstLine="210"/>
              <w:jc w:val="center"/>
              <w:rPr>
                <w:rFonts w:ascii="宋体" w:hAnsi="宋体" w:cs="宋体"/>
                <w:color w:val="auto"/>
                <w:kern w:val="0"/>
                <w:szCs w:val="21"/>
              </w:rPr>
            </w:pPr>
            <w:r>
              <w:rPr>
                <w:rFonts w:hint="eastAsia" w:ascii="宋体" w:hAnsi="宋体" w:cs="宋体"/>
                <w:color w:val="auto"/>
                <w:szCs w:val="21"/>
              </w:rPr>
              <w:t>合同履约期限和建设地点</w:t>
            </w:r>
          </w:p>
        </w:tc>
        <w:tc>
          <w:tcPr>
            <w:tcW w:w="2668" w:type="dxa"/>
            <w:tcBorders>
              <w:top w:val="single" w:color="auto" w:sz="4" w:space="0"/>
              <w:left w:val="single" w:color="auto" w:sz="4" w:space="0"/>
              <w:bottom w:val="single" w:color="auto" w:sz="4" w:space="0"/>
              <w:right w:val="single" w:color="auto" w:sz="4" w:space="0"/>
            </w:tcBorders>
            <w:vAlign w:val="center"/>
          </w:tcPr>
          <w:p w14:paraId="5C027FE0">
            <w:pPr>
              <w:spacing w:before="120"/>
              <w:ind w:left="-70"/>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288FF5CC">
            <w:pPr>
              <w:snapToGrid w:val="0"/>
              <w:spacing w:beforeLines="50" w:line="360" w:lineRule="auto"/>
              <w:ind w:left="-70"/>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155B1C39">
            <w:pPr>
              <w:snapToGrid w:val="0"/>
              <w:spacing w:beforeLines="50" w:line="360" w:lineRule="auto"/>
              <w:ind w:left="-70"/>
              <w:jc w:val="center"/>
              <w:rPr>
                <w:rFonts w:ascii="宋体" w:hAnsi="宋体" w:cs="仿宋_GB2312"/>
                <w:color w:val="auto"/>
                <w:sz w:val="24"/>
              </w:rPr>
            </w:pPr>
          </w:p>
        </w:tc>
      </w:tr>
      <w:tr w14:paraId="4F0CB5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73965C67">
            <w:pPr>
              <w:spacing w:before="120" w:line="320" w:lineRule="atLeast"/>
              <w:ind w:left="-70" w:firstLine="588"/>
              <w:jc w:val="center"/>
              <w:rPr>
                <w:rFonts w:ascii="宋体" w:hAnsi="宋体" w:cs="宋体"/>
                <w:color w:val="auto"/>
                <w:szCs w:val="21"/>
              </w:rPr>
            </w:pPr>
            <w:r>
              <w:rPr>
                <w:rFonts w:hint="eastAsia" w:ascii="宋体" w:hAnsi="宋体" w:cs="宋体"/>
                <w:color w:val="auto"/>
                <w:szCs w:val="21"/>
              </w:rPr>
              <w:t>签订合同时限</w:t>
            </w:r>
          </w:p>
        </w:tc>
        <w:tc>
          <w:tcPr>
            <w:tcW w:w="2668" w:type="dxa"/>
            <w:tcBorders>
              <w:top w:val="single" w:color="auto" w:sz="4" w:space="0"/>
              <w:left w:val="single" w:color="auto" w:sz="4" w:space="0"/>
              <w:bottom w:val="single" w:color="auto" w:sz="4" w:space="0"/>
              <w:right w:val="single" w:color="auto" w:sz="4" w:space="0"/>
            </w:tcBorders>
            <w:vAlign w:val="center"/>
          </w:tcPr>
          <w:p w14:paraId="5565EDDF">
            <w:pPr>
              <w:spacing w:before="120"/>
              <w:ind w:left="-70"/>
              <w:jc w:val="center"/>
              <w:rPr>
                <w:rFonts w:ascii="宋体" w:hAnsi="宋体"/>
                <w:color w:val="auto"/>
                <w:sz w:val="24"/>
              </w:rPr>
            </w:pPr>
          </w:p>
        </w:tc>
        <w:tc>
          <w:tcPr>
            <w:tcW w:w="2633" w:type="dxa"/>
            <w:tcBorders>
              <w:top w:val="single" w:color="auto" w:sz="4" w:space="0"/>
              <w:left w:val="single" w:color="auto" w:sz="4" w:space="0"/>
              <w:bottom w:val="single" w:color="auto" w:sz="4" w:space="0"/>
              <w:right w:val="single" w:color="auto" w:sz="4" w:space="0"/>
            </w:tcBorders>
            <w:vAlign w:val="center"/>
          </w:tcPr>
          <w:p w14:paraId="6F70774A">
            <w:pPr>
              <w:snapToGrid w:val="0"/>
              <w:spacing w:beforeLines="50" w:line="360" w:lineRule="auto"/>
              <w:ind w:left="-70"/>
              <w:jc w:val="center"/>
              <w:rPr>
                <w:rFonts w:ascii="宋体" w:hAnsi="宋体" w:cs="仿宋_GB2312"/>
                <w:color w:val="auto"/>
                <w:sz w:val="24"/>
              </w:rPr>
            </w:pPr>
          </w:p>
        </w:tc>
        <w:tc>
          <w:tcPr>
            <w:tcW w:w="1829" w:type="dxa"/>
            <w:tcBorders>
              <w:top w:val="single" w:color="auto" w:sz="4" w:space="0"/>
              <w:left w:val="single" w:color="auto" w:sz="4" w:space="0"/>
              <w:bottom w:val="single" w:color="auto" w:sz="4" w:space="0"/>
              <w:right w:val="single" w:color="auto" w:sz="4" w:space="0"/>
            </w:tcBorders>
            <w:vAlign w:val="center"/>
          </w:tcPr>
          <w:p w14:paraId="65539DA6">
            <w:pPr>
              <w:snapToGrid w:val="0"/>
              <w:spacing w:beforeLines="50" w:line="360" w:lineRule="auto"/>
              <w:ind w:left="-70"/>
              <w:jc w:val="center"/>
              <w:rPr>
                <w:rFonts w:ascii="宋体" w:hAnsi="宋体" w:cs="仿宋_GB2312"/>
                <w:color w:val="auto"/>
                <w:sz w:val="24"/>
              </w:rPr>
            </w:pPr>
          </w:p>
        </w:tc>
      </w:tr>
      <w:tr w14:paraId="3AAF5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9C65D6A">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0140F847">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2633" w:type="dxa"/>
            <w:tcBorders>
              <w:top w:val="single" w:color="auto" w:sz="4" w:space="0"/>
              <w:left w:val="single" w:color="auto" w:sz="4" w:space="0"/>
              <w:bottom w:val="single" w:color="auto" w:sz="4" w:space="0"/>
              <w:right w:val="single" w:color="auto" w:sz="4" w:space="0"/>
            </w:tcBorders>
            <w:vAlign w:val="center"/>
          </w:tcPr>
          <w:p w14:paraId="53E4365D">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1829" w:type="dxa"/>
            <w:tcBorders>
              <w:top w:val="single" w:color="auto" w:sz="4" w:space="0"/>
              <w:left w:val="single" w:color="auto" w:sz="4" w:space="0"/>
              <w:bottom w:val="single" w:color="auto" w:sz="4" w:space="0"/>
              <w:right w:val="single" w:color="auto" w:sz="4" w:space="0"/>
            </w:tcBorders>
            <w:vAlign w:val="center"/>
          </w:tcPr>
          <w:p w14:paraId="310A68DE">
            <w:pPr>
              <w:snapToGrid w:val="0"/>
              <w:spacing w:beforeLines="5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r>
    </w:tbl>
    <w:p w14:paraId="3C0CAF6D">
      <w:pPr>
        <w:pStyle w:val="11"/>
        <w:spacing w:before="120" w:after="0" w:line="360" w:lineRule="auto"/>
        <w:ind w:left="-70"/>
        <w:contextualSpacing/>
        <w:rPr>
          <w:rFonts w:ascii="宋体" w:hAnsi="宋体"/>
          <w:color w:val="auto"/>
          <w:kern w:val="0"/>
          <w:sz w:val="24"/>
          <w:szCs w:val="24"/>
        </w:rPr>
      </w:pPr>
      <w:r>
        <w:rPr>
          <w:rFonts w:hint="eastAsia" w:ascii="宋体" w:hAnsi="宋体"/>
          <w:color w:val="auto"/>
          <w:kern w:val="0"/>
          <w:sz w:val="24"/>
          <w:szCs w:val="24"/>
        </w:rPr>
        <w:t>注：</w:t>
      </w:r>
    </w:p>
    <w:p w14:paraId="5A1BFAE8">
      <w:pPr>
        <w:pStyle w:val="11"/>
        <w:spacing w:before="120" w:after="0" w:line="360" w:lineRule="auto"/>
        <w:ind w:left="-70"/>
        <w:contextualSpacing/>
        <w:rPr>
          <w:rFonts w:ascii="宋体" w:hAnsi="宋体"/>
          <w:color w:val="auto"/>
          <w:kern w:val="0"/>
          <w:sz w:val="24"/>
          <w:szCs w:val="24"/>
        </w:rPr>
      </w:pPr>
      <w:r>
        <w:rPr>
          <w:rFonts w:hint="eastAsia" w:ascii="宋体" w:hAnsi="宋体"/>
          <w:color w:val="auto"/>
          <w:kern w:val="0"/>
          <w:sz w:val="24"/>
          <w:szCs w:val="24"/>
        </w:rPr>
        <w:t>1. 说明：应对照谈判文件“第三章 采购需求”中的商务要求逐条明确响应，并作出偏离说明。</w:t>
      </w:r>
    </w:p>
    <w:p w14:paraId="764FC767">
      <w:pPr>
        <w:pStyle w:val="11"/>
        <w:spacing w:before="120" w:after="0" w:line="360" w:lineRule="auto"/>
        <w:ind w:left="-70"/>
        <w:contextualSpacing/>
        <w:rPr>
          <w:rFonts w:ascii="宋体" w:hAnsi="宋体"/>
          <w:color w:val="auto"/>
          <w:kern w:val="0"/>
          <w:sz w:val="24"/>
          <w:szCs w:val="24"/>
        </w:rPr>
      </w:pPr>
      <w:r>
        <w:rPr>
          <w:rFonts w:hint="eastAsia" w:ascii="宋体" w:hAnsi="宋体"/>
          <w:color w:val="auto"/>
          <w:kern w:val="0"/>
          <w:sz w:val="24"/>
          <w:szCs w:val="24"/>
        </w:rPr>
        <w:t>2.供应商应根据自身的承诺，对照谈判文件要求在“偏离说明”中注明“正偏离”、“负偏离”或者“无偏离”。既不属于“正偏离”也不属于“负偏离”即为“无偏离”。</w:t>
      </w:r>
    </w:p>
    <w:p w14:paraId="521B51AD">
      <w:pPr>
        <w:spacing w:before="120" w:line="360" w:lineRule="auto"/>
        <w:ind w:left="-70"/>
        <w:contextualSpacing/>
        <w:jc w:val="left"/>
        <w:rPr>
          <w:rFonts w:ascii="宋体" w:hAnsi="宋体" w:cs="仿宋_GB2312"/>
          <w:color w:val="auto"/>
          <w:sz w:val="24"/>
          <w:u w:val="single"/>
        </w:rPr>
      </w:pPr>
    </w:p>
    <w:p w14:paraId="3C33FBA1">
      <w:pPr>
        <w:spacing w:before="120" w:line="360" w:lineRule="auto"/>
        <w:ind w:left="-70"/>
        <w:contextualSpacing/>
        <w:jc w:val="left"/>
        <w:rPr>
          <w:rFonts w:ascii="宋体" w:hAnsi="宋体" w:cs="仿宋_GB2312"/>
          <w:color w:val="auto"/>
          <w:sz w:val="24"/>
          <w:u w:val="single"/>
        </w:rPr>
      </w:pPr>
    </w:p>
    <w:p w14:paraId="13C87F2F">
      <w:pPr>
        <w:spacing w:before="120" w:line="360" w:lineRule="auto"/>
        <w:ind w:left="-70" w:right="-817" w:rightChars="-389"/>
        <w:contextualSpacing/>
        <w:rPr>
          <w:rFonts w:ascii="宋体" w:hAnsi="宋体" w:cs="仿宋_GB2312"/>
          <w:color w:val="auto"/>
          <w:sz w:val="24"/>
        </w:rPr>
      </w:pPr>
    </w:p>
    <w:p w14:paraId="161D0D52">
      <w:pPr>
        <w:spacing w:before="120" w:line="360" w:lineRule="auto"/>
        <w:ind w:left="-70"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w:t>
      </w:r>
    </w:p>
    <w:p w14:paraId="213B76A2">
      <w:pPr>
        <w:spacing w:before="120" w:line="360" w:lineRule="auto"/>
        <w:ind w:left="-70" w:right="-817" w:rightChars="-389" w:firstLine="3240" w:firstLineChars="1350"/>
        <w:contextualSpacing/>
        <w:rPr>
          <w:rFonts w:ascii="宋体" w:hAnsi="宋体" w:cs="仿宋_GB2312"/>
          <w:color w:val="auto"/>
          <w:sz w:val="24"/>
        </w:rPr>
      </w:pPr>
      <w:r>
        <w:rPr>
          <w:rFonts w:hint="eastAsia" w:ascii="宋体" w:hAnsi="宋体" w:cs="仿宋_GB2312"/>
          <w:color w:val="auto"/>
          <w:sz w:val="24"/>
        </w:rPr>
        <w:t xml:space="preserve">供应商（盖公章）：      </w:t>
      </w:r>
    </w:p>
    <w:p w14:paraId="6CA02906">
      <w:pPr>
        <w:spacing w:before="120" w:line="360" w:lineRule="auto"/>
        <w:ind w:left="-70" w:right="-817" w:rightChars="-389" w:firstLine="3240" w:firstLineChars="1350"/>
        <w:contextualSpacing/>
        <w:rPr>
          <w:rFonts w:ascii="宋体" w:hAnsi="宋体" w:cs="仿宋_GB2312"/>
          <w:color w:val="auto"/>
          <w:sz w:val="24"/>
        </w:rPr>
      </w:pPr>
      <w:r>
        <w:rPr>
          <w:rFonts w:hint="eastAsia" w:ascii="宋体" w:hAnsi="宋体" w:cs="仿宋_GB2312"/>
          <w:color w:val="auto"/>
          <w:sz w:val="24"/>
        </w:rPr>
        <w:t>日期：   年   月   日</w:t>
      </w:r>
    </w:p>
    <w:p w14:paraId="79AC6C8D">
      <w:pPr>
        <w:adjustRightInd w:val="0"/>
        <w:snapToGrid w:val="0"/>
        <w:spacing w:before="120" w:line="520" w:lineRule="exact"/>
        <w:ind w:left="-70" w:firstLine="7040" w:firstLineChars="1600"/>
        <w:jc w:val="center"/>
        <w:rPr>
          <w:rFonts w:ascii="方正小标宋简体" w:hAnsi="方正小标宋简体" w:eastAsia="方正小标宋简体" w:cs="方正小标宋简体"/>
          <w:bCs/>
          <w:color w:val="auto"/>
          <w:sz w:val="44"/>
          <w:szCs w:val="44"/>
        </w:rPr>
      </w:pPr>
    </w:p>
    <w:p w14:paraId="567BF9C4">
      <w:pPr>
        <w:adjustRightInd w:val="0"/>
        <w:snapToGrid w:val="0"/>
        <w:spacing w:before="120" w:line="520" w:lineRule="exact"/>
        <w:ind w:left="-70" w:firstLine="1078"/>
        <w:jc w:val="center"/>
        <w:rPr>
          <w:rFonts w:ascii="宋体" w:hAnsi="宋体"/>
          <w:b/>
          <w:color w:val="auto"/>
          <w:sz w:val="32"/>
          <w:szCs w:val="32"/>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货物配置清单</w:t>
      </w:r>
    </w:p>
    <w:p w14:paraId="5B980230">
      <w:pPr>
        <w:spacing w:before="120" w:line="300" w:lineRule="auto"/>
        <w:ind w:left="-70" w:firstLine="588"/>
        <w:rPr>
          <w:rFonts w:ascii="宋体" w:hAnsi="宋体"/>
          <w:color w:val="auto"/>
          <w:szCs w:val="21"/>
        </w:rPr>
      </w:pPr>
    </w:p>
    <w:p w14:paraId="04B9B8F6">
      <w:pPr>
        <w:spacing w:before="120" w:line="360" w:lineRule="auto"/>
        <w:ind w:left="-70"/>
        <w:rPr>
          <w:rFonts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08A664C9">
      <w:pPr>
        <w:spacing w:before="120" w:line="360" w:lineRule="auto"/>
        <w:ind w:left="-70"/>
        <w:rPr>
          <w:rFonts w:ascii="宋体" w:hAnsi="宋体" w:cs="仿宋_GB2312"/>
          <w:color w:val="auto"/>
          <w:sz w:val="24"/>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14:paraId="0D238F3E">
      <w:pPr>
        <w:spacing w:before="120" w:line="360" w:lineRule="auto"/>
        <w:ind w:left="-70"/>
        <w:rPr>
          <w:rFonts w:ascii="宋体" w:hAnsi="宋体" w:cs="仿宋_GB2312"/>
          <w:color w:val="auto"/>
          <w:sz w:val="24"/>
          <w:u w:val="single"/>
        </w:rPr>
      </w:pPr>
      <w:r>
        <w:rPr>
          <w:rFonts w:hint="eastAsia" w:ascii="宋体" w:hAnsi="宋体" w:cs="仿宋_GB2312"/>
          <w:color w:val="auto"/>
          <w:sz w:val="24"/>
        </w:rPr>
        <w:t>所竞分标：</w:t>
      </w:r>
      <w:r>
        <w:rPr>
          <w:rFonts w:hint="eastAsia" w:ascii="宋体" w:hAnsi="宋体" w:cs="仿宋_GB2312"/>
          <w:color w:val="auto"/>
          <w:sz w:val="24"/>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4"/>
        <w:gridCol w:w="1372"/>
        <w:gridCol w:w="885"/>
        <w:gridCol w:w="986"/>
        <w:gridCol w:w="1968"/>
        <w:gridCol w:w="1372"/>
        <w:gridCol w:w="812"/>
        <w:gridCol w:w="1649"/>
      </w:tblGrid>
      <w:tr w14:paraId="5D68C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43D215A">
            <w:pPr>
              <w:snapToGrid w:val="0"/>
              <w:spacing w:before="120" w:after="50"/>
              <w:ind w:left="-70"/>
              <w:jc w:val="center"/>
              <w:rPr>
                <w:rFonts w:ascii="宋体" w:hAnsi="宋体"/>
                <w:color w:val="auto"/>
                <w:sz w:val="24"/>
              </w:rPr>
            </w:pPr>
            <w:r>
              <w:rPr>
                <w:rFonts w:hint="eastAsia" w:ascii="宋体" w:hAnsi="宋体"/>
                <w:color w:val="auto"/>
                <w:sz w:val="24"/>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290E6F02">
            <w:pPr>
              <w:snapToGrid w:val="0"/>
              <w:spacing w:before="120" w:after="50"/>
              <w:ind w:left="-70"/>
              <w:jc w:val="center"/>
              <w:rPr>
                <w:rFonts w:ascii="宋体" w:hAnsi="宋体"/>
                <w:color w:val="auto"/>
                <w:sz w:val="24"/>
              </w:rPr>
            </w:pPr>
            <w:r>
              <w:rPr>
                <w:rFonts w:hint="eastAsia" w:ascii="宋体" w:hAnsi="宋体"/>
                <w:color w:val="auto"/>
                <w:sz w:val="24"/>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06070E97">
            <w:pPr>
              <w:snapToGrid w:val="0"/>
              <w:spacing w:before="120" w:after="50"/>
              <w:ind w:left="-70"/>
              <w:jc w:val="center"/>
              <w:rPr>
                <w:rFonts w:ascii="宋体" w:hAnsi="宋体"/>
                <w:color w:val="auto"/>
                <w:sz w:val="24"/>
              </w:rPr>
            </w:pPr>
            <w:r>
              <w:rPr>
                <w:rFonts w:hint="eastAsia" w:ascii="宋体" w:hAnsi="宋体"/>
                <w:color w:val="auto"/>
                <w:sz w:val="24"/>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22AFA086">
            <w:pPr>
              <w:snapToGrid w:val="0"/>
              <w:spacing w:before="120" w:after="50"/>
              <w:ind w:left="-70"/>
              <w:jc w:val="center"/>
              <w:rPr>
                <w:rFonts w:ascii="宋体" w:hAnsi="宋体"/>
                <w:color w:val="auto"/>
                <w:sz w:val="24"/>
              </w:rPr>
            </w:pPr>
            <w:r>
              <w:rPr>
                <w:rFonts w:hint="eastAsia" w:ascii="宋体" w:hAnsi="宋体"/>
                <w:color w:val="auto"/>
                <w:sz w:val="24"/>
              </w:rPr>
              <w:t>品牌</w:t>
            </w:r>
          </w:p>
        </w:tc>
        <w:tc>
          <w:tcPr>
            <w:tcW w:w="998" w:type="pct"/>
            <w:tcBorders>
              <w:top w:val="single" w:color="auto" w:sz="4" w:space="0"/>
              <w:left w:val="single" w:color="auto" w:sz="4" w:space="0"/>
              <w:bottom w:val="single" w:color="auto" w:sz="4" w:space="0"/>
              <w:right w:val="single" w:color="auto" w:sz="4" w:space="0"/>
            </w:tcBorders>
          </w:tcPr>
          <w:p w14:paraId="0762B45F">
            <w:pPr>
              <w:snapToGrid w:val="0"/>
              <w:spacing w:before="120" w:after="50"/>
              <w:ind w:left="-70"/>
              <w:jc w:val="center"/>
              <w:rPr>
                <w:rFonts w:ascii="宋体" w:hAnsi="宋体"/>
                <w:color w:val="auto"/>
                <w:sz w:val="24"/>
              </w:rPr>
            </w:pPr>
          </w:p>
          <w:p w14:paraId="7BEE29CD">
            <w:pPr>
              <w:snapToGrid w:val="0"/>
              <w:spacing w:before="120" w:after="50"/>
              <w:ind w:left="-70"/>
              <w:jc w:val="center"/>
              <w:rPr>
                <w:rFonts w:ascii="宋体" w:hAnsi="宋体"/>
                <w:color w:val="auto"/>
                <w:sz w:val="24"/>
              </w:rPr>
            </w:pPr>
            <w:r>
              <w:rPr>
                <w:rFonts w:hint="eastAsia" w:ascii="宋体" w:hAnsi="宋体"/>
                <w:color w:val="auto"/>
                <w:sz w:val="24"/>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1D73B599">
            <w:pPr>
              <w:snapToGrid w:val="0"/>
              <w:spacing w:before="120" w:after="50"/>
              <w:ind w:left="-70"/>
              <w:jc w:val="center"/>
              <w:rPr>
                <w:rFonts w:ascii="宋体" w:hAnsi="宋体"/>
                <w:color w:val="auto"/>
                <w:sz w:val="24"/>
              </w:rPr>
            </w:pPr>
            <w:r>
              <w:rPr>
                <w:rFonts w:hint="eastAsia" w:ascii="宋体" w:hAnsi="宋体"/>
                <w:color w:val="auto"/>
                <w:sz w:val="24"/>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0405E490">
            <w:pPr>
              <w:snapToGrid w:val="0"/>
              <w:spacing w:before="120" w:after="50"/>
              <w:ind w:left="-70"/>
              <w:jc w:val="center"/>
              <w:rPr>
                <w:rFonts w:ascii="宋体" w:hAnsi="宋体"/>
                <w:color w:val="auto"/>
                <w:sz w:val="24"/>
              </w:rPr>
            </w:pPr>
            <w:r>
              <w:rPr>
                <w:rFonts w:hint="eastAsia" w:ascii="宋体" w:hAnsi="宋体"/>
                <w:color w:val="auto"/>
                <w:sz w:val="24"/>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2BC6969F">
            <w:pPr>
              <w:snapToGrid w:val="0"/>
              <w:spacing w:before="120" w:after="50"/>
              <w:ind w:left="-70"/>
              <w:jc w:val="center"/>
              <w:rPr>
                <w:rFonts w:ascii="宋体" w:hAnsi="宋体"/>
                <w:color w:val="auto"/>
                <w:sz w:val="24"/>
              </w:rPr>
            </w:pPr>
            <w:r>
              <w:rPr>
                <w:rFonts w:hint="eastAsia" w:ascii="宋体" w:hAnsi="宋体"/>
                <w:color w:val="auto"/>
                <w:sz w:val="24"/>
              </w:rPr>
              <w:t>参数性能、指标及配置</w:t>
            </w:r>
          </w:p>
        </w:tc>
      </w:tr>
      <w:tr w14:paraId="49FF6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DCD9631">
            <w:pPr>
              <w:snapToGrid w:val="0"/>
              <w:spacing w:before="120" w:after="50"/>
              <w:ind w:left="-7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5E553E29">
            <w:pPr>
              <w:snapToGrid w:val="0"/>
              <w:spacing w:before="120" w:after="50"/>
              <w:ind w:left="-70"/>
              <w:jc w:val="center"/>
              <w:rPr>
                <w:rFonts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44A46551">
            <w:pPr>
              <w:snapToGrid w:val="0"/>
              <w:spacing w:before="120" w:after="50"/>
              <w:ind w:left="-70"/>
              <w:jc w:val="center"/>
              <w:rPr>
                <w:rFonts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2CEC9721">
            <w:pPr>
              <w:snapToGrid w:val="0"/>
              <w:spacing w:before="120" w:after="50"/>
              <w:ind w:left="-70"/>
              <w:jc w:val="center"/>
              <w:rPr>
                <w:rFonts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tcPr>
          <w:p w14:paraId="783D54FF">
            <w:pPr>
              <w:snapToGrid w:val="0"/>
              <w:spacing w:before="120" w:after="50"/>
              <w:ind w:left="-7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3F104477">
            <w:pPr>
              <w:snapToGrid w:val="0"/>
              <w:spacing w:before="120" w:after="50"/>
              <w:ind w:left="-7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31F1D7BD">
            <w:pPr>
              <w:snapToGrid w:val="0"/>
              <w:spacing w:before="120" w:after="50"/>
              <w:ind w:left="-7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265292A9">
            <w:pPr>
              <w:snapToGrid w:val="0"/>
              <w:spacing w:before="120" w:after="50"/>
              <w:ind w:left="-70"/>
              <w:jc w:val="center"/>
              <w:rPr>
                <w:rFonts w:ascii="宋体" w:hAnsi="宋体"/>
                <w:color w:val="auto"/>
                <w:sz w:val="24"/>
              </w:rPr>
            </w:pPr>
          </w:p>
        </w:tc>
      </w:tr>
      <w:tr w14:paraId="02B10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A708F8B">
            <w:pPr>
              <w:snapToGrid w:val="0"/>
              <w:spacing w:before="120" w:after="50"/>
              <w:ind w:left="-7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5D91BC87">
            <w:pPr>
              <w:snapToGrid w:val="0"/>
              <w:spacing w:before="120" w:after="50"/>
              <w:ind w:left="-70"/>
              <w:jc w:val="center"/>
              <w:rPr>
                <w:rFonts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53BADB7A">
            <w:pPr>
              <w:snapToGrid w:val="0"/>
              <w:spacing w:before="120" w:after="50"/>
              <w:ind w:left="-70"/>
              <w:jc w:val="center"/>
              <w:rPr>
                <w:rFonts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025FDC29">
            <w:pPr>
              <w:snapToGrid w:val="0"/>
              <w:spacing w:before="120" w:after="50"/>
              <w:ind w:left="-70"/>
              <w:jc w:val="center"/>
              <w:rPr>
                <w:rFonts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tcPr>
          <w:p w14:paraId="3332BB6B">
            <w:pPr>
              <w:snapToGrid w:val="0"/>
              <w:spacing w:before="120" w:after="50"/>
              <w:ind w:left="-7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7DCF4CD3">
            <w:pPr>
              <w:snapToGrid w:val="0"/>
              <w:spacing w:before="120" w:after="50"/>
              <w:ind w:left="-7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42E0E243">
            <w:pPr>
              <w:snapToGrid w:val="0"/>
              <w:spacing w:before="120" w:after="50"/>
              <w:ind w:left="-7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34F112A8">
            <w:pPr>
              <w:snapToGrid w:val="0"/>
              <w:spacing w:before="120" w:after="50"/>
              <w:ind w:left="-70"/>
              <w:jc w:val="center"/>
              <w:rPr>
                <w:rFonts w:ascii="宋体" w:hAnsi="宋体"/>
                <w:color w:val="auto"/>
                <w:sz w:val="24"/>
              </w:rPr>
            </w:pPr>
          </w:p>
        </w:tc>
      </w:tr>
      <w:tr w14:paraId="0BC773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B7CF4D4">
            <w:pPr>
              <w:snapToGrid w:val="0"/>
              <w:spacing w:before="120" w:after="50"/>
              <w:ind w:left="-7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45E8EFEC">
            <w:pPr>
              <w:snapToGrid w:val="0"/>
              <w:spacing w:before="120" w:after="50"/>
              <w:ind w:left="-70"/>
              <w:jc w:val="center"/>
              <w:rPr>
                <w:rFonts w:ascii="宋体" w:hAnsi="宋体"/>
                <w:color w:val="auto"/>
                <w:sz w:val="24"/>
              </w:rPr>
            </w:pPr>
          </w:p>
        </w:tc>
        <w:tc>
          <w:tcPr>
            <w:tcW w:w="449" w:type="pct"/>
            <w:tcBorders>
              <w:top w:val="single" w:color="auto" w:sz="4" w:space="0"/>
              <w:left w:val="single" w:color="auto" w:sz="4" w:space="0"/>
              <w:bottom w:val="single" w:color="auto" w:sz="4" w:space="0"/>
              <w:right w:val="single" w:color="auto" w:sz="4" w:space="0"/>
            </w:tcBorders>
            <w:vAlign w:val="center"/>
          </w:tcPr>
          <w:p w14:paraId="0EDBF70D">
            <w:pPr>
              <w:snapToGrid w:val="0"/>
              <w:spacing w:before="120" w:after="50"/>
              <w:ind w:left="-70"/>
              <w:jc w:val="center"/>
              <w:rPr>
                <w:rFonts w:ascii="宋体" w:hAnsi="宋体"/>
                <w:color w:val="auto"/>
                <w:sz w:val="24"/>
              </w:rPr>
            </w:pPr>
          </w:p>
        </w:tc>
        <w:tc>
          <w:tcPr>
            <w:tcW w:w="500" w:type="pct"/>
            <w:tcBorders>
              <w:top w:val="single" w:color="auto" w:sz="4" w:space="0"/>
              <w:left w:val="single" w:color="auto" w:sz="4" w:space="0"/>
              <w:bottom w:val="single" w:color="auto" w:sz="4" w:space="0"/>
              <w:right w:val="single" w:color="auto" w:sz="4" w:space="0"/>
            </w:tcBorders>
            <w:vAlign w:val="center"/>
          </w:tcPr>
          <w:p w14:paraId="163E059B">
            <w:pPr>
              <w:snapToGrid w:val="0"/>
              <w:spacing w:before="120" w:after="50"/>
              <w:ind w:left="-70"/>
              <w:jc w:val="center"/>
              <w:rPr>
                <w:rFonts w:ascii="宋体" w:hAnsi="宋体"/>
                <w:color w:val="auto"/>
                <w:sz w:val="24"/>
              </w:rPr>
            </w:pPr>
          </w:p>
        </w:tc>
        <w:tc>
          <w:tcPr>
            <w:tcW w:w="998" w:type="pct"/>
            <w:tcBorders>
              <w:top w:val="single" w:color="auto" w:sz="4" w:space="0"/>
              <w:left w:val="single" w:color="auto" w:sz="4" w:space="0"/>
              <w:bottom w:val="single" w:color="auto" w:sz="4" w:space="0"/>
              <w:right w:val="single" w:color="auto" w:sz="4" w:space="0"/>
            </w:tcBorders>
          </w:tcPr>
          <w:p w14:paraId="5FD4ACA6">
            <w:pPr>
              <w:snapToGrid w:val="0"/>
              <w:spacing w:before="120" w:after="50"/>
              <w:ind w:left="-70"/>
              <w:jc w:val="center"/>
              <w:rPr>
                <w:rFonts w:ascii="宋体" w:hAnsi="宋体"/>
                <w:color w:val="auto"/>
                <w:sz w:val="24"/>
              </w:rPr>
            </w:pPr>
          </w:p>
        </w:tc>
        <w:tc>
          <w:tcPr>
            <w:tcW w:w="696" w:type="pct"/>
            <w:tcBorders>
              <w:top w:val="single" w:color="auto" w:sz="4" w:space="0"/>
              <w:left w:val="single" w:color="auto" w:sz="4" w:space="0"/>
              <w:bottom w:val="single" w:color="auto" w:sz="4" w:space="0"/>
              <w:right w:val="single" w:color="auto" w:sz="4" w:space="0"/>
            </w:tcBorders>
            <w:vAlign w:val="center"/>
          </w:tcPr>
          <w:p w14:paraId="0B8B066C">
            <w:pPr>
              <w:snapToGrid w:val="0"/>
              <w:spacing w:before="120" w:after="50"/>
              <w:ind w:left="-70"/>
              <w:jc w:val="center"/>
              <w:rPr>
                <w:rFonts w:ascii="宋体" w:hAnsi="宋体"/>
                <w:color w:val="auto"/>
                <w:sz w:val="24"/>
              </w:rPr>
            </w:pPr>
          </w:p>
        </w:tc>
        <w:tc>
          <w:tcPr>
            <w:tcW w:w="412" w:type="pct"/>
            <w:tcBorders>
              <w:top w:val="single" w:color="auto" w:sz="4" w:space="0"/>
              <w:left w:val="single" w:color="auto" w:sz="4" w:space="0"/>
              <w:bottom w:val="single" w:color="auto" w:sz="4" w:space="0"/>
              <w:right w:val="single" w:color="auto" w:sz="4" w:space="0"/>
            </w:tcBorders>
            <w:vAlign w:val="center"/>
          </w:tcPr>
          <w:p w14:paraId="3DFC0812">
            <w:pPr>
              <w:snapToGrid w:val="0"/>
              <w:spacing w:before="120" w:after="50"/>
              <w:ind w:left="-70"/>
              <w:jc w:val="center"/>
              <w:rPr>
                <w:rFonts w:ascii="宋体" w:hAnsi="宋体"/>
                <w:color w:val="auto"/>
                <w:sz w:val="24"/>
              </w:rPr>
            </w:pPr>
          </w:p>
        </w:tc>
        <w:tc>
          <w:tcPr>
            <w:tcW w:w="836" w:type="pct"/>
            <w:tcBorders>
              <w:top w:val="single" w:color="auto" w:sz="4" w:space="0"/>
              <w:left w:val="single" w:color="auto" w:sz="4" w:space="0"/>
              <w:bottom w:val="single" w:color="auto" w:sz="4" w:space="0"/>
              <w:right w:val="single" w:color="auto" w:sz="4" w:space="0"/>
            </w:tcBorders>
            <w:vAlign w:val="center"/>
          </w:tcPr>
          <w:p w14:paraId="09CD4A55">
            <w:pPr>
              <w:snapToGrid w:val="0"/>
              <w:spacing w:before="120" w:after="50"/>
              <w:ind w:left="-70"/>
              <w:jc w:val="center"/>
              <w:rPr>
                <w:rFonts w:ascii="宋体" w:hAnsi="宋体"/>
                <w:color w:val="auto"/>
                <w:sz w:val="24"/>
              </w:rPr>
            </w:pPr>
          </w:p>
        </w:tc>
      </w:tr>
    </w:tbl>
    <w:p w14:paraId="3E6E23A6">
      <w:pPr>
        <w:spacing w:before="120" w:line="360" w:lineRule="auto"/>
        <w:ind w:left="-70"/>
        <w:contextualSpacing/>
        <w:rPr>
          <w:rFonts w:ascii="宋体" w:hAnsi="宋体"/>
          <w:color w:val="auto"/>
          <w:sz w:val="24"/>
        </w:rPr>
      </w:pPr>
      <w:r>
        <w:rPr>
          <w:rFonts w:hint="eastAsia" w:ascii="宋体" w:hAnsi="宋体"/>
          <w:color w:val="auto"/>
          <w:sz w:val="24"/>
        </w:rPr>
        <w:t>备注：</w:t>
      </w:r>
    </w:p>
    <w:p w14:paraId="20B65ED0">
      <w:pPr>
        <w:tabs>
          <w:tab w:val="left" w:pos="1065"/>
        </w:tabs>
        <w:adjustRightInd w:val="0"/>
        <w:spacing w:before="120" w:line="360" w:lineRule="auto"/>
        <w:ind w:left="-70" w:firstLine="590"/>
        <w:contextualSpacing/>
        <w:rPr>
          <w:rFonts w:ascii="宋体" w:hAnsi="宋体" w:cs="仿宋_GB2312"/>
          <w:color w:val="auto"/>
          <w:sz w:val="24"/>
        </w:rPr>
      </w:pPr>
      <w:r>
        <w:rPr>
          <w:rFonts w:hint="eastAsia" w:ascii="宋体" w:hAnsi="宋体"/>
          <w:b/>
          <w:bCs/>
          <w:color w:val="auto"/>
          <w:sz w:val="24"/>
        </w:rPr>
        <w:t>以上货物配置清单中“货物名称、数量及单位、品牌、规格型号、制造商、原产地、参数性能、指标及配置”必须如实填写完整，品牌、规格型号没有则填无，填写有缺漏的，响应文件按无效响应处理</w:t>
      </w:r>
      <w:r>
        <w:rPr>
          <w:rFonts w:hint="eastAsia" w:ascii="宋体" w:hAnsi="宋体"/>
          <w:b/>
          <w:color w:val="auto"/>
          <w:sz w:val="24"/>
        </w:rPr>
        <w:t>。</w:t>
      </w:r>
      <w:r>
        <w:rPr>
          <w:rFonts w:hint="eastAsia" w:ascii="宋体" w:hAnsi="宋体"/>
          <w:color w:val="auto"/>
          <w:sz w:val="24"/>
        </w:rPr>
        <w:t>货物名称、数量及单位、品牌必须与“竞标报价表”一致</w:t>
      </w:r>
      <w:r>
        <w:rPr>
          <w:rFonts w:hint="eastAsia" w:ascii="宋体" w:hAnsi="宋体"/>
          <w:b/>
          <w:color w:val="auto"/>
          <w:sz w:val="24"/>
        </w:rPr>
        <w:t>。</w:t>
      </w:r>
      <w:r>
        <w:rPr>
          <w:rFonts w:hint="eastAsia" w:ascii="宋体" w:hAnsi="宋体" w:cs="仿宋_GB2312"/>
          <w:color w:val="auto"/>
          <w:sz w:val="24"/>
        </w:rPr>
        <w:tab/>
      </w:r>
    </w:p>
    <w:p w14:paraId="63A4FEA8">
      <w:pPr>
        <w:adjustRightInd w:val="0"/>
        <w:spacing w:before="120" w:line="360" w:lineRule="auto"/>
        <w:ind w:left="-70"/>
        <w:contextualSpacing/>
        <w:jc w:val="left"/>
        <w:rPr>
          <w:rFonts w:ascii="宋体" w:hAnsi="宋体" w:cs="仿宋_GB2312"/>
          <w:color w:val="auto"/>
          <w:sz w:val="24"/>
        </w:rPr>
      </w:pPr>
    </w:p>
    <w:p w14:paraId="529EA2E2">
      <w:pPr>
        <w:adjustRightInd w:val="0"/>
        <w:spacing w:before="120" w:line="360" w:lineRule="auto"/>
        <w:ind w:left="-70"/>
        <w:contextualSpacing/>
        <w:jc w:val="left"/>
        <w:rPr>
          <w:rFonts w:ascii="宋体" w:hAnsi="宋体" w:cs="仿宋_GB2312"/>
          <w:color w:val="auto"/>
          <w:sz w:val="24"/>
        </w:rPr>
      </w:pPr>
    </w:p>
    <w:p w14:paraId="37E40FBC">
      <w:pPr>
        <w:adjustRightInd w:val="0"/>
        <w:spacing w:before="120" w:line="360" w:lineRule="auto"/>
        <w:ind w:left="-70"/>
        <w:contextualSpacing/>
        <w:jc w:val="left"/>
        <w:rPr>
          <w:rFonts w:ascii="宋体" w:hAnsi="宋体" w:cs="仿宋_GB2312"/>
          <w:color w:val="auto"/>
          <w:sz w:val="24"/>
        </w:rPr>
      </w:pPr>
    </w:p>
    <w:p w14:paraId="4381395B">
      <w:pPr>
        <w:spacing w:before="120" w:line="360" w:lineRule="auto"/>
        <w:ind w:left="-70"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w:t>
      </w:r>
    </w:p>
    <w:p w14:paraId="7F87E307">
      <w:pPr>
        <w:spacing w:before="120" w:line="360" w:lineRule="auto"/>
        <w:ind w:left="-70" w:right="-817" w:rightChars="-389" w:firstLine="3240" w:firstLineChars="1350"/>
        <w:contextualSpacing/>
        <w:rPr>
          <w:rFonts w:ascii="宋体" w:hAnsi="宋体" w:cs="仿宋_GB2312"/>
          <w:color w:val="auto"/>
          <w:sz w:val="24"/>
        </w:rPr>
      </w:pPr>
      <w:r>
        <w:rPr>
          <w:rFonts w:hint="eastAsia" w:ascii="宋体" w:hAnsi="宋体" w:cs="仿宋_GB2312"/>
          <w:color w:val="auto"/>
          <w:sz w:val="24"/>
        </w:rPr>
        <w:t xml:space="preserve">供应商（盖公章）：      </w:t>
      </w:r>
    </w:p>
    <w:p w14:paraId="16D73DDC">
      <w:pPr>
        <w:spacing w:before="120" w:line="360" w:lineRule="auto"/>
        <w:ind w:left="-70" w:right="-817" w:rightChars="-389" w:firstLine="3240" w:firstLineChars="1350"/>
        <w:contextualSpacing/>
        <w:rPr>
          <w:rFonts w:ascii="仿宋_GB2312" w:hAnsi="仿宋_GB2312" w:eastAsia="仿宋_GB2312" w:cs="仿宋_GB2312"/>
          <w:b/>
          <w:color w:val="auto"/>
          <w:sz w:val="32"/>
          <w:szCs w:val="32"/>
        </w:rPr>
      </w:pPr>
      <w:r>
        <w:rPr>
          <w:rFonts w:hint="eastAsia" w:ascii="宋体" w:hAnsi="宋体" w:cs="仿宋_GB2312"/>
          <w:color w:val="auto"/>
          <w:sz w:val="24"/>
        </w:rPr>
        <w:t>日期：   年   月   日</w:t>
      </w:r>
    </w:p>
    <w:p w14:paraId="5921B966">
      <w:pPr>
        <w:adjustRightInd w:val="0"/>
        <w:snapToGrid w:val="0"/>
        <w:spacing w:before="120" w:line="300" w:lineRule="auto"/>
        <w:ind w:left="-70" w:firstLine="588"/>
        <w:rPr>
          <w:rFonts w:ascii="宋体" w:hAnsi="宋体"/>
          <w:color w:val="auto"/>
          <w:szCs w:val="21"/>
          <w:u w:val="single"/>
        </w:rPr>
      </w:pPr>
    </w:p>
    <w:p w14:paraId="602558F2">
      <w:pPr>
        <w:adjustRightInd w:val="0"/>
        <w:snapToGrid w:val="0"/>
        <w:spacing w:before="120" w:line="300" w:lineRule="auto"/>
        <w:ind w:left="-70" w:firstLine="588"/>
        <w:rPr>
          <w:rFonts w:ascii="宋体" w:hAnsi="宋体"/>
          <w:color w:val="auto"/>
          <w:szCs w:val="21"/>
          <w:u w:val="single"/>
        </w:rPr>
      </w:pPr>
    </w:p>
    <w:p w14:paraId="1AC6B365">
      <w:pPr>
        <w:adjustRightInd w:val="0"/>
        <w:snapToGrid w:val="0"/>
        <w:spacing w:before="120" w:line="300" w:lineRule="auto"/>
        <w:ind w:left="-70" w:firstLine="588"/>
        <w:rPr>
          <w:rFonts w:ascii="宋体" w:hAnsi="宋体"/>
          <w:color w:val="auto"/>
          <w:szCs w:val="21"/>
          <w:u w:val="single"/>
        </w:rPr>
      </w:pPr>
    </w:p>
    <w:p w14:paraId="3FBA5F47">
      <w:pPr>
        <w:adjustRightInd w:val="0"/>
        <w:snapToGrid w:val="0"/>
        <w:spacing w:before="120" w:line="300" w:lineRule="auto"/>
        <w:ind w:left="-70" w:firstLine="588"/>
        <w:rPr>
          <w:rFonts w:ascii="宋体" w:hAnsi="宋体"/>
          <w:color w:val="auto"/>
          <w:szCs w:val="21"/>
          <w:u w:val="single"/>
        </w:rPr>
      </w:pPr>
    </w:p>
    <w:p w14:paraId="5F9D75B6">
      <w:pPr>
        <w:adjustRightInd w:val="0"/>
        <w:snapToGrid w:val="0"/>
        <w:spacing w:before="120" w:line="300" w:lineRule="auto"/>
        <w:ind w:left="-70" w:firstLine="588"/>
        <w:rPr>
          <w:rFonts w:ascii="宋体" w:hAnsi="宋体"/>
          <w:color w:val="auto"/>
          <w:szCs w:val="21"/>
          <w:u w:val="single"/>
        </w:rPr>
      </w:pPr>
    </w:p>
    <w:p w14:paraId="6B76CBDC">
      <w:pPr>
        <w:adjustRightInd w:val="0"/>
        <w:snapToGrid w:val="0"/>
        <w:spacing w:before="120" w:line="300" w:lineRule="auto"/>
        <w:ind w:left="-70" w:firstLine="588"/>
        <w:rPr>
          <w:rFonts w:ascii="宋体" w:hAnsi="宋体"/>
          <w:color w:val="auto"/>
          <w:szCs w:val="21"/>
          <w:u w:val="single"/>
        </w:rPr>
      </w:pPr>
    </w:p>
    <w:p w14:paraId="1BDB6C4F">
      <w:pPr>
        <w:adjustRightInd w:val="0"/>
        <w:snapToGrid w:val="0"/>
        <w:spacing w:before="120" w:line="300" w:lineRule="auto"/>
        <w:ind w:left="-70" w:firstLine="588"/>
        <w:rPr>
          <w:rFonts w:ascii="宋体" w:hAnsi="宋体"/>
          <w:color w:val="auto"/>
          <w:szCs w:val="21"/>
          <w:u w:val="single"/>
        </w:rPr>
      </w:pPr>
    </w:p>
    <w:p w14:paraId="615624DE">
      <w:pPr>
        <w:adjustRightInd w:val="0"/>
        <w:snapToGrid w:val="0"/>
        <w:spacing w:before="120" w:line="300" w:lineRule="auto"/>
        <w:ind w:left="-70" w:firstLine="588"/>
        <w:rPr>
          <w:rFonts w:ascii="宋体" w:hAnsi="宋体"/>
          <w:color w:val="auto"/>
          <w:szCs w:val="21"/>
          <w:u w:val="single"/>
        </w:rPr>
      </w:pPr>
    </w:p>
    <w:p w14:paraId="03371CA7">
      <w:pPr>
        <w:adjustRightInd w:val="0"/>
        <w:snapToGrid w:val="0"/>
        <w:spacing w:before="120" w:line="300" w:lineRule="auto"/>
        <w:ind w:left="-70" w:firstLine="1078"/>
        <w:jc w:val="center"/>
        <w:rPr>
          <w:rFonts w:ascii="方正小标宋简体" w:hAnsi="方正小标宋简体" w:eastAsia="方正小标宋简体" w:cs="方正小标宋简体"/>
          <w:bCs/>
          <w:color w:val="auto"/>
          <w:sz w:val="44"/>
          <w:szCs w:val="44"/>
        </w:rPr>
      </w:pPr>
      <w:r>
        <w:rPr>
          <w:rFonts w:ascii="方正小标宋简体" w:hAnsi="方正小标宋简体" w:eastAsia="方正小标宋简体" w:cs="方正小标宋简体"/>
          <w:bCs/>
          <w:color w:val="auto"/>
          <w:sz w:val="44"/>
          <w:szCs w:val="44"/>
        </w:rPr>
        <w:br w:type="page"/>
      </w:r>
      <w:r>
        <w:rPr>
          <w:rFonts w:hint="eastAsia" w:ascii="方正小标宋简体" w:hAnsi="方正小标宋简体" w:eastAsia="方正小标宋简体" w:cs="方正小标宋简体"/>
          <w:bCs/>
          <w:color w:val="auto"/>
          <w:sz w:val="44"/>
          <w:szCs w:val="44"/>
        </w:rPr>
        <w:t>技术要求偏离表</w:t>
      </w:r>
    </w:p>
    <w:p w14:paraId="411491EA">
      <w:pPr>
        <w:spacing w:before="120" w:line="520" w:lineRule="exact"/>
        <w:ind w:left="-70" w:firstLine="784"/>
        <w:rPr>
          <w:rFonts w:ascii="仿宋_GB2312" w:hAnsi="仿宋_GB2312" w:eastAsia="仿宋_GB2312" w:cs="仿宋_GB2312"/>
          <w:color w:val="auto"/>
          <w:sz w:val="32"/>
          <w:szCs w:val="32"/>
        </w:rPr>
      </w:pPr>
    </w:p>
    <w:p w14:paraId="53F89C51">
      <w:pPr>
        <w:spacing w:before="120" w:line="360" w:lineRule="auto"/>
        <w:ind w:left="-70"/>
        <w:rPr>
          <w:rFonts w:ascii="宋体" w:hAnsi="宋体" w:cs="仿宋_GB2312"/>
          <w:color w:val="auto"/>
          <w:sz w:val="24"/>
          <w:u w:val="single"/>
        </w:rPr>
      </w:pPr>
      <w:r>
        <w:rPr>
          <w:rFonts w:hint="eastAsia" w:ascii="宋体" w:hAnsi="宋体" w:cs="仿宋_GB2312"/>
          <w:color w:val="auto"/>
          <w:sz w:val="24"/>
        </w:rPr>
        <w:t>采购项目编号：</w:t>
      </w:r>
      <w:r>
        <w:rPr>
          <w:rFonts w:hint="eastAsia" w:ascii="宋体" w:hAnsi="宋体" w:cs="仿宋_GB2312"/>
          <w:color w:val="auto"/>
          <w:sz w:val="24"/>
          <w:u w:val="single"/>
        </w:rPr>
        <w:t xml:space="preserve">                 </w:t>
      </w:r>
    </w:p>
    <w:p w14:paraId="06CF7E48">
      <w:pPr>
        <w:spacing w:before="120" w:line="360" w:lineRule="auto"/>
        <w:ind w:left="-70"/>
        <w:rPr>
          <w:rFonts w:ascii="宋体" w:hAnsi="宋体" w:cs="仿宋_GB2312"/>
          <w:color w:val="auto"/>
          <w:sz w:val="24"/>
        </w:rPr>
      </w:pPr>
      <w:r>
        <w:rPr>
          <w:rFonts w:hint="eastAsia" w:ascii="宋体" w:hAnsi="宋体" w:cs="仿宋_GB2312"/>
          <w:color w:val="auto"/>
          <w:sz w:val="24"/>
        </w:rPr>
        <w:t>采购项目名称：</w:t>
      </w:r>
      <w:r>
        <w:rPr>
          <w:rFonts w:hint="eastAsia" w:ascii="宋体" w:hAnsi="宋体" w:cs="仿宋_GB2312"/>
          <w:color w:val="auto"/>
          <w:sz w:val="24"/>
          <w:u w:val="single"/>
        </w:rPr>
        <w:t xml:space="preserve">                 </w:t>
      </w:r>
    </w:p>
    <w:p w14:paraId="63D544E5">
      <w:pPr>
        <w:spacing w:before="120" w:line="360" w:lineRule="auto"/>
        <w:ind w:left="-70"/>
        <w:rPr>
          <w:rFonts w:ascii="宋体" w:hAnsi="宋体" w:cs="仿宋_GB2312"/>
          <w:color w:val="auto"/>
          <w:sz w:val="24"/>
          <w:u w:val="single"/>
        </w:rPr>
      </w:pPr>
      <w:r>
        <w:rPr>
          <w:rFonts w:hint="eastAsia" w:ascii="宋体" w:hAnsi="宋体" w:cs="仿宋_GB2312"/>
          <w:color w:val="auto"/>
          <w:sz w:val="24"/>
        </w:rPr>
        <w:t>分标号：</w:t>
      </w:r>
      <w:r>
        <w:rPr>
          <w:rFonts w:hint="eastAsia" w:ascii="宋体" w:hAnsi="宋体" w:cs="仿宋_GB2312"/>
          <w:color w:val="auto"/>
          <w:sz w:val="24"/>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92"/>
        <w:gridCol w:w="992"/>
        <w:gridCol w:w="3293"/>
        <w:gridCol w:w="2964"/>
        <w:gridCol w:w="1617"/>
      </w:tblGrid>
      <w:tr w14:paraId="671BD1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1206274">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503" w:type="pct"/>
            <w:tcBorders>
              <w:right w:val="single" w:color="auto" w:sz="4" w:space="0"/>
            </w:tcBorders>
            <w:vAlign w:val="center"/>
          </w:tcPr>
          <w:p w14:paraId="1E1BF76A">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1670" w:type="pct"/>
            <w:tcBorders>
              <w:left w:val="single" w:color="auto" w:sz="4" w:space="0"/>
            </w:tcBorders>
            <w:vAlign w:val="center"/>
          </w:tcPr>
          <w:p w14:paraId="7716FCD1">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谈判文件要求</w:t>
            </w:r>
          </w:p>
        </w:tc>
        <w:tc>
          <w:tcPr>
            <w:tcW w:w="1503" w:type="pct"/>
            <w:vAlign w:val="center"/>
          </w:tcPr>
          <w:p w14:paraId="04E091B8">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c>
          <w:tcPr>
            <w:tcW w:w="820" w:type="pct"/>
            <w:vAlign w:val="center"/>
          </w:tcPr>
          <w:p w14:paraId="0B3CBA44">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偏离说明</w:t>
            </w:r>
          </w:p>
        </w:tc>
      </w:tr>
      <w:tr w14:paraId="33B742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405938E7">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1</w:t>
            </w:r>
          </w:p>
        </w:tc>
        <w:tc>
          <w:tcPr>
            <w:tcW w:w="503" w:type="pct"/>
            <w:tcBorders>
              <w:right w:val="single" w:color="auto" w:sz="4" w:space="0"/>
            </w:tcBorders>
            <w:vAlign w:val="center"/>
          </w:tcPr>
          <w:p w14:paraId="49D23FEF">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3E3A26E1">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503" w:type="pct"/>
            <w:vAlign w:val="center"/>
          </w:tcPr>
          <w:p w14:paraId="2D2FFA11">
            <w:pPr>
              <w:pStyle w:val="13"/>
              <w:spacing w:before="120" w:line="360" w:lineRule="auto"/>
              <w:ind w:left="-70" w:firstLine="0" w:firstLineChars="0"/>
              <w:jc w:val="center"/>
              <w:rPr>
                <w:rFonts w:ascii="宋体" w:hAnsi="宋体" w:eastAsia="宋体" w:cs="仿宋_GB2312"/>
                <w:color w:val="auto"/>
                <w:kern w:val="2"/>
                <w:sz w:val="24"/>
                <w:szCs w:val="24"/>
              </w:rPr>
            </w:pPr>
          </w:p>
        </w:tc>
        <w:tc>
          <w:tcPr>
            <w:tcW w:w="820" w:type="pct"/>
            <w:vAlign w:val="center"/>
          </w:tcPr>
          <w:p w14:paraId="3C1793DF">
            <w:pPr>
              <w:pStyle w:val="13"/>
              <w:spacing w:before="120" w:line="360" w:lineRule="auto"/>
              <w:ind w:left="-70" w:firstLine="0" w:firstLineChars="0"/>
              <w:jc w:val="center"/>
              <w:rPr>
                <w:rFonts w:ascii="宋体" w:hAnsi="宋体" w:eastAsia="宋体" w:cs="仿宋_GB2312"/>
                <w:color w:val="auto"/>
                <w:kern w:val="2"/>
                <w:sz w:val="24"/>
                <w:szCs w:val="24"/>
              </w:rPr>
            </w:pPr>
          </w:p>
        </w:tc>
      </w:tr>
      <w:tr w14:paraId="05DD39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5C50CD8">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2</w:t>
            </w:r>
          </w:p>
        </w:tc>
        <w:tc>
          <w:tcPr>
            <w:tcW w:w="503" w:type="pct"/>
            <w:tcBorders>
              <w:right w:val="single" w:color="auto" w:sz="4" w:space="0"/>
            </w:tcBorders>
            <w:vAlign w:val="center"/>
          </w:tcPr>
          <w:p w14:paraId="30567666">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1F5FFCEB">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503" w:type="pct"/>
            <w:vAlign w:val="center"/>
          </w:tcPr>
          <w:p w14:paraId="15180BF0">
            <w:pPr>
              <w:pStyle w:val="13"/>
              <w:spacing w:before="120" w:line="360" w:lineRule="auto"/>
              <w:ind w:left="-70" w:firstLine="0" w:firstLineChars="0"/>
              <w:jc w:val="center"/>
              <w:rPr>
                <w:rFonts w:ascii="宋体" w:hAnsi="宋体" w:eastAsia="宋体" w:cs="仿宋_GB2312"/>
                <w:color w:val="auto"/>
                <w:kern w:val="2"/>
                <w:sz w:val="24"/>
                <w:szCs w:val="24"/>
              </w:rPr>
            </w:pPr>
          </w:p>
        </w:tc>
        <w:tc>
          <w:tcPr>
            <w:tcW w:w="820" w:type="pct"/>
            <w:vAlign w:val="center"/>
          </w:tcPr>
          <w:p w14:paraId="49850BAB">
            <w:pPr>
              <w:pStyle w:val="13"/>
              <w:spacing w:before="120" w:line="360" w:lineRule="auto"/>
              <w:ind w:left="-70" w:firstLine="0" w:firstLineChars="0"/>
              <w:jc w:val="center"/>
              <w:rPr>
                <w:rFonts w:ascii="宋体" w:hAnsi="宋体" w:eastAsia="宋体" w:cs="仿宋_GB2312"/>
                <w:color w:val="auto"/>
                <w:kern w:val="2"/>
                <w:sz w:val="24"/>
                <w:szCs w:val="24"/>
              </w:rPr>
            </w:pPr>
          </w:p>
        </w:tc>
      </w:tr>
      <w:tr w14:paraId="694B42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63AB626">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3</w:t>
            </w:r>
          </w:p>
        </w:tc>
        <w:tc>
          <w:tcPr>
            <w:tcW w:w="503" w:type="pct"/>
            <w:tcBorders>
              <w:right w:val="single" w:color="auto" w:sz="4" w:space="0"/>
            </w:tcBorders>
            <w:vAlign w:val="center"/>
          </w:tcPr>
          <w:p w14:paraId="74B96433">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3CF9050A">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503" w:type="pct"/>
            <w:vAlign w:val="center"/>
          </w:tcPr>
          <w:p w14:paraId="42A1731C">
            <w:pPr>
              <w:pStyle w:val="13"/>
              <w:spacing w:before="120" w:line="360" w:lineRule="auto"/>
              <w:ind w:left="-70" w:firstLine="0" w:firstLineChars="0"/>
              <w:jc w:val="center"/>
              <w:rPr>
                <w:rFonts w:ascii="宋体" w:hAnsi="宋体" w:eastAsia="宋体" w:cs="仿宋_GB2312"/>
                <w:color w:val="auto"/>
                <w:kern w:val="2"/>
                <w:sz w:val="24"/>
                <w:szCs w:val="24"/>
              </w:rPr>
            </w:pPr>
          </w:p>
        </w:tc>
        <w:tc>
          <w:tcPr>
            <w:tcW w:w="820" w:type="pct"/>
            <w:vAlign w:val="center"/>
          </w:tcPr>
          <w:p w14:paraId="611E97EF">
            <w:pPr>
              <w:pStyle w:val="13"/>
              <w:spacing w:before="120" w:line="360" w:lineRule="auto"/>
              <w:ind w:left="-70" w:firstLine="0" w:firstLineChars="0"/>
              <w:jc w:val="center"/>
              <w:rPr>
                <w:rFonts w:ascii="宋体" w:hAnsi="宋体" w:eastAsia="宋体" w:cs="仿宋_GB2312"/>
                <w:color w:val="auto"/>
                <w:kern w:val="2"/>
                <w:sz w:val="24"/>
                <w:szCs w:val="24"/>
              </w:rPr>
            </w:pPr>
          </w:p>
        </w:tc>
      </w:tr>
      <w:tr w14:paraId="20AD5C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367F8E8C">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4</w:t>
            </w:r>
          </w:p>
        </w:tc>
        <w:tc>
          <w:tcPr>
            <w:tcW w:w="503" w:type="pct"/>
            <w:tcBorders>
              <w:right w:val="single" w:color="auto" w:sz="4" w:space="0"/>
            </w:tcBorders>
            <w:vAlign w:val="center"/>
          </w:tcPr>
          <w:p w14:paraId="657467EB">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3D12F9DF">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503" w:type="pct"/>
            <w:vAlign w:val="center"/>
          </w:tcPr>
          <w:p w14:paraId="61879190">
            <w:pPr>
              <w:pStyle w:val="13"/>
              <w:spacing w:before="120" w:line="360" w:lineRule="auto"/>
              <w:ind w:left="-70" w:firstLine="0" w:firstLineChars="0"/>
              <w:jc w:val="center"/>
              <w:rPr>
                <w:rFonts w:ascii="宋体" w:hAnsi="宋体" w:eastAsia="宋体" w:cs="仿宋_GB2312"/>
                <w:color w:val="auto"/>
                <w:kern w:val="2"/>
                <w:sz w:val="24"/>
                <w:szCs w:val="24"/>
              </w:rPr>
            </w:pPr>
          </w:p>
        </w:tc>
        <w:tc>
          <w:tcPr>
            <w:tcW w:w="820" w:type="pct"/>
            <w:vAlign w:val="center"/>
          </w:tcPr>
          <w:p w14:paraId="133BD6F8">
            <w:pPr>
              <w:pStyle w:val="13"/>
              <w:spacing w:before="120" w:line="360" w:lineRule="auto"/>
              <w:ind w:left="-70" w:firstLine="0" w:firstLineChars="0"/>
              <w:jc w:val="center"/>
              <w:rPr>
                <w:rFonts w:ascii="宋体" w:hAnsi="宋体" w:eastAsia="宋体" w:cs="仿宋_GB2312"/>
                <w:color w:val="auto"/>
                <w:kern w:val="2"/>
                <w:sz w:val="24"/>
                <w:szCs w:val="24"/>
              </w:rPr>
            </w:pPr>
          </w:p>
        </w:tc>
      </w:tr>
      <w:tr w14:paraId="1ED9FC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ACFA2B4">
            <w:pPr>
              <w:pStyle w:val="13"/>
              <w:spacing w:before="120" w:line="360" w:lineRule="auto"/>
              <w:ind w:left="-70" w:firstLine="0" w:firstLineChars="0"/>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5</w:t>
            </w:r>
          </w:p>
        </w:tc>
        <w:tc>
          <w:tcPr>
            <w:tcW w:w="503" w:type="pct"/>
            <w:tcBorders>
              <w:right w:val="single" w:color="auto" w:sz="4" w:space="0"/>
            </w:tcBorders>
            <w:vAlign w:val="center"/>
          </w:tcPr>
          <w:p w14:paraId="0FE0BC1A">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670" w:type="pct"/>
            <w:tcBorders>
              <w:left w:val="single" w:color="auto" w:sz="4" w:space="0"/>
            </w:tcBorders>
            <w:vAlign w:val="center"/>
          </w:tcPr>
          <w:p w14:paraId="7153A11D">
            <w:pPr>
              <w:pStyle w:val="13"/>
              <w:spacing w:before="120" w:line="360" w:lineRule="auto"/>
              <w:ind w:left="-70" w:firstLine="0" w:firstLineChars="0"/>
              <w:jc w:val="center"/>
              <w:rPr>
                <w:rFonts w:ascii="宋体" w:hAnsi="宋体" w:eastAsia="宋体" w:cs="仿宋_GB2312"/>
                <w:color w:val="auto"/>
                <w:kern w:val="2"/>
                <w:sz w:val="24"/>
                <w:szCs w:val="24"/>
              </w:rPr>
            </w:pPr>
          </w:p>
        </w:tc>
        <w:tc>
          <w:tcPr>
            <w:tcW w:w="1503" w:type="pct"/>
            <w:vAlign w:val="center"/>
          </w:tcPr>
          <w:p w14:paraId="196DF8AD">
            <w:pPr>
              <w:pStyle w:val="13"/>
              <w:spacing w:before="120" w:line="360" w:lineRule="auto"/>
              <w:ind w:left="-70" w:firstLine="0" w:firstLineChars="0"/>
              <w:jc w:val="center"/>
              <w:rPr>
                <w:rFonts w:ascii="宋体" w:hAnsi="宋体" w:eastAsia="宋体" w:cs="仿宋_GB2312"/>
                <w:color w:val="auto"/>
                <w:kern w:val="2"/>
                <w:sz w:val="24"/>
                <w:szCs w:val="24"/>
              </w:rPr>
            </w:pPr>
          </w:p>
        </w:tc>
        <w:tc>
          <w:tcPr>
            <w:tcW w:w="820" w:type="pct"/>
            <w:vAlign w:val="center"/>
          </w:tcPr>
          <w:p w14:paraId="17514CA7">
            <w:pPr>
              <w:pStyle w:val="13"/>
              <w:spacing w:before="120" w:line="360" w:lineRule="auto"/>
              <w:ind w:left="-70" w:firstLine="0" w:firstLineChars="0"/>
              <w:jc w:val="center"/>
              <w:rPr>
                <w:rFonts w:ascii="宋体" w:hAnsi="宋体" w:eastAsia="宋体" w:cs="仿宋_GB2312"/>
                <w:color w:val="auto"/>
                <w:kern w:val="2"/>
                <w:sz w:val="24"/>
                <w:szCs w:val="24"/>
              </w:rPr>
            </w:pPr>
          </w:p>
        </w:tc>
      </w:tr>
      <w:tr w14:paraId="4E28AF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60F7A4BF">
            <w:pPr>
              <w:spacing w:before="12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503" w:type="pct"/>
            <w:tcBorders>
              <w:right w:val="single" w:color="auto" w:sz="4" w:space="0"/>
            </w:tcBorders>
            <w:vAlign w:val="center"/>
          </w:tcPr>
          <w:p w14:paraId="3C01ADFA">
            <w:pPr>
              <w:spacing w:before="12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1670" w:type="pct"/>
            <w:tcBorders>
              <w:left w:val="single" w:color="auto" w:sz="4" w:space="0"/>
            </w:tcBorders>
            <w:vAlign w:val="center"/>
          </w:tcPr>
          <w:p w14:paraId="126FDA8D">
            <w:pPr>
              <w:spacing w:before="12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1503" w:type="pct"/>
            <w:vAlign w:val="center"/>
          </w:tcPr>
          <w:p w14:paraId="1961BBFC">
            <w:pPr>
              <w:spacing w:before="12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c>
          <w:tcPr>
            <w:tcW w:w="820" w:type="pct"/>
            <w:tcBorders>
              <w:right w:val="single" w:color="auto" w:sz="4" w:space="0"/>
            </w:tcBorders>
            <w:vAlign w:val="center"/>
          </w:tcPr>
          <w:p w14:paraId="6E3BF38F">
            <w:pPr>
              <w:spacing w:before="120" w:line="360" w:lineRule="auto"/>
              <w:ind w:left="-70"/>
              <w:jc w:val="center"/>
              <w:rPr>
                <w:rFonts w:ascii="宋体" w:hAnsi="宋体" w:cs="仿宋_GB2312"/>
                <w:color w:val="auto"/>
                <w:sz w:val="24"/>
              </w:rPr>
            </w:pPr>
            <w:r>
              <w:rPr>
                <w:rFonts w:hint="eastAsia" w:ascii="宋体" w:hAnsi="宋体" w:cs="仿宋_GB2312"/>
                <w:color w:val="auto"/>
                <w:sz w:val="24"/>
              </w:rPr>
              <w:t>…</w:t>
            </w:r>
            <w:r>
              <w:rPr>
                <w:rFonts w:hint="eastAsia" w:ascii="宋体" w:hAnsi="宋体" w:cs="宋体"/>
                <w:color w:val="auto"/>
                <w:sz w:val="24"/>
              </w:rPr>
              <w:t>…</w:t>
            </w:r>
          </w:p>
        </w:tc>
      </w:tr>
    </w:tbl>
    <w:p w14:paraId="73178405">
      <w:pPr>
        <w:pStyle w:val="13"/>
        <w:spacing w:before="120" w:line="360" w:lineRule="auto"/>
        <w:ind w:left="-70"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注：</w:t>
      </w:r>
    </w:p>
    <w:p w14:paraId="0A534FAB">
      <w:pPr>
        <w:pStyle w:val="13"/>
        <w:spacing w:before="120" w:line="360" w:lineRule="auto"/>
        <w:ind w:left="-70"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1. 说明：应对照谈判文件“第三章 采购需求”中的技术要求逐条实质性响应，并作出偏离说明。</w:t>
      </w:r>
    </w:p>
    <w:p w14:paraId="77140490">
      <w:pPr>
        <w:pStyle w:val="13"/>
        <w:spacing w:before="120" w:line="360" w:lineRule="auto"/>
        <w:ind w:left="-70" w:firstLine="0" w:firstLineChars="0"/>
        <w:contextualSpacing/>
        <w:rPr>
          <w:rFonts w:ascii="宋体" w:hAnsi="宋体" w:eastAsia="宋体" w:cs="仿宋_GB2312"/>
          <w:color w:val="auto"/>
          <w:sz w:val="24"/>
          <w:szCs w:val="24"/>
        </w:rPr>
      </w:pPr>
      <w:r>
        <w:rPr>
          <w:rFonts w:hint="eastAsia" w:ascii="宋体" w:hAnsi="宋体" w:eastAsia="宋体" w:cs="仿宋_GB2312"/>
          <w:color w:val="auto"/>
          <w:sz w:val="24"/>
          <w:szCs w:val="24"/>
        </w:rPr>
        <w:t>2.供应商应根据竞标设备的性能指标，对照谈判文件要求，在“偏离说明”中注明“正偏离”、“负偏离”或者“无偏离”。既不属于“正偏离”也不属于“负偏离”即为“无偏离”。</w:t>
      </w:r>
    </w:p>
    <w:p w14:paraId="2C3CF4FB">
      <w:pPr>
        <w:pStyle w:val="13"/>
        <w:spacing w:before="120" w:line="360" w:lineRule="auto"/>
        <w:ind w:left="-70" w:firstLine="0" w:firstLineChars="0"/>
        <w:rPr>
          <w:rFonts w:ascii="宋体" w:hAnsi="宋体" w:eastAsia="宋体"/>
          <w:color w:val="auto"/>
          <w:sz w:val="24"/>
          <w:szCs w:val="24"/>
        </w:rPr>
      </w:pPr>
      <w:r>
        <w:rPr>
          <w:rFonts w:hint="eastAsia" w:ascii="宋体" w:hAnsi="宋体" w:eastAsia="宋体"/>
          <w:color w:val="auto"/>
          <w:sz w:val="24"/>
          <w:szCs w:val="24"/>
        </w:rPr>
        <w:t>3.如果采购文件需求为小于等于或大于等于或小于或大于某个数值标准时，响应文件承诺不得直接复制采购文件需求，响应文件承诺内容应当写明竞标货物具体参数或商务响应承诺的具体数值，否则按竞标无效处理。</w:t>
      </w:r>
    </w:p>
    <w:p w14:paraId="3EC2E8CC">
      <w:pPr>
        <w:pStyle w:val="13"/>
        <w:spacing w:before="120" w:line="360" w:lineRule="auto"/>
        <w:ind w:left="-70" w:firstLine="0" w:firstLineChars="0"/>
        <w:contextualSpacing/>
        <w:rPr>
          <w:rFonts w:ascii="宋体" w:hAnsi="宋体" w:eastAsia="宋体"/>
          <w:color w:val="auto"/>
          <w:sz w:val="24"/>
          <w:szCs w:val="24"/>
        </w:rPr>
      </w:pPr>
      <w:r>
        <w:rPr>
          <w:rFonts w:hint="eastAsia" w:ascii="宋体" w:hAnsi="宋体" w:eastAsia="宋体"/>
          <w:color w:val="auto"/>
          <w:sz w:val="24"/>
          <w:szCs w:val="24"/>
        </w:rPr>
        <w:t>4.供应商认为其竞标响应有正偏离的，请在技术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08295623">
      <w:pPr>
        <w:pStyle w:val="13"/>
        <w:spacing w:before="120" w:line="360" w:lineRule="auto"/>
        <w:ind w:left="-70" w:firstLine="0" w:firstLineChars="0"/>
        <w:contextualSpacing/>
        <w:rPr>
          <w:rFonts w:ascii="宋体" w:hAnsi="宋体" w:eastAsia="宋体"/>
          <w:color w:val="auto"/>
          <w:sz w:val="24"/>
          <w:szCs w:val="24"/>
        </w:rPr>
      </w:pPr>
      <w:r>
        <w:rPr>
          <w:rFonts w:hint="eastAsia" w:ascii="宋体" w:hAnsi="宋体" w:eastAsia="宋体"/>
          <w:color w:val="auto"/>
          <w:sz w:val="24"/>
          <w:szCs w:val="24"/>
        </w:rPr>
        <w:t>5.如技术偏离表中的竞标响应与佐证材料不一致的，以佐证材料为准。</w:t>
      </w:r>
    </w:p>
    <w:p w14:paraId="4D63A152">
      <w:pPr>
        <w:pStyle w:val="13"/>
        <w:spacing w:before="120" w:line="360" w:lineRule="auto"/>
        <w:ind w:left="-70" w:firstLine="0" w:firstLineChars="0"/>
        <w:contextualSpacing/>
        <w:rPr>
          <w:rFonts w:ascii="宋体" w:hAnsi="宋体" w:eastAsia="宋体" w:cs="仿宋_GB2312"/>
          <w:color w:val="auto"/>
          <w:sz w:val="24"/>
          <w:szCs w:val="24"/>
        </w:rPr>
      </w:pPr>
    </w:p>
    <w:p w14:paraId="4C206DD9">
      <w:pPr>
        <w:spacing w:before="120" w:line="360" w:lineRule="auto"/>
        <w:ind w:left="-70" w:right="-817" w:rightChars="-389"/>
        <w:contextualSpacing/>
        <w:rPr>
          <w:rFonts w:ascii="宋体" w:hAnsi="宋体" w:cs="仿宋_GB2312"/>
          <w:color w:val="auto"/>
          <w:sz w:val="24"/>
        </w:rPr>
      </w:pPr>
    </w:p>
    <w:p w14:paraId="6466EC21">
      <w:pPr>
        <w:spacing w:before="120" w:line="360" w:lineRule="auto"/>
        <w:ind w:left="-70"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w:t>
      </w:r>
    </w:p>
    <w:p w14:paraId="15DE1CAA">
      <w:pPr>
        <w:spacing w:before="120" w:line="360" w:lineRule="auto"/>
        <w:ind w:left="-70" w:right="-817" w:rightChars="-389" w:firstLine="3360" w:firstLineChars="1400"/>
        <w:contextualSpacing/>
        <w:rPr>
          <w:rFonts w:ascii="宋体" w:hAnsi="宋体" w:cs="仿宋_GB2312"/>
          <w:color w:val="auto"/>
          <w:sz w:val="24"/>
        </w:rPr>
      </w:pPr>
      <w:r>
        <w:rPr>
          <w:rFonts w:hint="eastAsia" w:ascii="宋体" w:hAnsi="宋体" w:cs="仿宋_GB2312"/>
          <w:color w:val="auto"/>
          <w:sz w:val="24"/>
        </w:rPr>
        <w:t xml:space="preserve">供应商（盖公章）：      </w:t>
      </w:r>
    </w:p>
    <w:p w14:paraId="0DD56F8E">
      <w:pPr>
        <w:spacing w:before="120" w:line="360" w:lineRule="auto"/>
        <w:ind w:left="-70" w:right="-817" w:rightChars="-389" w:firstLine="3360" w:firstLineChars="1400"/>
        <w:contextualSpacing/>
        <w:rPr>
          <w:rFonts w:ascii="宋体" w:hAnsi="宋体"/>
          <w:b/>
          <w:bCs/>
          <w:color w:val="auto"/>
          <w:sz w:val="24"/>
        </w:rPr>
      </w:pPr>
      <w:r>
        <w:rPr>
          <w:rFonts w:hint="eastAsia" w:ascii="宋体" w:hAnsi="宋体" w:cs="仿宋_GB2312"/>
          <w:color w:val="auto"/>
          <w:sz w:val="24"/>
        </w:rPr>
        <w:t>日期：   年   月   日</w:t>
      </w:r>
    </w:p>
    <w:p w14:paraId="620BF1BD">
      <w:pPr>
        <w:spacing w:before="120" w:line="300" w:lineRule="auto"/>
        <w:ind w:left="-70" w:firstLine="590"/>
        <w:rPr>
          <w:rFonts w:hint="eastAsia" w:ascii="宋体" w:hAnsi="宋体"/>
          <w:b/>
          <w:bCs/>
          <w:color w:val="auto"/>
          <w:sz w:val="24"/>
        </w:rPr>
      </w:pPr>
    </w:p>
    <w:p w14:paraId="6B13270F">
      <w:pPr>
        <w:spacing w:before="120" w:line="300" w:lineRule="auto"/>
        <w:ind w:left="-70" w:firstLine="590"/>
        <w:rPr>
          <w:rFonts w:hint="eastAsia" w:ascii="宋体" w:hAnsi="宋体"/>
          <w:b/>
          <w:bCs/>
          <w:color w:val="auto"/>
          <w:sz w:val="24"/>
        </w:rPr>
      </w:pPr>
    </w:p>
    <w:p w14:paraId="1E163EAF">
      <w:pPr>
        <w:spacing w:before="120" w:line="300" w:lineRule="auto"/>
        <w:ind w:left="-70" w:firstLine="590"/>
        <w:rPr>
          <w:rFonts w:hint="eastAsia" w:ascii="宋体" w:hAnsi="宋体"/>
          <w:b/>
          <w:bCs/>
          <w:color w:val="auto"/>
          <w:sz w:val="24"/>
        </w:rPr>
      </w:pPr>
    </w:p>
    <w:p w14:paraId="196562FF">
      <w:pPr>
        <w:spacing w:before="120" w:line="300" w:lineRule="auto"/>
        <w:ind w:left="-70" w:firstLine="590"/>
        <w:rPr>
          <w:rFonts w:hint="eastAsia" w:ascii="宋体" w:hAnsi="宋体"/>
          <w:b/>
          <w:bCs/>
          <w:color w:val="auto"/>
          <w:sz w:val="24"/>
        </w:rPr>
      </w:pPr>
    </w:p>
    <w:p w14:paraId="328A8A6B">
      <w:pPr>
        <w:spacing w:before="120" w:line="300" w:lineRule="auto"/>
        <w:ind w:left="-70" w:firstLine="590"/>
        <w:rPr>
          <w:rFonts w:hint="eastAsia" w:ascii="宋体" w:hAnsi="宋体"/>
          <w:b/>
          <w:bCs/>
          <w:color w:val="auto"/>
          <w:sz w:val="24"/>
        </w:rPr>
      </w:pPr>
    </w:p>
    <w:p w14:paraId="71C145D9">
      <w:pPr>
        <w:spacing w:before="120" w:line="300" w:lineRule="auto"/>
        <w:ind w:left="-70" w:firstLine="590"/>
        <w:rPr>
          <w:rFonts w:hint="eastAsia" w:ascii="宋体" w:hAnsi="宋体"/>
          <w:b/>
          <w:bCs/>
          <w:color w:val="auto"/>
          <w:sz w:val="24"/>
        </w:rPr>
      </w:pPr>
    </w:p>
    <w:p w14:paraId="3847258E">
      <w:pPr>
        <w:spacing w:before="120" w:line="300" w:lineRule="auto"/>
        <w:ind w:left="-70" w:firstLine="590"/>
        <w:rPr>
          <w:rFonts w:hint="eastAsia" w:ascii="宋体" w:hAnsi="宋体"/>
          <w:b/>
          <w:bCs/>
          <w:color w:val="auto"/>
          <w:sz w:val="24"/>
        </w:rPr>
      </w:pPr>
    </w:p>
    <w:p w14:paraId="49D524AB">
      <w:pPr>
        <w:spacing w:before="120" w:line="300" w:lineRule="auto"/>
        <w:ind w:left="-70" w:firstLine="590"/>
        <w:rPr>
          <w:rFonts w:hint="eastAsia" w:ascii="宋体" w:hAnsi="宋体"/>
          <w:b/>
          <w:bCs/>
          <w:color w:val="auto"/>
          <w:sz w:val="24"/>
        </w:rPr>
      </w:pPr>
    </w:p>
    <w:p w14:paraId="2B6C85E8">
      <w:pPr>
        <w:spacing w:before="120" w:line="300" w:lineRule="auto"/>
        <w:ind w:left="-70" w:firstLine="590"/>
        <w:rPr>
          <w:rFonts w:hint="eastAsia" w:ascii="宋体" w:hAnsi="宋体"/>
          <w:b/>
          <w:bCs/>
          <w:color w:val="auto"/>
          <w:sz w:val="24"/>
        </w:rPr>
      </w:pPr>
    </w:p>
    <w:p w14:paraId="3CA8A8AB">
      <w:pPr>
        <w:spacing w:before="120" w:line="300" w:lineRule="auto"/>
        <w:ind w:left="-70" w:firstLine="590"/>
        <w:rPr>
          <w:rFonts w:hint="eastAsia" w:ascii="宋体" w:hAnsi="宋体"/>
          <w:b/>
          <w:bCs/>
          <w:color w:val="auto"/>
          <w:sz w:val="24"/>
        </w:rPr>
      </w:pPr>
    </w:p>
    <w:p w14:paraId="2C5EE78B">
      <w:pPr>
        <w:spacing w:before="120" w:line="300" w:lineRule="auto"/>
        <w:ind w:left="-70" w:firstLine="590"/>
        <w:rPr>
          <w:rFonts w:hint="eastAsia" w:ascii="宋体" w:hAnsi="宋体"/>
          <w:b/>
          <w:bCs/>
          <w:color w:val="auto"/>
          <w:sz w:val="24"/>
        </w:rPr>
      </w:pPr>
    </w:p>
    <w:p w14:paraId="7089C410">
      <w:pPr>
        <w:spacing w:before="120" w:line="300" w:lineRule="auto"/>
        <w:ind w:left="-70" w:firstLine="590"/>
        <w:rPr>
          <w:rFonts w:hint="eastAsia" w:ascii="宋体" w:hAnsi="宋体"/>
          <w:b/>
          <w:bCs/>
          <w:color w:val="auto"/>
          <w:sz w:val="24"/>
        </w:rPr>
      </w:pPr>
    </w:p>
    <w:p w14:paraId="1794BFC6">
      <w:pPr>
        <w:spacing w:before="120" w:line="300" w:lineRule="auto"/>
        <w:ind w:left="-70" w:firstLine="590"/>
        <w:rPr>
          <w:rFonts w:hint="eastAsia" w:ascii="宋体" w:hAnsi="宋体"/>
          <w:b/>
          <w:bCs/>
          <w:color w:val="auto"/>
          <w:sz w:val="24"/>
        </w:rPr>
      </w:pPr>
    </w:p>
    <w:p w14:paraId="624D9A1E">
      <w:pPr>
        <w:spacing w:before="120" w:line="300" w:lineRule="auto"/>
        <w:ind w:left="-70" w:firstLine="590"/>
        <w:rPr>
          <w:rFonts w:hint="eastAsia" w:ascii="宋体" w:hAnsi="宋体"/>
          <w:b/>
          <w:bCs/>
          <w:color w:val="auto"/>
          <w:sz w:val="24"/>
        </w:rPr>
      </w:pPr>
    </w:p>
    <w:p w14:paraId="6AB09D0D">
      <w:pPr>
        <w:spacing w:before="120" w:line="300" w:lineRule="auto"/>
        <w:ind w:left="-70" w:firstLine="590"/>
        <w:rPr>
          <w:rFonts w:hint="eastAsia" w:ascii="宋体" w:hAnsi="宋体"/>
          <w:b/>
          <w:bCs/>
          <w:color w:val="auto"/>
          <w:sz w:val="24"/>
        </w:rPr>
      </w:pPr>
    </w:p>
    <w:p w14:paraId="6D5BDB27">
      <w:pPr>
        <w:spacing w:before="120" w:line="300" w:lineRule="auto"/>
        <w:ind w:left="-70" w:firstLine="590"/>
        <w:rPr>
          <w:rFonts w:hint="eastAsia" w:ascii="宋体" w:hAnsi="宋体"/>
          <w:b/>
          <w:bCs/>
          <w:color w:val="auto"/>
          <w:sz w:val="24"/>
        </w:rPr>
      </w:pPr>
    </w:p>
    <w:p w14:paraId="2291DADC">
      <w:pPr>
        <w:spacing w:before="120" w:line="300" w:lineRule="auto"/>
        <w:ind w:left="-70" w:firstLine="590"/>
        <w:rPr>
          <w:rFonts w:hint="eastAsia" w:ascii="宋体" w:hAnsi="宋体"/>
          <w:b/>
          <w:bCs/>
          <w:color w:val="auto"/>
          <w:sz w:val="24"/>
        </w:rPr>
      </w:pPr>
    </w:p>
    <w:p w14:paraId="4BA2A556">
      <w:pPr>
        <w:spacing w:before="120" w:line="300" w:lineRule="auto"/>
        <w:ind w:left="-70" w:firstLine="590"/>
        <w:rPr>
          <w:rFonts w:hint="eastAsia" w:ascii="宋体" w:hAnsi="宋体"/>
          <w:b/>
          <w:bCs/>
          <w:color w:val="auto"/>
          <w:sz w:val="24"/>
        </w:rPr>
      </w:pPr>
    </w:p>
    <w:p w14:paraId="62F17589">
      <w:pPr>
        <w:spacing w:before="120" w:line="300" w:lineRule="auto"/>
        <w:ind w:left="-70" w:firstLine="590"/>
        <w:rPr>
          <w:rFonts w:hint="eastAsia" w:ascii="宋体" w:hAnsi="宋体"/>
          <w:b/>
          <w:bCs/>
          <w:color w:val="auto"/>
          <w:sz w:val="24"/>
        </w:rPr>
      </w:pPr>
    </w:p>
    <w:p w14:paraId="2FF7764A">
      <w:pPr>
        <w:spacing w:before="120" w:line="300" w:lineRule="auto"/>
        <w:ind w:left="-70" w:firstLine="590"/>
        <w:rPr>
          <w:rFonts w:hint="eastAsia" w:ascii="宋体" w:hAnsi="宋体"/>
          <w:b/>
          <w:bCs/>
          <w:color w:val="auto"/>
          <w:sz w:val="24"/>
        </w:rPr>
      </w:pPr>
    </w:p>
    <w:p w14:paraId="37CF9795">
      <w:pPr>
        <w:spacing w:before="120" w:line="300" w:lineRule="auto"/>
        <w:ind w:left="-70" w:firstLine="590"/>
        <w:rPr>
          <w:rFonts w:hint="eastAsia" w:ascii="宋体" w:hAnsi="宋体"/>
          <w:b/>
          <w:bCs/>
          <w:color w:val="auto"/>
          <w:sz w:val="24"/>
        </w:rPr>
      </w:pPr>
    </w:p>
    <w:p w14:paraId="0EAED3EE">
      <w:pPr>
        <w:spacing w:before="120" w:line="300" w:lineRule="auto"/>
        <w:ind w:left="-70" w:firstLine="590"/>
        <w:rPr>
          <w:rFonts w:hint="eastAsia" w:ascii="宋体" w:hAnsi="宋体"/>
          <w:b/>
          <w:bCs/>
          <w:color w:val="auto"/>
          <w:sz w:val="24"/>
        </w:rPr>
      </w:pPr>
    </w:p>
    <w:p w14:paraId="7AD6418C">
      <w:pPr>
        <w:spacing w:before="120" w:line="300" w:lineRule="auto"/>
        <w:ind w:left="-70" w:firstLine="590"/>
        <w:rPr>
          <w:rFonts w:hint="eastAsia" w:ascii="宋体" w:hAnsi="宋体"/>
          <w:b/>
          <w:bCs/>
          <w:color w:val="auto"/>
          <w:sz w:val="24"/>
        </w:rPr>
      </w:pPr>
    </w:p>
    <w:p w14:paraId="1122E186">
      <w:pPr>
        <w:spacing w:before="120" w:line="300" w:lineRule="auto"/>
        <w:ind w:left="-70" w:firstLine="590"/>
        <w:rPr>
          <w:rFonts w:hint="eastAsia" w:ascii="宋体" w:hAnsi="宋体"/>
          <w:b/>
          <w:bCs/>
          <w:color w:val="auto"/>
          <w:sz w:val="24"/>
        </w:rPr>
      </w:pPr>
    </w:p>
    <w:p w14:paraId="567CF497">
      <w:pPr>
        <w:spacing w:before="120" w:line="300" w:lineRule="auto"/>
        <w:ind w:left="-70" w:firstLine="590"/>
        <w:rPr>
          <w:rFonts w:hint="eastAsia" w:ascii="宋体" w:hAnsi="宋体"/>
          <w:b/>
          <w:bCs/>
          <w:color w:val="auto"/>
          <w:sz w:val="24"/>
        </w:rPr>
      </w:pPr>
    </w:p>
    <w:p w14:paraId="2DF86DC8">
      <w:pPr>
        <w:spacing w:before="120" w:line="300" w:lineRule="auto"/>
        <w:rPr>
          <w:rFonts w:ascii="宋体" w:hAnsi="宋体"/>
          <w:b/>
          <w:bCs/>
          <w:color w:val="auto"/>
          <w:sz w:val="24"/>
        </w:rPr>
      </w:pPr>
      <w:r>
        <w:rPr>
          <w:rFonts w:hint="eastAsia" w:ascii="宋体" w:hAnsi="宋体"/>
          <w:b/>
          <w:bCs/>
          <w:color w:val="auto"/>
          <w:sz w:val="24"/>
        </w:rPr>
        <w:t>其他文书、文件格式</w:t>
      </w:r>
    </w:p>
    <w:p w14:paraId="0CE66E50">
      <w:pPr>
        <w:adjustRightInd w:val="0"/>
        <w:snapToGrid w:val="0"/>
        <w:spacing w:before="120" w:line="300" w:lineRule="auto"/>
        <w:ind w:left="-70" w:firstLine="1078"/>
        <w:jc w:val="center"/>
        <w:rPr>
          <w:rFonts w:ascii="方正小标宋简体" w:hAnsi="方正小标宋简体" w:eastAsia="方正小标宋简体" w:cs="方正小标宋简体"/>
          <w:bCs/>
          <w:color w:val="auto"/>
          <w:sz w:val="44"/>
          <w:szCs w:val="44"/>
        </w:rPr>
      </w:pPr>
      <w:bookmarkStart w:id="48" w:name="_Toc71366061"/>
      <w:bookmarkStart w:id="49" w:name="_Toc71365383"/>
      <w:r>
        <w:rPr>
          <w:rFonts w:hint="eastAsia" w:ascii="方正小标宋简体" w:hAnsi="方正小标宋简体" w:eastAsia="方正小标宋简体" w:cs="方正小标宋简体"/>
          <w:bCs/>
          <w:color w:val="auto"/>
          <w:sz w:val="44"/>
          <w:szCs w:val="44"/>
        </w:rPr>
        <w:t>中小企业声明函（货物）</w:t>
      </w:r>
      <w:bookmarkEnd w:id="48"/>
      <w:bookmarkEnd w:id="49"/>
    </w:p>
    <w:p w14:paraId="09D7F4A9">
      <w:pPr>
        <w:spacing w:before="120"/>
        <w:ind w:left="-70" w:firstLine="588"/>
        <w:rPr>
          <w:color w:val="auto"/>
        </w:rPr>
      </w:pPr>
    </w:p>
    <w:p w14:paraId="42C2C1AE">
      <w:pPr>
        <w:pStyle w:val="12"/>
        <w:spacing w:before="120" w:after="0" w:line="360" w:lineRule="auto"/>
        <w:ind w:left="-70" w:right="142" w:firstLine="588"/>
        <w:contextualSpacing/>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采购活动，提供的货物全部由符合政策要求的中小企业制造。相关企业（含联合体中的中小企业、签订分包意向协议的中小企业）的具体情况如下：</w:t>
      </w:r>
    </w:p>
    <w:p w14:paraId="266507C6">
      <w:pPr>
        <w:tabs>
          <w:tab w:val="left" w:pos="1384"/>
          <w:tab w:val="left" w:pos="4562"/>
          <w:tab w:val="left" w:pos="6803"/>
        </w:tabs>
        <w:spacing w:before="120" w:line="360" w:lineRule="auto"/>
        <w:ind w:left="-70" w:right="-58" w:firstLine="588"/>
        <w:contextualSpacing/>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hint="eastAsia" w:ascii="宋体" w:hAnsi="宋体"/>
          <w:color w:val="auto"/>
          <w:sz w:val="24"/>
          <w:u w:val="single"/>
        </w:rPr>
        <w:t xml:space="preserve"> （采购文件中明确的所属行业） </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69DECD80">
      <w:pPr>
        <w:tabs>
          <w:tab w:val="left" w:pos="1065"/>
          <w:tab w:val="left" w:pos="6477"/>
        </w:tabs>
        <w:spacing w:before="120" w:line="360" w:lineRule="auto"/>
        <w:ind w:left="-70" w:right="-58" w:firstLine="588"/>
        <w:contextualSpacing/>
        <w:rPr>
          <w:rFonts w:ascii="宋体" w:hAnsi="宋体"/>
          <w:color w:val="auto"/>
          <w:sz w:val="24"/>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hint="eastAsia" w:ascii="宋体" w:hAnsi="宋体"/>
          <w:color w:val="auto"/>
          <w:sz w:val="24"/>
          <w:u w:val="single"/>
        </w:rPr>
        <w:t xml:space="preserve"> （采购文件中明确的所属行业）  </w:t>
      </w:r>
      <w:r>
        <w:rPr>
          <w:rFonts w:ascii="宋体" w:hAnsi="宋体"/>
          <w:color w:val="auto"/>
          <w:sz w:val="24"/>
        </w:rPr>
        <w:t>行业；制造商为</w:t>
      </w:r>
      <w:r>
        <w:rPr>
          <w:rFonts w:ascii="宋体" w:hAnsi="宋体"/>
          <w:color w:val="auto"/>
          <w:sz w:val="24"/>
          <w:u w:val="single"/>
        </w:rPr>
        <w:t>（企业名称）</w:t>
      </w:r>
      <w:r>
        <w:rPr>
          <w:rFonts w:ascii="宋体" w:hAnsi="宋体"/>
          <w:color w:val="auto"/>
          <w:sz w:val="24"/>
        </w:rPr>
        <w:t>，从业人员</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人，营业收入为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万元，资产总额为</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万元，属于</w:t>
      </w:r>
      <w:r>
        <w:rPr>
          <w:rFonts w:ascii="宋体" w:hAnsi="宋体"/>
          <w:color w:val="auto"/>
          <w:sz w:val="24"/>
          <w:u w:val="single"/>
        </w:rPr>
        <w:t>（中型企业、小型企业、微型企业）</w:t>
      </w:r>
      <w:r>
        <w:rPr>
          <w:rFonts w:ascii="宋体" w:hAnsi="宋体"/>
          <w:color w:val="auto"/>
          <w:sz w:val="24"/>
        </w:rPr>
        <w:t>；</w:t>
      </w:r>
    </w:p>
    <w:p w14:paraId="38D4D7CC">
      <w:pPr>
        <w:pStyle w:val="12"/>
        <w:spacing w:before="120" w:after="0" w:line="360" w:lineRule="auto"/>
        <w:ind w:left="-70" w:right="142"/>
        <w:contextualSpacing/>
        <w:rPr>
          <w:rFonts w:ascii="宋体" w:hAnsi="宋体"/>
          <w:color w:val="auto"/>
          <w:sz w:val="24"/>
        </w:rPr>
      </w:pPr>
      <w:r>
        <w:rPr>
          <w:rFonts w:ascii="宋体" w:hAnsi="宋体"/>
          <w:color w:val="auto"/>
          <w:sz w:val="24"/>
        </w:rPr>
        <w:t xml:space="preserve">…… </w:t>
      </w:r>
    </w:p>
    <w:p w14:paraId="67DE5008">
      <w:pPr>
        <w:pStyle w:val="12"/>
        <w:spacing w:before="120" w:after="0" w:line="360" w:lineRule="auto"/>
        <w:ind w:left="-405" w:leftChars="-193" w:right="142" w:firstLine="453" w:firstLineChars="189"/>
        <w:contextualSpacing/>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14:paraId="256A694E">
      <w:pPr>
        <w:pStyle w:val="12"/>
        <w:spacing w:before="120" w:after="0" w:line="360" w:lineRule="auto"/>
        <w:ind w:left="-70" w:right="142" w:firstLine="588"/>
        <w:contextualSpacing/>
        <w:rPr>
          <w:rFonts w:ascii="宋体" w:hAnsi="宋体"/>
          <w:color w:val="auto"/>
          <w:sz w:val="24"/>
        </w:rPr>
      </w:pPr>
      <w:r>
        <w:rPr>
          <w:rFonts w:ascii="宋体" w:hAnsi="宋体"/>
          <w:color w:val="auto"/>
          <w:sz w:val="24"/>
        </w:rPr>
        <w:t>本企业对上述声明内容的真实性负责。如有虚假，将依法承担相应责任。</w:t>
      </w:r>
    </w:p>
    <w:p w14:paraId="644833D2">
      <w:pPr>
        <w:pStyle w:val="12"/>
        <w:spacing w:before="120" w:after="0" w:line="360" w:lineRule="auto"/>
        <w:ind w:left="-70" w:right="1808"/>
        <w:contextualSpacing/>
        <w:rPr>
          <w:rFonts w:ascii="宋体" w:hAnsi="宋体"/>
          <w:color w:val="auto"/>
          <w:sz w:val="24"/>
        </w:rPr>
      </w:pPr>
    </w:p>
    <w:p w14:paraId="28D1AC52">
      <w:pPr>
        <w:pStyle w:val="12"/>
        <w:spacing w:before="120" w:after="0" w:line="360" w:lineRule="auto"/>
        <w:ind w:left="-70" w:right="1808" w:firstLine="5760" w:firstLineChars="2400"/>
        <w:contextualSpacing/>
        <w:rPr>
          <w:rFonts w:ascii="宋体" w:hAnsi="宋体"/>
          <w:color w:val="auto"/>
          <w:sz w:val="24"/>
        </w:rPr>
      </w:pPr>
      <w:r>
        <w:rPr>
          <w:rFonts w:ascii="宋体" w:hAnsi="宋体"/>
          <w:color w:val="auto"/>
          <w:sz w:val="24"/>
        </w:rPr>
        <w:t xml:space="preserve">企业名称（章）： </w:t>
      </w:r>
    </w:p>
    <w:p w14:paraId="6A10936A">
      <w:pPr>
        <w:pStyle w:val="12"/>
        <w:spacing w:before="120" w:after="0" w:line="360" w:lineRule="auto"/>
        <w:ind w:left="-70" w:right="1808" w:firstLine="6720" w:firstLineChars="2800"/>
        <w:contextualSpacing/>
        <w:rPr>
          <w:rFonts w:ascii="宋体" w:hAnsi="宋体"/>
          <w:color w:val="auto"/>
          <w:sz w:val="24"/>
        </w:rPr>
      </w:pPr>
      <w:r>
        <w:rPr>
          <w:rFonts w:ascii="宋体" w:hAnsi="宋体"/>
          <w:color w:val="auto"/>
          <w:sz w:val="24"/>
        </w:rPr>
        <w:t>日</w:t>
      </w:r>
      <w:r>
        <w:rPr>
          <w:rFonts w:hint="eastAsia" w:ascii="宋体" w:hAnsi="宋体"/>
          <w:color w:val="auto"/>
          <w:sz w:val="24"/>
        </w:rPr>
        <w:t xml:space="preserve"> </w:t>
      </w:r>
      <w:r>
        <w:rPr>
          <w:rFonts w:ascii="宋体" w:hAnsi="宋体"/>
          <w:color w:val="auto"/>
          <w:sz w:val="24"/>
        </w:rPr>
        <w:t>期：</w:t>
      </w:r>
    </w:p>
    <w:p w14:paraId="1CF2F7E9">
      <w:pPr>
        <w:pStyle w:val="12"/>
        <w:spacing w:before="120" w:after="0" w:line="360" w:lineRule="auto"/>
        <w:ind w:left="-70" w:right="1808"/>
        <w:contextualSpacing/>
        <w:rPr>
          <w:color w:val="auto"/>
        </w:rPr>
      </w:pPr>
    </w:p>
    <w:p w14:paraId="03E232EE">
      <w:pPr>
        <w:spacing w:before="120" w:line="360" w:lineRule="auto"/>
        <w:ind w:left="-70"/>
        <w:contextualSpacing/>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110FB6C">
      <w:pPr>
        <w:spacing w:before="120" w:line="360" w:lineRule="auto"/>
        <w:ind w:left="-70"/>
        <w:contextualSpacing/>
        <w:jc w:val="center"/>
        <w:rPr>
          <w:rFonts w:ascii="宋体" w:hAnsi="宋体"/>
          <w:color w:val="auto"/>
          <w:sz w:val="24"/>
        </w:rPr>
      </w:pPr>
    </w:p>
    <w:p w14:paraId="6865DF21">
      <w:pPr>
        <w:spacing w:before="120" w:line="360" w:lineRule="auto"/>
        <w:ind w:left="-70"/>
        <w:contextualSpacing/>
        <w:jc w:val="center"/>
        <w:rPr>
          <w:rFonts w:ascii="宋体" w:hAnsi="宋体"/>
          <w:color w:val="auto"/>
          <w:sz w:val="24"/>
        </w:rPr>
      </w:pPr>
    </w:p>
    <w:p w14:paraId="7CAE60AD">
      <w:pPr>
        <w:pStyle w:val="15"/>
        <w:spacing w:before="120"/>
        <w:jc w:val="left"/>
        <w:rPr>
          <w:rFonts w:ascii="Arial Unicode MS" w:hAnsi="Arial Unicode MS" w:eastAsia="Arial Unicode MS" w:cs="Arial Unicode MS"/>
          <w:color w:val="auto"/>
          <w:sz w:val="32"/>
          <w:szCs w:val="32"/>
        </w:rPr>
      </w:pPr>
      <w:r>
        <w:rPr>
          <w:rFonts w:ascii="Arial Unicode MS" w:hAnsi="Arial Unicode MS" w:eastAsia="Arial Unicode MS" w:cs="Arial Unicode MS"/>
          <w:color w:val="auto"/>
          <w:sz w:val="32"/>
          <w:szCs w:val="32"/>
        </w:rPr>
        <w:br w:type="page"/>
      </w:r>
      <w:r>
        <w:rPr>
          <w:rFonts w:hint="eastAsia" w:ascii="Arial Unicode MS" w:hAnsi="Arial Unicode MS" w:eastAsia="Arial Unicode MS" w:cs="Arial Unicode MS"/>
          <w:color w:val="auto"/>
          <w:sz w:val="32"/>
          <w:szCs w:val="32"/>
        </w:rPr>
        <w:t>附：</w:t>
      </w:r>
    </w:p>
    <w:p w14:paraId="6BEB986F">
      <w:pPr>
        <w:spacing w:before="120"/>
        <w:ind w:left="-70" w:firstLine="1078"/>
        <w:jc w:val="center"/>
        <w:rPr>
          <w:rFonts w:ascii="宋体" w:hAnsi="宋体" w:cs="Arial Unicode MS"/>
          <w:color w:val="auto"/>
          <w:sz w:val="44"/>
          <w:szCs w:val="44"/>
        </w:rPr>
      </w:pPr>
      <w:r>
        <w:rPr>
          <w:rFonts w:hint="eastAsia" w:ascii="宋体" w:hAnsi="宋体" w:cs="Arial Unicode MS"/>
          <w:color w:val="auto"/>
          <w:sz w:val="44"/>
          <w:szCs w:val="44"/>
        </w:rPr>
        <w:t>中小微企业划型标准</w:t>
      </w:r>
    </w:p>
    <w:p w14:paraId="4DD225D8">
      <w:pPr>
        <w:rPr>
          <w:rFonts w:ascii="宋体" w:hAnsi="宋体" w:cs="Arial Unicode MS"/>
          <w:color w:val="auto"/>
          <w:szCs w:val="21"/>
        </w:rPr>
      </w:pPr>
    </w:p>
    <w:tbl>
      <w:tblPr>
        <w:tblStyle w:val="28"/>
        <w:tblW w:w="8936" w:type="dxa"/>
        <w:jc w:val="center"/>
        <w:tblLayout w:type="fixed"/>
        <w:tblCellMar>
          <w:top w:w="0" w:type="dxa"/>
          <w:left w:w="108" w:type="dxa"/>
          <w:bottom w:w="0" w:type="dxa"/>
          <w:right w:w="108" w:type="dxa"/>
        </w:tblCellMar>
      </w:tblPr>
      <w:tblGrid>
        <w:gridCol w:w="1904"/>
        <w:gridCol w:w="1549"/>
        <w:gridCol w:w="1022"/>
        <w:gridCol w:w="1814"/>
        <w:gridCol w:w="1612"/>
        <w:gridCol w:w="1035"/>
      </w:tblGrid>
      <w:tr w14:paraId="03E2CC03">
        <w:tblPrEx>
          <w:tblCellMar>
            <w:top w:w="0" w:type="dxa"/>
            <w:left w:w="108" w:type="dxa"/>
            <w:bottom w:w="0" w:type="dxa"/>
            <w:right w:w="108" w:type="dxa"/>
          </w:tblCellMar>
        </w:tblPrEx>
        <w:trPr>
          <w:trHeight w:val="726" w:hRule="atLeast"/>
          <w:jc w:val="center"/>
        </w:trPr>
        <w:tc>
          <w:tcPr>
            <w:tcW w:w="1904" w:type="dxa"/>
            <w:tcBorders>
              <w:top w:val="single" w:color="auto" w:sz="4" w:space="0"/>
              <w:left w:val="single" w:color="auto" w:sz="4" w:space="0"/>
              <w:bottom w:val="single" w:color="auto" w:sz="4" w:space="0"/>
              <w:right w:val="single" w:color="auto" w:sz="4" w:space="0"/>
            </w:tcBorders>
            <w:vAlign w:val="center"/>
          </w:tcPr>
          <w:p w14:paraId="03594946">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行业名称</w:t>
            </w:r>
          </w:p>
        </w:tc>
        <w:tc>
          <w:tcPr>
            <w:tcW w:w="1549" w:type="dxa"/>
            <w:tcBorders>
              <w:top w:val="single" w:color="auto" w:sz="4" w:space="0"/>
              <w:left w:val="nil"/>
              <w:bottom w:val="single" w:color="auto" w:sz="4" w:space="0"/>
              <w:right w:val="single" w:color="auto" w:sz="4" w:space="0"/>
            </w:tcBorders>
            <w:vAlign w:val="center"/>
          </w:tcPr>
          <w:p w14:paraId="4D598A10">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指标名称</w:t>
            </w:r>
          </w:p>
        </w:tc>
        <w:tc>
          <w:tcPr>
            <w:tcW w:w="1022" w:type="dxa"/>
            <w:tcBorders>
              <w:top w:val="single" w:color="auto" w:sz="4" w:space="0"/>
              <w:left w:val="nil"/>
              <w:bottom w:val="single" w:color="auto" w:sz="4" w:space="0"/>
              <w:right w:val="single" w:color="auto" w:sz="4" w:space="0"/>
            </w:tcBorders>
            <w:vAlign w:val="center"/>
          </w:tcPr>
          <w:p w14:paraId="090474BF">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计量单位</w:t>
            </w:r>
          </w:p>
        </w:tc>
        <w:tc>
          <w:tcPr>
            <w:tcW w:w="1814" w:type="dxa"/>
            <w:tcBorders>
              <w:top w:val="single" w:color="auto" w:sz="4" w:space="0"/>
              <w:left w:val="nil"/>
              <w:bottom w:val="single" w:color="auto" w:sz="4" w:space="0"/>
              <w:right w:val="single" w:color="auto" w:sz="4" w:space="0"/>
            </w:tcBorders>
            <w:vAlign w:val="center"/>
          </w:tcPr>
          <w:p w14:paraId="7D6AEDC4">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中型</w:t>
            </w:r>
          </w:p>
        </w:tc>
        <w:tc>
          <w:tcPr>
            <w:tcW w:w="1612" w:type="dxa"/>
            <w:tcBorders>
              <w:top w:val="single" w:color="auto" w:sz="4" w:space="0"/>
              <w:left w:val="nil"/>
              <w:bottom w:val="single" w:color="auto" w:sz="4" w:space="0"/>
              <w:right w:val="single" w:color="auto" w:sz="4" w:space="0"/>
            </w:tcBorders>
            <w:vAlign w:val="center"/>
          </w:tcPr>
          <w:p w14:paraId="43E0D5CD">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小型</w:t>
            </w:r>
          </w:p>
        </w:tc>
        <w:tc>
          <w:tcPr>
            <w:tcW w:w="1035" w:type="dxa"/>
            <w:tcBorders>
              <w:top w:val="single" w:color="auto" w:sz="4" w:space="0"/>
              <w:left w:val="nil"/>
              <w:bottom w:val="single" w:color="auto" w:sz="4" w:space="0"/>
              <w:right w:val="single" w:color="auto" w:sz="4" w:space="0"/>
            </w:tcBorders>
            <w:vAlign w:val="center"/>
          </w:tcPr>
          <w:p w14:paraId="38E9E339">
            <w:pPr>
              <w:widowControl/>
              <w:jc w:val="left"/>
              <w:rPr>
                <w:rFonts w:ascii="仿宋_GB2312" w:hAnsi="仿宋" w:eastAsia="仿宋_GB2312" w:cs="宋体"/>
                <w:b/>
                <w:color w:val="auto"/>
                <w:kern w:val="0"/>
                <w:sz w:val="24"/>
              </w:rPr>
            </w:pPr>
            <w:r>
              <w:rPr>
                <w:rFonts w:hint="eastAsia" w:ascii="仿宋_GB2312" w:hAnsi="仿宋" w:eastAsia="仿宋_GB2312" w:cs="宋体"/>
                <w:b/>
                <w:color w:val="auto"/>
                <w:kern w:val="0"/>
                <w:sz w:val="24"/>
              </w:rPr>
              <w:t>微型</w:t>
            </w:r>
          </w:p>
        </w:tc>
      </w:tr>
      <w:tr w14:paraId="7D4AEB1B">
        <w:tblPrEx>
          <w:tblCellMar>
            <w:top w:w="0" w:type="dxa"/>
            <w:left w:w="108" w:type="dxa"/>
            <w:bottom w:w="0" w:type="dxa"/>
            <w:right w:w="108" w:type="dxa"/>
          </w:tblCellMar>
        </w:tblPrEx>
        <w:trPr>
          <w:trHeight w:val="284" w:hRule="atLeast"/>
          <w:jc w:val="center"/>
        </w:trPr>
        <w:tc>
          <w:tcPr>
            <w:tcW w:w="1904" w:type="dxa"/>
            <w:tcBorders>
              <w:top w:val="nil"/>
              <w:left w:val="single" w:color="auto" w:sz="4" w:space="0"/>
              <w:bottom w:val="single" w:color="auto" w:sz="4" w:space="0"/>
              <w:right w:val="single" w:color="auto" w:sz="4" w:space="0"/>
            </w:tcBorders>
            <w:vAlign w:val="bottom"/>
          </w:tcPr>
          <w:p w14:paraId="100137D8">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农、林、牧、渔</w:t>
            </w:r>
          </w:p>
        </w:tc>
        <w:tc>
          <w:tcPr>
            <w:tcW w:w="1549" w:type="dxa"/>
            <w:tcBorders>
              <w:top w:val="nil"/>
              <w:left w:val="nil"/>
              <w:bottom w:val="single" w:color="auto" w:sz="4" w:space="0"/>
              <w:right w:val="single" w:color="auto" w:sz="4" w:space="0"/>
            </w:tcBorders>
            <w:vAlign w:val="center"/>
          </w:tcPr>
          <w:p w14:paraId="54F5801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3CDC60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0DBBA4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12" w:type="dxa"/>
            <w:tcBorders>
              <w:top w:val="nil"/>
              <w:left w:val="nil"/>
              <w:bottom w:val="single" w:color="auto" w:sz="4" w:space="0"/>
              <w:right w:val="single" w:color="auto" w:sz="4" w:space="0"/>
            </w:tcBorders>
            <w:vAlign w:val="center"/>
          </w:tcPr>
          <w:p w14:paraId="0F9D076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50≤Y＜500</w:t>
            </w:r>
          </w:p>
        </w:tc>
        <w:tc>
          <w:tcPr>
            <w:tcW w:w="1035" w:type="dxa"/>
            <w:tcBorders>
              <w:top w:val="nil"/>
              <w:left w:val="nil"/>
              <w:bottom w:val="single" w:color="auto" w:sz="4" w:space="0"/>
              <w:right w:val="single" w:color="auto" w:sz="4" w:space="0"/>
            </w:tcBorders>
            <w:vAlign w:val="center"/>
          </w:tcPr>
          <w:p w14:paraId="660B93D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7C095C76">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74C4731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工业</w:t>
            </w:r>
          </w:p>
        </w:tc>
        <w:tc>
          <w:tcPr>
            <w:tcW w:w="1549" w:type="dxa"/>
            <w:tcBorders>
              <w:top w:val="nil"/>
              <w:left w:val="nil"/>
              <w:bottom w:val="single" w:color="auto" w:sz="4" w:space="0"/>
              <w:right w:val="single" w:color="auto" w:sz="4" w:space="0"/>
            </w:tcBorders>
            <w:vAlign w:val="center"/>
          </w:tcPr>
          <w:p w14:paraId="1B93120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179132D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47F600D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12" w:type="dxa"/>
            <w:tcBorders>
              <w:top w:val="nil"/>
              <w:left w:val="nil"/>
              <w:bottom w:val="single" w:color="auto" w:sz="4" w:space="0"/>
              <w:right w:val="single" w:color="auto" w:sz="4" w:space="0"/>
            </w:tcBorders>
            <w:vAlign w:val="center"/>
          </w:tcPr>
          <w:p w14:paraId="6A9C03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35" w:type="dxa"/>
            <w:tcBorders>
              <w:top w:val="nil"/>
              <w:left w:val="nil"/>
              <w:bottom w:val="single" w:color="auto" w:sz="4" w:space="0"/>
              <w:right w:val="single" w:color="auto" w:sz="4" w:space="0"/>
            </w:tcBorders>
            <w:vAlign w:val="center"/>
          </w:tcPr>
          <w:p w14:paraId="661FFF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54F01664">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41A0340">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4F5687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65BE57B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53D5AFD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2000≤Y＜40000</w:t>
            </w:r>
          </w:p>
        </w:tc>
        <w:tc>
          <w:tcPr>
            <w:tcW w:w="1612" w:type="dxa"/>
            <w:tcBorders>
              <w:top w:val="nil"/>
              <w:left w:val="nil"/>
              <w:bottom w:val="single" w:color="auto" w:sz="4" w:space="0"/>
              <w:right w:val="single" w:color="auto" w:sz="4" w:space="0"/>
            </w:tcBorders>
            <w:vAlign w:val="center"/>
          </w:tcPr>
          <w:p w14:paraId="278BC19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300≤Y＜2000</w:t>
            </w:r>
          </w:p>
        </w:tc>
        <w:tc>
          <w:tcPr>
            <w:tcW w:w="1035" w:type="dxa"/>
            <w:tcBorders>
              <w:top w:val="nil"/>
              <w:left w:val="nil"/>
              <w:bottom w:val="single" w:color="auto" w:sz="4" w:space="0"/>
              <w:right w:val="single" w:color="auto" w:sz="4" w:space="0"/>
            </w:tcBorders>
            <w:vAlign w:val="center"/>
          </w:tcPr>
          <w:p w14:paraId="6C08E8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2CBD5EF1">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7ABDCE4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建筑业</w:t>
            </w:r>
          </w:p>
        </w:tc>
        <w:tc>
          <w:tcPr>
            <w:tcW w:w="1549" w:type="dxa"/>
            <w:tcBorders>
              <w:top w:val="nil"/>
              <w:left w:val="nil"/>
              <w:bottom w:val="single" w:color="auto" w:sz="4" w:space="0"/>
              <w:right w:val="single" w:color="auto" w:sz="4" w:space="0"/>
            </w:tcBorders>
            <w:vAlign w:val="center"/>
          </w:tcPr>
          <w:p w14:paraId="04F3F92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43E974D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0470C27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6000≤Y＜80000</w:t>
            </w:r>
          </w:p>
        </w:tc>
        <w:tc>
          <w:tcPr>
            <w:tcW w:w="1612" w:type="dxa"/>
            <w:tcBorders>
              <w:top w:val="nil"/>
              <w:left w:val="nil"/>
              <w:bottom w:val="single" w:color="auto" w:sz="4" w:space="0"/>
              <w:right w:val="single" w:color="auto" w:sz="4" w:space="0"/>
            </w:tcBorders>
            <w:vAlign w:val="center"/>
          </w:tcPr>
          <w:p w14:paraId="1D3DB17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300≤Y＜6000</w:t>
            </w:r>
          </w:p>
        </w:tc>
        <w:tc>
          <w:tcPr>
            <w:tcW w:w="1035" w:type="dxa"/>
            <w:tcBorders>
              <w:top w:val="nil"/>
              <w:left w:val="nil"/>
              <w:bottom w:val="single" w:color="auto" w:sz="4" w:space="0"/>
              <w:right w:val="single" w:color="auto" w:sz="4" w:space="0"/>
            </w:tcBorders>
            <w:vAlign w:val="center"/>
          </w:tcPr>
          <w:p w14:paraId="29D0FEA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Y＜300</w:t>
            </w:r>
          </w:p>
        </w:tc>
      </w:tr>
      <w:tr w14:paraId="7FB94EA2">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F838129">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2A13CA8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22" w:type="dxa"/>
            <w:tcBorders>
              <w:top w:val="nil"/>
              <w:left w:val="nil"/>
              <w:bottom w:val="single" w:color="auto" w:sz="4" w:space="0"/>
              <w:right w:val="single" w:color="auto" w:sz="4" w:space="0"/>
            </w:tcBorders>
            <w:vAlign w:val="center"/>
          </w:tcPr>
          <w:p w14:paraId="2881439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664E60C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5000≤Z＜80000</w:t>
            </w:r>
          </w:p>
        </w:tc>
        <w:tc>
          <w:tcPr>
            <w:tcW w:w="1612" w:type="dxa"/>
            <w:tcBorders>
              <w:top w:val="nil"/>
              <w:left w:val="nil"/>
              <w:bottom w:val="single" w:color="auto" w:sz="4" w:space="0"/>
              <w:right w:val="single" w:color="auto" w:sz="4" w:space="0"/>
            </w:tcBorders>
            <w:vAlign w:val="center"/>
          </w:tcPr>
          <w:p w14:paraId="6BDC92C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300≤Z＜5000</w:t>
            </w:r>
          </w:p>
        </w:tc>
        <w:tc>
          <w:tcPr>
            <w:tcW w:w="1035" w:type="dxa"/>
            <w:tcBorders>
              <w:top w:val="nil"/>
              <w:left w:val="nil"/>
              <w:bottom w:val="single" w:color="auto" w:sz="4" w:space="0"/>
              <w:right w:val="single" w:color="auto" w:sz="4" w:space="0"/>
            </w:tcBorders>
            <w:vAlign w:val="center"/>
          </w:tcPr>
          <w:p w14:paraId="6904E9B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Z＜300</w:t>
            </w:r>
          </w:p>
        </w:tc>
      </w:tr>
      <w:tr w14:paraId="410E86B2">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2D5D4C2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批发业</w:t>
            </w:r>
          </w:p>
        </w:tc>
        <w:tc>
          <w:tcPr>
            <w:tcW w:w="1549" w:type="dxa"/>
            <w:tcBorders>
              <w:top w:val="nil"/>
              <w:left w:val="nil"/>
              <w:bottom w:val="single" w:color="auto" w:sz="4" w:space="0"/>
              <w:right w:val="single" w:color="auto" w:sz="4" w:space="0"/>
            </w:tcBorders>
            <w:vAlign w:val="center"/>
          </w:tcPr>
          <w:p w14:paraId="0B6AE4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205773F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72CB79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20≤X＜200</w:t>
            </w:r>
          </w:p>
        </w:tc>
        <w:tc>
          <w:tcPr>
            <w:tcW w:w="1612" w:type="dxa"/>
            <w:tcBorders>
              <w:top w:val="nil"/>
              <w:left w:val="nil"/>
              <w:bottom w:val="single" w:color="auto" w:sz="4" w:space="0"/>
              <w:right w:val="single" w:color="auto" w:sz="4" w:space="0"/>
            </w:tcBorders>
            <w:vAlign w:val="center"/>
          </w:tcPr>
          <w:p w14:paraId="52B256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5≤X＜20</w:t>
            </w:r>
          </w:p>
        </w:tc>
        <w:tc>
          <w:tcPr>
            <w:tcW w:w="1035" w:type="dxa"/>
            <w:tcBorders>
              <w:top w:val="nil"/>
              <w:left w:val="nil"/>
              <w:bottom w:val="single" w:color="auto" w:sz="4" w:space="0"/>
              <w:right w:val="single" w:color="auto" w:sz="4" w:space="0"/>
            </w:tcBorders>
            <w:vAlign w:val="center"/>
          </w:tcPr>
          <w:p w14:paraId="36F2C0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X＜5</w:t>
            </w:r>
          </w:p>
        </w:tc>
      </w:tr>
      <w:tr w14:paraId="674B36E6">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BD22C1B">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50ADAA0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328FE13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0137C8D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5000≤Y＜40000</w:t>
            </w:r>
          </w:p>
        </w:tc>
        <w:tc>
          <w:tcPr>
            <w:tcW w:w="1612" w:type="dxa"/>
            <w:tcBorders>
              <w:top w:val="nil"/>
              <w:left w:val="nil"/>
              <w:bottom w:val="single" w:color="auto" w:sz="4" w:space="0"/>
              <w:right w:val="single" w:color="auto" w:sz="4" w:space="0"/>
            </w:tcBorders>
            <w:vAlign w:val="center"/>
          </w:tcPr>
          <w:p w14:paraId="2AAF2C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035" w:type="dxa"/>
            <w:tcBorders>
              <w:top w:val="nil"/>
              <w:left w:val="nil"/>
              <w:bottom w:val="single" w:color="auto" w:sz="4" w:space="0"/>
              <w:right w:val="single" w:color="auto" w:sz="4" w:space="0"/>
            </w:tcBorders>
            <w:vAlign w:val="center"/>
          </w:tcPr>
          <w:p w14:paraId="3167AE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Y＜1000</w:t>
            </w:r>
          </w:p>
        </w:tc>
      </w:tr>
      <w:tr w14:paraId="3A1A32AB">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1EC45E4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零售业</w:t>
            </w:r>
          </w:p>
        </w:tc>
        <w:tc>
          <w:tcPr>
            <w:tcW w:w="1549" w:type="dxa"/>
            <w:tcBorders>
              <w:top w:val="nil"/>
              <w:left w:val="nil"/>
              <w:bottom w:val="single" w:color="auto" w:sz="4" w:space="0"/>
              <w:right w:val="single" w:color="auto" w:sz="4" w:space="0"/>
            </w:tcBorders>
            <w:vAlign w:val="center"/>
          </w:tcPr>
          <w:p w14:paraId="69F5719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6567DFD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256453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50≤X＜300</w:t>
            </w:r>
          </w:p>
        </w:tc>
        <w:tc>
          <w:tcPr>
            <w:tcW w:w="1612" w:type="dxa"/>
            <w:tcBorders>
              <w:top w:val="nil"/>
              <w:left w:val="nil"/>
              <w:bottom w:val="single" w:color="auto" w:sz="4" w:space="0"/>
              <w:right w:val="single" w:color="auto" w:sz="4" w:space="0"/>
            </w:tcBorders>
            <w:vAlign w:val="center"/>
          </w:tcPr>
          <w:p w14:paraId="6697DD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10≤X＜50</w:t>
            </w:r>
          </w:p>
        </w:tc>
        <w:tc>
          <w:tcPr>
            <w:tcW w:w="1035" w:type="dxa"/>
            <w:tcBorders>
              <w:top w:val="nil"/>
              <w:left w:val="nil"/>
              <w:bottom w:val="single" w:color="auto" w:sz="4" w:space="0"/>
              <w:right w:val="single" w:color="auto" w:sz="4" w:space="0"/>
            </w:tcBorders>
            <w:vAlign w:val="center"/>
          </w:tcPr>
          <w:p w14:paraId="7418C48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27280C7A">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BD84FE7">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466E82D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125DE3C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35CB702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500≤Y＜20000</w:t>
            </w:r>
          </w:p>
        </w:tc>
        <w:tc>
          <w:tcPr>
            <w:tcW w:w="1612" w:type="dxa"/>
            <w:tcBorders>
              <w:top w:val="nil"/>
              <w:left w:val="nil"/>
              <w:bottom w:val="single" w:color="auto" w:sz="4" w:space="0"/>
              <w:right w:val="single" w:color="auto" w:sz="4" w:space="0"/>
            </w:tcBorders>
            <w:vAlign w:val="center"/>
          </w:tcPr>
          <w:p w14:paraId="68E486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100≤Y＜500</w:t>
            </w:r>
          </w:p>
        </w:tc>
        <w:tc>
          <w:tcPr>
            <w:tcW w:w="1035" w:type="dxa"/>
            <w:tcBorders>
              <w:top w:val="nil"/>
              <w:left w:val="nil"/>
              <w:bottom w:val="single" w:color="auto" w:sz="4" w:space="0"/>
              <w:right w:val="single" w:color="auto" w:sz="4" w:space="0"/>
            </w:tcBorders>
            <w:vAlign w:val="center"/>
          </w:tcPr>
          <w:p w14:paraId="12C9A08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128C2F6">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581C6DDF">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交通运输业</w:t>
            </w:r>
          </w:p>
        </w:tc>
        <w:tc>
          <w:tcPr>
            <w:tcW w:w="1549" w:type="dxa"/>
            <w:tcBorders>
              <w:top w:val="nil"/>
              <w:left w:val="nil"/>
              <w:bottom w:val="single" w:color="auto" w:sz="4" w:space="0"/>
              <w:right w:val="single" w:color="auto" w:sz="4" w:space="0"/>
            </w:tcBorders>
            <w:vAlign w:val="center"/>
          </w:tcPr>
          <w:p w14:paraId="4383A52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4E2A28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1E7A8D8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12" w:type="dxa"/>
            <w:tcBorders>
              <w:top w:val="nil"/>
              <w:left w:val="nil"/>
              <w:bottom w:val="single" w:color="auto" w:sz="4" w:space="0"/>
              <w:right w:val="single" w:color="auto" w:sz="4" w:space="0"/>
            </w:tcBorders>
            <w:vAlign w:val="center"/>
          </w:tcPr>
          <w:p w14:paraId="259DB84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35" w:type="dxa"/>
            <w:tcBorders>
              <w:top w:val="nil"/>
              <w:left w:val="nil"/>
              <w:bottom w:val="single" w:color="auto" w:sz="4" w:space="0"/>
              <w:right w:val="single" w:color="auto" w:sz="4" w:space="0"/>
            </w:tcBorders>
            <w:vAlign w:val="center"/>
          </w:tcPr>
          <w:p w14:paraId="6C1B2EC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08E1EDD2">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12C0DE7">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564A4CB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19D853B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54E3CF6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3000≤Y＜30000</w:t>
            </w:r>
          </w:p>
        </w:tc>
        <w:tc>
          <w:tcPr>
            <w:tcW w:w="1612" w:type="dxa"/>
            <w:tcBorders>
              <w:top w:val="nil"/>
              <w:left w:val="nil"/>
              <w:bottom w:val="single" w:color="auto" w:sz="4" w:space="0"/>
              <w:right w:val="single" w:color="auto" w:sz="4" w:space="0"/>
            </w:tcBorders>
            <w:vAlign w:val="center"/>
          </w:tcPr>
          <w:p w14:paraId="7AA4D5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200≤Y＜3000</w:t>
            </w:r>
          </w:p>
        </w:tc>
        <w:tc>
          <w:tcPr>
            <w:tcW w:w="1035" w:type="dxa"/>
            <w:tcBorders>
              <w:top w:val="nil"/>
              <w:left w:val="nil"/>
              <w:bottom w:val="single" w:color="auto" w:sz="4" w:space="0"/>
              <w:right w:val="single" w:color="auto" w:sz="4" w:space="0"/>
            </w:tcBorders>
            <w:vAlign w:val="center"/>
          </w:tcPr>
          <w:p w14:paraId="329334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w:t>
            </w:r>
          </w:p>
        </w:tc>
      </w:tr>
      <w:tr w14:paraId="5F2E7260">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2DF70D8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仓储业</w:t>
            </w:r>
          </w:p>
        </w:tc>
        <w:tc>
          <w:tcPr>
            <w:tcW w:w="1549" w:type="dxa"/>
            <w:tcBorders>
              <w:top w:val="nil"/>
              <w:left w:val="nil"/>
              <w:bottom w:val="single" w:color="auto" w:sz="4" w:space="0"/>
              <w:right w:val="single" w:color="auto" w:sz="4" w:space="0"/>
            </w:tcBorders>
            <w:vAlign w:val="center"/>
          </w:tcPr>
          <w:p w14:paraId="6F6D7DC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4CB2E5D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5625C62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w:t>
            </w:r>
          </w:p>
        </w:tc>
        <w:tc>
          <w:tcPr>
            <w:tcW w:w="1612" w:type="dxa"/>
            <w:tcBorders>
              <w:top w:val="nil"/>
              <w:left w:val="nil"/>
              <w:bottom w:val="single" w:color="auto" w:sz="4" w:space="0"/>
              <w:right w:val="single" w:color="auto" w:sz="4" w:space="0"/>
            </w:tcBorders>
            <w:vAlign w:val="center"/>
          </w:tcPr>
          <w:p w14:paraId="744084A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20≤X＜100</w:t>
            </w:r>
          </w:p>
        </w:tc>
        <w:tc>
          <w:tcPr>
            <w:tcW w:w="1035" w:type="dxa"/>
            <w:tcBorders>
              <w:top w:val="nil"/>
              <w:left w:val="nil"/>
              <w:bottom w:val="single" w:color="auto" w:sz="4" w:space="0"/>
              <w:right w:val="single" w:color="auto" w:sz="4" w:space="0"/>
            </w:tcBorders>
            <w:vAlign w:val="center"/>
          </w:tcPr>
          <w:p w14:paraId="6D7F58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3FD8C3F0">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18B24B7">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70F5B88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0C58B65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47C420A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1000≤Y＜30000</w:t>
            </w:r>
          </w:p>
        </w:tc>
        <w:tc>
          <w:tcPr>
            <w:tcW w:w="1612" w:type="dxa"/>
            <w:tcBorders>
              <w:top w:val="nil"/>
              <w:left w:val="nil"/>
              <w:bottom w:val="single" w:color="auto" w:sz="4" w:space="0"/>
              <w:right w:val="single" w:color="auto" w:sz="4" w:space="0"/>
            </w:tcBorders>
            <w:vAlign w:val="center"/>
          </w:tcPr>
          <w:p w14:paraId="70C297F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35" w:type="dxa"/>
            <w:tcBorders>
              <w:top w:val="nil"/>
              <w:left w:val="nil"/>
              <w:bottom w:val="single" w:color="auto" w:sz="4" w:space="0"/>
              <w:right w:val="single" w:color="auto" w:sz="4" w:space="0"/>
            </w:tcBorders>
            <w:vAlign w:val="center"/>
          </w:tcPr>
          <w:p w14:paraId="15BDB81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1F29A8D">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3747B2ED">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邮政业</w:t>
            </w:r>
          </w:p>
        </w:tc>
        <w:tc>
          <w:tcPr>
            <w:tcW w:w="1549" w:type="dxa"/>
            <w:tcBorders>
              <w:top w:val="nil"/>
              <w:left w:val="nil"/>
              <w:bottom w:val="single" w:color="auto" w:sz="4" w:space="0"/>
              <w:right w:val="single" w:color="auto" w:sz="4" w:space="0"/>
            </w:tcBorders>
            <w:vAlign w:val="center"/>
          </w:tcPr>
          <w:p w14:paraId="6853CBF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15B4917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0531DF5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12" w:type="dxa"/>
            <w:tcBorders>
              <w:top w:val="nil"/>
              <w:left w:val="nil"/>
              <w:bottom w:val="single" w:color="auto" w:sz="4" w:space="0"/>
              <w:right w:val="single" w:color="auto" w:sz="4" w:space="0"/>
            </w:tcBorders>
            <w:vAlign w:val="center"/>
          </w:tcPr>
          <w:p w14:paraId="5F04E0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20≤X＜300</w:t>
            </w:r>
          </w:p>
        </w:tc>
        <w:tc>
          <w:tcPr>
            <w:tcW w:w="1035" w:type="dxa"/>
            <w:tcBorders>
              <w:top w:val="nil"/>
              <w:left w:val="nil"/>
              <w:bottom w:val="single" w:color="auto" w:sz="4" w:space="0"/>
              <w:right w:val="single" w:color="auto" w:sz="4" w:space="0"/>
            </w:tcBorders>
            <w:vAlign w:val="center"/>
          </w:tcPr>
          <w:p w14:paraId="73C9FB2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X＜20</w:t>
            </w:r>
          </w:p>
        </w:tc>
      </w:tr>
      <w:tr w14:paraId="6D7A2765">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DA8234F">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60D105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7B965D8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29F2CC1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2000≤Y＜30000</w:t>
            </w:r>
          </w:p>
        </w:tc>
        <w:tc>
          <w:tcPr>
            <w:tcW w:w="1612" w:type="dxa"/>
            <w:tcBorders>
              <w:top w:val="nil"/>
              <w:left w:val="nil"/>
              <w:bottom w:val="single" w:color="auto" w:sz="4" w:space="0"/>
              <w:right w:val="single" w:color="auto" w:sz="4" w:space="0"/>
            </w:tcBorders>
            <w:vAlign w:val="center"/>
          </w:tcPr>
          <w:p w14:paraId="5C3214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35" w:type="dxa"/>
            <w:tcBorders>
              <w:top w:val="nil"/>
              <w:left w:val="nil"/>
              <w:bottom w:val="single" w:color="auto" w:sz="4" w:space="0"/>
              <w:right w:val="single" w:color="auto" w:sz="4" w:space="0"/>
            </w:tcBorders>
            <w:vAlign w:val="center"/>
          </w:tcPr>
          <w:p w14:paraId="506BAC3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9605475">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3D09ED92">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住宿业</w:t>
            </w:r>
          </w:p>
        </w:tc>
        <w:tc>
          <w:tcPr>
            <w:tcW w:w="1549" w:type="dxa"/>
            <w:tcBorders>
              <w:top w:val="nil"/>
              <w:left w:val="nil"/>
              <w:bottom w:val="single" w:color="auto" w:sz="4" w:space="0"/>
              <w:right w:val="single" w:color="auto" w:sz="4" w:space="0"/>
            </w:tcBorders>
            <w:vAlign w:val="center"/>
          </w:tcPr>
          <w:p w14:paraId="71D2852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0D2741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67CEC5B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12" w:type="dxa"/>
            <w:tcBorders>
              <w:top w:val="nil"/>
              <w:left w:val="nil"/>
              <w:bottom w:val="single" w:color="auto" w:sz="4" w:space="0"/>
              <w:right w:val="single" w:color="auto" w:sz="4" w:space="0"/>
            </w:tcBorders>
            <w:vAlign w:val="center"/>
          </w:tcPr>
          <w:p w14:paraId="5E1701A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5" w:type="dxa"/>
            <w:tcBorders>
              <w:top w:val="nil"/>
              <w:left w:val="nil"/>
              <w:bottom w:val="single" w:color="auto" w:sz="4" w:space="0"/>
              <w:right w:val="single" w:color="auto" w:sz="4" w:space="0"/>
            </w:tcBorders>
            <w:vAlign w:val="center"/>
          </w:tcPr>
          <w:p w14:paraId="65A0E03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4142CD4F">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E99764C">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6FBFF4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7230447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0800F47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12" w:type="dxa"/>
            <w:tcBorders>
              <w:top w:val="nil"/>
              <w:left w:val="nil"/>
              <w:bottom w:val="single" w:color="auto" w:sz="4" w:space="0"/>
              <w:right w:val="single" w:color="auto" w:sz="4" w:space="0"/>
            </w:tcBorders>
            <w:vAlign w:val="center"/>
          </w:tcPr>
          <w:p w14:paraId="0932D6D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35" w:type="dxa"/>
            <w:tcBorders>
              <w:top w:val="nil"/>
              <w:left w:val="nil"/>
              <w:bottom w:val="single" w:color="auto" w:sz="4" w:space="0"/>
              <w:right w:val="single" w:color="auto" w:sz="4" w:space="0"/>
            </w:tcBorders>
            <w:vAlign w:val="center"/>
          </w:tcPr>
          <w:p w14:paraId="6B54DE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72150CA8">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44AB44A0">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餐饮业</w:t>
            </w:r>
          </w:p>
        </w:tc>
        <w:tc>
          <w:tcPr>
            <w:tcW w:w="1549" w:type="dxa"/>
            <w:tcBorders>
              <w:top w:val="nil"/>
              <w:left w:val="nil"/>
              <w:bottom w:val="single" w:color="auto" w:sz="4" w:space="0"/>
              <w:right w:val="single" w:color="auto" w:sz="4" w:space="0"/>
            </w:tcBorders>
            <w:vAlign w:val="center"/>
          </w:tcPr>
          <w:p w14:paraId="65B9FDB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7AA58BC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43EE370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12" w:type="dxa"/>
            <w:tcBorders>
              <w:top w:val="nil"/>
              <w:left w:val="nil"/>
              <w:bottom w:val="single" w:color="auto" w:sz="4" w:space="0"/>
              <w:right w:val="single" w:color="auto" w:sz="4" w:space="0"/>
            </w:tcBorders>
            <w:vAlign w:val="center"/>
          </w:tcPr>
          <w:p w14:paraId="1EEFA37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5" w:type="dxa"/>
            <w:tcBorders>
              <w:top w:val="nil"/>
              <w:left w:val="nil"/>
              <w:bottom w:val="single" w:color="auto" w:sz="4" w:space="0"/>
              <w:right w:val="single" w:color="auto" w:sz="4" w:space="0"/>
            </w:tcBorders>
            <w:vAlign w:val="center"/>
          </w:tcPr>
          <w:p w14:paraId="1476262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0195D29B">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03836897">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5F14FE5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29A185C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220EA43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2000≤Y＜10000</w:t>
            </w:r>
          </w:p>
        </w:tc>
        <w:tc>
          <w:tcPr>
            <w:tcW w:w="1612" w:type="dxa"/>
            <w:tcBorders>
              <w:top w:val="nil"/>
              <w:left w:val="nil"/>
              <w:bottom w:val="single" w:color="auto" w:sz="4" w:space="0"/>
              <w:right w:val="single" w:color="auto" w:sz="4" w:space="0"/>
            </w:tcBorders>
            <w:vAlign w:val="center"/>
          </w:tcPr>
          <w:p w14:paraId="0217E4B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100≤Y＜2000</w:t>
            </w:r>
          </w:p>
        </w:tc>
        <w:tc>
          <w:tcPr>
            <w:tcW w:w="1035" w:type="dxa"/>
            <w:tcBorders>
              <w:top w:val="nil"/>
              <w:left w:val="nil"/>
              <w:bottom w:val="single" w:color="auto" w:sz="4" w:space="0"/>
              <w:right w:val="single" w:color="auto" w:sz="4" w:space="0"/>
            </w:tcBorders>
            <w:vAlign w:val="center"/>
          </w:tcPr>
          <w:p w14:paraId="08D52F4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0C6E0A03">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38EB3E3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信息传输业</w:t>
            </w:r>
          </w:p>
        </w:tc>
        <w:tc>
          <w:tcPr>
            <w:tcW w:w="1549" w:type="dxa"/>
            <w:tcBorders>
              <w:top w:val="nil"/>
              <w:left w:val="nil"/>
              <w:bottom w:val="single" w:color="auto" w:sz="4" w:space="0"/>
              <w:right w:val="single" w:color="auto" w:sz="4" w:space="0"/>
            </w:tcBorders>
            <w:vAlign w:val="center"/>
          </w:tcPr>
          <w:p w14:paraId="446AC1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08C0104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120A940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100≤X＜2000</w:t>
            </w:r>
          </w:p>
        </w:tc>
        <w:tc>
          <w:tcPr>
            <w:tcW w:w="1612" w:type="dxa"/>
            <w:tcBorders>
              <w:top w:val="nil"/>
              <w:left w:val="nil"/>
              <w:bottom w:val="single" w:color="auto" w:sz="4" w:space="0"/>
              <w:right w:val="single" w:color="auto" w:sz="4" w:space="0"/>
            </w:tcBorders>
            <w:vAlign w:val="center"/>
          </w:tcPr>
          <w:p w14:paraId="076BD59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5" w:type="dxa"/>
            <w:tcBorders>
              <w:top w:val="nil"/>
              <w:left w:val="nil"/>
              <w:bottom w:val="single" w:color="auto" w:sz="4" w:space="0"/>
              <w:right w:val="single" w:color="auto" w:sz="4" w:space="0"/>
            </w:tcBorders>
            <w:vAlign w:val="center"/>
          </w:tcPr>
          <w:p w14:paraId="6B63550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4CF8E61">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10514AF9">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4332D73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06612A9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3521D7F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1000≤Y＜100000</w:t>
            </w:r>
          </w:p>
        </w:tc>
        <w:tc>
          <w:tcPr>
            <w:tcW w:w="1612" w:type="dxa"/>
            <w:tcBorders>
              <w:top w:val="nil"/>
              <w:left w:val="nil"/>
              <w:bottom w:val="single" w:color="auto" w:sz="4" w:space="0"/>
              <w:right w:val="single" w:color="auto" w:sz="4" w:space="0"/>
            </w:tcBorders>
            <w:vAlign w:val="center"/>
          </w:tcPr>
          <w:p w14:paraId="170922E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100≤Y＜1000</w:t>
            </w:r>
          </w:p>
        </w:tc>
        <w:tc>
          <w:tcPr>
            <w:tcW w:w="1035" w:type="dxa"/>
            <w:tcBorders>
              <w:top w:val="nil"/>
              <w:left w:val="nil"/>
              <w:bottom w:val="single" w:color="auto" w:sz="4" w:space="0"/>
              <w:right w:val="single" w:color="auto" w:sz="4" w:space="0"/>
            </w:tcBorders>
            <w:vAlign w:val="center"/>
          </w:tcPr>
          <w:p w14:paraId="00CAC45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4F004945">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34E9BBC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软件和信息技术服务业</w:t>
            </w:r>
          </w:p>
        </w:tc>
        <w:tc>
          <w:tcPr>
            <w:tcW w:w="1549" w:type="dxa"/>
            <w:tcBorders>
              <w:top w:val="nil"/>
              <w:left w:val="nil"/>
              <w:bottom w:val="single" w:color="auto" w:sz="4" w:space="0"/>
              <w:right w:val="single" w:color="auto" w:sz="4" w:space="0"/>
            </w:tcBorders>
            <w:vAlign w:val="center"/>
          </w:tcPr>
          <w:p w14:paraId="521B59B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1F44E57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039EFF2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12" w:type="dxa"/>
            <w:tcBorders>
              <w:top w:val="nil"/>
              <w:left w:val="nil"/>
              <w:bottom w:val="single" w:color="auto" w:sz="4" w:space="0"/>
              <w:right w:val="single" w:color="auto" w:sz="4" w:space="0"/>
            </w:tcBorders>
            <w:vAlign w:val="center"/>
          </w:tcPr>
          <w:p w14:paraId="77EB9A0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5" w:type="dxa"/>
            <w:tcBorders>
              <w:top w:val="nil"/>
              <w:left w:val="nil"/>
              <w:bottom w:val="single" w:color="auto" w:sz="4" w:space="0"/>
              <w:right w:val="single" w:color="auto" w:sz="4" w:space="0"/>
            </w:tcBorders>
            <w:vAlign w:val="center"/>
          </w:tcPr>
          <w:p w14:paraId="0226A4A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353722AA">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2A98131B">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6CDBC52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5A327DC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4D6AF98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1000≤Y＜10000</w:t>
            </w:r>
          </w:p>
        </w:tc>
        <w:tc>
          <w:tcPr>
            <w:tcW w:w="1612" w:type="dxa"/>
            <w:tcBorders>
              <w:top w:val="nil"/>
              <w:left w:val="nil"/>
              <w:bottom w:val="single" w:color="auto" w:sz="4" w:space="0"/>
              <w:right w:val="single" w:color="auto" w:sz="4" w:space="0"/>
            </w:tcBorders>
            <w:vAlign w:val="center"/>
          </w:tcPr>
          <w:p w14:paraId="4AF2091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50≤Y＜1000</w:t>
            </w:r>
          </w:p>
        </w:tc>
        <w:tc>
          <w:tcPr>
            <w:tcW w:w="1035" w:type="dxa"/>
            <w:tcBorders>
              <w:top w:val="nil"/>
              <w:left w:val="nil"/>
              <w:bottom w:val="single" w:color="auto" w:sz="4" w:space="0"/>
              <w:right w:val="single" w:color="auto" w:sz="4" w:space="0"/>
            </w:tcBorders>
            <w:vAlign w:val="center"/>
          </w:tcPr>
          <w:p w14:paraId="20CCDF4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w:t>
            </w:r>
          </w:p>
        </w:tc>
      </w:tr>
      <w:tr w14:paraId="43687D8A">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1BE28C61">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房地产开发经营</w:t>
            </w:r>
          </w:p>
        </w:tc>
        <w:tc>
          <w:tcPr>
            <w:tcW w:w="1549" w:type="dxa"/>
            <w:tcBorders>
              <w:top w:val="nil"/>
              <w:left w:val="nil"/>
              <w:bottom w:val="single" w:color="auto" w:sz="4" w:space="0"/>
              <w:right w:val="single" w:color="auto" w:sz="4" w:space="0"/>
            </w:tcBorders>
            <w:vAlign w:val="center"/>
          </w:tcPr>
          <w:p w14:paraId="0FB7AD30">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31000A7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40485D1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1000≤Y＜200000</w:t>
            </w:r>
          </w:p>
        </w:tc>
        <w:tc>
          <w:tcPr>
            <w:tcW w:w="1612" w:type="dxa"/>
            <w:tcBorders>
              <w:top w:val="nil"/>
              <w:left w:val="nil"/>
              <w:bottom w:val="single" w:color="auto" w:sz="4" w:space="0"/>
              <w:right w:val="single" w:color="auto" w:sz="4" w:space="0"/>
            </w:tcBorders>
            <w:vAlign w:val="center"/>
          </w:tcPr>
          <w:p w14:paraId="54DDF99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100≤X＜1000</w:t>
            </w:r>
          </w:p>
        </w:tc>
        <w:tc>
          <w:tcPr>
            <w:tcW w:w="1035" w:type="dxa"/>
            <w:tcBorders>
              <w:top w:val="nil"/>
              <w:left w:val="nil"/>
              <w:bottom w:val="single" w:color="auto" w:sz="4" w:space="0"/>
              <w:right w:val="single" w:color="auto" w:sz="4" w:space="0"/>
            </w:tcBorders>
            <w:vAlign w:val="center"/>
          </w:tcPr>
          <w:p w14:paraId="6A08CEE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2FB76754">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49409215">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30E83EF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22" w:type="dxa"/>
            <w:tcBorders>
              <w:top w:val="nil"/>
              <w:left w:val="nil"/>
              <w:bottom w:val="single" w:color="auto" w:sz="4" w:space="0"/>
              <w:right w:val="single" w:color="auto" w:sz="4" w:space="0"/>
            </w:tcBorders>
            <w:vAlign w:val="center"/>
          </w:tcPr>
          <w:p w14:paraId="51931F3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33107DFF">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5000≤Z＜10000</w:t>
            </w:r>
          </w:p>
        </w:tc>
        <w:tc>
          <w:tcPr>
            <w:tcW w:w="1612" w:type="dxa"/>
            <w:tcBorders>
              <w:top w:val="nil"/>
              <w:left w:val="nil"/>
              <w:bottom w:val="single" w:color="auto" w:sz="4" w:space="0"/>
              <w:right w:val="single" w:color="auto" w:sz="4" w:space="0"/>
            </w:tcBorders>
            <w:vAlign w:val="center"/>
          </w:tcPr>
          <w:p w14:paraId="755F6F8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2000≤Y＜5000</w:t>
            </w:r>
          </w:p>
        </w:tc>
        <w:tc>
          <w:tcPr>
            <w:tcW w:w="1035" w:type="dxa"/>
            <w:tcBorders>
              <w:top w:val="nil"/>
              <w:left w:val="nil"/>
              <w:bottom w:val="single" w:color="auto" w:sz="4" w:space="0"/>
              <w:right w:val="single" w:color="auto" w:sz="4" w:space="0"/>
            </w:tcBorders>
            <w:vAlign w:val="center"/>
          </w:tcPr>
          <w:p w14:paraId="35E80F5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Y＜2000</w:t>
            </w:r>
          </w:p>
        </w:tc>
      </w:tr>
      <w:tr w14:paraId="6B1230E1">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1A0F16AC">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物业管理</w:t>
            </w:r>
          </w:p>
        </w:tc>
        <w:tc>
          <w:tcPr>
            <w:tcW w:w="1549" w:type="dxa"/>
            <w:tcBorders>
              <w:top w:val="nil"/>
              <w:left w:val="nil"/>
              <w:bottom w:val="single" w:color="auto" w:sz="4" w:space="0"/>
              <w:right w:val="single" w:color="auto" w:sz="4" w:space="0"/>
            </w:tcBorders>
            <w:vAlign w:val="center"/>
          </w:tcPr>
          <w:p w14:paraId="6B40496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27B6F58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2F3EAF9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300≤X＜1000</w:t>
            </w:r>
          </w:p>
        </w:tc>
        <w:tc>
          <w:tcPr>
            <w:tcW w:w="1612" w:type="dxa"/>
            <w:tcBorders>
              <w:top w:val="nil"/>
              <w:left w:val="nil"/>
              <w:bottom w:val="single" w:color="auto" w:sz="4" w:space="0"/>
              <w:right w:val="single" w:color="auto" w:sz="4" w:space="0"/>
            </w:tcBorders>
            <w:vAlign w:val="center"/>
          </w:tcPr>
          <w:p w14:paraId="249AB97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035" w:type="dxa"/>
            <w:tcBorders>
              <w:top w:val="nil"/>
              <w:left w:val="nil"/>
              <w:bottom w:val="single" w:color="auto" w:sz="4" w:space="0"/>
              <w:right w:val="single" w:color="auto" w:sz="4" w:space="0"/>
            </w:tcBorders>
            <w:vAlign w:val="center"/>
          </w:tcPr>
          <w:p w14:paraId="65B7768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X＜100</w:t>
            </w:r>
          </w:p>
        </w:tc>
      </w:tr>
      <w:tr w14:paraId="432345A4">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3D1D29F6">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52C1BAB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营业收入（Y）</w:t>
            </w:r>
          </w:p>
        </w:tc>
        <w:tc>
          <w:tcPr>
            <w:tcW w:w="1022" w:type="dxa"/>
            <w:tcBorders>
              <w:top w:val="nil"/>
              <w:left w:val="nil"/>
              <w:bottom w:val="single" w:color="auto" w:sz="4" w:space="0"/>
              <w:right w:val="single" w:color="auto" w:sz="4" w:space="0"/>
            </w:tcBorders>
            <w:vAlign w:val="center"/>
          </w:tcPr>
          <w:p w14:paraId="4F78B7F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7BD928D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1000≤Y＜5000</w:t>
            </w:r>
          </w:p>
        </w:tc>
        <w:tc>
          <w:tcPr>
            <w:tcW w:w="1612" w:type="dxa"/>
            <w:tcBorders>
              <w:top w:val="nil"/>
              <w:left w:val="nil"/>
              <w:bottom w:val="single" w:color="auto" w:sz="4" w:space="0"/>
              <w:right w:val="single" w:color="auto" w:sz="4" w:space="0"/>
            </w:tcBorders>
            <w:vAlign w:val="center"/>
          </w:tcPr>
          <w:p w14:paraId="3A0F3F9B">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500≤Y＜1000</w:t>
            </w:r>
          </w:p>
        </w:tc>
        <w:tc>
          <w:tcPr>
            <w:tcW w:w="1035" w:type="dxa"/>
            <w:tcBorders>
              <w:top w:val="nil"/>
              <w:left w:val="nil"/>
              <w:bottom w:val="single" w:color="auto" w:sz="4" w:space="0"/>
              <w:right w:val="single" w:color="auto" w:sz="4" w:space="0"/>
            </w:tcBorders>
            <w:vAlign w:val="center"/>
          </w:tcPr>
          <w:p w14:paraId="0DC2340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Y＜500</w:t>
            </w:r>
          </w:p>
        </w:tc>
      </w:tr>
      <w:tr w14:paraId="2A288D35">
        <w:tblPrEx>
          <w:tblCellMar>
            <w:top w:w="0" w:type="dxa"/>
            <w:left w:w="108" w:type="dxa"/>
            <w:bottom w:w="0" w:type="dxa"/>
            <w:right w:w="108" w:type="dxa"/>
          </w:tblCellMar>
        </w:tblPrEx>
        <w:trPr>
          <w:trHeight w:val="284" w:hRule="atLeast"/>
          <w:jc w:val="center"/>
        </w:trPr>
        <w:tc>
          <w:tcPr>
            <w:tcW w:w="1904" w:type="dxa"/>
            <w:vMerge w:val="restart"/>
            <w:tcBorders>
              <w:top w:val="nil"/>
              <w:left w:val="single" w:color="auto" w:sz="4" w:space="0"/>
              <w:bottom w:val="single" w:color="auto" w:sz="4" w:space="0"/>
              <w:right w:val="single" w:color="auto" w:sz="4" w:space="0"/>
            </w:tcBorders>
            <w:vAlign w:val="bottom"/>
          </w:tcPr>
          <w:p w14:paraId="5E1FC7A4">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租赁和商务服务业</w:t>
            </w:r>
          </w:p>
        </w:tc>
        <w:tc>
          <w:tcPr>
            <w:tcW w:w="1549" w:type="dxa"/>
            <w:tcBorders>
              <w:top w:val="nil"/>
              <w:left w:val="nil"/>
              <w:bottom w:val="single" w:color="auto" w:sz="4" w:space="0"/>
              <w:right w:val="single" w:color="auto" w:sz="4" w:space="0"/>
            </w:tcBorders>
            <w:vAlign w:val="center"/>
          </w:tcPr>
          <w:p w14:paraId="642E7AAE">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2411C9A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0F1BB559">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12" w:type="dxa"/>
            <w:tcBorders>
              <w:top w:val="nil"/>
              <w:left w:val="nil"/>
              <w:bottom w:val="single" w:color="auto" w:sz="4" w:space="0"/>
              <w:right w:val="single" w:color="auto" w:sz="4" w:space="0"/>
            </w:tcBorders>
            <w:vAlign w:val="center"/>
          </w:tcPr>
          <w:p w14:paraId="400481A1">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5" w:type="dxa"/>
            <w:tcBorders>
              <w:top w:val="nil"/>
              <w:left w:val="nil"/>
              <w:bottom w:val="single" w:color="auto" w:sz="4" w:space="0"/>
              <w:right w:val="single" w:color="auto" w:sz="4" w:space="0"/>
            </w:tcBorders>
            <w:vAlign w:val="center"/>
          </w:tcPr>
          <w:p w14:paraId="42B8DBC8">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r w14:paraId="1FAB2885">
        <w:tblPrEx>
          <w:tblCellMar>
            <w:top w:w="0" w:type="dxa"/>
            <w:left w:w="108" w:type="dxa"/>
            <w:bottom w:w="0" w:type="dxa"/>
            <w:right w:w="108" w:type="dxa"/>
          </w:tblCellMar>
        </w:tblPrEx>
        <w:trPr>
          <w:trHeight w:val="284" w:hRule="atLeast"/>
          <w:jc w:val="center"/>
        </w:trPr>
        <w:tc>
          <w:tcPr>
            <w:tcW w:w="1904" w:type="dxa"/>
            <w:vMerge w:val="continue"/>
            <w:tcBorders>
              <w:top w:val="nil"/>
              <w:left w:val="single" w:color="auto" w:sz="4" w:space="0"/>
              <w:bottom w:val="single" w:color="auto" w:sz="4" w:space="0"/>
              <w:right w:val="single" w:color="auto" w:sz="4" w:space="0"/>
            </w:tcBorders>
            <w:vAlign w:val="center"/>
          </w:tcPr>
          <w:p w14:paraId="53C8BF13">
            <w:pPr>
              <w:widowControl/>
              <w:jc w:val="left"/>
              <w:rPr>
                <w:rFonts w:ascii="仿宋_GB2312" w:hAnsi="仿宋" w:eastAsia="仿宋_GB2312" w:cs="宋体"/>
                <w:b/>
                <w:bCs/>
                <w:color w:val="auto"/>
                <w:kern w:val="0"/>
                <w:sz w:val="18"/>
                <w:szCs w:val="18"/>
              </w:rPr>
            </w:pPr>
          </w:p>
        </w:tc>
        <w:tc>
          <w:tcPr>
            <w:tcW w:w="1549" w:type="dxa"/>
            <w:tcBorders>
              <w:top w:val="nil"/>
              <w:left w:val="nil"/>
              <w:bottom w:val="single" w:color="auto" w:sz="4" w:space="0"/>
              <w:right w:val="single" w:color="auto" w:sz="4" w:space="0"/>
            </w:tcBorders>
            <w:vAlign w:val="center"/>
          </w:tcPr>
          <w:p w14:paraId="3E3D6C7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资产总额（Z）</w:t>
            </w:r>
          </w:p>
        </w:tc>
        <w:tc>
          <w:tcPr>
            <w:tcW w:w="1022" w:type="dxa"/>
            <w:tcBorders>
              <w:top w:val="nil"/>
              <w:left w:val="nil"/>
              <w:bottom w:val="single" w:color="auto" w:sz="4" w:space="0"/>
              <w:right w:val="single" w:color="auto" w:sz="4" w:space="0"/>
            </w:tcBorders>
            <w:vAlign w:val="center"/>
          </w:tcPr>
          <w:p w14:paraId="59AA46F3">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万元</w:t>
            </w:r>
          </w:p>
        </w:tc>
        <w:tc>
          <w:tcPr>
            <w:tcW w:w="1814" w:type="dxa"/>
            <w:tcBorders>
              <w:top w:val="nil"/>
              <w:left w:val="nil"/>
              <w:bottom w:val="single" w:color="auto" w:sz="4" w:space="0"/>
              <w:right w:val="single" w:color="auto" w:sz="4" w:space="0"/>
            </w:tcBorders>
            <w:vAlign w:val="center"/>
          </w:tcPr>
          <w:p w14:paraId="385A4D65">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8000≤Z＜120000</w:t>
            </w:r>
          </w:p>
        </w:tc>
        <w:tc>
          <w:tcPr>
            <w:tcW w:w="1612" w:type="dxa"/>
            <w:tcBorders>
              <w:top w:val="nil"/>
              <w:left w:val="nil"/>
              <w:bottom w:val="single" w:color="auto" w:sz="4" w:space="0"/>
              <w:right w:val="single" w:color="auto" w:sz="4" w:space="0"/>
            </w:tcBorders>
            <w:vAlign w:val="center"/>
          </w:tcPr>
          <w:p w14:paraId="2F3A570D">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100≤Z＜8000</w:t>
            </w:r>
          </w:p>
        </w:tc>
        <w:tc>
          <w:tcPr>
            <w:tcW w:w="1035" w:type="dxa"/>
            <w:tcBorders>
              <w:top w:val="nil"/>
              <w:left w:val="nil"/>
              <w:bottom w:val="single" w:color="auto" w:sz="4" w:space="0"/>
              <w:right w:val="single" w:color="auto" w:sz="4" w:space="0"/>
            </w:tcBorders>
            <w:vAlign w:val="center"/>
          </w:tcPr>
          <w:p w14:paraId="442CB6E4">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Y＜100</w:t>
            </w:r>
          </w:p>
        </w:tc>
      </w:tr>
      <w:tr w14:paraId="3DC9B8EB">
        <w:tblPrEx>
          <w:tblCellMar>
            <w:top w:w="0" w:type="dxa"/>
            <w:left w:w="108" w:type="dxa"/>
            <w:bottom w:w="0" w:type="dxa"/>
            <w:right w:w="108" w:type="dxa"/>
          </w:tblCellMar>
        </w:tblPrEx>
        <w:trPr>
          <w:trHeight w:val="306" w:hRule="atLeast"/>
          <w:jc w:val="center"/>
        </w:trPr>
        <w:tc>
          <w:tcPr>
            <w:tcW w:w="1904" w:type="dxa"/>
            <w:tcBorders>
              <w:top w:val="nil"/>
              <w:left w:val="single" w:color="auto" w:sz="4" w:space="0"/>
              <w:bottom w:val="single" w:color="auto" w:sz="4" w:space="0"/>
              <w:right w:val="single" w:color="auto" w:sz="4" w:space="0"/>
            </w:tcBorders>
            <w:vAlign w:val="bottom"/>
          </w:tcPr>
          <w:p w14:paraId="008FE65E">
            <w:pPr>
              <w:widowControl/>
              <w:jc w:val="center"/>
              <w:rPr>
                <w:rFonts w:ascii="仿宋_GB2312" w:hAnsi="仿宋" w:eastAsia="仿宋_GB2312" w:cs="宋体"/>
                <w:b/>
                <w:bCs/>
                <w:color w:val="auto"/>
                <w:kern w:val="0"/>
                <w:sz w:val="18"/>
                <w:szCs w:val="18"/>
              </w:rPr>
            </w:pPr>
            <w:r>
              <w:rPr>
                <w:rFonts w:hint="eastAsia" w:ascii="仿宋_GB2312" w:hAnsi="仿宋" w:eastAsia="仿宋_GB2312" w:cs="宋体"/>
                <w:b/>
                <w:bCs/>
                <w:color w:val="auto"/>
                <w:kern w:val="0"/>
                <w:sz w:val="18"/>
                <w:szCs w:val="18"/>
              </w:rPr>
              <w:t>其他未列明行业</w:t>
            </w:r>
          </w:p>
        </w:tc>
        <w:tc>
          <w:tcPr>
            <w:tcW w:w="1549" w:type="dxa"/>
            <w:tcBorders>
              <w:top w:val="nil"/>
              <w:left w:val="nil"/>
              <w:bottom w:val="single" w:color="auto" w:sz="4" w:space="0"/>
              <w:right w:val="single" w:color="auto" w:sz="4" w:space="0"/>
            </w:tcBorders>
            <w:vAlign w:val="center"/>
          </w:tcPr>
          <w:p w14:paraId="5557A7A6">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从业人员（X）</w:t>
            </w:r>
          </w:p>
        </w:tc>
        <w:tc>
          <w:tcPr>
            <w:tcW w:w="1022" w:type="dxa"/>
            <w:tcBorders>
              <w:top w:val="nil"/>
              <w:left w:val="nil"/>
              <w:bottom w:val="single" w:color="auto" w:sz="4" w:space="0"/>
              <w:right w:val="single" w:color="auto" w:sz="4" w:space="0"/>
            </w:tcBorders>
            <w:vAlign w:val="center"/>
          </w:tcPr>
          <w:p w14:paraId="5D5993A7">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人</w:t>
            </w:r>
          </w:p>
        </w:tc>
        <w:tc>
          <w:tcPr>
            <w:tcW w:w="1814" w:type="dxa"/>
            <w:tcBorders>
              <w:top w:val="nil"/>
              <w:left w:val="nil"/>
              <w:bottom w:val="single" w:color="auto" w:sz="4" w:space="0"/>
              <w:right w:val="single" w:color="auto" w:sz="4" w:space="0"/>
            </w:tcBorders>
            <w:vAlign w:val="center"/>
          </w:tcPr>
          <w:p w14:paraId="542A955A">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100≤X＜300</w:t>
            </w:r>
          </w:p>
        </w:tc>
        <w:tc>
          <w:tcPr>
            <w:tcW w:w="1612" w:type="dxa"/>
            <w:tcBorders>
              <w:top w:val="nil"/>
              <w:left w:val="nil"/>
              <w:bottom w:val="single" w:color="auto" w:sz="4" w:space="0"/>
              <w:right w:val="single" w:color="auto" w:sz="4" w:space="0"/>
            </w:tcBorders>
            <w:vAlign w:val="center"/>
          </w:tcPr>
          <w:p w14:paraId="23476B72">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10≤X＜100</w:t>
            </w:r>
          </w:p>
        </w:tc>
        <w:tc>
          <w:tcPr>
            <w:tcW w:w="1035" w:type="dxa"/>
            <w:tcBorders>
              <w:top w:val="nil"/>
              <w:left w:val="nil"/>
              <w:bottom w:val="single" w:color="auto" w:sz="4" w:space="0"/>
              <w:right w:val="single" w:color="auto" w:sz="4" w:space="0"/>
            </w:tcBorders>
            <w:vAlign w:val="center"/>
          </w:tcPr>
          <w:p w14:paraId="24930CAC">
            <w:pPr>
              <w:widowControl/>
              <w:jc w:val="left"/>
              <w:rPr>
                <w:rFonts w:ascii="仿宋_GB2312" w:hAnsi="仿宋" w:eastAsia="仿宋_GB2312" w:cs="宋体"/>
                <w:color w:val="auto"/>
                <w:kern w:val="0"/>
                <w:sz w:val="18"/>
                <w:szCs w:val="18"/>
              </w:rPr>
            </w:pPr>
            <w:r>
              <w:rPr>
                <w:rFonts w:hint="eastAsia" w:ascii="仿宋_GB2312" w:hAnsi="仿宋" w:eastAsia="仿宋_GB2312" w:cs="宋体"/>
                <w:color w:val="auto"/>
                <w:kern w:val="0"/>
                <w:sz w:val="18"/>
                <w:szCs w:val="18"/>
              </w:rPr>
              <w:t>X＜10</w:t>
            </w:r>
          </w:p>
        </w:tc>
      </w:tr>
    </w:tbl>
    <w:p w14:paraId="2E030A05">
      <w:pPr>
        <w:spacing w:before="120" w:line="360" w:lineRule="auto"/>
        <w:ind w:left="-70" w:firstLine="525" w:firstLineChars="250"/>
        <w:rPr>
          <w:rFonts w:ascii="仿宋_GB2312" w:hAnsi="仿宋" w:eastAsia="仿宋_GB2312"/>
          <w:color w:val="auto"/>
          <w:szCs w:val="21"/>
        </w:rPr>
      </w:pPr>
    </w:p>
    <w:p w14:paraId="01256AC2">
      <w:pPr>
        <w:spacing w:before="120" w:line="360" w:lineRule="auto"/>
        <w:ind w:left="-70" w:firstLine="525" w:firstLineChars="250"/>
        <w:rPr>
          <w:rFonts w:ascii="仿宋_GB2312" w:hAnsi="仿宋" w:eastAsia="仿宋_GB2312"/>
          <w:color w:val="auto"/>
          <w:szCs w:val="21"/>
        </w:rPr>
      </w:pPr>
      <w:r>
        <w:rPr>
          <w:rFonts w:hint="eastAsia" w:ascii="仿宋_GB2312" w:hAnsi="仿宋" w:eastAsia="仿宋_GB2312"/>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4A4B7465">
      <w:pPr>
        <w:spacing w:before="120" w:line="360" w:lineRule="auto"/>
        <w:ind w:left="-70"/>
        <w:contextualSpacing/>
        <w:jc w:val="center"/>
        <w:rPr>
          <w:rFonts w:ascii="仿宋_GB2312" w:hAnsi="仿宋_GB2312" w:eastAsia="仿宋_GB2312" w:cs="仿宋_GB2312"/>
          <w:color w:val="auto"/>
          <w:sz w:val="32"/>
          <w:szCs w:val="32"/>
        </w:rPr>
      </w:pPr>
      <w:r>
        <w:rPr>
          <w:rFonts w:ascii="宋体" w:hAnsi="宋体"/>
          <w:color w:val="auto"/>
          <w:sz w:val="24"/>
        </w:rPr>
        <w:br w:type="page"/>
      </w:r>
      <w:r>
        <w:rPr>
          <w:rFonts w:hint="eastAsia" w:ascii="方正小标宋简体" w:hAnsi="方正小标宋简体" w:eastAsia="方正小标宋简体" w:cs="方正小标宋简体"/>
          <w:color w:val="auto"/>
          <w:sz w:val="44"/>
          <w:szCs w:val="44"/>
        </w:rPr>
        <w:t>残疾人福利性单位声明函</w:t>
      </w:r>
    </w:p>
    <w:p w14:paraId="0A13A3E8">
      <w:pPr>
        <w:spacing w:before="120" w:line="520" w:lineRule="exact"/>
        <w:ind w:left="-70" w:firstLine="784"/>
        <w:rPr>
          <w:rFonts w:ascii="仿宋_GB2312" w:hAnsi="仿宋_GB2312" w:eastAsia="仿宋_GB2312" w:cs="仿宋_GB2312"/>
          <w:color w:val="auto"/>
          <w:sz w:val="32"/>
          <w:szCs w:val="32"/>
        </w:rPr>
      </w:pPr>
    </w:p>
    <w:p w14:paraId="4BE83395">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u w:val="single"/>
        </w:rPr>
        <w:t xml:space="preserve">       </w:t>
      </w:r>
      <w:r>
        <w:rPr>
          <w:rFonts w:hint="eastAsia" w:ascii="宋体" w:hAnsi="宋体" w:cs="仿宋_GB2312"/>
          <w:color w:val="auto"/>
          <w:sz w:val="24"/>
        </w:rPr>
        <w:t>单位的</w:t>
      </w:r>
      <w:r>
        <w:rPr>
          <w:rFonts w:hint="eastAsia" w:ascii="宋体" w:hAnsi="宋体" w:cs="仿宋_GB2312"/>
          <w:color w:val="auto"/>
          <w:sz w:val="24"/>
          <w:u w:val="single"/>
        </w:rPr>
        <w:t xml:space="preserve">        </w:t>
      </w:r>
      <w:r>
        <w:rPr>
          <w:rFonts w:hint="eastAsia" w:ascii="宋体" w:hAnsi="宋体" w:cs="仿宋_GB2312"/>
          <w:color w:val="auto"/>
          <w:sz w:val="24"/>
        </w:rPr>
        <w:t>项目采购活动提供本单位制造的货物（由本单位承担工程/提供服务），或者提供其他残疾人福利性单位制造的货物（不包括使用非残疾人福利性单位注册商标的货物）。</w:t>
      </w:r>
    </w:p>
    <w:p w14:paraId="6B5DB696">
      <w:pPr>
        <w:spacing w:before="120" w:line="360" w:lineRule="auto"/>
        <w:ind w:left="-70"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14:paraId="66D1B568">
      <w:pPr>
        <w:spacing w:before="120" w:line="360" w:lineRule="auto"/>
        <w:ind w:left="-70"/>
        <w:contextualSpacing/>
        <w:rPr>
          <w:rFonts w:ascii="宋体" w:hAnsi="宋体" w:cs="仿宋_GB2312"/>
          <w:color w:val="auto"/>
          <w:sz w:val="24"/>
        </w:rPr>
      </w:pPr>
    </w:p>
    <w:p w14:paraId="5ADDD0F6">
      <w:pPr>
        <w:spacing w:before="120" w:line="360" w:lineRule="auto"/>
        <w:ind w:left="-70"/>
        <w:contextualSpacing/>
        <w:rPr>
          <w:rFonts w:ascii="宋体" w:hAnsi="宋体" w:cs="仿宋_GB2312"/>
          <w:color w:val="auto"/>
          <w:sz w:val="24"/>
        </w:rPr>
      </w:pPr>
    </w:p>
    <w:p w14:paraId="6EB3C291">
      <w:pPr>
        <w:spacing w:before="120" w:line="360" w:lineRule="auto"/>
        <w:ind w:left="-70"/>
        <w:contextualSpacing/>
        <w:rPr>
          <w:rFonts w:ascii="宋体" w:hAnsi="宋体" w:cs="仿宋_GB2312"/>
          <w:color w:val="auto"/>
          <w:sz w:val="24"/>
        </w:rPr>
      </w:pPr>
    </w:p>
    <w:p w14:paraId="03BA4EF6">
      <w:pPr>
        <w:spacing w:before="120" w:line="360" w:lineRule="auto"/>
        <w:ind w:left="-70" w:firstLine="5520" w:firstLineChars="2300"/>
        <w:contextualSpacing/>
        <w:rPr>
          <w:rFonts w:ascii="宋体" w:hAnsi="宋体" w:cs="仿宋_GB2312"/>
          <w:color w:val="auto"/>
          <w:sz w:val="24"/>
        </w:rPr>
      </w:pPr>
      <w:r>
        <w:rPr>
          <w:rFonts w:hint="eastAsia" w:ascii="宋体" w:hAnsi="宋体" w:cs="仿宋_GB2312"/>
          <w:color w:val="auto"/>
          <w:sz w:val="24"/>
        </w:rPr>
        <w:t>单位名称（盖章）：</w:t>
      </w:r>
    </w:p>
    <w:p w14:paraId="3E29153F">
      <w:pPr>
        <w:spacing w:before="120" w:line="360" w:lineRule="auto"/>
        <w:ind w:left="-70" w:firstLine="6240" w:firstLineChars="2600"/>
        <w:contextualSpacing/>
        <w:rPr>
          <w:rFonts w:ascii="宋体" w:hAnsi="宋体" w:cs="仿宋_GB2312"/>
          <w:color w:val="auto"/>
          <w:sz w:val="24"/>
        </w:rPr>
      </w:pPr>
      <w:r>
        <w:rPr>
          <w:rFonts w:hint="eastAsia" w:ascii="宋体" w:hAnsi="宋体" w:cs="仿宋_GB2312"/>
          <w:color w:val="auto"/>
          <w:sz w:val="24"/>
        </w:rPr>
        <w:t>日  期：</w:t>
      </w:r>
    </w:p>
    <w:p w14:paraId="4ABDECC8">
      <w:pPr>
        <w:spacing w:before="120" w:line="360" w:lineRule="auto"/>
        <w:ind w:left="-70"/>
        <w:contextualSpacing/>
        <w:rPr>
          <w:rFonts w:ascii="宋体" w:hAnsi="宋体" w:cs="仿宋_GB2312"/>
          <w:color w:val="auto"/>
          <w:sz w:val="24"/>
        </w:rPr>
      </w:pPr>
    </w:p>
    <w:p w14:paraId="54FBC94C">
      <w:pPr>
        <w:spacing w:before="120" w:line="360" w:lineRule="auto"/>
        <w:ind w:left="-70"/>
        <w:contextualSpacing/>
        <w:rPr>
          <w:rFonts w:ascii="宋体" w:hAnsi="宋体" w:cs="仿宋_GB2312"/>
          <w:color w:val="auto"/>
          <w:sz w:val="24"/>
        </w:rPr>
      </w:pPr>
    </w:p>
    <w:p w14:paraId="39263F85">
      <w:pPr>
        <w:spacing w:before="120" w:line="360" w:lineRule="auto"/>
        <w:ind w:left="-70"/>
        <w:contextualSpacing/>
        <w:rPr>
          <w:rFonts w:ascii="宋体" w:hAnsi="宋体" w:cs="仿宋_GB2312"/>
          <w:color w:val="auto"/>
          <w:sz w:val="24"/>
        </w:rPr>
      </w:pPr>
    </w:p>
    <w:p w14:paraId="16CCBB61">
      <w:pPr>
        <w:spacing w:before="120" w:line="360" w:lineRule="auto"/>
        <w:ind w:left="-70"/>
        <w:contextualSpacing/>
        <w:rPr>
          <w:rFonts w:ascii="宋体" w:hAnsi="宋体" w:cs="仿宋_GB2312"/>
          <w:color w:val="auto"/>
          <w:sz w:val="24"/>
        </w:rPr>
      </w:pPr>
      <w:r>
        <w:rPr>
          <w:rFonts w:hint="eastAsia" w:ascii="宋体" w:hAnsi="宋体" w:cs="仿宋_GB2312"/>
          <w:color w:val="auto"/>
          <w:sz w:val="24"/>
        </w:rPr>
        <w:t>注：请根据自己的真实情况出具《残疾人福利性单位声明函》。依法享受中小企业优惠政策的，采购人或者采购代理机构在公告成交结果时，同时公告其《残疾人福利性单位声明函》，接受社会监督。</w:t>
      </w:r>
    </w:p>
    <w:p w14:paraId="2868CFFD">
      <w:pPr>
        <w:spacing w:before="120" w:line="360" w:lineRule="auto"/>
        <w:ind w:left="-70"/>
        <w:jc w:val="center"/>
        <w:rPr>
          <w:rFonts w:ascii="宋体" w:hAnsi="宋体"/>
          <w:b/>
          <w:bCs/>
          <w:color w:val="auto"/>
          <w:sz w:val="32"/>
          <w:szCs w:val="32"/>
        </w:rPr>
      </w:pPr>
      <w:r>
        <w:rPr>
          <w:rFonts w:ascii="宋体" w:hAnsi="宋体" w:cs="仿宋_GB2312"/>
          <w:color w:val="auto"/>
          <w:sz w:val="24"/>
        </w:rPr>
        <w:br w:type="page"/>
      </w:r>
      <w:r>
        <w:rPr>
          <w:rFonts w:hint="eastAsia" w:ascii="方正小标宋简体" w:hAnsi="方正小标宋简体" w:eastAsia="方正小标宋简体" w:cs="方正小标宋简体"/>
          <w:color w:val="auto"/>
          <w:sz w:val="44"/>
          <w:szCs w:val="44"/>
        </w:rPr>
        <w:t>质疑函</w:t>
      </w:r>
      <w:r>
        <w:rPr>
          <w:rFonts w:hint="eastAsia" w:ascii="方正小标宋简体" w:hAnsi="方正小标宋简体" w:eastAsia="方正小标宋简体" w:cs="方正小标宋简体"/>
          <w:color w:val="auto"/>
          <w:sz w:val="28"/>
          <w:szCs w:val="28"/>
        </w:rPr>
        <w:t>（格式）</w:t>
      </w:r>
    </w:p>
    <w:p w14:paraId="56AFD16D">
      <w:pPr>
        <w:spacing w:before="120" w:line="360" w:lineRule="auto"/>
        <w:ind w:left="-70" w:firstLine="787"/>
        <w:jc w:val="center"/>
        <w:rPr>
          <w:rFonts w:ascii="宋体" w:hAnsi="宋体"/>
          <w:b/>
          <w:bCs/>
          <w:color w:val="auto"/>
          <w:sz w:val="32"/>
          <w:szCs w:val="32"/>
        </w:rPr>
      </w:pPr>
    </w:p>
    <w:p w14:paraId="3B217337">
      <w:pPr>
        <w:pStyle w:val="15"/>
        <w:spacing w:before="120" w:line="360" w:lineRule="auto"/>
        <w:ind w:left="-70" w:firstLine="482" w:firstLineChars="200"/>
        <w:contextualSpacing/>
        <w:rPr>
          <w:rFonts w:hAnsi="宋体"/>
          <w:b/>
          <w:bCs/>
          <w:color w:val="auto"/>
          <w:sz w:val="24"/>
          <w:szCs w:val="24"/>
        </w:rPr>
      </w:pPr>
      <w:r>
        <w:rPr>
          <w:rFonts w:hint="eastAsia" w:hAnsi="宋体"/>
          <w:b/>
          <w:bCs/>
          <w:color w:val="auto"/>
          <w:sz w:val="24"/>
          <w:szCs w:val="24"/>
        </w:rPr>
        <w:t>一、质疑供应商基本信息：</w:t>
      </w:r>
    </w:p>
    <w:p w14:paraId="371A5582">
      <w:pPr>
        <w:pStyle w:val="15"/>
        <w:spacing w:before="120" w:line="360" w:lineRule="auto"/>
        <w:ind w:left="-70" w:firstLine="480" w:firstLineChars="200"/>
        <w:contextualSpacing/>
        <w:rPr>
          <w:rFonts w:hAnsi="宋体"/>
          <w:bCs/>
          <w:color w:val="auto"/>
          <w:sz w:val="24"/>
          <w:szCs w:val="24"/>
          <w:u w:val="single"/>
        </w:rPr>
      </w:pPr>
      <w:r>
        <w:rPr>
          <w:rFonts w:hint="eastAsia" w:hAnsi="宋体"/>
          <w:bCs/>
          <w:color w:val="auto"/>
          <w:sz w:val="24"/>
          <w:szCs w:val="24"/>
        </w:rPr>
        <w:t>质疑供应商：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4F5AC4E3">
      <w:pPr>
        <w:pStyle w:val="15"/>
        <w:spacing w:before="120" w:line="360" w:lineRule="auto"/>
        <w:ind w:left="-70"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621B1127">
      <w:pPr>
        <w:pStyle w:val="15"/>
        <w:spacing w:before="120" w:line="360" w:lineRule="auto"/>
        <w:ind w:left="-70"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3544E60C">
      <w:pPr>
        <w:pStyle w:val="15"/>
        <w:spacing w:before="120" w:line="360" w:lineRule="auto"/>
        <w:ind w:left="-70" w:firstLine="480" w:firstLineChars="200"/>
        <w:contextualSpacing/>
        <w:rPr>
          <w:rFonts w:hAnsi="宋体"/>
          <w:bCs/>
          <w:color w:val="auto"/>
          <w:sz w:val="24"/>
          <w:szCs w:val="24"/>
        </w:rPr>
      </w:pPr>
      <w:r>
        <w:rPr>
          <w:rFonts w:hint="eastAsia" w:hAnsi="宋体"/>
          <w:bCs/>
          <w:color w:val="auto"/>
          <w:sz w:val="24"/>
          <w:szCs w:val="24"/>
        </w:rPr>
        <w:t>授权代表：</w:t>
      </w:r>
      <w:r>
        <w:rPr>
          <w:rFonts w:hint="eastAsia" w:hAnsi="宋体"/>
          <w:bCs/>
          <w:color w:val="auto"/>
          <w:sz w:val="24"/>
          <w:szCs w:val="24"/>
          <w:u w:val="single"/>
        </w:rPr>
        <w:t xml:space="preserve">                      </w:t>
      </w:r>
    </w:p>
    <w:p w14:paraId="3149475E">
      <w:pPr>
        <w:pStyle w:val="15"/>
        <w:spacing w:before="120" w:line="360" w:lineRule="auto"/>
        <w:ind w:left="-70" w:firstLine="480" w:firstLineChars="20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203DFE40">
      <w:pPr>
        <w:pStyle w:val="15"/>
        <w:spacing w:before="120" w:line="360" w:lineRule="auto"/>
        <w:ind w:left="-70"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387D34E">
      <w:pPr>
        <w:pStyle w:val="15"/>
        <w:spacing w:before="120" w:line="360" w:lineRule="auto"/>
        <w:ind w:left="-70" w:firstLine="482" w:firstLineChars="200"/>
        <w:contextualSpacing/>
        <w:rPr>
          <w:rFonts w:hAnsi="宋体"/>
          <w:b/>
          <w:bCs/>
          <w:color w:val="auto"/>
          <w:sz w:val="24"/>
          <w:szCs w:val="24"/>
        </w:rPr>
      </w:pPr>
      <w:r>
        <w:rPr>
          <w:rFonts w:hint="eastAsia" w:hAnsi="宋体"/>
          <w:b/>
          <w:bCs/>
          <w:color w:val="auto"/>
          <w:sz w:val="24"/>
          <w:szCs w:val="24"/>
        </w:rPr>
        <w:t>二、质疑项目基本情况：</w:t>
      </w:r>
    </w:p>
    <w:p w14:paraId="1A35D142">
      <w:pPr>
        <w:pStyle w:val="15"/>
        <w:spacing w:before="120"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r>
        <w:rPr>
          <w:rFonts w:hint="eastAsia" w:hAnsi="宋体"/>
          <w:bCs/>
          <w:color w:val="auto"/>
          <w:sz w:val="24"/>
          <w:szCs w:val="24"/>
          <w:u w:val="single"/>
        </w:rPr>
        <w:t xml:space="preserve">                                     </w:t>
      </w:r>
    </w:p>
    <w:p w14:paraId="04FB4A3F">
      <w:pPr>
        <w:pStyle w:val="15"/>
        <w:spacing w:before="120"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r>
        <w:rPr>
          <w:rFonts w:hint="eastAsia" w:hAnsi="宋体"/>
          <w:bCs/>
          <w:color w:val="auto"/>
          <w:sz w:val="24"/>
          <w:szCs w:val="24"/>
          <w:u w:val="single"/>
        </w:rPr>
        <w:t xml:space="preserve">                                     </w:t>
      </w:r>
    </w:p>
    <w:p w14:paraId="06427365">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r>
        <w:rPr>
          <w:rFonts w:hint="eastAsia" w:hAnsi="宋体"/>
          <w:bCs/>
          <w:color w:val="auto"/>
          <w:sz w:val="24"/>
          <w:szCs w:val="24"/>
          <w:u w:val="single"/>
        </w:rPr>
        <w:t xml:space="preserve">                                         </w:t>
      </w:r>
    </w:p>
    <w:p w14:paraId="237E63D4">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14:paraId="65B093A9">
      <w:pPr>
        <w:pStyle w:val="15"/>
        <w:spacing w:before="120"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   采购文件获取日期：</w:t>
      </w:r>
      <w:r>
        <w:rPr>
          <w:rFonts w:hint="eastAsia" w:hAnsi="宋体"/>
          <w:bCs/>
          <w:color w:val="auto"/>
          <w:sz w:val="24"/>
          <w:szCs w:val="24"/>
          <w:u w:val="single"/>
        </w:rPr>
        <w:t xml:space="preserve">                                   </w:t>
      </w:r>
    </w:p>
    <w:p w14:paraId="01341478">
      <w:pPr>
        <w:pStyle w:val="15"/>
        <w:spacing w:before="120" w:line="360" w:lineRule="auto"/>
        <w:ind w:left="25" w:leftChars="12" w:firstLine="352" w:firstLineChars="147"/>
        <w:contextualSpacing/>
        <w:rPr>
          <w:rFonts w:hAnsi="宋体"/>
          <w:color w:val="auto"/>
          <w:sz w:val="24"/>
          <w:szCs w:val="24"/>
        </w:rPr>
      </w:pPr>
      <w:r>
        <w:rPr>
          <w:rFonts w:hint="eastAsia" w:hAnsi="宋体"/>
          <w:color w:val="auto"/>
          <w:sz w:val="24"/>
          <w:szCs w:val="24"/>
        </w:rPr>
        <w:t xml:space="preserve">□采购过程   </w:t>
      </w:r>
    </w:p>
    <w:p w14:paraId="4E5DBA28">
      <w:pPr>
        <w:pStyle w:val="15"/>
        <w:spacing w:before="120"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 xml:space="preserve">□成交结果   </w:t>
      </w:r>
    </w:p>
    <w:p w14:paraId="62290961">
      <w:pPr>
        <w:pStyle w:val="15"/>
        <w:spacing w:before="120"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14:paraId="7476203B">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质疑事项1：</w:t>
      </w:r>
      <w:r>
        <w:rPr>
          <w:rFonts w:hint="eastAsia" w:hAnsi="宋体"/>
          <w:bCs/>
          <w:color w:val="auto"/>
          <w:sz w:val="24"/>
          <w:szCs w:val="24"/>
          <w:u w:val="single"/>
        </w:rPr>
        <w:t xml:space="preserve">                                                                    </w:t>
      </w:r>
    </w:p>
    <w:p w14:paraId="32FC43E1">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r>
        <w:rPr>
          <w:rFonts w:hint="eastAsia" w:hAnsi="宋体"/>
          <w:bCs/>
          <w:color w:val="auto"/>
          <w:sz w:val="24"/>
          <w:szCs w:val="24"/>
          <w:u w:val="single"/>
        </w:rPr>
        <w:t xml:space="preserve">                                                                      </w:t>
      </w:r>
    </w:p>
    <w:p w14:paraId="320E8E0C">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r>
        <w:rPr>
          <w:rFonts w:hint="eastAsia" w:hAnsi="宋体"/>
          <w:color w:val="auto"/>
          <w:sz w:val="24"/>
          <w:szCs w:val="24"/>
          <w:u w:val="single"/>
        </w:rPr>
        <w:t xml:space="preserve">                                                        </w:t>
      </w:r>
      <w:r>
        <w:rPr>
          <w:rFonts w:hint="eastAsia" w:hAnsi="宋体"/>
          <w:bCs/>
          <w:color w:val="auto"/>
          <w:sz w:val="24"/>
          <w:szCs w:val="24"/>
          <w:u w:val="single"/>
        </w:rPr>
        <w:t xml:space="preserve">               </w:t>
      </w:r>
    </w:p>
    <w:p w14:paraId="7172EF0F">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质疑事项2</w:t>
      </w:r>
    </w:p>
    <w:p w14:paraId="0F33821A">
      <w:pPr>
        <w:pStyle w:val="15"/>
        <w:spacing w:before="120" w:line="360" w:lineRule="auto"/>
        <w:ind w:left="25" w:leftChars="12" w:firstLine="472" w:firstLineChars="197"/>
        <w:contextualSpacing/>
        <w:rPr>
          <w:rFonts w:hAnsi="宋体"/>
          <w:color w:val="auto"/>
          <w:sz w:val="24"/>
          <w:szCs w:val="24"/>
        </w:rPr>
      </w:pPr>
      <w:r>
        <w:rPr>
          <w:rFonts w:hAnsi="宋体"/>
          <w:color w:val="auto"/>
          <w:sz w:val="24"/>
          <w:szCs w:val="24"/>
        </w:rPr>
        <w:t>……</w:t>
      </w:r>
    </w:p>
    <w:p w14:paraId="67677562">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14:paraId="501747BE">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59885936">
      <w:pPr>
        <w:pStyle w:val="15"/>
        <w:spacing w:before="120" w:line="360" w:lineRule="auto"/>
        <w:ind w:left="25" w:leftChars="12" w:firstLine="352" w:firstLineChars="147"/>
        <w:contextualSpacing/>
        <w:rPr>
          <w:rFonts w:hAnsi="宋体"/>
          <w:color w:val="auto"/>
          <w:sz w:val="24"/>
          <w:szCs w:val="24"/>
        </w:rPr>
      </w:pPr>
    </w:p>
    <w:p w14:paraId="17D03F0D">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                                       公章：</w:t>
      </w:r>
    </w:p>
    <w:p w14:paraId="6867B53E">
      <w:pPr>
        <w:pStyle w:val="15"/>
        <w:spacing w:before="120" w:line="360" w:lineRule="auto"/>
        <w:ind w:left="25" w:leftChars="12" w:firstLine="352" w:firstLineChars="147"/>
        <w:contextualSpacing/>
        <w:rPr>
          <w:rFonts w:hAnsi="宋体"/>
          <w:color w:val="auto"/>
          <w:sz w:val="24"/>
          <w:szCs w:val="24"/>
        </w:rPr>
      </w:pPr>
    </w:p>
    <w:p w14:paraId="116B047D">
      <w:pPr>
        <w:pStyle w:val="15"/>
        <w:spacing w:before="120" w:line="360" w:lineRule="auto"/>
        <w:ind w:left="25" w:leftChars="12" w:firstLine="472" w:firstLineChars="197"/>
        <w:contextualSpacing/>
        <w:rPr>
          <w:rFonts w:hAnsi="宋体"/>
          <w:color w:val="auto"/>
          <w:sz w:val="24"/>
          <w:szCs w:val="24"/>
        </w:rPr>
      </w:pPr>
      <w:r>
        <w:rPr>
          <w:rFonts w:hint="eastAsia" w:hAnsi="宋体"/>
          <w:color w:val="auto"/>
          <w:sz w:val="24"/>
          <w:szCs w:val="24"/>
        </w:rPr>
        <w:t>日期：</w:t>
      </w:r>
    </w:p>
    <w:p w14:paraId="29911812">
      <w:pPr>
        <w:pStyle w:val="15"/>
        <w:spacing w:before="120" w:line="360" w:lineRule="auto"/>
        <w:ind w:left="-70" w:firstLine="590"/>
        <w:contextualSpacing/>
        <w:rPr>
          <w:rFonts w:hAnsi="宋体"/>
          <w:b/>
          <w:color w:val="auto"/>
          <w:sz w:val="24"/>
          <w:szCs w:val="24"/>
        </w:rPr>
      </w:pPr>
    </w:p>
    <w:p w14:paraId="1FEF41AC">
      <w:pPr>
        <w:pStyle w:val="15"/>
        <w:spacing w:before="120" w:line="360" w:lineRule="auto"/>
        <w:ind w:left="-70" w:firstLine="590"/>
        <w:contextualSpacing/>
        <w:rPr>
          <w:rFonts w:hAnsi="宋体"/>
          <w:b/>
          <w:color w:val="auto"/>
          <w:sz w:val="24"/>
          <w:szCs w:val="24"/>
        </w:rPr>
      </w:pPr>
      <w:r>
        <w:rPr>
          <w:rFonts w:hint="eastAsia" w:hAnsi="宋体"/>
          <w:b/>
          <w:color w:val="auto"/>
          <w:sz w:val="24"/>
          <w:szCs w:val="24"/>
        </w:rPr>
        <w:t>说明：</w:t>
      </w:r>
    </w:p>
    <w:p w14:paraId="3593A39E">
      <w:pPr>
        <w:pStyle w:val="15"/>
        <w:spacing w:before="120" w:line="360" w:lineRule="auto"/>
        <w:ind w:left="25" w:leftChars="12" w:firstLine="354" w:firstLineChars="147"/>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14:paraId="42C8F26D">
      <w:pPr>
        <w:pStyle w:val="15"/>
        <w:spacing w:before="120" w:line="360" w:lineRule="auto"/>
        <w:ind w:left="25" w:leftChars="12" w:firstLine="354" w:firstLineChars="147"/>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BE949D1">
      <w:pPr>
        <w:pStyle w:val="15"/>
        <w:spacing w:before="120" w:line="360" w:lineRule="auto"/>
        <w:ind w:left="25" w:leftChars="12" w:firstLine="354" w:firstLineChars="147"/>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14:paraId="37AA09A1">
      <w:pPr>
        <w:pStyle w:val="15"/>
        <w:spacing w:before="120" w:line="360" w:lineRule="auto"/>
        <w:ind w:left="25" w:leftChars="12" w:firstLine="354" w:firstLineChars="147"/>
        <w:contextualSpacing/>
        <w:rPr>
          <w:rFonts w:hAnsi="宋体"/>
          <w:b/>
          <w:color w:val="auto"/>
          <w:sz w:val="24"/>
          <w:szCs w:val="24"/>
        </w:rPr>
      </w:pPr>
      <w:r>
        <w:rPr>
          <w:rFonts w:hint="eastAsia" w:hAnsi="宋体"/>
          <w:b/>
          <w:color w:val="auto"/>
          <w:sz w:val="24"/>
          <w:szCs w:val="24"/>
        </w:rPr>
        <w:t>4.质疑函的质疑请求应与质疑事项相关。</w:t>
      </w:r>
    </w:p>
    <w:p w14:paraId="30B5B863">
      <w:pPr>
        <w:pStyle w:val="15"/>
        <w:spacing w:before="120" w:line="360" w:lineRule="auto"/>
        <w:ind w:left="25" w:leftChars="12" w:firstLine="354" w:firstLineChars="147"/>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14:paraId="5667A03B">
      <w:pPr>
        <w:pStyle w:val="15"/>
        <w:snapToGrid w:val="0"/>
        <w:spacing w:before="120"/>
        <w:ind w:left="-70" w:firstLine="590"/>
        <w:rPr>
          <w:b/>
          <w:color w:val="auto"/>
          <w:sz w:val="24"/>
          <w:szCs w:val="24"/>
        </w:rPr>
      </w:pPr>
    </w:p>
    <w:p w14:paraId="144C9F42">
      <w:pPr>
        <w:spacing w:before="120"/>
        <w:ind w:left="-70" w:firstLine="588"/>
        <w:rPr>
          <w:color w:val="auto"/>
        </w:rPr>
      </w:pPr>
      <w:r>
        <w:rPr>
          <w:color w:val="auto"/>
        </w:rPr>
        <w:br w:type="page"/>
      </w:r>
    </w:p>
    <w:p w14:paraId="1619F6BB">
      <w:pPr>
        <w:spacing w:before="120" w:line="360" w:lineRule="auto"/>
        <w:ind w:left="-70" w:firstLine="1078"/>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投诉书</w:t>
      </w:r>
      <w:r>
        <w:rPr>
          <w:rFonts w:hint="eastAsia" w:ascii="方正小标宋简体" w:hAnsi="方正小标宋简体" w:eastAsia="方正小标宋简体" w:cs="方正小标宋简体"/>
          <w:color w:val="auto"/>
          <w:sz w:val="28"/>
          <w:szCs w:val="28"/>
        </w:rPr>
        <w:t>（格式）</w:t>
      </w:r>
    </w:p>
    <w:p w14:paraId="529DF894">
      <w:pPr>
        <w:pStyle w:val="15"/>
        <w:snapToGrid w:val="0"/>
        <w:spacing w:before="120" w:line="360" w:lineRule="auto"/>
        <w:ind w:left="-70" w:firstLine="482" w:firstLineChars="200"/>
        <w:rPr>
          <w:rFonts w:hAnsi="宋体"/>
          <w:b/>
          <w:bCs/>
          <w:color w:val="auto"/>
          <w:sz w:val="24"/>
          <w:szCs w:val="24"/>
        </w:rPr>
      </w:pPr>
      <w:r>
        <w:rPr>
          <w:rFonts w:hint="eastAsia" w:hAnsi="宋体"/>
          <w:b/>
          <w:bCs/>
          <w:color w:val="auto"/>
          <w:sz w:val="24"/>
          <w:szCs w:val="24"/>
        </w:rPr>
        <w:t>一、投诉相关主体基本情况：</w:t>
      </w:r>
    </w:p>
    <w:p w14:paraId="2077798B">
      <w:pPr>
        <w:pStyle w:val="15"/>
        <w:snapToGrid w:val="0"/>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供应商：</w:t>
      </w:r>
      <w:r>
        <w:rPr>
          <w:rFonts w:hint="eastAsia" w:hAnsi="宋体"/>
          <w:bCs/>
          <w:color w:val="auto"/>
          <w:sz w:val="24"/>
          <w:szCs w:val="24"/>
          <w:u w:val="single"/>
        </w:rPr>
        <w:t xml:space="preserve">                                                                        </w:t>
      </w:r>
      <w:r>
        <w:rPr>
          <w:rFonts w:hint="eastAsia" w:hAnsi="宋体"/>
          <w:bCs/>
          <w:color w:val="auto"/>
          <w:sz w:val="24"/>
          <w:szCs w:val="24"/>
        </w:rPr>
        <w:t xml:space="preserve">                 </w:t>
      </w:r>
    </w:p>
    <w:p w14:paraId="76F746F6">
      <w:pPr>
        <w:pStyle w:val="15"/>
        <w:snapToGrid w:val="0"/>
        <w:spacing w:before="120" w:line="360" w:lineRule="auto"/>
        <w:ind w:left="-70"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7B0BD39D">
      <w:pPr>
        <w:pStyle w:val="15"/>
        <w:snapToGrid w:val="0"/>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法定代表人/主要负责人：</w:t>
      </w:r>
      <w:r>
        <w:rPr>
          <w:rFonts w:hint="eastAsia" w:hAnsi="宋体"/>
          <w:bCs/>
          <w:color w:val="auto"/>
          <w:sz w:val="24"/>
          <w:szCs w:val="24"/>
          <w:u w:val="single"/>
        </w:rPr>
        <w:t xml:space="preserve">                                                         </w:t>
      </w:r>
    </w:p>
    <w:p w14:paraId="650071AD">
      <w:pPr>
        <w:pStyle w:val="15"/>
        <w:snapToGrid w:val="0"/>
        <w:spacing w:before="120" w:line="360" w:lineRule="auto"/>
        <w:ind w:left="-70"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r>
        <w:rPr>
          <w:rFonts w:hint="eastAsia" w:hAnsi="宋体"/>
          <w:bCs/>
          <w:color w:val="auto"/>
          <w:sz w:val="24"/>
          <w:szCs w:val="24"/>
          <w:u w:val="single"/>
        </w:rPr>
        <w:t xml:space="preserve">                                         </w:t>
      </w:r>
    </w:p>
    <w:p w14:paraId="2AC2CB0C">
      <w:pPr>
        <w:pStyle w:val="15"/>
        <w:snapToGrid w:val="0"/>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授权代表：</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3DE8C25">
      <w:pPr>
        <w:pStyle w:val="15"/>
        <w:snapToGrid w:val="0"/>
        <w:spacing w:before="120" w:line="360" w:lineRule="auto"/>
        <w:ind w:left="-70"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p>
    <w:p w14:paraId="039A544D">
      <w:pPr>
        <w:pStyle w:val="15"/>
        <w:snapToGrid w:val="0"/>
        <w:spacing w:before="120" w:line="360" w:lineRule="auto"/>
        <w:ind w:left="-70"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24A9A6B1">
      <w:pPr>
        <w:pStyle w:val="15"/>
        <w:snapToGrid w:val="0"/>
        <w:spacing w:before="120" w:line="360" w:lineRule="auto"/>
        <w:ind w:left="-70" w:firstLine="480" w:firstLineChars="200"/>
        <w:rPr>
          <w:rFonts w:hAnsi="宋体"/>
          <w:bCs/>
          <w:color w:val="auto"/>
          <w:sz w:val="24"/>
          <w:szCs w:val="24"/>
        </w:rPr>
      </w:pPr>
      <w:r>
        <w:rPr>
          <w:rFonts w:hint="eastAsia" w:hAnsi="宋体"/>
          <w:bCs/>
          <w:color w:val="auto"/>
          <w:sz w:val="24"/>
          <w:szCs w:val="24"/>
        </w:rPr>
        <w:t>被投诉人1：</w:t>
      </w:r>
    </w:p>
    <w:p w14:paraId="6C1D50B0">
      <w:pPr>
        <w:pStyle w:val="15"/>
        <w:snapToGrid w:val="0"/>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地址：</w:t>
      </w:r>
      <w:r>
        <w:rPr>
          <w:rFonts w:hint="eastAsia" w:hAnsi="宋体"/>
          <w:bCs/>
          <w:color w:val="auto"/>
          <w:sz w:val="24"/>
          <w:szCs w:val="24"/>
          <w:u w:val="single"/>
        </w:rPr>
        <w:t xml:space="preserve">                                                            </w:t>
      </w:r>
    </w:p>
    <w:p w14:paraId="4622F263">
      <w:pPr>
        <w:pStyle w:val="15"/>
        <w:snapToGrid w:val="0"/>
        <w:spacing w:before="120" w:line="360" w:lineRule="auto"/>
        <w:ind w:left="-70"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r>
        <w:rPr>
          <w:rFonts w:hint="eastAsia" w:hAnsi="宋体"/>
          <w:bCs/>
          <w:color w:val="auto"/>
          <w:sz w:val="24"/>
          <w:szCs w:val="24"/>
        </w:rPr>
        <w:t xml:space="preserve">  </w:t>
      </w:r>
    </w:p>
    <w:p w14:paraId="4B35B294">
      <w:pPr>
        <w:pStyle w:val="15"/>
        <w:snapToGrid w:val="0"/>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p>
    <w:p w14:paraId="13EE0F03">
      <w:pPr>
        <w:pStyle w:val="15"/>
        <w:snapToGrid w:val="0"/>
        <w:spacing w:before="120" w:line="360" w:lineRule="auto"/>
        <w:ind w:left="-70" w:firstLine="480" w:firstLineChars="200"/>
        <w:rPr>
          <w:rFonts w:hAnsi="宋体"/>
          <w:bCs/>
          <w:color w:val="auto"/>
          <w:sz w:val="24"/>
          <w:szCs w:val="24"/>
        </w:rPr>
      </w:pPr>
      <w:r>
        <w:rPr>
          <w:rFonts w:hint="eastAsia" w:hAnsi="宋体"/>
          <w:bCs/>
          <w:color w:val="auto"/>
          <w:sz w:val="24"/>
          <w:szCs w:val="24"/>
        </w:rPr>
        <w:t>被投诉人2：</w:t>
      </w:r>
    </w:p>
    <w:p w14:paraId="136937BA">
      <w:pPr>
        <w:pStyle w:val="15"/>
        <w:snapToGrid w:val="0"/>
        <w:spacing w:before="120" w:line="360" w:lineRule="auto"/>
        <w:ind w:left="-70" w:firstLine="480" w:firstLineChars="200"/>
        <w:rPr>
          <w:rFonts w:hAnsi="宋体"/>
          <w:bCs/>
          <w:color w:val="auto"/>
          <w:sz w:val="24"/>
          <w:szCs w:val="24"/>
        </w:rPr>
      </w:pPr>
      <w:r>
        <w:rPr>
          <w:rFonts w:hAnsi="宋体"/>
          <w:bCs/>
          <w:color w:val="auto"/>
          <w:sz w:val="24"/>
          <w:szCs w:val="24"/>
        </w:rPr>
        <w:t>……</w:t>
      </w:r>
    </w:p>
    <w:p w14:paraId="024FA8B4">
      <w:pPr>
        <w:pStyle w:val="15"/>
        <w:snapToGrid w:val="0"/>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相关供应商：</w:t>
      </w:r>
      <w:r>
        <w:rPr>
          <w:rFonts w:hint="eastAsia" w:hAnsi="宋体"/>
          <w:bCs/>
          <w:color w:val="auto"/>
          <w:sz w:val="24"/>
          <w:szCs w:val="24"/>
          <w:u w:val="single"/>
        </w:rPr>
        <w:t xml:space="preserve">                                                                       </w:t>
      </w:r>
    </w:p>
    <w:p w14:paraId="3A58E2CC">
      <w:pPr>
        <w:pStyle w:val="15"/>
        <w:snapToGrid w:val="0"/>
        <w:spacing w:before="120" w:line="360" w:lineRule="auto"/>
        <w:ind w:left="-70"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int="eastAsia" w:hAnsi="宋体"/>
          <w:bCs/>
          <w:color w:val="auto"/>
          <w:sz w:val="24"/>
          <w:szCs w:val="24"/>
          <w:u w:val="single"/>
        </w:rPr>
        <w:t xml:space="preserve">                                              </w:t>
      </w:r>
      <w:r>
        <w:rPr>
          <w:rFonts w:hAnsi="宋体"/>
          <w:bCs/>
          <w:color w:val="auto"/>
          <w:sz w:val="24"/>
          <w:szCs w:val="24"/>
        </w:rPr>
        <w:t>邮编</w:t>
      </w:r>
      <w:r>
        <w:rPr>
          <w:rFonts w:hint="eastAsia" w:hAnsi="宋体"/>
          <w:bCs/>
          <w:color w:val="auto"/>
          <w:sz w:val="24"/>
          <w:szCs w:val="24"/>
        </w:rPr>
        <w:t>：</w:t>
      </w:r>
      <w:r>
        <w:rPr>
          <w:rFonts w:hint="eastAsia" w:hAnsi="宋体"/>
          <w:bCs/>
          <w:color w:val="auto"/>
          <w:sz w:val="24"/>
          <w:szCs w:val="24"/>
          <w:u w:val="single"/>
        </w:rPr>
        <w:t xml:space="preserve">                         </w:t>
      </w:r>
    </w:p>
    <w:p w14:paraId="4EC82DC3">
      <w:pPr>
        <w:pStyle w:val="15"/>
        <w:snapToGrid w:val="0"/>
        <w:spacing w:before="120" w:line="360" w:lineRule="auto"/>
        <w:ind w:left="-70" w:firstLine="480" w:firstLineChars="200"/>
        <w:rPr>
          <w:rFonts w:hAnsi="宋体"/>
          <w:bCs/>
          <w:color w:val="auto"/>
          <w:sz w:val="24"/>
          <w:szCs w:val="24"/>
        </w:rPr>
      </w:pPr>
      <w:r>
        <w:rPr>
          <w:rFonts w:hint="eastAsia" w:hAnsi="宋体"/>
          <w:bCs/>
          <w:color w:val="auto"/>
          <w:sz w:val="24"/>
          <w:szCs w:val="24"/>
        </w:rPr>
        <w:t>联系人：</w:t>
      </w:r>
      <w:r>
        <w:rPr>
          <w:rFonts w:hint="eastAsia" w:hAnsi="宋体"/>
          <w:bCs/>
          <w:color w:val="auto"/>
          <w:sz w:val="24"/>
          <w:szCs w:val="24"/>
          <w:u w:val="single"/>
        </w:rPr>
        <w:t xml:space="preserve">                                            </w:t>
      </w:r>
      <w:r>
        <w:rPr>
          <w:rFonts w:hAnsi="宋体"/>
          <w:bCs/>
          <w:color w:val="auto"/>
          <w:sz w:val="24"/>
          <w:szCs w:val="24"/>
        </w:rPr>
        <w:t>联系</w:t>
      </w:r>
      <w:r>
        <w:rPr>
          <w:rFonts w:hint="eastAsia" w:hAnsi="宋体"/>
          <w:bCs/>
          <w:color w:val="auto"/>
          <w:sz w:val="24"/>
          <w:szCs w:val="24"/>
        </w:rPr>
        <w:t>电话：</w:t>
      </w:r>
      <w:r>
        <w:rPr>
          <w:rFonts w:hint="eastAsia" w:hAnsi="宋体"/>
          <w:bCs/>
          <w:color w:val="auto"/>
          <w:sz w:val="24"/>
          <w:szCs w:val="24"/>
          <w:u w:val="single"/>
        </w:rPr>
        <w:t xml:space="preserve">                     </w:t>
      </w:r>
      <w:r>
        <w:rPr>
          <w:rFonts w:hint="eastAsia" w:hAnsi="宋体"/>
          <w:bCs/>
          <w:color w:val="auto"/>
          <w:sz w:val="24"/>
          <w:szCs w:val="24"/>
        </w:rPr>
        <w:t xml:space="preserve">                </w:t>
      </w:r>
    </w:p>
    <w:p w14:paraId="7B863117">
      <w:pPr>
        <w:pStyle w:val="15"/>
        <w:snapToGrid w:val="0"/>
        <w:spacing w:before="120" w:line="360" w:lineRule="auto"/>
        <w:ind w:left="-70" w:firstLine="482" w:firstLineChars="200"/>
        <w:rPr>
          <w:rFonts w:hAnsi="宋体"/>
          <w:b/>
          <w:bCs/>
          <w:color w:val="auto"/>
          <w:sz w:val="24"/>
          <w:szCs w:val="24"/>
        </w:rPr>
      </w:pPr>
      <w:r>
        <w:rPr>
          <w:rFonts w:hint="eastAsia" w:hAnsi="宋体"/>
          <w:b/>
          <w:bCs/>
          <w:color w:val="auto"/>
          <w:sz w:val="24"/>
          <w:szCs w:val="24"/>
        </w:rPr>
        <w:t>二、投诉项目基本情况：</w:t>
      </w:r>
    </w:p>
    <w:p w14:paraId="59129E40">
      <w:pPr>
        <w:pStyle w:val="15"/>
        <w:spacing w:before="120"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r>
        <w:rPr>
          <w:rFonts w:hint="eastAsia" w:hAnsi="宋体"/>
          <w:bCs/>
          <w:color w:val="auto"/>
          <w:sz w:val="24"/>
          <w:szCs w:val="24"/>
          <w:u w:val="single"/>
        </w:rPr>
        <w:t xml:space="preserve">                                                                   </w:t>
      </w:r>
    </w:p>
    <w:p w14:paraId="40846ECF">
      <w:pPr>
        <w:pStyle w:val="15"/>
        <w:spacing w:before="120"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r>
        <w:rPr>
          <w:rFonts w:hint="eastAsia" w:hAnsi="宋体"/>
          <w:bCs/>
          <w:color w:val="auto"/>
          <w:sz w:val="24"/>
          <w:szCs w:val="24"/>
          <w:u w:val="single"/>
        </w:rPr>
        <w:t xml:space="preserve">                                          </w:t>
      </w:r>
    </w:p>
    <w:p w14:paraId="3AE3A89F">
      <w:pPr>
        <w:pStyle w:val="15"/>
        <w:spacing w:before="120"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r>
        <w:rPr>
          <w:rFonts w:hint="eastAsia" w:hAnsi="宋体"/>
          <w:bCs/>
          <w:color w:val="auto"/>
          <w:sz w:val="24"/>
          <w:szCs w:val="24"/>
          <w:u w:val="single"/>
        </w:rPr>
        <w:t xml:space="preserve">                                                                        </w:t>
      </w:r>
    </w:p>
    <w:p w14:paraId="51CF04EC">
      <w:pPr>
        <w:pStyle w:val="15"/>
        <w:spacing w:before="120"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r>
        <w:rPr>
          <w:rFonts w:hint="eastAsia" w:hAnsi="宋体"/>
          <w:bCs/>
          <w:color w:val="auto"/>
          <w:sz w:val="24"/>
          <w:szCs w:val="24"/>
          <w:u w:val="single"/>
        </w:rPr>
        <w:t xml:space="preserve">                                                                      </w:t>
      </w:r>
    </w:p>
    <w:p w14:paraId="711B36F7">
      <w:pPr>
        <w:pStyle w:val="15"/>
        <w:spacing w:before="120"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52B29B22">
      <w:pPr>
        <w:pStyle w:val="15"/>
        <w:spacing w:before="120"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r>
        <w:rPr>
          <w:rFonts w:hint="eastAsia" w:hAnsi="宋体"/>
          <w:bCs/>
          <w:color w:val="auto"/>
          <w:sz w:val="24"/>
          <w:szCs w:val="24"/>
          <w:u w:val="single"/>
        </w:rPr>
        <w:t xml:space="preserve">                                                       </w:t>
      </w:r>
    </w:p>
    <w:p w14:paraId="13070681">
      <w:pPr>
        <w:pStyle w:val="15"/>
        <w:spacing w:before="120"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14:paraId="183E92E4">
      <w:pPr>
        <w:pStyle w:val="15"/>
        <w:spacing w:before="120" w:line="360" w:lineRule="auto"/>
        <w:ind w:left="23" w:leftChars="11" w:firstLine="540" w:firstLineChars="225"/>
        <w:rPr>
          <w:rFonts w:hAnsi="宋体"/>
          <w:color w:val="auto"/>
          <w:sz w:val="24"/>
          <w:szCs w:val="24"/>
        </w:rPr>
      </w:pPr>
      <w:r>
        <w:rPr>
          <w:rFonts w:hint="eastAsia" w:hAnsi="宋体"/>
          <w:color w:val="auto"/>
          <w:sz w:val="24"/>
          <w:szCs w:val="24"/>
        </w:rPr>
        <w:t>投诉人于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日，向</w:t>
      </w:r>
      <w:r>
        <w:rPr>
          <w:rFonts w:hint="eastAsia" w:hAnsi="宋体"/>
          <w:color w:val="auto"/>
          <w:sz w:val="24"/>
          <w:szCs w:val="24"/>
          <w:u w:val="single"/>
        </w:rPr>
        <w:t xml:space="preserve">                                </w:t>
      </w:r>
      <w:r>
        <w:rPr>
          <w:rFonts w:hint="eastAsia" w:hAnsi="宋体"/>
          <w:color w:val="auto"/>
          <w:sz w:val="24"/>
          <w:szCs w:val="24"/>
        </w:rPr>
        <w:t>提出质疑，质疑事项为：</w:t>
      </w:r>
    </w:p>
    <w:p w14:paraId="06D98ADE">
      <w:pPr>
        <w:pStyle w:val="15"/>
        <w:spacing w:before="120" w:line="360" w:lineRule="auto"/>
        <w:ind w:left="23" w:leftChars="11" w:firstLine="540" w:firstLineChars="225"/>
        <w:rPr>
          <w:rFonts w:hAnsi="宋体"/>
          <w:bCs/>
          <w:color w:val="auto"/>
          <w:sz w:val="24"/>
          <w:szCs w:val="24"/>
          <w:u w:val="single"/>
        </w:rPr>
      </w:pPr>
      <w:r>
        <w:rPr>
          <w:rFonts w:hint="eastAsia" w:hAnsi="宋体"/>
          <w:color w:val="auto"/>
          <w:sz w:val="24"/>
          <w:szCs w:val="24"/>
        </w:rPr>
        <w:t xml:space="preserve">    </w:t>
      </w:r>
      <w:r>
        <w:rPr>
          <w:rFonts w:hint="eastAsia" w:hAnsi="宋体"/>
          <w:bCs/>
          <w:color w:val="auto"/>
          <w:sz w:val="24"/>
          <w:szCs w:val="24"/>
          <w:u w:val="single"/>
        </w:rPr>
        <w:t xml:space="preserve">                                                                                      </w:t>
      </w:r>
    </w:p>
    <w:p w14:paraId="5A8A24F5">
      <w:pPr>
        <w:pStyle w:val="15"/>
        <w:spacing w:before="120" w:line="360" w:lineRule="auto"/>
        <w:ind w:left="23" w:leftChars="11" w:firstLine="540" w:firstLineChars="225"/>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4D41CB25">
      <w:pPr>
        <w:pStyle w:val="15"/>
        <w:spacing w:before="120" w:line="360" w:lineRule="auto"/>
        <w:ind w:left="23" w:leftChars="11" w:firstLine="540" w:firstLineChars="225"/>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u w:val="single"/>
        </w:rPr>
        <w:t xml:space="preserve">      </w:t>
      </w:r>
      <w:r>
        <w:rPr>
          <w:rFonts w:hint="eastAsia" w:hAnsi="宋体"/>
          <w:color w:val="auto"/>
          <w:sz w:val="24"/>
          <w:szCs w:val="24"/>
        </w:rPr>
        <w:t>年</w:t>
      </w:r>
      <w:r>
        <w:rPr>
          <w:rFonts w:hint="eastAsia" w:hAnsi="宋体"/>
          <w:color w:val="auto"/>
          <w:sz w:val="24"/>
          <w:szCs w:val="24"/>
          <w:u w:val="single"/>
        </w:rPr>
        <w:t xml:space="preserve">   </w:t>
      </w:r>
      <w:r>
        <w:rPr>
          <w:rFonts w:hint="eastAsia" w:hAnsi="宋体"/>
          <w:color w:val="auto"/>
          <w:sz w:val="24"/>
          <w:szCs w:val="24"/>
        </w:rPr>
        <w:t>月</w:t>
      </w:r>
      <w:r>
        <w:rPr>
          <w:rFonts w:hint="eastAsia" w:hAnsi="宋体"/>
          <w:color w:val="auto"/>
          <w:sz w:val="24"/>
          <w:szCs w:val="24"/>
          <w:u w:val="single"/>
        </w:rPr>
        <w:t xml:space="preserve">   </w:t>
      </w:r>
      <w:r>
        <w:rPr>
          <w:rFonts w:hint="eastAsia" w:hAnsi="宋体"/>
          <w:color w:val="auto"/>
          <w:sz w:val="24"/>
          <w:szCs w:val="24"/>
        </w:rPr>
        <w:t>日，</w:t>
      </w:r>
      <w:r>
        <w:rPr>
          <w:rFonts w:hint="eastAsia" w:hAnsi="宋体"/>
          <w:bCs/>
          <w:color w:val="auto"/>
          <w:sz w:val="24"/>
          <w:szCs w:val="24"/>
        </w:rPr>
        <w:t xml:space="preserve">就质疑事项作出了答复/没有在法定期限内作出答复。                                                                                             </w:t>
      </w:r>
    </w:p>
    <w:p w14:paraId="3BEC6FA5">
      <w:pPr>
        <w:pStyle w:val="15"/>
        <w:spacing w:before="120"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14:paraId="6405AB10">
      <w:pPr>
        <w:pStyle w:val="15"/>
        <w:spacing w:before="120"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r>
        <w:rPr>
          <w:rFonts w:hint="eastAsia" w:hAnsi="宋体"/>
          <w:bCs/>
          <w:color w:val="auto"/>
          <w:sz w:val="24"/>
          <w:szCs w:val="24"/>
          <w:u w:val="single"/>
        </w:rPr>
        <w:t xml:space="preserve">                                                                           </w:t>
      </w:r>
    </w:p>
    <w:p w14:paraId="4341AFBA">
      <w:pPr>
        <w:pStyle w:val="15"/>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事实依据：</w:t>
      </w:r>
      <w:r>
        <w:rPr>
          <w:rFonts w:hint="eastAsia" w:hAnsi="宋体"/>
          <w:color w:val="auto"/>
          <w:sz w:val="24"/>
          <w:szCs w:val="24"/>
        </w:rPr>
        <w:t xml:space="preserve"> </w:t>
      </w:r>
      <w:r>
        <w:rPr>
          <w:rFonts w:hint="eastAsia" w:hAnsi="宋体"/>
          <w:bCs/>
          <w:color w:val="auto"/>
          <w:sz w:val="24"/>
          <w:szCs w:val="24"/>
          <w:u w:val="single"/>
        </w:rPr>
        <w:t xml:space="preserve">                                                                                      </w:t>
      </w:r>
    </w:p>
    <w:p w14:paraId="64AA64BA">
      <w:pPr>
        <w:pStyle w:val="15"/>
        <w:spacing w:before="120" w:line="360" w:lineRule="auto"/>
        <w:ind w:left="25" w:leftChars="12" w:firstLine="472" w:firstLineChars="197"/>
        <w:rPr>
          <w:rFonts w:hAnsi="宋体"/>
          <w:color w:val="auto"/>
          <w:sz w:val="24"/>
          <w:szCs w:val="24"/>
        </w:rPr>
      </w:pPr>
      <w:r>
        <w:rPr>
          <w:rFonts w:hint="eastAsia" w:hAnsi="宋体"/>
          <w:bCs/>
          <w:color w:val="auto"/>
          <w:sz w:val="24"/>
          <w:szCs w:val="24"/>
          <w:u w:val="single"/>
        </w:rPr>
        <w:t xml:space="preserve">                                                                                        </w:t>
      </w:r>
    </w:p>
    <w:p w14:paraId="2D53074D">
      <w:pPr>
        <w:pStyle w:val="15"/>
        <w:spacing w:before="120" w:line="360" w:lineRule="auto"/>
        <w:ind w:left="-70" w:firstLine="480" w:firstLineChars="200"/>
        <w:rPr>
          <w:rFonts w:hAnsi="宋体"/>
          <w:bCs/>
          <w:color w:val="auto"/>
          <w:sz w:val="24"/>
          <w:szCs w:val="24"/>
          <w:u w:val="single"/>
        </w:rPr>
      </w:pPr>
      <w:r>
        <w:rPr>
          <w:rFonts w:hint="eastAsia" w:hAnsi="宋体"/>
          <w:bCs/>
          <w:color w:val="auto"/>
          <w:sz w:val="24"/>
          <w:szCs w:val="24"/>
        </w:rPr>
        <w:t>法律依据：</w:t>
      </w:r>
      <w:r>
        <w:rPr>
          <w:rFonts w:hint="eastAsia" w:hAnsi="宋体"/>
          <w:color w:val="auto"/>
          <w:sz w:val="24"/>
          <w:szCs w:val="24"/>
        </w:rPr>
        <w:t xml:space="preserve"> </w:t>
      </w:r>
      <w:r>
        <w:rPr>
          <w:rFonts w:hint="eastAsia" w:hAnsi="宋体"/>
          <w:bCs/>
          <w:color w:val="auto"/>
          <w:sz w:val="24"/>
          <w:szCs w:val="24"/>
          <w:u w:val="single"/>
        </w:rPr>
        <w:t xml:space="preserve">                                                                                      </w:t>
      </w:r>
    </w:p>
    <w:p w14:paraId="143CD40F">
      <w:pPr>
        <w:pStyle w:val="15"/>
        <w:spacing w:before="120" w:line="360" w:lineRule="auto"/>
        <w:ind w:left="25" w:leftChars="12" w:firstLine="352" w:firstLineChars="147"/>
        <w:rPr>
          <w:rFonts w:hAnsi="宋体"/>
          <w:bCs/>
          <w:color w:val="auto"/>
          <w:sz w:val="24"/>
          <w:szCs w:val="24"/>
          <w:u w:val="single"/>
        </w:rPr>
      </w:pPr>
      <w:r>
        <w:rPr>
          <w:rFonts w:hint="eastAsia" w:hAnsi="宋体"/>
          <w:bCs/>
          <w:color w:val="auto"/>
          <w:sz w:val="24"/>
          <w:szCs w:val="24"/>
        </w:rPr>
        <w:t xml:space="preserve"> </w:t>
      </w:r>
      <w:r>
        <w:rPr>
          <w:rFonts w:hint="eastAsia" w:hAnsi="宋体"/>
          <w:bCs/>
          <w:color w:val="auto"/>
          <w:sz w:val="24"/>
          <w:szCs w:val="24"/>
          <w:u w:val="single"/>
        </w:rPr>
        <w:t xml:space="preserve">                                                                                        </w:t>
      </w:r>
    </w:p>
    <w:p w14:paraId="40FEBC76">
      <w:pPr>
        <w:pStyle w:val="15"/>
        <w:spacing w:before="120"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r>
        <w:rPr>
          <w:rFonts w:hint="eastAsia" w:hAnsi="宋体"/>
          <w:bCs/>
          <w:color w:val="auto"/>
          <w:sz w:val="24"/>
          <w:szCs w:val="24"/>
        </w:rPr>
        <w:t xml:space="preserve">   </w:t>
      </w:r>
    </w:p>
    <w:p w14:paraId="430054EA">
      <w:pPr>
        <w:pStyle w:val="15"/>
        <w:spacing w:before="120" w:line="360" w:lineRule="auto"/>
        <w:ind w:left="25" w:leftChars="12" w:firstLine="472" w:firstLineChars="197"/>
        <w:rPr>
          <w:rFonts w:hAnsi="宋体"/>
          <w:bCs/>
          <w:color w:val="auto"/>
          <w:sz w:val="24"/>
          <w:szCs w:val="24"/>
        </w:rPr>
      </w:pPr>
      <w:r>
        <w:rPr>
          <w:rFonts w:hAnsi="宋体"/>
          <w:bCs/>
          <w:color w:val="auto"/>
          <w:sz w:val="24"/>
          <w:szCs w:val="24"/>
        </w:rPr>
        <w:t>……</w:t>
      </w:r>
    </w:p>
    <w:p w14:paraId="4034B2C8">
      <w:pPr>
        <w:pStyle w:val="15"/>
        <w:spacing w:before="120"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14:paraId="577F3869">
      <w:pPr>
        <w:pStyle w:val="15"/>
        <w:spacing w:before="120" w:line="360" w:lineRule="auto"/>
        <w:ind w:left="25" w:leftChars="12" w:firstLine="472" w:firstLineChars="197"/>
        <w:rPr>
          <w:rFonts w:hAnsi="宋体"/>
          <w:color w:val="auto"/>
          <w:sz w:val="24"/>
          <w:szCs w:val="24"/>
        </w:rPr>
      </w:pPr>
      <w:r>
        <w:rPr>
          <w:rFonts w:hint="eastAsia" w:hAnsi="宋体"/>
          <w:color w:val="auto"/>
          <w:sz w:val="24"/>
          <w:szCs w:val="24"/>
        </w:rPr>
        <w:t>请求：</w:t>
      </w:r>
      <w:r>
        <w:rPr>
          <w:rFonts w:hint="eastAsia" w:hAnsi="宋体"/>
          <w:bCs/>
          <w:color w:val="auto"/>
          <w:sz w:val="24"/>
          <w:szCs w:val="24"/>
          <w:u w:val="single"/>
        </w:rPr>
        <w:t xml:space="preserve">                                                                                 </w:t>
      </w:r>
    </w:p>
    <w:p w14:paraId="493824D2">
      <w:pPr>
        <w:pStyle w:val="15"/>
        <w:spacing w:before="120" w:line="360" w:lineRule="auto"/>
        <w:ind w:left="25" w:leftChars="12" w:firstLine="352" w:firstLineChars="147"/>
        <w:rPr>
          <w:rFonts w:hAnsi="宋体"/>
          <w:color w:val="auto"/>
          <w:sz w:val="24"/>
          <w:szCs w:val="24"/>
        </w:rPr>
      </w:pPr>
    </w:p>
    <w:p w14:paraId="59E93E0D">
      <w:pPr>
        <w:pStyle w:val="15"/>
        <w:spacing w:before="120"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14:paraId="3C1C09BD">
      <w:pPr>
        <w:pStyle w:val="15"/>
        <w:spacing w:before="120" w:line="360" w:lineRule="auto"/>
        <w:ind w:left="25" w:leftChars="12" w:firstLine="352" w:firstLineChars="147"/>
        <w:rPr>
          <w:rFonts w:hAnsi="宋体"/>
          <w:color w:val="auto"/>
          <w:sz w:val="24"/>
          <w:szCs w:val="24"/>
        </w:rPr>
      </w:pPr>
    </w:p>
    <w:p w14:paraId="79B704C8">
      <w:pPr>
        <w:pStyle w:val="15"/>
        <w:spacing w:before="120" w:line="360" w:lineRule="auto"/>
        <w:ind w:left="25" w:leftChars="12" w:firstLine="472" w:firstLineChars="197"/>
        <w:rPr>
          <w:rFonts w:hAnsi="宋体"/>
          <w:color w:val="auto"/>
          <w:sz w:val="24"/>
          <w:szCs w:val="24"/>
        </w:rPr>
      </w:pPr>
      <w:r>
        <w:rPr>
          <w:rFonts w:hint="eastAsia" w:hAnsi="宋体"/>
          <w:color w:val="auto"/>
          <w:sz w:val="24"/>
          <w:szCs w:val="24"/>
        </w:rPr>
        <w:t>日期：</w:t>
      </w:r>
    </w:p>
    <w:p w14:paraId="7CCCD79D">
      <w:pPr>
        <w:pStyle w:val="15"/>
        <w:spacing w:before="120" w:line="360" w:lineRule="auto"/>
        <w:ind w:left="25" w:leftChars="12" w:firstLine="472" w:firstLineChars="197"/>
        <w:rPr>
          <w:rFonts w:hAnsi="宋体"/>
          <w:color w:val="auto"/>
          <w:sz w:val="24"/>
          <w:szCs w:val="24"/>
        </w:rPr>
      </w:pPr>
      <w:r>
        <w:rPr>
          <w:rFonts w:hint="eastAsia" w:hAnsi="宋体"/>
          <w:bCs/>
          <w:color w:val="auto"/>
          <w:sz w:val="24"/>
          <w:szCs w:val="24"/>
        </w:rPr>
        <w:t xml:space="preserve">                                                                                 </w:t>
      </w:r>
    </w:p>
    <w:p w14:paraId="7B1C2DC5">
      <w:pPr>
        <w:pStyle w:val="15"/>
        <w:snapToGrid w:val="0"/>
        <w:spacing w:before="120" w:line="360" w:lineRule="auto"/>
        <w:ind w:left="-70" w:firstLine="590"/>
        <w:rPr>
          <w:rFonts w:hAnsi="宋体"/>
          <w:b/>
          <w:color w:val="auto"/>
          <w:sz w:val="24"/>
          <w:szCs w:val="24"/>
        </w:rPr>
      </w:pPr>
    </w:p>
    <w:p w14:paraId="66AE5221">
      <w:pPr>
        <w:pStyle w:val="15"/>
        <w:snapToGrid w:val="0"/>
        <w:spacing w:before="120" w:line="360" w:lineRule="auto"/>
        <w:ind w:left="-70" w:firstLine="590"/>
        <w:rPr>
          <w:rFonts w:hAnsi="宋体"/>
          <w:b/>
          <w:color w:val="auto"/>
          <w:sz w:val="24"/>
          <w:szCs w:val="24"/>
        </w:rPr>
      </w:pPr>
      <w:r>
        <w:rPr>
          <w:rFonts w:hint="eastAsia" w:hAnsi="宋体"/>
          <w:b/>
          <w:color w:val="auto"/>
          <w:sz w:val="24"/>
          <w:szCs w:val="24"/>
        </w:rPr>
        <w:t>说明：</w:t>
      </w:r>
    </w:p>
    <w:p w14:paraId="1C3D79F9">
      <w:pPr>
        <w:pStyle w:val="15"/>
        <w:spacing w:before="120"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14:paraId="1D4CC8E6">
      <w:pPr>
        <w:pStyle w:val="15"/>
        <w:spacing w:before="120"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69565D0">
      <w:pPr>
        <w:pStyle w:val="15"/>
        <w:spacing w:before="120"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14:paraId="6C305F9E">
      <w:pPr>
        <w:pStyle w:val="15"/>
        <w:spacing w:before="120"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14:paraId="1760FB2A">
      <w:pPr>
        <w:pStyle w:val="15"/>
        <w:spacing w:before="120"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14:paraId="3CEEB35D">
      <w:pPr>
        <w:pStyle w:val="15"/>
        <w:spacing w:before="120" w:line="360" w:lineRule="auto"/>
        <w:ind w:left="25" w:leftChars="12" w:firstLine="354" w:firstLineChars="147"/>
        <w:rPr>
          <w:rFonts w:hAnsi="宋体"/>
          <w:b/>
          <w:color w:val="auto"/>
          <w:sz w:val="24"/>
          <w:szCs w:val="24"/>
        </w:rPr>
      </w:pPr>
      <w:r>
        <w:rPr>
          <w:rFonts w:hint="eastAsia" w:hAnsi="宋体"/>
          <w:b/>
          <w:color w:val="auto"/>
          <w:sz w:val="24"/>
          <w:szCs w:val="24"/>
        </w:rPr>
        <w:t>6.投诉人为法人或者其他组织的，投诉书应由法定代表人、主要负责人，或者其授权代表签字或者盖章，并加盖公章。</w:t>
      </w:r>
    </w:p>
    <w:p w14:paraId="15ECD3B3">
      <w:pPr>
        <w:pStyle w:val="2"/>
        <w:spacing w:before="120" w:line="320" w:lineRule="atLeast"/>
        <w:jc w:val="center"/>
        <w:rPr>
          <w:color w:val="auto"/>
        </w:rPr>
      </w:pPr>
      <w:r>
        <w:rPr>
          <w:color w:val="auto"/>
        </w:rPr>
        <w:br w:type="page"/>
      </w:r>
      <w:bookmarkStart w:id="50" w:name="_Toc74322013"/>
      <w:r>
        <w:rPr>
          <w:rFonts w:hint="eastAsia"/>
          <w:color w:val="auto"/>
        </w:rPr>
        <w:t>第六章 合同文本</w:t>
      </w:r>
      <w:bookmarkEnd w:id="50"/>
    </w:p>
    <w:p w14:paraId="4DC8969E">
      <w:pPr>
        <w:snapToGrid w:val="0"/>
        <w:spacing w:before="120" w:line="320" w:lineRule="atLeast"/>
        <w:ind w:left="-70" w:firstLine="590"/>
        <w:jc w:val="center"/>
        <w:rPr>
          <w:rFonts w:ascii="宋体" w:hAnsi="宋体"/>
          <w:color w:val="auto"/>
          <w:szCs w:val="21"/>
        </w:rPr>
      </w:pPr>
      <w:r>
        <w:rPr>
          <w:rFonts w:hint="eastAsia" w:ascii="宋体" w:hAnsi="宋体"/>
          <w:b/>
          <w:color w:val="auto"/>
          <w:szCs w:val="21"/>
        </w:rPr>
        <w:t>广西壮族自治区政府采购合同使用说明</w:t>
      </w:r>
    </w:p>
    <w:p w14:paraId="5C214AC5">
      <w:pPr>
        <w:snapToGrid w:val="0"/>
        <w:spacing w:before="120" w:line="360" w:lineRule="auto"/>
        <w:ind w:left="-70" w:firstLine="588"/>
        <w:jc w:val="center"/>
        <w:rPr>
          <w:rFonts w:ascii="宋体" w:hAnsi="宋体"/>
          <w:color w:val="auto"/>
          <w:szCs w:val="21"/>
        </w:rPr>
      </w:pPr>
      <w:r>
        <w:rPr>
          <w:rFonts w:hint="eastAsia" w:ascii="宋体" w:hAnsi="宋体"/>
          <w:color w:val="auto"/>
          <w:szCs w:val="21"/>
        </w:rPr>
        <w:t>（一般货物类）</w:t>
      </w:r>
    </w:p>
    <w:p w14:paraId="7360EAD9">
      <w:pPr>
        <w:snapToGrid w:val="0"/>
        <w:spacing w:before="120" w:line="380" w:lineRule="exact"/>
        <w:ind w:left="-70" w:firstLine="420" w:firstLineChars="200"/>
        <w:rPr>
          <w:rFonts w:ascii="宋体" w:hAnsi="宋体"/>
          <w:color w:val="auto"/>
          <w:szCs w:val="21"/>
        </w:rPr>
      </w:pPr>
      <w:r>
        <w:rPr>
          <w:rFonts w:hint="eastAsia" w:ascii="宋体" w:hAnsi="宋体"/>
          <w:color w:val="auto"/>
          <w:szCs w:val="21"/>
        </w:rPr>
        <w:t>《政府采购合同》是对竞争性谈判文件规定或者响应文件承诺中的货物和服务要约事项的细化和补充，所签订的合同不得对竞争性谈判文件和成交供应商响应文件作实质性修改；采购活动过程中有关项目标的性状的重要澄清和承诺事项必须在合同相应条款中予以明确表达。采购人和成交供应商不得提出任何不合理的要求作为签订合同的条件；不得私下订立背离竞争性谈判文件实质性内容的协议。</w:t>
      </w:r>
    </w:p>
    <w:p w14:paraId="7DF8B742">
      <w:pPr>
        <w:snapToGrid w:val="0"/>
        <w:spacing w:before="120" w:line="380" w:lineRule="exact"/>
        <w:ind w:left="-70" w:firstLine="413" w:firstLineChars="196"/>
        <w:rPr>
          <w:rFonts w:ascii="宋体" w:hAnsi="宋体"/>
          <w:b/>
          <w:color w:val="auto"/>
          <w:szCs w:val="21"/>
        </w:rPr>
      </w:pPr>
      <w:r>
        <w:rPr>
          <w:rFonts w:hint="eastAsia" w:ascii="宋体" w:hAnsi="宋体"/>
          <w:b/>
          <w:color w:val="auto"/>
          <w:szCs w:val="21"/>
        </w:rPr>
        <w:t>一、本合同适用范围</w:t>
      </w:r>
    </w:p>
    <w:p w14:paraId="4A392FDA">
      <w:pPr>
        <w:snapToGrid w:val="0"/>
        <w:spacing w:before="120" w:line="380" w:lineRule="exact"/>
        <w:ind w:left="-70" w:firstLine="420" w:firstLineChars="200"/>
        <w:rPr>
          <w:rFonts w:ascii="宋体" w:hAnsi="宋体"/>
          <w:color w:val="auto"/>
          <w:szCs w:val="21"/>
        </w:rPr>
      </w:pPr>
      <w:r>
        <w:rPr>
          <w:rFonts w:hint="eastAsia" w:ascii="宋体" w:hAnsi="宋体"/>
          <w:color w:val="auto"/>
          <w:szCs w:val="21"/>
        </w:rPr>
        <w:t>家用电器、电子产品、教学仪器设备、医疗仪器设备、广播电视仪器设备、体育器材、音响乐器、药品、服装、印刷设备和印刷品等政府采购项目（协议供货除外）适用于本合同。</w:t>
      </w:r>
    </w:p>
    <w:p w14:paraId="6E6DDADF">
      <w:pPr>
        <w:snapToGrid w:val="0"/>
        <w:spacing w:before="120" w:line="380" w:lineRule="exact"/>
        <w:ind w:left="-70" w:firstLine="422" w:firstLineChars="200"/>
        <w:rPr>
          <w:rFonts w:ascii="宋体" w:hAnsi="宋体"/>
          <w:b/>
          <w:color w:val="auto"/>
          <w:szCs w:val="21"/>
        </w:rPr>
      </w:pPr>
      <w:r>
        <w:rPr>
          <w:rFonts w:hint="eastAsia" w:ascii="宋体" w:hAnsi="宋体"/>
          <w:b/>
          <w:color w:val="auto"/>
          <w:szCs w:val="21"/>
        </w:rPr>
        <w:t>二、填写说明</w:t>
      </w:r>
    </w:p>
    <w:p w14:paraId="069C79CC">
      <w:pPr>
        <w:snapToGrid w:val="0"/>
        <w:spacing w:before="120" w:line="380" w:lineRule="exact"/>
        <w:ind w:left="-70" w:firstLine="420" w:firstLineChars="200"/>
        <w:rPr>
          <w:rFonts w:ascii="宋体" w:hAnsi="宋体"/>
          <w:color w:val="auto"/>
          <w:szCs w:val="21"/>
        </w:rPr>
      </w:pPr>
      <w:r>
        <w:rPr>
          <w:rFonts w:hint="eastAsia" w:ascii="宋体" w:hAnsi="宋体"/>
          <w:color w:val="auto"/>
          <w:szCs w:val="21"/>
        </w:rPr>
        <w:t>（一）合同标题：地市县使用时可在“广西壮族自治区”后再加所在地名称或者将“广西壮族自治区”删除加所在地名称。</w:t>
      </w:r>
    </w:p>
    <w:p w14:paraId="1F969CBF">
      <w:pPr>
        <w:snapToGrid w:val="0"/>
        <w:spacing w:before="120" w:line="380" w:lineRule="exact"/>
        <w:ind w:left="-70" w:firstLine="420" w:firstLineChars="200"/>
        <w:rPr>
          <w:rFonts w:ascii="宋体" w:hAnsi="宋体"/>
          <w:color w:val="auto"/>
          <w:szCs w:val="21"/>
        </w:rPr>
      </w:pPr>
      <w:r>
        <w:rPr>
          <w:rFonts w:hint="eastAsia" w:ascii="宋体" w:hAnsi="宋体"/>
          <w:color w:val="auto"/>
          <w:szCs w:val="21"/>
        </w:rPr>
        <w:t>（二）本合同划线部分所需填写内容，除以下条款特殊要求外，按竞争性谈判文件规定或者响应文件承诺的要求填写，如竞争性谈判文件规定或者响应文件承诺的没有明确，按甲乙双方商定意见填写。</w:t>
      </w:r>
    </w:p>
    <w:p w14:paraId="0B24B755">
      <w:pPr>
        <w:snapToGrid w:val="0"/>
        <w:spacing w:before="120" w:line="380" w:lineRule="exact"/>
        <w:ind w:left="-70" w:firstLine="420" w:firstLineChars="200"/>
        <w:rPr>
          <w:rFonts w:ascii="宋体" w:hAnsi="宋体"/>
          <w:color w:val="auto"/>
          <w:szCs w:val="21"/>
        </w:rPr>
      </w:pPr>
      <w:r>
        <w:rPr>
          <w:rFonts w:hint="eastAsia" w:ascii="宋体" w:hAnsi="宋体"/>
          <w:color w:val="auto"/>
          <w:szCs w:val="21"/>
        </w:rPr>
        <w:t>（三）第一条合同标的：按表中各项目要求填写，内容填写不下时可另加附页。</w:t>
      </w:r>
    </w:p>
    <w:p w14:paraId="2EE0C8CE">
      <w:pPr>
        <w:adjustRightInd w:val="0"/>
        <w:snapToGrid w:val="0"/>
        <w:spacing w:before="120" w:line="380" w:lineRule="exact"/>
        <w:ind w:left="-70" w:firstLine="420" w:firstLineChars="200"/>
        <w:rPr>
          <w:rFonts w:ascii="宋体" w:hAnsi="宋体"/>
          <w:color w:val="auto"/>
          <w:szCs w:val="21"/>
        </w:rPr>
      </w:pPr>
      <w:r>
        <w:rPr>
          <w:rFonts w:hint="eastAsia" w:ascii="宋体" w:hAnsi="宋体"/>
          <w:color w:val="auto"/>
          <w:szCs w:val="21"/>
        </w:rPr>
        <w:t>（四）第四条包装和运输：货物运输方式包括；汽车、火车、轮船等。</w:t>
      </w:r>
    </w:p>
    <w:p w14:paraId="2E0B68F5">
      <w:pPr>
        <w:adjustRightInd w:val="0"/>
        <w:snapToGrid w:val="0"/>
        <w:spacing w:before="120" w:line="380" w:lineRule="exact"/>
        <w:ind w:left="-70" w:firstLine="420" w:firstLineChars="200"/>
        <w:rPr>
          <w:rFonts w:ascii="宋体" w:hAnsi="宋体"/>
          <w:color w:val="auto"/>
          <w:szCs w:val="21"/>
        </w:rPr>
      </w:pPr>
      <w:r>
        <w:rPr>
          <w:rFonts w:hint="eastAsia" w:ascii="宋体" w:hAnsi="宋体"/>
          <w:color w:val="auto"/>
          <w:szCs w:val="21"/>
        </w:rPr>
        <w:t>（五）货物交付和验收：时间按合同签订（或者生效）后多少日（或者工作日）或者直接填X年X月X日前交货。</w:t>
      </w:r>
    </w:p>
    <w:p w14:paraId="188672B4">
      <w:pPr>
        <w:adjustRightInd w:val="0"/>
        <w:snapToGrid w:val="0"/>
        <w:spacing w:before="120" w:line="380" w:lineRule="exact"/>
        <w:ind w:left="-70" w:firstLine="420" w:firstLineChars="200"/>
        <w:rPr>
          <w:rFonts w:ascii="宋体" w:hAnsi="宋体"/>
          <w:color w:val="auto"/>
          <w:szCs w:val="21"/>
        </w:rPr>
      </w:pPr>
      <w:r>
        <w:rPr>
          <w:rFonts w:hint="eastAsia" w:ascii="宋体" w:hAnsi="宋体"/>
          <w:color w:val="auto"/>
          <w:szCs w:val="21"/>
        </w:rPr>
        <w:t>（六）第八条付款方式：资金性质按一般预算拨款、财政性基金拨款、纳入财政专户管理的收入安排的资金、未纳入财政专户管理的收入安排的资金、上年结余填写。</w:t>
      </w:r>
    </w:p>
    <w:p w14:paraId="488BA4F8">
      <w:pPr>
        <w:adjustRightInd w:val="0"/>
        <w:snapToGrid w:val="0"/>
        <w:spacing w:before="120" w:line="380" w:lineRule="exact"/>
        <w:ind w:left="-70" w:firstLine="413" w:firstLineChars="196"/>
        <w:rPr>
          <w:rFonts w:ascii="宋体" w:hAnsi="宋体"/>
          <w:b/>
          <w:color w:val="auto"/>
          <w:szCs w:val="21"/>
        </w:rPr>
      </w:pPr>
      <w:r>
        <w:rPr>
          <w:rFonts w:hint="eastAsia" w:ascii="宋体" w:hAnsi="宋体"/>
          <w:b/>
          <w:color w:val="auto"/>
          <w:szCs w:val="21"/>
        </w:rPr>
        <w:t>三、有关要求</w:t>
      </w:r>
    </w:p>
    <w:p w14:paraId="4BEBC32C">
      <w:pPr>
        <w:adjustRightInd w:val="0"/>
        <w:snapToGrid w:val="0"/>
        <w:spacing w:before="120" w:line="380" w:lineRule="exact"/>
        <w:ind w:left="-70" w:firstLine="315" w:firstLineChars="150"/>
        <w:rPr>
          <w:rFonts w:ascii="宋体" w:hAnsi="宋体"/>
          <w:color w:val="auto"/>
          <w:szCs w:val="21"/>
        </w:rPr>
      </w:pPr>
      <w:r>
        <w:rPr>
          <w:rFonts w:hint="eastAsia" w:ascii="宋体" w:hAnsi="宋体"/>
          <w:color w:val="auto"/>
          <w:szCs w:val="21"/>
        </w:rPr>
        <w:t>（一）各单位现使用的专业合同可作为本合同附件，但专业合同各条款必须符合竞争性谈判文件规定或者响应文件承诺的和本合同各条款要求，如发生矛盾以本合同为准。</w:t>
      </w:r>
    </w:p>
    <w:p w14:paraId="29C24E64">
      <w:pPr>
        <w:adjustRightInd w:val="0"/>
        <w:snapToGrid w:val="0"/>
        <w:spacing w:before="120" w:line="380" w:lineRule="exact"/>
        <w:ind w:left="-70" w:firstLine="315" w:firstLineChars="150"/>
        <w:rPr>
          <w:rFonts w:ascii="宋体" w:hAnsi="宋体"/>
          <w:color w:val="auto"/>
          <w:szCs w:val="21"/>
        </w:rPr>
      </w:pPr>
      <w:r>
        <w:rPr>
          <w:rFonts w:hint="eastAsia" w:ascii="宋体" w:hAnsi="宋体"/>
          <w:color w:val="auto"/>
          <w:szCs w:val="21"/>
        </w:rPr>
        <w:t>（二）协议供货合同应使用原文本。</w:t>
      </w:r>
    </w:p>
    <w:p w14:paraId="72874150">
      <w:pPr>
        <w:adjustRightInd w:val="0"/>
        <w:snapToGrid w:val="0"/>
        <w:spacing w:before="120" w:line="380" w:lineRule="exact"/>
        <w:ind w:left="-70" w:firstLine="315" w:firstLineChars="150"/>
        <w:rPr>
          <w:rFonts w:ascii="宋体" w:hAnsi="宋体"/>
          <w:color w:val="auto"/>
          <w:szCs w:val="21"/>
        </w:rPr>
      </w:pPr>
      <w:r>
        <w:rPr>
          <w:rFonts w:hint="eastAsia" w:ascii="宋体" w:hAnsi="宋体"/>
          <w:color w:val="auto"/>
          <w:szCs w:val="21"/>
        </w:rPr>
        <w:t>（三）甲乙双方对本合同各条款均不能改动，只能在划线位置填写，如有改动视同无效合同。</w:t>
      </w:r>
    </w:p>
    <w:p w14:paraId="25B9194E">
      <w:pPr>
        <w:adjustRightInd w:val="0"/>
        <w:snapToGrid w:val="0"/>
        <w:spacing w:before="120" w:line="380" w:lineRule="exact"/>
        <w:ind w:left="-70" w:firstLine="315" w:firstLineChars="150"/>
        <w:rPr>
          <w:rFonts w:ascii="宋体" w:hAnsi="宋体"/>
          <w:color w:val="auto"/>
          <w:szCs w:val="21"/>
        </w:rPr>
      </w:pPr>
      <w:r>
        <w:rPr>
          <w:rFonts w:hint="eastAsia" w:ascii="宋体" w:hAnsi="宋体"/>
          <w:color w:val="auto"/>
          <w:szCs w:val="21"/>
        </w:rPr>
        <w:t>（四）本合同统一用A4纸打印。</w:t>
      </w:r>
    </w:p>
    <w:p w14:paraId="03C569EA">
      <w:pPr>
        <w:adjustRightInd w:val="0"/>
        <w:snapToGrid w:val="0"/>
        <w:spacing w:before="120" w:line="380" w:lineRule="exact"/>
        <w:ind w:left="-70" w:firstLine="315" w:firstLineChars="150"/>
        <w:rPr>
          <w:rFonts w:ascii="宋体" w:hAnsi="宋体"/>
          <w:color w:val="auto"/>
          <w:szCs w:val="21"/>
        </w:rPr>
      </w:pPr>
      <w:r>
        <w:rPr>
          <w:rFonts w:hint="eastAsia" w:ascii="宋体" w:hAnsi="宋体"/>
          <w:color w:val="auto"/>
          <w:szCs w:val="21"/>
        </w:rPr>
        <w:t>（五）本合同为试行文本，采购人和成交供应商在使用过程中如发现不当之处，请及时提出建议，以便修正。</w:t>
      </w:r>
    </w:p>
    <w:p w14:paraId="62135865">
      <w:pPr>
        <w:adjustRightInd w:val="0"/>
        <w:snapToGrid w:val="0"/>
        <w:spacing w:before="120" w:line="380" w:lineRule="exact"/>
        <w:ind w:left="-70" w:firstLine="420" w:firstLineChars="200"/>
        <w:rPr>
          <w:rFonts w:ascii="宋体" w:hAnsi="宋体" w:cs="Courier New"/>
          <w:b/>
          <w:color w:val="auto"/>
          <w:sz w:val="32"/>
          <w:szCs w:val="32"/>
        </w:rPr>
      </w:pPr>
      <w:r>
        <w:rPr>
          <w:rFonts w:hint="eastAsia" w:ascii="宋体" w:hAnsi="宋体"/>
          <w:color w:val="auto"/>
          <w:szCs w:val="21"/>
        </w:rPr>
        <w:t>本合同各条款由广西壮族自治区财政厅政府采购监督管理处负责解释。</w:t>
      </w:r>
    </w:p>
    <w:p w14:paraId="0C2CDEE9">
      <w:pPr>
        <w:spacing w:before="120" w:line="360" w:lineRule="exact"/>
        <w:ind w:left="-70" w:firstLine="787"/>
        <w:rPr>
          <w:rFonts w:ascii="宋体" w:hAnsi="宋体" w:cs="Courier New"/>
          <w:b/>
          <w:color w:val="auto"/>
          <w:sz w:val="32"/>
          <w:szCs w:val="32"/>
        </w:rPr>
      </w:pPr>
      <w:r>
        <w:rPr>
          <w:rFonts w:hint="eastAsia" w:ascii="宋体" w:hAnsi="宋体" w:cs="Courier New"/>
          <w:b/>
          <w:color w:val="auto"/>
          <w:sz w:val="32"/>
          <w:szCs w:val="32"/>
        </w:rPr>
        <w:t>一般货物类</w:t>
      </w:r>
    </w:p>
    <w:p w14:paraId="554CC617">
      <w:pPr>
        <w:snapToGrid w:val="0"/>
        <w:spacing w:before="120" w:line="400" w:lineRule="exact"/>
        <w:ind w:left="-70" w:firstLine="787"/>
        <w:jc w:val="center"/>
        <w:rPr>
          <w:rFonts w:ascii="宋体" w:hAnsi="宋体"/>
          <w:b/>
          <w:bCs/>
          <w:color w:val="auto"/>
          <w:sz w:val="32"/>
          <w:szCs w:val="32"/>
        </w:rPr>
      </w:pPr>
    </w:p>
    <w:p w14:paraId="5ADC6420">
      <w:pPr>
        <w:snapToGrid w:val="0"/>
        <w:spacing w:before="120" w:line="400" w:lineRule="exact"/>
        <w:ind w:left="-70" w:firstLine="787"/>
        <w:jc w:val="center"/>
        <w:rPr>
          <w:rFonts w:ascii="宋体" w:hAnsi="宋体"/>
          <w:b/>
          <w:bCs/>
          <w:color w:val="auto"/>
          <w:sz w:val="32"/>
          <w:szCs w:val="32"/>
        </w:rPr>
      </w:pPr>
      <w:r>
        <w:rPr>
          <w:rFonts w:hint="eastAsia" w:ascii="宋体" w:hAnsi="宋体"/>
          <w:b/>
          <w:bCs/>
          <w:color w:val="auto"/>
          <w:sz w:val="32"/>
          <w:szCs w:val="32"/>
        </w:rPr>
        <w:t>《广西壮族自治区政府采购合同》</w:t>
      </w:r>
      <w:r>
        <w:rPr>
          <w:rFonts w:hint="eastAsia" w:ascii="宋体" w:hAnsi="宋体"/>
          <w:b/>
          <w:color w:val="auto"/>
          <w:sz w:val="32"/>
          <w:szCs w:val="32"/>
        </w:rPr>
        <w:t>文本</w:t>
      </w:r>
    </w:p>
    <w:p w14:paraId="1B1C1CFC">
      <w:pPr>
        <w:snapToGrid w:val="0"/>
        <w:spacing w:before="120" w:line="400" w:lineRule="exact"/>
        <w:ind w:left="-70" w:right="480" w:firstLine="5250" w:firstLineChars="2500"/>
        <w:rPr>
          <w:rFonts w:ascii="宋体" w:hAnsi="宋体"/>
          <w:bCs/>
          <w:color w:val="auto"/>
          <w:szCs w:val="21"/>
        </w:rPr>
      </w:pPr>
    </w:p>
    <w:p w14:paraId="0D6EC888">
      <w:pPr>
        <w:snapToGrid w:val="0"/>
        <w:spacing w:before="120" w:line="400" w:lineRule="exact"/>
        <w:ind w:left="-70" w:right="480" w:firstLine="5250" w:firstLineChars="2500"/>
        <w:rPr>
          <w:rFonts w:ascii="宋体" w:hAnsi="宋体" w:cs="宋体"/>
          <w:bCs/>
          <w:color w:val="auto"/>
          <w:szCs w:val="21"/>
          <w:u w:val="single"/>
        </w:rPr>
      </w:pPr>
      <w:r>
        <w:rPr>
          <w:rFonts w:hint="eastAsia" w:ascii="宋体" w:hAnsi="宋体" w:cs="宋体"/>
          <w:bCs/>
          <w:color w:val="auto"/>
          <w:szCs w:val="21"/>
        </w:rPr>
        <w:t>合同编号：</w:t>
      </w:r>
    </w:p>
    <w:p w14:paraId="532F2AA1">
      <w:pPr>
        <w:snapToGrid w:val="0"/>
        <w:spacing w:before="120" w:line="400" w:lineRule="exact"/>
        <w:ind w:left="-70"/>
        <w:rPr>
          <w:rFonts w:ascii="宋体" w:hAnsi="宋体" w:cs="宋体"/>
          <w:color w:val="auto"/>
          <w:szCs w:val="21"/>
        </w:rPr>
      </w:pPr>
    </w:p>
    <w:p w14:paraId="0A2E3E16">
      <w:pPr>
        <w:snapToGrid w:val="0"/>
        <w:spacing w:before="120" w:line="360" w:lineRule="auto"/>
        <w:ind w:left="-70"/>
        <w:rPr>
          <w:rFonts w:ascii="宋体" w:hAnsi="宋体" w:cs="宋体"/>
          <w:color w:val="auto"/>
          <w:sz w:val="24"/>
          <w:u w:val="single"/>
        </w:rPr>
      </w:pPr>
      <w:r>
        <w:rPr>
          <w:rFonts w:hint="eastAsia" w:ascii="宋体" w:hAnsi="宋体" w:cs="宋体"/>
          <w:color w:val="auto"/>
          <w:sz w:val="24"/>
        </w:rPr>
        <w:t>采购人（甲方）：</w:t>
      </w:r>
      <w:r>
        <w:rPr>
          <w:rFonts w:hint="eastAsia" w:ascii="宋体" w:hAnsi="宋体" w:cs="宋体"/>
          <w:color w:val="auto"/>
          <w:sz w:val="24"/>
          <w:u w:val="single"/>
        </w:rPr>
        <w:t xml:space="preserve">                          </w:t>
      </w:r>
      <w:r>
        <w:rPr>
          <w:rFonts w:hint="eastAsia" w:ascii="宋体" w:hAnsi="宋体" w:cs="宋体"/>
          <w:color w:val="auto"/>
          <w:sz w:val="24"/>
        </w:rPr>
        <w:t xml:space="preserve">  采购计划号：</w:t>
      </w:r>
      <w:r>
        <w:rPr>
          <w:rFonts w:hint="eastAsia" w:ascii="宋体" w:hAnsi="宋体" w:cs="宋体"/>
          <w:color w:val="auto"/>
          <w:sz w:val="24"/>
          <w:u w:val="single"/>
        </w:rPr>
        <w:t xml:space="preserve">                        </w:t>
      </w:r>
    </w:p>
    <w:p w14:paraId="0B2973AA">
      <w:pPr>
        <w:snapToGrid w:val="0"/>
        <w:spacing w:before="120" w:line="360" w:lineRule="auto"/>
        <w:ind w:left="-70"/>
        <w:rPr>
          <w:rFonts w:ascii="宋体" w:hAnsi="宋体" w:cs="宋体"/>
          <w:color w:val="auto"/>
          <w:sz w:val="24"/>
        </w:rPr>
      </w:pPr>
      <w:r>
        <w:rPr>
          <w:rFonts w:hint="eastAsia" w:ascii="宋体" w:hAnsi="宋体" w:cs="宋体"/>
          <w:color w:val="auto"/>
          <w:sz w:val="24"/>
        </w:rPr>
        <w:t>供应商（乙方）：</w:t>
      </w:r>
      <w:r>
        <w:rPr>
          <w:rFonts w:hint="eastAsia" w:ascii="宋体" w:hAnsi="宋体" w:cs="宋体"/>
          <w:color w:val="auto"/>
          <w:sz w:val="24"/>
          <w:u w:val="single"/>
        </w:rPr>
        <w:t xml:space="preserve">                          </w:t>
      </w:r>
      <w:r>
        <w:rPr>
          <w:rFonts w:hint="eastAsia" w:ascii="宋体" w:hAnsi="宋体" w:cs="宋体"/>
          <w:color w:val="auto"/>
          <w:sz w:val="24"/>
        </w:rPr>
        <w:t xml:space="preserve">  </w:t>
      </w:r>
    </w:p>
    <w:p w14:paraId="6661EFF1">
      <w:pPr>
        <w:snapToGrid w:val="0"/>
        <w:spacing w:before="120" w:line="360" w:lineRule="auto"/>
        <w:ind w:left="-70"/>
        <w:rPr>
          <w:rFonts w:ascii="宋体" w:hAnsi="宋体" w:cs="宋体"/>
          <w:color w:val="auto"/>
          <w:sz w:val="24"/>
          <w:u w:val="single"/>
        </w:rPr>
      </w:pPr>
      <w:r>
        <w:rPr>
          <w:rFonts w:hint="eastAsia" w:ascii="宋体" w:hAnsi="宋体" w:cs="宋体"/>
          <w:color w:val="auto"/>
          <w:sz w:val="24"/>
        </w:rPr>
        <w:t>项目名称：</w:t>
      </w:r>
      <w:r>
        <w:rPr>
          <w:rFonts w:hint="eastAsia" w:ascii="宋体" w:hAnsi="宋体" w:cs="宋体"/>
          <w:color w:val="auto"/>
          <w:sz w:val="24"/>
          <w:u w:val="single"/>
        </w:rPr>
        <w:t xml:space="preserve">                                </w:t>
      </w:r>
      <w:r>
        <w:rPr>
          <w:rFonts w:hint="eastAsia" w:ascii="宋体" w:hAnsi="宋体" w:cs="宋体"/>
          <w:color w:val="auto"/>
          <w:sz w:val="24"/>
        </w:rPr>
        <w:t xml:space="preserve">  项目编号：</w:t>
      </w:r>
      <w:r>
        <w:rPr>
          <w:rFonts w:hint="eastAsia" w:ascii="宋体" w:hAnsi="宋体" w:cs="宋体"/>
          <w:color w:val="auto"/>
          <w:sz w:val="24"/>
          <w:u w:val="single"/>
        </w:rPr>
        <w:t xml:space="preserve">                          </w:t>
      </w:r>
    </w:p>
    <w:p w14:paraId="681F9F0A">
      <w:pPr>
        <w:snapToGrid w:val="0"/>
        <w:spacing w:before="120" w:line="360" w:lineRule="auto"/>
        <w:ind w:left="-70"/>
        <w:rPr>
          <w:rFonts w:ascii="宋体" w:hAnsi="宋体" w:cs="宋体"/>
          <w:color w:val="auto"/>
          <w:sz w:val="24"/>
          <w:u w:val="single"/>
        </w:rPr>
      </w:pPr>
      <w:r>
        <w:rPr>
          <w:rFonts w:hint="eastAsia" w:ascii="宋体" w:hAnsi="宋体" w:cs="宋体"/>
          <w:color w:val="auto"/>
          <w:sz w:val="24"/>
        </w:rPr>
        <w:t>签订地点：</w:t>
      </w:r>
      <w:r>
        <w:rPr>
          <w:rFonts w:hint="eastAsia" w:ascii="宋体" w:hAnsi="宋体" w:cs="宋体"/>
          <w:color w:val="auto"/>
          <w:sz w:val="24"/>
          <w:u w:val="single"/>
        </w:rPr>
        <w:t xml:space="preserve">                                </w:t>
      </w:r>
      <w:r>
        <w:rPr>
          <w:rFonts w:hint="eastAsia" w:ascii="宋体" w:hAnsi="宋体" w:cs="宋体"/>
          <w:color w:val="auto"/>
          <w:sz w:val="24"/>
        </w:rPr>
        <w:t xml:space="preserve">  签订时间：</w:t>
      </w:r>
      <w:r>
        <w:rPr>
          <w:rFonts w:hint="eastAsia" w:ascii="宋体" w:hAnsi="宋体" w:cs="宋体"/>
          <w:color w:val="auto"/>
          <w:sz w:val="24"/>
          <w:u w:val="single"/>
        </w:rPr>
        <w:t xml:space="preserve">                          </w:t>
      </w:r>
    </w:p>
    <w:p w14:paraId="3F5C8D5D">
      <w:pPr>
        <w:snapToGrid w:val="0"/>
        <w:spacing w:before="120" w:line="360" w:lineRule="auto"/>
        <w:ind w:left="-70"/>
        <w:rPr>
          <w:rFonts w:ascii="宋体" w:hAnsi="宋体" w:cs="宋体"/>
          <w:color w:val="auto"/>
          <w:sz w:val="24"/>
        </w:rPr>
      </w:pPr>
      <w:r>
        <w:rPr>
          <w:rFonts w:hint="eastAsia" w:ascii="宋体" w:hAnsi="宋体" w:cs="宋体"/>
          <w:color w:val="auto"/>
          <w:sz w:val="24"/>
        </w:rPr>
        <w:t>本合同为中小企业预留合同：（是/否）</w:t>
      </w:r>
    </w:p>
    <w:p w14:paraId="23793FCA">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根据《中华人民共和国政府采购法》、《中华人民共和国民法典》等法律、法规规定，按照竞争性谈判文件规定条款和成交供应商承诺，甲乙双方签订本合同。</w:t>
      </w:r>
    </w:p>
    <w:p w14:paraId="7AB3D848">
      <w:pPr>
        <w:snapToGrid w:val="0"/>
        <w:spacing w:before="120" w:line="360" w:lineRule="auto"/>
        <w:ind w:left="-70" w:firstLine="482" w:firstLineChars="200"/>
        <w:rPr>
          <w:rFonts w:ascii="宋体" w:hAnsi="宋体" w:cs="宋体"/>
          <w:b/>
          <w:color w:val="auto"/>
          <w:sz w:val="24"/>
        </w:rPr>
      </w:pPr>
      <w:r>
        <w:rPr>
          <w:rFonts w:hint="eastAsia" w:ascii="宋体" w:hAnsi="宋体" w:cs="宋体"/>
          <w:b/>
          <w:color w:val="auto"/>
          <w:sz w:val="24"/>
        </w:rPr>
        <w:t>第一条　合同标的</w:t>
      </w:r>
    </w:p>
    <w:p w14:paraId="356D606C">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1.产品及服务一览表</w:t>
      </w:r>
    </w:p>
    <w:tbl>
      <w:tblPr>
        <w:tblStyle w:val="2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292"/>
        <w:gridCol w:w="1110"/>
        <w:gridCol w:w="1292"/>
        <w:gridCol w:w="1268"/>
        <w:gridCol w:w="772"/>
        <w:gridCol w:w="770"/>
        <w:gridCol w:w="1148"/>
        <w:gridCol w:w="1200"/>
      </w:tblGrid>
      <w:tr w14:paraId="027BC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743" w:type="dxa"/>
            <w:tcBorders>
              <w:top w:val="single" w:color="auto" w:sz="4" w:space="0"/>
              <w:left w:val="single" w:color="auto" w:sz="4" w:space="0"/>
              <w:bottom w:val="single" w:color="auto" w:sz="4" w:space="0"/>
              <w:right w:val="single" w:color="auto" w:sz="4" w:space="0"/>
            </w:tcBorders>
            <w:vAlign w:val="center"/>
          </w:tcPr>
          <w:p w14:paraId="59B37DEC">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序号</w:t>
            </w:r>
          </w:p>
        </w:tc>
        <w:tc>
          <w:tcPr>
            <w:tcW w:w="1292" w:type="dxa"/>
            <w:tcBorders>
              <w:top w:val="single" w:color="auto" w:sz="4" w:space="0"/>
              <w:left w:val="single" w:color="auto" w:sz="4" w:space="0"/>
              <w:bottom w:val="single" w:color="auto" w:sz="4" w:space="0"/>
              <w:right w:val="single" w:color="auto" w:sz="4" w:space="0"/>
            </w:tcBorders>
            <w:vAlign w:val="center"/>
          </w:tcPr>
          <w:p w14:paraId="790CDA57">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货物名称</w:t>
            </w:r>
          </w:p>
        </w:tc>
        <w:tc>
          <w:tcPr>
            <w:tcW w:w="1110" w:type="dxa"/>
            <w:tcBorders>
              <w:top w:val="single" w:color="auto" w:sz="4" w:space="0"/>
              <w:left w:val="single" w:color="auto" w:sz="4" w:space="0"/>
              <w:bottom w:val="single" w:color="auto" w:sz="4" w:space="0"/>
              <w:right w:val="single" w:color="auto" w:sz="4" w:space="0"/>
            </w:tcBorders>
            <w:vAlign w:val="center"/>
          </w:tcPr>
          <w:p w14:paraId="660913E9">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商标品牌</w:t>
            </w:r>
          </w:p>
        </w:tc>
        <w:tc>
          <w:tcPr>
            <w:tcW w:w="1292" w:type="dxa"/>
            <w:tcBorders>
              <w:top w:val="single" w:color="auto" w:sz="4" w:space="0"/>
              <w:left w:val="single" w:color="auto" w:sz="4" w:space="0"/>
              <w:bottom w:val="single" w:color="auto" w:sz="4" w:space="0"/>
              <w:right w:val="single" w:color="auto" w:sz="4" w:space="0"/>
            </w:tcBorders>
            <w:vAlign w:val="center"/>
          </w:tcPr>
          <w:p w14:paraId="56926FB9">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规格型号</w:t>
            </w:r>
          </w:p>
        </w:tc>
        <w:tc>
          <w:tcPr>
            <w:tcW w:w="1268" w:type="dxa"/>
            <w:tcBorders>
              <w:top w:val="single" w:color="auto" w:sz="4" w:space="0"/>
              <w:left w:val="single" w:color="auto" w:sz="4" w:space="0"/>
              <w:bottom w:val="single" w:color="auto" w:sz="4" w:space="0"/>
              <w:right w:val="single" w:color="auto" w:sz="4" w:space="0"/>
            </w:tcBorders>
            <w:vAlign w:val="center"/>
          </w:tcPr>
          <w:p w14:paraId="4986B175">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生产厂家</w:t>
            </w:r>
          </w:p>
        </w:tc>
        <w:tc>
          <w:tcPr>
            <w:tcW w:w="772" w:type="dxa"/>
            <w:tcBorders>
              <w:top w:val="single" w:color="auto" w:sz="4" w:space="0"/>
              <w:left w:val="single" w:color="auto" w:sz="4" w:space="0"/>
              <w:bottom w:val="single" w:color="auto" w:sz="4" w:space="0"/>
              <w:right w:val="single" w:color="auto" w:sz="4" w:space="0"/>
            </w:tcBorders>
            <w:vAlign w:val="center"/>
          </w:tcPr>
          <w:p w14:paraId="0321007D">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数量</w:t>
            </w:r>
          </w:p>
        </w:tc>
        <w:tc>
          <w:tcPr>
            <w:tcW w:w="770" w:type="dxa"/>
            <w:tcBorders>
              <w:top w:val="single" w:color="auto" w:sz="4" w:space="0"/>
              <w:left w:val="single" w:color="auto" w:sz="4" w:space="0"/>
              <w:bottom w:val="single" w:color="auto" w:sz="4" w:space="0"/>
              <w:right w:val="single" w:color="auto" w:sz="4" w:space="0"/>
            </w:tcBorders>
            <w:vAlign w:val="center"/>
          </w:tcPr>
          <w:p w14:paraId="17CE5512">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单位</w:t>
            </w:r>
          </w:p>
        </w:tc>
        <w:tc>
          <w:tcPr>
            <w:tcW w:w="1148" w:type="dxa"/>
            <w:tcBorders>
              <w:top w:val="single" w:color="auto" w:sz="4" w:space="0"/>
              <w:left w:val="single" w:color="auto" w:sz="4" w:space="0"/>
              <w:bottom w:val="single" w:color="auto" w:sz="4" w:space="0"/>
              <w:right w:val="single" w:color="auto" w:sz="4" w:space="0"/>
            </w:tcBorders>
            <w:vAlign w:val="center"/>
          </w:tcPr>
          <w:p w14:paraId="10E3B36E">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单价（元）</w:t>
            </w:r>
          </w:p>
        </w:tc>
        <w:tc>
          <w:tcPr>
            <w:tcW w:w="1200" w:type="dxa"/>
            <w:tcBorders>
              <w:top w:val="single" w:color="auto" w:sz="4" w:space="0"/>
              <w:left w:val="single" w:color="auto" w:sz="4" w:space="0"/>
              <w:bottom w:val="single" w:color="auto" w:sz="4" w:space="0"/>
              <w:right w:val="single" w:color="auto" w:sz="4" w:space="0"/>
            </w:tcBorders>
            <w:vAlign w:val="center"/>
          </w:tcPr>
          <w:p w14:paraId="3C50CB8C">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金额（元）</w:t>
            </w:r>
          </w:p>
        </w:tc>
      </w:tr>
      <w:tr w14:paraId="2B3D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43" w:type="dxa"/>
            <w:tcBorders>
              <w:top w:val="single" w:color="auto" w:sz="4" w:space="0"/>
              <w:left w:val="single" w:color="auto" w:sz="4" w:space="0"/>
              <w:bottom w:val="single" w:color="auto" w:sz="4" w:space="0"/>
              <w:right w:val="single" w:color="auto" w:sz="4" w:space="0"/>
            </w:tcBorders>
            <w:vAlign w:val="center"/>
          </w:tcPr>
          <w:p w14:paraId="6EA2F9C6">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1</w:t>
            </w:r>
          </w:p>
        </w:tc>
        <w:tc>
          <w:tcPr>
            <w:tcW w:w="1292" w:type="dxa"/>
            <w:tcBorders>
              <w:top w:val="single" w:color="auto" w:sz="4" w:space="0"/>
              <w:left w:val="single" w:color="auto" w:sz="4" w:space="0"/>
              <w:bottom w:val="single" w:color="auto" w:sz="4" w:space="0"/>
              <w:right w:val="single" w:color="auto" w:sz="4" w:space="0"/>
            </w:tcBorders>
            <w:vAlign w:val="center"/>
          </w:tcPr>
          <w:p w14:paraId="6F34AC29">
            <w:pPr>
              <w:snapToGrid w:val="0"/>
              <w:spacing w:before="120" w:line="360" w:lineRule="auto"/>
              <w:ind w:left="-70"/>
              <w:jc w:val="center"/>
              <w:rPr>
                <w:rFonts w:ascii="宋体" w:hAnsi="宋体" w:cs="宋体"/>
                <w:color w:val="auto"/>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36478C15">
            <w:pPr>
              <w:snapToGrid w:val="0"/>
              <w:spacing w:before="120" w:line="360" w:lineRule="auto"/>
              <w:ind w:left="-70"/>
              <w:jc w:val="center"/>
              <w:rPr>
                <w:rFonts w:ascii="宋体" w:hAnsi="宋体" w:cs="宋体"/>
                <w:color w:val="auto"/>
                <w:sz w:val="24"/>
              </w:rPr>
            </w:pPr>
          </w:p>
        </w:tc>
        <w:tc>
          <w:tcPr>
            <w:tcW w:w="1292" w:type="dxa"/>
            <w:tcBorders>
              <w:top w:val="single" w:color="auto" w:sz="4" w:space="0"/>
              <w:left w:val="single" w:color="auto" w:sz="4" w:space="0"/>
              <w:bottom w:val="single" w:color="auto" w:sz="4" w:space="0"/>
              <w:right w:val="single" w:color="auto" w:sz="4" w:space="0"/>
            </w:tcBorders>
            <w:vAlign w:val="center"/>
          </w:tcPr>
          <w:p w14:paraId="203B1296">
            <w:pPr>
              <w:snapToGrid w:val="0"/>
              <w:spacing w:before="120" w:line="360" w:lineRule="auto"/>
              <w:ind w:left="-70"/>
              <w:jc w:val="center"/>
              <w:rPr>
                <w:rFonts w:ascii="宋体" w:hAnsi="宋体" w:cs="宋体"/>
                <w:color w:val="auto"/>
                <w:sz w:val="24"/>
              </w:rPr>
            </w:pPr>
          </w:p>
        </w:tc>
        <w:tc>
          <w:tcPr>
            <w:tcW w:w="1268" w:type="dxa"/>
            <w:tcBorders>
              <w:top w:val="single" w:color="auto" w:sz="4" w:space="0"/>
              <w:left w:val="single" w:color="auto" w:sz="4" w:space="0"/>
              <w:bottom w:val="single" w:color="auto" w:sz="4" w:space="0"/>
              <w:right w:val="single" w:color="auto" w:sz="4" w:space="0"/>
            </w:tcBorders>
          </w:tcPr>
          <w:p w14:paraId="41945A46">
            <w:pPr>
              <w:snapToGrid w:val="0"/>
              <w:spacing w:before="120" w:line="360" w:lineRule="auto"/>
              <w:ind w:left="-70"/>
              <w:jc w:val="center"/>
              <w:rPr>
                <w:rFonts w:ascii="宋体" w:hAnsi="宋体" w:cs="宋体"/>
                <w:color w:val="auto"/>
                <w:sz w:val="24"/>
              </w:rPr>
            </w:pPr>
          </w:p>
        </w:tc>
        <w:tc>
          <w:tcPr>
            <w:tcW w:w="772" w:type="dxa"/>
            <w:tcBorders>
              <w:top w:val="single" w:color="auto" w:sz="4" w:space="0"/>
              <w:left w:val="single" w:color="auto" w:sz="4" w:space="0"/>
              <w:bottom w:val="single" w:color="auto" w:sz="4" w:space="0"/>
              <w:right w:val="single" w:color="auto" w:sz="4" w:space="0"/>
            </w:tcBorders>
          </w:tcPr>
          <w:p w14:paraId="5C5C382F">
            <w:pPr>
              <w:snapToGrid w:val="0"/>
              <w:spacing w:before="120" w:line="360" w:lineRule="auto"/>
              <w:ind w:left="-70"/>
              <w:jc w:val="center"/>
              <w:rPr>
                <w:rFonts w:ascii="宋体" w:hAnsi="宋体" w:cs="宋体"/>
                <w:color w:val="auto"/>
                <w:sz w:val="24"/>
              </w:rPr>
            </w:pPr>
          </w:p>
        </w:tc>
        <w:tc>
          <w:tcPr>
            <w:tcW w:w="770" w:type="dxa"/>
            <w:tcBorders>
              <w:top w:val="single" w:color="auto" w:sz="4" w:space="0"/>
              <w:left w:val="single" w:color="auto" w:sz="4" w:space="0"/>
              <w:bottom w:val="single" w:color="auto" w:sz="4" w:space="0"/>
              <w:right w:val="single" w:color="auto" w:sz="4" w:space="0"/>
            </w:tcBorders>
          </w:tcPr>
          <w:p w14:paraId="32182574">
            <w:pPr>
              <w:snapToGrid w:val="0"/>
              <w:spacing w:before="120" w:line="360" w:lineRule="auto"/>
              <w:ind w:left="-70"/>
              <w:jc w:val="center"/>
              <w:rPr>
                <w:rFonts w:ascii="宋体" w:hAnsi="宋体" w:cs="宋体"/>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1CCE24EE">
            <w:pPr>
              <w:snapToGrid w:val="0"/>
              <w:spacing w:before="120" w:line="360" w:lineRule="auto"/>
              <w:ind w:left="-70"/>
              <w:jc w:val="center"/>
              <w:rPr>
                <w:rFonts w:ascii="宋体" w:hAnsi="宋体" w:cs="宋体"/>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36FC9C6B">
            <w:pPr>
              <w:snapToGrid w:val="0"/>
              <w:spacing w:before="120" w:line="360" w:lineRule="auto"/>
              <w:ind w:left="-70"/>
              <w:jc w:val="center"/>
              <w:rPr>
                <w:rFonts w:ascii="宋体" w:hAnsi="宋体" w:cs="宋体"/>
                <w:color w:val="auto"/>
                <w:sz w:val="24"/>
              </w:rPr>
            </w:pPr>
          </w:p>
        </w:tc>
      </w:tr>
      <w:tr w14:paraId="25B4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43" w:type="dxa"/>
            <w:tcBorders>
              <w:top w:val="single" w:color="auto" w:sz="4" w:space="0"/>
              <w:left w:val="single" w:color="auto" w:sz="4" w:space="0"/>
              <w:bottom w:val="single" w:color="auto" w:sz="4" w:space="0"/>
              <w:right w:val="single" w:color="auto" w:sz="4" w:space="0"/>
            </w:tcBorders>
            <w:vAlign w:val="center"/>
          </w:tcPr>
          <w:p w14:paraId="1702F16E">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2</w:t>
            </w:r>
          </w:p>
        </w:tc>
        <w:tc>
          <w:tcPr>
            <w:tcW w:w="1292" w:type="dxa"/>
            <w:tcBorders>
              <w:top w:val="single" w:color="auto" w:sz="4" w:space="0"/>
              <w:left w:val="single" w:color="auto" w:sz="4" w:space="0"/>
              <w:bottom w:val="single" w:color="auto" w:sz="4" w:space="0"/>
              <w:right w:val="single" w:color="auto" w:sz="4" w:space="0"/>
            </w:tcBorders>
            <w:vAlign w:val="center"/>
          </w:tcPr>
          <w:p w14:paraId="73D7E464">
            <w:pPr>
              <w:snapToGrid w:val="0"/>
              <w:spacing w:before="120" w:line="360" w:lineRule="auto"/>
              <w:ind w:left="-70"/>
              <w:jc w:val="center"/>
              <w:rPr>
                <w:rFonts w:ascii="宋体" w:hAnsi="宋体" w:cs="宋体"/>
                <w:color w:val="auto"/>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055A9FC3">
            <w:pPr>
              <w:snapToGrid w:val="0"/>
              <w:spacing w:before="120" w:line="360" w:lineRule="auto"/>
              <w:ind w:left="-70"/>
              <w:jc w:val="center"/>
              <w:rPr>
                <w:rFonts w:ascii="宋体" w:hAnsi="宋体" w:cs="宋体"/>
                <w:color w:val="auto"/>
                <w:sz w:val="24"/>
              </w:rPr>
            </w:pPr>
          </w:p>
        </w:tc>
        <w:tc>
          <w:tcPr>
            <w:tcW w:w="1292" w:type="dxa"/>
            <w:tcBorders>
              <w:top w:val="single" w:color="auto" w:sz="4" w:space="0"/>
              <w:left w:val="single" w:color="auto" w:sz="4" w:space="0"/>
              <w:bottom w:val="single" w:color="auto" w:sz="4" w:space="0"/>
              <w:right w:val="single" w:color="auto" w:sz="4" w:space="0"/>
            </w:tcBorders>
            <w:vAlign w:val="center"/>
          </w:tcPr>
          <w:p w14:paraId="1CF2C592">
            <w:pPr>
              <w:snapToGrid w:val="0"/>
              <w:spacing w:before="120" w:line="360" w:lineRule="auto"/>
              <w:ind w:left="-70"/>
              <w:jc w:val="center"/>
              <w:rPr>
                <w:rFonts w:ascii="宋体" w:hAnsi="宋体" w:cs="宋体"/>
                <w:color w:val="auto"/>
                <w:sz w:val="24"/>
              </w:rPr>
            </w:pPr>
          </w:p>
        </w:tc>
        <w:tc>
          <w:tcPr>
            <w:tcW w:w="1268" w:type="dxa"/>
            <w:tcBorders>
              <w:top w:val="single" w:color="auto" w:sz="4" w:space="0"/>
              <w:left w:val="single" w:color="auto" w:sz="4" w:space="0"/>
              <w:bottom w:val="single" w:color="auto" w:sz="4" w:space="0"/>
              <w:right w:val="single" w:color="auto" w:sz="4" w:space="0"/>
            </w:tcBorders>
          </w:tcPr>
          <w:p w14:paraId="04A52C09">
            <w:pPr>
              <w:snapToGrid w:val="0"/>
              <w:spacing w:before="120" w:line="360" w:lineRule="auto"/>
              <w:ind w:left="-70"/>
              <w:jc w:val="center"/>
              <w:rPr>
                <w:rFonts w:ascii="宋体" w:hAnsi="宋体" w:cs="宋体"/>
                <w:color w:val="auto"/>
                <w:sz w:val="24"/>
              </w:rPr>
            </w:pPr>
          </w:p>
        </w:tc>
        <w:tc>
          <w:tcPr>
            <w:tcW w:w="772" w:type="dxa"/>
            <w:tcBorders>
              <w:top w:val="single" w:color="auto" w:sz="4" w:space="0"/>
              <w:left w:val="single" w:color="auto" w:sz="4" w:space="0"/>
              <w:bottom w:val="single" w:color="auto" w:sz="4" w:space="0"/>
              <w:right w:val="single" w:color="auto" w:sz="4" w:space="0"/>
            </w:tcBorders>
          </w:tcPr>
          <w:p w14:paraId="05DFDDED">
            <w:pPr>
              <w:snapToGrid w:val="0"/>
              <w:spacing w:before="120" w:line="360" w:lineRule="auto"/>
              <w:ind w:left="-70"/>
              <w:jc w:val="center"/>
              <w:rPr>
                <w:rFonts w:ascii="宋体" w:hAnsi="宋体" w:cs="宋体"/>
                <w:color w:val="auto"/>
                <w:sz w:val="24"/>
              </w:rPr>
            </w:pPr>
          </w:p>
        </w:tc>
        <w:tc>
          <w:tcPr>
            <w:tcW w:w="770" w:type="dxa"/>
            <w:tcBorders>
              <w:top w:val="single" w:color="auto" w:sz="4" w:space="0"/>
              <w:left w:val="single" w:color="auto" w:sz="4" w:space="0"/>
              <w:bottom w:val="single" w:color="auto" w:sz="4" w:space="0"/>
              <w:right w:val="single" w:color="auto" w:sz="4" w:space="0"/>
            </w:tcBorders>
          </w:tcPr>
          <w:p w14:paraId="6355E49D">
            <w:pPr>
              <w:snapToGrid w:val="0"/>
              <w:spacing w:before="120" w:line="360" w:lineRule="auto"/>
              <w:ind w:left="-70"/>
              <w:jc w:val="center"/>
              <w:rPr>
                <w:rFonts w:ascii="宋体" w:hAnsi="宋体" w:cs="宋体"/>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7C57884B">
            <w:pPr>
              <w:snapToGrid w:val="0"/>
              <w:spacing w:before="120" w:line="360" w:lineRule="auto"/>
              <w:ind w:left="-70"/>
              <w:jc w:val="center"/>
              <w:rPr>
                <w:rFonts w:ascii="宋体" w:hAnsi="宋体" w:cs="宋体"/>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7526AF79">
            <w:pPr>
              <w:snapToGrid w:val="0"/>
              <w:spacing w:before="120" w:line="360" w:lineRule="auto"/>
              <w:ind w:left="-70"/>
              <w:jc w:val="center"/>
              <w:rPr>
                <w:rFonts w:ascii="宋体" w:hAnsi="宋体" w:cs="宋体"/>
                <w:color w:val="auto"/>
                <w:sz w:val="24"/>
              </w:rPr>
            </w:pPr>
          </w:p>
        </w:tc>
      </w:tr>
      <w:tr w14:paraId="006F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43" w:type="dxa"/>
            <w:tcBorders>
              <w:top w:val="single" w:color="auto" w:sz="4" w:space="0"/>
              <w:left w:val="single" w:color="auto" w:sz="4" w:space="0"/>
              <w:bottom w:val="single" w:color="auto" w:sz="4" w:space="0"/>
              <w:right w:val="single" w:color="auto" w:sz="4" w:space="0"/>
            </w:tcBorders>
            <w:vAlign w:val="center"/>
          </w:tcPr>
          <w:p w14:paraId="4302910F">
            <w:pPr>
              <w:snapToGrid w:val="0"/>
              <w:spacing w:before="120" w:line="360" w:lineRule="auto"/>
              <w:ind w:left="-70"/>
              <w:jc w:val="center"/>
              <w:rPr>
                <w:rFonts w:ascii="宋体" w:hAnsi="宋体" w:cs="宋体"/>
                <w:color w:val="auto"/>
                <w:sz w:val="24"/>
              </w:rPr>
            </w:pPr>
            <w:r>
              <w:rPr>
                <w:rFonts w:hint="eastAsia" w:ascii="宋体" w:hAnsi="宋体" w:cs="宋体"/>
                <w:color w:val="auto"/>
                <w:sz w:val="24"/>
              </w:rPr>
              <w:t>3</w:t>
            </w:r>
          </w:p>
        </w:tc>
        <w:tc>
          <w:tcPr>
            <w:tcW w:w="1292" w:type="dxa"/>
            <w:tcBorders>
              <w:top w:val="single" w:color="auto" w:sz="4" w:space="0"/>
              <w:left w:val="single" w:color="auto" w:sz="4" w:space="0"/>
              <w:bottom w:val="single" w:color="auto" w:sz="4" w:space="0"/>
              <w:right w:val="single" w:color="auto" w:sz="4" w:space="0"/>
            </w:tcBorders>
            <w:vAlign w:val="center"/>
          </w:tcPr>
          <w:p w14:paraId="3F423F03">
            <w:pPr>
              <w:snapToGrid w:val="0"/>
              <w:spacing w:before="120" w:line="360" w:lineRule="auto"/>
              <w:ind w:left="-70"/>
              <w:jc w:val="center"/>
              <w:rPr>
                <w:rFonts w:ascii="宋体" w:hAnsi="宋体" w:cs="宋体"/>
                <w:color w:val="auto"/>
                <w:sz w:val="24"/>
              </w:rPr>
            </w:pPr>
          </w:p>
        </w:tc>
        <w:tc>
          <w:tcPr>
            <w:tcW w:w="1110" w:type="dxa"/>
            <w:tcBorders>
              <w:top w:val="single" w:color="auto" w:sz="4" w:space="0"/>
              <w:left w:val="single" w:color="auto" w:sz="4" w:space="0"/>
              <w:bottom w:val="single" w:color="auto" w:sz="4" w:space="0"/>
              <w:right w:val="single" w:color="auto" w:sz="4" w:space="0"/>
            </w:tcBorders>
            <w:vAlign w:val="center"/>
          </w:tcPr>
          <w:p w14:paraId="5A1B2A2B">
            <w:pPr>
              <w:snapToGrid w:val="0"/>
              <w:spacing w:before="120" w:line="360" w:lineRule="auto"/>
              <w:ind w:left="-70"/>
              <w:jc w:val="center"/>
              <w:rPr>
                <w:rFonts w:ascii="宋体" w:hAnsi="宋体" w:cs="宋体"/>
                <w:color w:val="auto"/>
                <w:sz w:val="24"/>
              </w:rPr>
            </w:pPr>
          </w:p>
        </w:tc>
        <w:tc>
          <w:tcPr>
            <w:tcW w:w="1292" w:type="dxa"/>
            <w:tcBorders>
              <w:top w:val="single" w:color="auto" w:sz="4" w:space="0"/>
              <w:left w:val="single" w:color="auto" w:sz="4" w:space="0"/>
              <w:bottom w:val="single" w:color="auto" w:sz="4" w:space="0"/>
              <w:right w:val="single" w:color="auto" w:sz="4" w:space="0"/>
            </w:tcBorders>
            <w:vAlign w:val="center"/>
          </w:tcPr>
          <w:p w14:paraId="6DD8ED96">
            <w:pPr>
              <w:snapToGrid w:val="0"/>
              <w:spacing w:before="120" w:line="360" w:lineRule="auto"/>
              <w:ind w:left="-70"/>
              <w:jc w:val="center"/>
              <w:rPr>
                <w:rFonts w:ascii="宋体" w:hAnsi="宋体" w:cs="宋体"/>
                <w:color w:val="auto"/>
                <w:sz w:val="24"/>
              </w:rPr>
            </w:pPr>
          </w:p>
        </w:tc>
        <w:tc>
          <w:tcPr>
            <w:tcW w:w="1268" w:type="dxa"/>
            <w:tcBorders>
              <w:top w:val="single" w:color="auto" w:sz="4" w:space="0"/>
              <w:left w:val="single" w:color="auto" w:sz="4" w:space="0"/>
              <w:bottom w:val="single" w:color="auto" w:sz="4" w:space="0"/>
              <w:right w:val="single" w:color="auto" w:sz="4" w:space="0"/>
            </w:tcBorders>
          </w:tcPr>
          <w:p w14:paraId="42581F78">
            <w:pPr>
              <w:snapToGrid w:val="0"/>
              <w:spacing w:before="120" w:line="360" w:lineRule="auto"/>
              <w:ind w:left="-70"/>
              <w:jc w:val="center"/>
              <w:rPr>
                <w:rFonts w:ascii="宋体" w:hAnsi="宋体" w:cs="宋体"/>
                <w:color w:val="auto"/>
                <w:sz w:val="24"/>
              </w:rPr>
            </w:pPr>
          </w:p>
        </w:tc>
        <w:tc>
          <w:tcPr>
            <w:tcW w:w="772" w:type="dxa"/>
            <w:tcBorders>
              <w:top w:val="single" w:color="auto" w:sz="4" w:space="0"/>
              <w:left w:val="single" w:color="auto" w:sz="4" w:space="0"/>
              <w:bottom w:val="single" w:color="auto" w:sz="4" w:space="0"/>
              <w:right w:val="single" w:color="auto" w:sz="4" w:space="0"/>
            </w:tcBorders>
          </w:tcPr>
          <w:p w14:paraId="5A7A14F2">
            <w:pPr>
              <w:snapToGrid w:val="0"/>
              <w:spacing w:before="120" w:line="360" w:lineRule="auto"/>
              <w:ind w:left="-70"/>
              <w:jc w:val="center"/>
              <w:rPr>
                <w:rFonts w:ascii="宋体" w:hAnsi="宋体" w:cs="宋体"/>
                <w:color w:val="auto"/>
                <w:sz w:val="24"/>
              </w:rPr>
            </w:pPr>
          </w:p>
        </w:tc>
        <w:tc>
          <w:tcPr>
            <w:tcW w:w="770" w:type="dxa"/>
            <w:tcBorders>
              <w:top w:val="single" w:color="auto" w:sz="4" w:space="0"/>
              <w:left w:val="single" w:color="auto" w:sz="4" w:space="0"/>
              <w:bottom w:val="single" w:color="auto" w:sz="4" w:space="0"/>
              <w:right w:val="single" w:color="auto" w:sz="4" w:space="0"/>
            </w:tcBorders>
          </w:tcPr>
          <w:p w14:paraId="3666C425">
            <w:pPr>
              <w:snapToGrid w:val="0"/>
              <w:spacing w:before="120" w:line="360" w:lineRule="auto"/>
              <w:ind w:left="-70"/>
              <w:jc w:val="center"/>
              <w:rPr>
                <w:rFonts w:ascii="宋体" w:hAnsi="宋体" w:cs="宋体"/>
                <w:color w:val="auto"/>
                <w:sz w:val="24"/>
              </w:rPr>
            </w:pPr>
          </w:p>
        </w:tc>
        <w:tc>
          <w:tcPr>
            <w:tcW w:w="1148" w:type="dxa"/>
            <w:tcBorders>
              <w:top w:val="single" w:color="auto" w:sz="4" w:space="0"/>
              <w:left w:val="single" w:color="auto" w:sz="4" w:space="0"/>
              <w:bottom w:val="single" w:color="auto" w:sz="4" w:space="0"/>
              <w:right w:val="single" w:color="auto" w:sz="4" w:space="0"/>
            </w:tcBorders>
            <w:vAlign w:val="center"/>
          </w:tcPr>
          <w:p w14:paraId="0526E8C6">
            <w:pPr>
              <w:snapToGrid w:val="0"/>
              <w:spacing w:before="120" w:line="360" w:lineRule="auto"/>
              <w:ind w:left="-70"/>
              <w:jc w:val="center"/>
              <w:rPr>
                <w:rFonts w:ascii="宋体" w:hAnsi="宋体" w:cs="宋体"/>
                <w:color w:val="auto"/>
                <w:sz w:val="24"/>
              </w:rPr>
            </w:pPr>
          </w:p>
        </w:tc>
        <w:tc>
          <w:tcPr>
            <w:tcW w:w="1200" w:type="dxa"/>
            <w:tcBorders>
              <w:top w:val="single" w:color="auto" w:sz="4" w:space="0"/>
              <w:left w:val="single" w:color="auto" w:sz="4" w:space="0"/>
              <w:bottom w:val="single" w:color="auto" w:sz="4" w:space="0"/>
              <w:right w:val="single" w:color="auto" w:sz="4" w:space="0"/>
            </w:tcBorders>
            <w:vAlign w:val="center"/>
          </w:tcPr>
          <w:p w14:paraId="55337CB2">
            <w:pPr>
              <w:snapToGrid w:val="0"/>
              <w:spacing w:before="120" w:line="360" w:lineRule="auto"/>
              <w:ind w:left="-70"/>
              <w:jc w:val="center"/>
              <w:rPr>
                <w:rFonts w:ascii="宋体" w:hAnsi="宋体" w:cs="宋体"/>
                <w:color w:val="auto"/>
                <w:sz w:val="24"/>
              </w:rPr>
            </w:pPr>
          </w:p>
        </w:tc>
      </w:tr>
      <w:tr w14:paraId="32DA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9595" w:type="dxa"/>
            <w:gridSpan w:val="9"/>
            <w:tcBorders>
              <w:top w:val="single" w:color="auto" w:sz="4" w:space="0"/>
              <w:left w:val="single" w:color="auto" w:sz="4" w:space="0"/>
              <w:bottom w:val="single" w:color="auto" w:sz="4" w:space="0"/>
              <w:right w:val="single" w:color="auto" w:sz="4" w:space="0"/>
            </w:tcBorders>
            <w:vAlign w:val="center"/>
          </w:tcPr>
          <w:p w14:paraId="2E70A5C1">
            <w:pPr>
              <w:snapToGrid w:val="0"/>
              <w:spacing w:before="120" w:line="360" w:lineRule="auto"/>
              <w:ind w:left="-70"/>
              <w:rPr>
                <w:rFonts w:ascii="宋体" w:hAnsi="宋体" w:cs="宋体"/>
                <w:color w:val="auto"/>
                <w:sz w:val="24"/>
              </w:rPr>
            </w:pPr>
            <w:r>
              <w:rPr>
                <w:rFonts w:hint="eastAsia" w:ascii="宋体" w:hAnsi="宋体" w:cs="宋体"/>
                <w:color w:val="auto"/>
                <w:sz w:val="24"/>
              </w:rPr>
              <w:t xml:space="preserve">人民币合计金额（大写）                          （小写）                 </w:t>
            </w:r>
          </w:p>
        </w:tc>
      </w:tr>
    </w:tbl>
    <w:p w14:paraId="098F08E1">
      <w:pPr>
        <w:snapToGrid w:val="0"/>
        <w:spacing w:before="120" w:line="360" w:lineRule="auto"/>
        <w:ind w:left="-70" w:right="420" w:firstLine="480" w:firstLineChars="200"/>
        <w:rPr>
          <w:rFonts w:ascii="宋体" w:hAnsi="宋体" w:cs="宋体"/>
          <w:color w:val="auto"/>
          <w:sz w:val="24"/>
        </w:rPr>
      </w:pPr>
      <w:r>
        <w:rPr>
          <w:rFonts w:hint="eastAsia" w:ascii="宋体" w:hAnsi="宋体" w:cs="宋体"/>
          <w:color w:val="auto"/>
          <w:sz w:val="24"/>
        </w:rPr>
        <w:t>2.合同合计金额包括竞标货物（包括备品备件、专用工具等）、服务的价格（包括已在中国境内的进口货物完税后的仓库交货价、展室交货价或者货架交货价），竞标货物运输（含保险）、安装（如有）、调试、检验、技术服务、培训和竞争性谈判文件要求提供的所有伴随服务、工程等费用和税费。</w:t>
      </w:r>
    </w:p>
    <w:p w14:paraId="5C2F440E">
      <w:pPr>
        <w:snapToGrid w:val="0"/>
        <w:spacing w:before="120" w:line="360" w:lineRule="auto"/>
        <w:ind w:left="-70" w:firstLine="482" w:firstLineChars="200"/>
        <w:rPr>
          <w:rFonts w:ascii="宋体" w:hAnsi="宋体" w:cs="宋体"/>
          <w:color w:val="auto"/>
          <w:sz w:val="24"/>
        </w:rPr>
      </w:pPr>
      <w:r>
        <w:rPr>
          <w:rFonts w:hint="eastAsia" w:ascii="宋体" w:hAnsi="宋体" w:cs="宋体"/>
          <w:b/>
          <w:color w:val="auto"/>
          <w:sz w:val="24"/>
        </w:rPr>
        <w:t>第二条　质量要求</w:t>
      </w:r>
    </w:p>
    <w:p w14:paraId="0C54B703">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1.乙方所提供的产品名称、商标品牌、生产厂家、规格型号、技术参数等质量必须与竞争性谈判文件规定及响应文件承诺相一致。乙方提供的节能和环保产品必须是列入政府采购品目清单的产品。</w:t>
      </w:r>
    </w:p>
    <w:p w14:paraId="1AEB21FF">
      <w:pPr>
        <w:snapToGrid w:val="0"/>
        <w:spacing w:before="120" w:line="360" w:lineRule="auto"/>
        <w:ind w:left="-70" w:firstLine="480" w:firstLineChars="200"/>
        <w:rPr>
          <w:rFonts w:ascii="宋体" w:hAnsi="宋体" w:cs="宋体"/>
          <w:color w:val="auto"/>
          <w:sz w:val="24"/>
          <w:u w:val="single"/>
        </w:rPr>
      </w:pPr>
      <w:r>
        <w:rPr>
          <w:rFonts w:hint="eastAsia" w:ascii="宋体" w:hAnsi="宋体" w:cs="宋体"/>
          <w:color w:val="auto"/>
          <w:sz w:val="24"/>
        </w:rPr>
        <w:t>2.乙方所提供的货物必须是全新、未使用的原装产品，且在正常安装、使用和保养条件下，其使用寿命期内各项指标均达到竞争性谈判文件规定或者响应文件承诺的质量要求。</w:t>
      </w:r>
    </w:p>
    <w:p w14:paraId="35535124">
      <w:pPr>
        <w:snapToGrid w:val="0"/>
        <w:spacing w:before="120" w:line="360" w:lineRule="auto"/>
        <w:ind w:left="-70" w:firstLine="482" w:firstLineChars="200"/>
        <w:rPr>
          <w:rFonts w:ascii="宋体" w:hAnsi="宋体" w:cs="宋体"/>
          <w:color w:val="auto"/>
          <w:sz w:val="24"/>
        </w:rPr>
      </w:pPr>
      <w:r>
        <w:rPr>
          <w:rFonts w:hint="eastAsia" w:ascii="宋体" w:hAnsi="宋体" w:cs="宋体"/>
          <w:b/>
          <w:color w:val="auto"/>
          <w:sz w:val="24"/>
        </w:rPr>
        <w:t>第三条　权利保证</w:t>
      </w:r>
    </w:p>
    <w:p w14:paraId="44C8304A">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1.乙方应保证所提供货物在使用时不会侵犯任何第三方的专利权、商标权、工业设计权或者其他权利。</w:t>
      </w:r>
    </w:p>
    <w:p w14:paraId="7C6A2CBD">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2.乙方应按竞争性谈判文件规定或者响应文件承诺的时间向甲方提供使用货物的有关技术资料。</w:t>
      </w:r>
    </w:p>
    <w:p w14:paraId="2AD36889">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28D7814">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4.乙方保证将要交付的货物的所有权完全属于乙方且无任何抵押、质押、查封等产权瑕疵。</w:t>
      </w:r>
    </w:p>
    <w:p w14:paraId="5838644D">
      <w:pPr>
        <w:snapToGrid w:val="0"/>
        <w:spacing w:before="120" w:line="360" w:lineRule="auto"/>
        <w:ind w:left="-70" w:firstLine="482" w:firstLineChars="200"/>
        <w:rPr>
          <w:rFonts w:ascii="宋体" w:hAnsi="宋体" w:cs="宋体"/>
          <w:b/>
          <w:color w:val="auto"/>
          <w:sz w:val="24"/>
        </w:rPr>
      </w:pPr>
      <w:r>
        <w:rPr>
          <w:rFonts w:hint="eastAsia" w:ascii="宋体" w:hAnsi="宋体" w:cs="宋体"/>
          <w:b/>
          <w:color w:val="auto"/>
          <w:sz w:val="24"/>
        </w:rPr>
        <w:t>第四条　包装和运输</w:t>
      </w:r>
    </w:p>
    <w:p w14:paraId="0B264DB0">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1.乙方提供的货物均应按竞争性谈判文件规定或者响应文件承诺的要求的包装材料、包装标准、包装方式进行包装，每一包装单元内应附详细的装箱单和质量合格证。</w:t>
      </w:r>
    </w:p>
    <w:p w14:paraId="142E5A64">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2.货物的运输方式：</w:t>
      </w:r>
      <w:r>
        <w:rPr>
          <w:rFonts w:hint="eastAsia" w:ascii="宋体" w:hAnsi="宋体" w:cs="宋体"/>
          <w:color w:val="auto"/>
          <w:sz w:val="24"/>
          <w:u w:val="single"/>
        </w:rPr>
        <w:t xml:space="preserve">             </w:t>
      </w:r>
      <w:r>
        <w:rPr>
          <w:rFonts w:hint="eastAsia" w:ascii="宋体" w:hAnsi="宋体" w:cs="宋体"/>
          <w:color w:val="auto"/>
          <w:sz w:val="24"/>
        </w:rPr>
        <w:t>。</w:t>
      </w:r>
    </w:p>
    <w:p w14:paraId="4E397F0F">
      <w:pPr>
        <w:snapToGrid w:val="0"/>
        <w:spacing w:before="120" w:line="360" w:lineRule="auto"/>
        <w:ind w:left="-70" w:firstLine="480" w:firstLineChars="200"/>
        <w:rPr>
          <w:rFonts w:ascii="宋体" w:hAnsi="宋体" w:cs="宋体"/>
          <w:color w:val="auto"/>
          <w:sz w:val="24"/>
          <w:u w:val="single"/>
        </w:rPr>
      </w:pPr>
      <w:r>
        <w:rPr>
          <w:rFonts w:hint="eastAsia" w:ascii="宋体" w:hAnsi="宋体" w:cs="宋体"/>
          <w:color w:val="auto"/>
          <w:sz w:val="24"/>
        </w:rPr>
        <w:t>3.乙方负责货物运输，货物运输合理损耗及计算方法：</w:t>
      </w:r>
      <w:r>
        <w:rPr>
          <w:rFonts w:hint="eastAsia" w:ascii="宋体" w:hAnsi="宋体" w:cs="宋体"/>
          <w:color w:val="auto"/>
          <w:sz w:val="24"/>
          <w:u w:val="single"/>
        </w:rPr>
        <w:t xml:space="preserve">                 </w:t>
      </w:r>
      <w:r>
        <w:rPr>
          <w:rFonts w:hint="eastAsia" w:ascii="宋体" w:hAnsi="宋体" w:cs="宋体"/>
          <w:color w:val="auto"/>
          <w:sz w:val="24"/>
        </w:rPr>
        <w:t>。</w:t>
      </w:r>
    </w:p>
    <w:p w14:paraId="20118EF8">
      <w:pPr>
        <w:snapToGrid w:val="0"/>
        <w:spacing w:before="120" w:line="360" w:lineRule="auto"/>
        <w:ind w:left="-70" w:firstLine="482" w:firstLineChars="200"/>
        <w:rPr>
          <w:rFonts w:ascii="宋体" w:hAnsi="宋体" w:cs="宋体"/>
          <w:color w:val="auto"/>
          <w:sz w:val="24"/>
        </w:rPr>
      </w:pPr>
      <w:r>
        <w:rPr>
          <w:rFonts w:hint="eastAsia" w:ascii="宋体" w:hAnsi="宋体" w:cs="宋体"/>
          <w:b/>
          <w:color w:val="auto"/>
          <w:sz w:val="24"/>
        </w:rPr>
        <w:t>第五条　交付和验收</w:t>
      </w:r>
    </w:p>
    <w:p w14:paraId="012BD842">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1.合同履行期限：</w:t>
      </w:r>
      <w:r>
        <w:rPr>
          <w:rFonts w:hint="eastAsia" w:ascii="宋体" w:hAnsi="宋体" w:cs="宋体"/>
          <w:color w:val="auto"/>
          <w:sz w:val="24"/>
          <w:u w:val="single"/>
        </w:rPr>
        <w:t xml:space="preserve">                 </w:t>
      </w:r>
      <w:r>
        <w:rPr>
          <w:rFonts w:hint="eastAsia" w:ascii="宋体" w:hAnsi="宋体" w:cs="宋体"/>
          <w:color w:val="auto"/>
          <w:sz w:val="24"/>
        </w:rPr>
        <w:t>；交货地点：</w:t>
      </w:r>
      <w:r>
        <w:rPr>
          <w:rFonts w:hint="eastAsia" w:ascii="宋体" w:hAnsi="宋体" w:cs="宋体"/>
          <w:color w:val="auto"/>
          <w:sz w:val="24"/>
          <w:u w:val="single"/>
        </w:rPr>
        <w:t xml:space="preserve">                          </w:t>
      </w:r>
      <w:r>
        <w:rPr>
          <w:rFonts w:hint="eastAsia" w:ascii="宋体" w:hAnsi="宋体" w:cs="宋体"/>
          <w:color w:val="auto"/>
          <w:sz w:val="24"/>
        </w:rPr>
        <w:t>。</w:t>
      </w:r>
    </w:p>
    <w:p w14:paraId="0E408CF4">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2.乙方提供不符合竞争性谈判文件规定或者响应文件承诺的和本合同规定的货物，甲方有权拒绝接受。</w:t>
      </w:r>
    </w:p>
    <w:p w14:paraId="7C1B9AC8">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730ACD86">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4.甲方应当在到货（安装、调试完）后七个工作日内进行验收，逾期不验收的，乙方可视同验收合格。验收合格后由甲乙双方签署货物验收单并加盖甲方公章，甲乙双方各执一份。</w:t>
      </w:r>
    </w:p>
    <w:p w14:paraId="312B3491">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0B911F3B">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6.甲方对验收有异议的，在验收后五个工作日内以书面形式向乙方提出，乙方应自收到甲方书面异议后</w:t>
      </w:r>
      <w:r>
        <w:rPr>
          <w:rFonts w:hint="eastAsia" w:ascii="宋体" w:hAnsi="宋体" w:cs="宋体"/>
          <w:color w:val="auto"/>
          <w:sz w:val="24"/>
          <w:u w:val="single"/>
        </w:rPr>
        <w:t xml:space="preserve">    </w:t>
      </w:r>
      <w:r>
        <w:rPr>
          <w:rFonts w:hint="eastAsia" w:ascii="宋体" w:hAnsi="宋体" w:cs="宋体"/>
          <w:color w:val="auto"/>
          <w:sz w:val="24"/>
        </w:rPr>
        <w:t>日内及时予以解决。</w:t>
      </w:r>
    </w:p>
    <w:p w14:paraId="267EA7AB">
      <w:pPr>
        <w:snapToGrid w:val="0"/>
        <w:spacing w:before="120" w:line="360" w:lineRule="auto"/>
        <w:ind w:left="-70" w:firstLine="482" w:firstLineChars="200"/>
        <w:rPr>
          <w:rFonts w:ascii="宋体" w:hAnsi="宋体" w:cs="宋体"/>
          <w:b/>
          <w:color w:val="auto"/>
          <w:sz w:val="24"/>
        </w:rPr>
      </w:pPr>
      <w:r>
        <w:rPr>
          <w:rFonts w:hint="eastAsia" w:ascii="宋体" w:hAnsi="宋体" w:cs="宋体"/>
          <w:b/>
          <w:color w:val="auto"/>
          <w:sz w:val="24"/>
        </w:rPr>
        <w:t>第六条　安装和培训</w:t>
      </w:r>
    </w:p>
    <w:p w14:paraId="2A772D82">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1.甲方应提供必要安装条件（如场地、电源、水源等）。</w:t>
      </w:r>
    </w:p>
    <w:p w14:paraId="3993E658">
      <w:pPr>
        <w:snapToGrid w:val="0"/>
        <w:spacing w:before="120" w:line="360" w:lineRule="auto"/>
        <w:ind w:left="-70" w:firstLine="436" w:firstLineChars="200"/>
        <w:rPr>
          <w:rFonts w:ascii="宋体" w:hAnsi="宋体" w:cs="宋体"/>
          <w:color w:val="auto"/>
          <w:spacing w:val="-11"/>
          <w:sz w:val="24"/>
          <w:u w:val="single"/>
        </w:rPr>
      </w:pPr>
      <w:r>
        <w:rPr>
          <w:rFonts w:hint="eastAsia" w:ascii="宋体" w:hAnsi="宋体" w:cs="宋体"/>
          <w:color w:val="auto"/>
          <w:spacing w:val="-11"/>
          <w:sz w:val="24"/>
        </w:rPr>
        <w:t>2.乙方响应文件承诺负责甲方有关人员的培训。培训时间、地点：</w:t>
      </w:r>
      <w:r>
        <w:rPr>
          <w:rFonts w:hint="eastAsia" w:ascii="宋体" w:hAnsi="宋体" w:cs="宋体"/>
          <w:color w:val="auto"/>
          <w:spacing w:val="-11"/>
          <w:sz w:val="24"/>
          <w:u w:val="single"/>
        </w:rPr>
        <w:t xml:space="preserve">                   </w:t>
      </w:r>
      <w:r>
        <w:rPr>
          <w:rFonts w:hint="eastAsia" w:ascii="宋体" w:hAnsi="宋体" w:cs="宋体"/>
          <w:color w:val="auto"/>
          <w:spacing w:val="-11"/>
          <w:sz w:val="24"/>
        </w:rPr>
        <w:t>。</w:t>
      </w:r>
    </w:p>
    <w:p w14:paraId="2F3E8302">
      <w:pPr>
        <w:snapToGrid w:val="0"/>
        <w:spacing w:before="120" w:line="360" w:lineRule="auto"/>
        <w:ind w:left="-70" w:firstLine="482" w:firstLineChars="200"/>
        <w:rPr>
          <w:rFonts w:ascii="宋体" w:hAnsi="宋体" w:cs="宋体"/>
          <w:b/>
          <w:color w:val="auto"/>
          <w:sz w:val="24"/>
        </w:rPr>
      </w:pPr>
      <w:r>
        <w:rPr>
          <w:rFonts w:hint="eastAsia" w:ascii="宋体" w:hAnsi="宋体" w:cs="宋体"/>
          <w:b/>
          <w:color w:val="auto"/>
          <w:sz w:val="24"/>
        </w:rPr>
        <w:t>第七条  售后服务、保修期</w:t>
      </w:r>
    </w:p>
    <w:p w14:paraId="74A43F7E">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1.乙方应按照国家有关法律法规和“三包”规定以及本合同所附的《服务承诺》，为甲方提供售后服务。</w:t>
      </w:r>
    </w:p>
    <w:p w14:paraId="60619401">
      <w:pPr>
        <w:snapToGrid w:val="0"/>
        <w:spacing w:before="120" w:line="360" w:lineRule="auto"/>
        <w:ind w:left="-70" w:firstLine="480" w:firstLineChars="200"/>
        <w:rPr>
          <w:rFonts w:ascii="宋体" w:hAnsi="宋体" w:cs="宋体"/>
          <w:color w:val="auto"/>
          <w:sz w:val="24"/>
          <w:u w:val="single"/>
        </w:rPr>
      </w:pPr>
      <w:r>
        <w:rPr>
          <w:rFonts w:hint="eastAsia" w:ascii="宋体" w:hAnsi="宋体" w:cs="宋体"/>
          <w:color w:val="auto"/>
          <w:sz w:val="24"/>
        </w:rPr>
        <w:t>2.货物保修期：</w:t>
      </w:r>
      <w:r>
        <w:rPr>
          <w:rFonts w:hint="eastAsia" w:ascii="宋体" w:hAnsi="宋体" w:cs="宋体"/>
          <w:color w:val="auto"/>
          <w:sz w:val="24"/>
          <w:u w:val="single"/>
        </w:rPr>
        <w:t xml:space="preserve">                                          </w:t>
      </w:r>
      <w:r>
        <w:rPr>
          <w:rFonts w:hint="eastAsia" w:ascii="宋体" w:hAnsi="宋体" w:cs="宋体"/>
          <w:color w:val="auto"/>
          <w:sz w:val="24"/>
        </w:rPr>
        <w:t>。</w:t>
      </w:r>
    </w:p>
    <w:p w14:paraId="100FAEBC">
      <w:pPr>
        <w:snapToGrid w:val="0"/>
        <w:spacing w:before="120" w:line="360" w:lineRule="auto"/>
        <w:ind w:left="-70" w:firstLine="480" w:firstLineChars="200"/>
        <w:rPr>
          <w:rFonts w:ascii="宋体" w:hAnsi="宋体" w:cs="宋体"/>
          <w:color w:val="auto"/>
          <w:sz w:val="24"/>
          <w:u w:val="single"/>
        </w:rPr>
      </w:pPr>
      <w:r>
        <w:rPr>
          <w:rFonts w:hint="eastAsia" w:ascii="宋体" w:hAnsi="宋体" w:cs="宋体"/>
          <w:color w:val="auto"/>
          <w:sz w:val="24"/>
        </w:rPr>
        <w:t>3.乙方提供的服务承诺和售后服务及保修期责任等其它具体约定事项。（见合同附件）</w:t>
      </w:r>
    </w:p>
    <w:p w14:paraId="5E109167">
      <w:pPr>
        <w:snapToGrid w:val="0"/>
        <w:spacing w:before="120" w:line="360" w:lineRule="auto"/>
        <w:ind w:left="-70" w:firstLine="482" w:firstLineChars="200"/>
        <w:rPr>
          <w:rFonts w:ascii="宋体" w:hAnsi="宋体" w:cs="宋体"/>
          <w:color w:val="auto"/>
          <w:sz w:val="24"/>
        </w:rPr>
      </w:pPr>
      <w:r>
        <w:rPr>
          <w:rFonts w:hint="eastAsia" w:ascii="宋体" w:hAnsi="宋体" w:cs="宋体"/>
          <w:b/>
          <w:color w:val="auto"/>
          <w:sz w:val="24"/>
        </w:rPr>
        <w:t>第八条　付款方式</w:t>
      </w:r>
    </w:p>
    <w:p w14:paraId="09CBA0DB">
      <w:pPr>
        <w:pStyle w:val="15"/>
        <w:snapToGrid w:val="0"/>
        <w:spacing w:before="120" w:line="360" w:lineRule="auto"/>
        <w:ind w:left="-70" w:firstLine="480" w:firstLineChars="200"/>
        <w:rPr>
          <w:rFonts w:hAnsi="宋体" w:cs="宋体"/>
          <w:color w:val="auto"/>
          <w:sz w:val="24"/>
          <w:szCs w:val="24"/>
        </w:rPr>
      </w:pPr>
      <w:r>
        <w:rPr>
          <w:rFonts w:hint="eastAsia" w:hAnsi="宋体" w:cs="宋体"/>
          <w:bCs/>
          <w:color w:val="auto"/>
          <w:sz w:val="24"/>
          <w:szCs w:val="24"/>
        </w:rPr>
        <w:t>1</w:t>
      </w:r>
      <w:r>
        <w:rPr>
          <w:rFonts w:hint="eastAsia" w:hAnsi="宋体" w:cs="宋体"/>
          <w:color w:val="auto"/>
          <w:sz w:val="24"/>
          <w:szCs w:val="24"/>
        </w:rPr>
        <w:t>.当采购数量与实际使用数量不一致时，乙方应根据实际使用量供货，合同的最终结算金额按实际使用量乘以成交单价进行计算，但不得超出合同价的10%。</w:t>
      </w:r>
    </w:p>
    <w:p w14:paraId="3486617E">
      <w:pPr>
        <w:pStyle w:val="15"/>
        <w:snapToGrid w:val="0"/>
        <w:spacing w:before="120" w:line="360" w:lineRule="auto"/>
        <w:ind w:left="-70"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2.付款方式： </w:t>
      </w:r>
    </w:p>
    <w:p w14:paraId="138157E0">
      <w:pPr>
        <w:snapToGrid w:val="0"/>
        <w:spacing w:before="120" w:line="360" w:lineRule="auto"/>
        <w:ind w:left="-61" w:leftChars="-29" w:firstLine="590" w:firstLineChars="245"/>
        <w:rPr>
          <w:rFonts w:ascii="宋体" w:hAnsi="宋体" w:cs="宋体"/>
          <w:b/>
          <w:color w:val="auto"/>
          <w:sz w:val="24"/>
        </w:rPr>
      </w:pPr>
      <w:r>
        <w:rPr>
          <w:rFonts w:hint="eastAsia" w:ascii="宋体" w:hAnsi="宋体" w:cs="宋体"/>
          <w:b/>
          <w:color w:val="auto"/>
          <w:sz w:val="24"/>
        </w:rPr>
        <w:t>第九条　履约保证金</w:t>
      </w:r>
    </w:p>
    <w:p w14:paraId="736A77C6">
      <w:pPr>
        <w:pStyle w:val="15"/>
        <w:snapToGrid w:val="0"/>
        <w:spacing w:before="120" w:line="360" w:lineRule="auto"/>
        <w:ind w:left="-70" w:firstLine="480" w:firstLineChars="200"/>
        <w:rPr>
          <w:rFonts w:hint="eastAsia" w:hAnsi="宋体" w:eastAsia="宋体" w:cs="宋体"/>
          <w:color w:val="auto"/>
          <w:sz w:val="24"/>
          <w:szCs w:val="24"/>
          <w:lang w:eastAsia="zh-CN"/>
        </w:rPr>
      </w:pPr>
      <w:r>
        <w:rPr>
          <w:rFonts w:hint="eastAsia" w:hAnsi="宋体" w:cs="宋体"/>
          <w:color w:val="auto"/>
          <w:sz w:val="24"/>
          <w:szCs w:val="24"/>
        </w:rPr>
        <w:t>履约保证金：</w:t>
      </w:r>
    </w:p>
    <w:p w14:paraId="473F4806">
      <w:pPr>
        <w:snapToGrid w:val="0"/>
        <w:spacing w:before="120" w:line="360" w:lineRule="auto"/>
        <w:ind w:left="-70" w:firstLine="590"/>
        <w:rPr>
          <w:rFonts w:ascii="宋体" w:hAnsi="宋体" w:cs="宋体"/>
          <w:b/>
          <w:color w:val="auto"/>
          <w:sz w:val="24"/>
        </w:rPr>
      </w:pPr>
      <w:r>
        <w:rPr>
          <w:rFonts w:hint="eastAsia" w:ascii="宋体" w:hAnsi="宋体" w:cs="宋体"/>
          <w:b/>
          <w:color w:val="auto"/>
          <w:sz w:val="24"/>
        </w:rPr>
        <w:t>第十条  税费</w:t>
      </w:r>
    </w:p>
    <w:p w14:paraId="649192B6">
      <w:pPr>
        <w:snapToGrid w:val="0"/>
        <w:spacing w:before="120" w:line="360" w:lineRule="auto"/>
        <w:ind w:left="-70" w:firstLine="588"/>
        <w:rPr>
          <w:rFonts w:ascii="宋体" w:hAnsi="宋体" w:cs="宋体"/>
          <w:color w:val="auto"/>
          <w:sz w:val="24"/>
        </w:rPr>
      </w:pPr>
      <w:r>
        <w:rPr>
          <w:rFonts w:hint="eastAsia" w:ascii="宋体" w:hAnsi="宋体" w:cs="宋体"/>
          <w:color w:val="auto"/>
          <w:sz w:val="24"/>
        </w:rPr>
        <w:t>本合同执行中相关的一切税费均由乙方负担，合同另有约定的除外。</w:t>
      </w:r>
    </w:p>
    <w:p w14:paraId="00C006B2">
      <w:pPr>
        <w:snapToGrid w:val="0"/>
        <w:spacing w:before="120" w:line="360" w:lineRule="auto"/>
        <w:ind w:left="-70" w:firstLine="590"/>
        <w:rPr>
          <w:rFonts w:ascii="宋体" w:hAnsi="宋体" w:cs="宋体"/>
          <w:color w:val="auto"/>
          <w:sz w:val="24"/>
        </w:rPr>
      </w:pPr>
      <w:r>
        <w:rPr>
          <w:rFonts w:hint="eastAsia" w:ascii="宋体" w:hAnsi="宋体" w:cs="宋体"/>
          <w:b/>
          <w:color w:val="auto"/>
          <w:sz w:val="24"/>
        </w:rPr>
        <w:t>第十一条  质量保证及售后服务</w:t>
      </w:r>
    </w:p>
    <w:p w14:paraId="315261E9">
      <w:pPr>
        <w:pStyle w:val="15"/>
        <w:snapToGrid w:val="0"/>
        <w:spacing w:before="120" w:line="360" w:lineRule="auto"/>
        <w:ind w:left="-70" w:firstLine="480" w:firstLineChars="200"/>
        <w:rPr>
          <w:rFonts w:hAnsi="宋体" w:cs="宋体"/>
          <w:color w:val="auto"/>
          <w:sz w:val="24"/>
          <w:szCs w:val="24"/>
        </w:rPr>
      </w:pPr>
      <w:r>
        <w:rPr>
          <w:rFonts w:hint="eastAsia" w:hAnsi="宋体" w:cs="宋体"/>
          <w:bCs/>
          <w:color w:val="auto"/>
          <w:sz w:val="24"/>
          <w:szCs w:val="24"/>
        </w:rPr>
        <w:t>1.</w:t>
      </w:r>
      <w:r>
        <w:rPr>
          <w:rFonts w:hint="eastAsia" w:hAnsi="宋体" w:cs="宋体"/>
          <w:color w:val="auto"/>
          <w:sz w:val="24"/>
          <w:szCs w:val="24"/>
        </w:rPr>
        <w:t>乙方应按竞争性谈判文件规定的产品名称、商标品牌、生产厂家、规格型号、技术参数、质量标准向甲方提供未经使用的全新产品。不符合要求的，根据实际情况，经双方协商，可按以下办法处理：</w:t>
      </w:r>
    </w:p>
    <w:p w14:paraId="2BE2617D">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⑴更换：由乙方承担所发生的全部费用。</w:t>
      </w:r>
    </w:p>
    <w:p w14:paraId="3F3D752D">
      <w:pPr>
        <w:pStyle w:val="15"/>
        <w:snapToGrid w:val="0"/>
        <w:spacing w:before="120" w:line="360" w:lineRule="auto"/>
        <w:ind w:left="-70" w:firstLine="588"/>
        <w:rPr>
          <w:rFonts w:hAnsi="宋体" w:cs="宋体"/>
          <w:color w:val="auto"/>
          <w:sz w:val="24"/>
          <w:szCs w:val="24"/>
        </w:rPr>
      </w:pPr>
      <w:r>
        <w:rPr>
          <w:rFonts w:hint="eastAsia" w:hAnsi="宋体" w:cs="宋体"/>
          <w:color w:val="auto"/>
          <w:sz w:val="24"/>
          <w:szCs w:val="24"/>
        </w:rPr>
        <w:t>⑵贬值处理：由甲乙双方合议定价。</w:t>
      </w:r>
    </w:p>
    <w:p w14:paraId="15286F6E">
      <w:pPr>
        <w:pStyle w:val="15"/>
        <w:snapToGrid w:val="0"/>
        <w:spacing w:before="120" w:line="360" w:lineRule="auto"/>
        <w:ind w:left="-70" w:firstLine="588"/>
        <w:rPr>
          <w:rFonts w:hAnsi="宋体" w:cs="宋体"/>
          <w:color w:val="auto"/>
          <w:sz w:val="24"/>
          <w:szCs w:val="24"/>
        </w:rPr>
      </w:pPr>
      <w:r>
        <w:rPr>
          <w:rFonts w:hint="eastAsia" w:hAnsi="宋体" w:cs="宋体"/>
          <w:color w:val="auto"/>
          <w:sz w:val="24"/>
          <w:szCs w:val="24"/>
        </w:rPr>
        <w:t>⑶退货处理：乙方应退还甲方支付的合同款，同时应承担该货物的直接费用（运输、保险、检验、货款利息及银行手续费等）。</w:t>
      </w:r>
    </w:p>
    <w:p w14:paraId="76FE5C2D">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2.如在使用过程中发生质量问题，乙方在接到甲方通知后到达甲方现场处理的时间（</w:t>
      </w:r>
      <w:r>
        <w:rPr>
          <w:rFonts w:hint="eastAsia" w:hAnsi="宋体" w:cs="宋体"/>
          <w:color w:val="auto"/>
          <w:sz w:val="24"/>
          <w:szCs w:val="24"/>
          <w:u w:val="single"/>
        </w:rPr>
        <w:t>按响应文件承诺的数据填写</w:t>
      </w:r>
      <w:r>
        <w:rPr>
          <w:rFonts w:hint="eastAsia" w:hAnsi="宋体" w:cs="宋体"/>
          <w:color w:val="auto"/>
          <w:sz w:val="24"/>
          <w:szCs w:val="24"/>
        </w:rPr>
        <w:t>）小时内。</w:t>
      </w:r>
    </w:p>
    <w:p w14:paraId="1B2E0C82">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3.在保修期内，乙方应对货物出现的质量及安全问题负责处理解决并承担一切费用。</w:t>
      </w:r>
    </w:p>
    <w:p w14:paraId="20FDA578">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4.上述的货物保修期为</w:t>
      </w:r>
      <w:r>
        <w:rPr>
          <w:rFonts w:hint="eastAsia" w:ascii="宋体" w:hAnsi="宋体" w:cs="宋体"/>
          <w:color w:val="auto"/>
          <w:sz w:val="24"/>
          <w:u w:val="single"/>
        </w:rPr>
        <w:t xml:space="preserve">     </w:t>
      </w:r>
      <w:r>
        <w:rPr>
          <w:rFonts w:hint="eastAsia" w:ascii="宋体" w:hAnsi="宋体" w:cs="宋体"/>
          <w:color w:val="auto"/>
          <w:sz w:val="24"/>
        </w:rPr>
        <w:t>年，因人为因素出现的故障不在免费保修范围内。</w:t>
      </w:r>
    </w:p>
    <w:p w14:paraId="135C08ED">
      <w:pPr>
        <w:snapToGrid w:val="0"/>
        <w:spacing w:before="120" w:line="360" w:lineRule="auto"/>
        <w:ind w:left="-70" w:firstLine="590"/>
        <w:rPr>
          <w:rFonts w:ascii="宋体" w:hAnsi="宋体" w:cs="宋体"/>
          <w:color w:val="auto"/>
          <w:sz w:val="24"/>
        </w:rPr>
      </w:pPr>
      <w:r>
        <w:rPr>
          <w:rFonts w:hint="eastAsia" w:ascii="宋体" w:hAnsi="宋体" w:cs="宋体"/>
          <w:b/>
          <w:color w:val="auto"/>
          <w:sz w:val="24"/>
        </w:rPr>
        <w:t>第十二条  调试和验收（本条款适用于甲方自行验收，委托第三方验收的另行规定）</w:t>
      </w:r>
    </w:p>
    <w:p w14:paraId="7C2ED584">
      <w:pPr>
        <w:pStyle w:val="15"/>
        <w:snapToGrid w:val="0"/>
        <w:spacing w:before="120" w:line="360" w:lineRule="auto"/>
        <w:ind w:left="-70" w:firstLine="480" w:firstLineChars="200"/>
        <w:jc w:val="left"/>
        <w:rPr>
          <w:rFonts w:hAnsi="宋体" w:cs="宋体"/>
          <w:color w:val="auto"/>
          <w:sz w:val="24"/>
          <w:szCs w:val="24"/>
        </w:rPr>
      </w:pPr>
      <w:r>
        <w:rPr>
          <w:rFonts w:hint="eastAsia" w:hAnsi="宋体" w:cs="宋体"/>
          <w:color w:val="auto"/>
          <w:sz w:val="24"/>
          <w:szCs w:val="24"/>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14:paraId="6C440347">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2.乙方交货前应对产品作出全面检查和对验收文件进行整理，并列出清单，作为甲方收货验收和使用的技术条件依据，检验的结果应随货物交甲方。</w:t>
      </w:r>
    </w:p>
    <w:p w14:paraId="6C2CF023">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3.甲方对乙方提供的货物在使用前进行调试时，乙方需负责安装并培训甲方的使用操作人员，并协助甲方一起调试，直到符合技术要求，甲方才做最终验收。</w:t>
      </w:r>
    </w:p>
    <w:p w14:paraId="0BAF8152">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4.对技术复杂的货物，甲方应请国家认可的专业检测机构参与初步验收及最终验收，并由其出具质量检测报告。</w:t>
      </w:r>
    </w:p>
    <w:p w14:paraId="05BC3A2A">
      <w:pPr>
        <w:snapToGrid w:val="0"/>
        <w:spacing w:before="120" w:line="360" w:lineRule="auto"/>
        <w:ind w:left="-70" w:firstLine="588"/>
        <w:rPr>
          <w:rFonts w:ascii="宋体" w:hAnsi="宋体" w:cs="宋体"/>
          <w:color w:val="auto"/>
          <w:sz w:val="24"/>
        </w:rPr>
      </w:pPr>
      <w:r>
        <w:rPr>
          <w:rFonts w:hint="eastAsia" w:ascii="宋体" w:hAnsi="宋体" w:cs="宋体"/>
          <w:color w:val="auto"/>
          <w:sz w:val="24"/>
        </w:rPr>
        <w:t>5.验收时乙方必须在现场，验收完毕后作出验收结果报告；验收费用按竞争性谈判文件约定承担方负责。</w:t>
      </w:r>
    </w:p>
    <w:p w14:paraId="39D80623">
      <w:pPr>
        <w:pStyle w:val="15"/>
        <w:snapToGrid w:val="0"/>
        <w:spacing w:before="120" w:line="360" w:lineRule="auto"/>
        <w:ind w:left="-70" w:firstLine="472" w:firstLineChars="196"/>
        <w:rPr>
          <w:rFonts w:hAnsi="宋体" w:cs="宋体"/>
          <w:b/>
          <w:color w:val="auto"/>
          <w:sz w:val="24"/>
          <w:szCs w:val="24"/>
        </w:rPr>
      </w:pPr>
      <w:r>
        <w:rPr>
          <w:rFonts w:hint="eastAsia" w:hAnsi="宋体" w:cs="宋体"/>
          <w:b/>
          <w:color w:val="auto"/>
          <w:sz w:val="24"/>
          <w:szCs w:val="24"/>
        </w:rPr>
        <w:t>第十三条  货物包装、发运及运输</w:t>
      </w:r>
    </w:p>
    <w:p w14:paraId="1C5D453A">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1.乙方应在货物发运前对其进行满足运输距离、防潮、防震、防锈和防破损装卸等要求包装，以保证货物安全运达甲方指定地点。</w:t>
      </w:r>
    </w:p>
    <w:p w14:paraId="4D98C996">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2.使用说明书（货物属于进口产品的，供货时应同时附上中文使用说明书）、质量检验证明书、随配附件和工具以及清单一并附于货物内。</w:t>
      </w:r>
    </w:p>
    <w:p w14:paraId="0EBA1719">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3.乙方在货物发运手续办理完毕后二十四小时内或者货到甲方四十八小时前通知甲方，以准备接货。</w:t>
      </w:r>
    </w:p>
    <w:p w14:paraId="192E3FF5">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4.货物在交付甲方前发生的风险均由乙方负责。</w:t>
      </w:r>
    </w:p>
    <w:p w14:paraId="0C2243E0">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5.货物在规定的交付期限内由乙方送达甲方指定的地点视为交付，乙方同时需通知甲方货物已送达。</w:t>
      </w:r>
    </w:p>
    <w:p w14:paraId="4121A000">
      <w:pPr>
        <w:snapToGrid w:val="0"/>
        <w:spacing w:before="120" w:line="360" w:lineRule="auto"/>
        <w:ind w:left="-70" w:firstLine="482" w:firstLineChars="200"/>
        <w:rPr>
          <w:rFonts w:ascii="宋体" w:hAnsi="宋体" w:cs="宋体"/>
          <w:b/>
          <w:color w:val="auto"/>
          <w:sz w:val="24"/>
        </w:rPr>
      </w:pPr>
      <w:r>
        <w:rPr>
          <w:rFonts w:hint="eastAsia" w:ascii="宋体" w:hAnsi="宋体" w:cs="宋体"/>
          <w:b/>
          <w:color w:val="auto"/>
          <w:sz w:val="24"/>
        </w:rPr>
        <w:t>第十四条　违约责任</w:t>
      </w:r>
    </w:p>
    <w:p w14:paraId="4A78C65F">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4216AD8D">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2.乙方提供的货物如侵犯了第三方合法权益而引发的任何纠纷或者诉讼，均由乙方负责交涉并承担全部责任。</w:t>
      </w:r>
    </w:p>
    <w:p w14:paraId="697B045B">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3.因包装、运输引起的货物损坏，按质量不合格处罚。</w:t>
      </w:r>
    </w:p>
    <w:p w14:paraId="2CA10846">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4.甲方无故延期接收货物、乙方逾期交货的，每天向对方偿付违约货款额3‰违约金，但违约金累计不得超过违约货款额5%，超过</w:t>
      </w:r>
      <w:r>
        <w:rPr>
          <w:rFonts w:hint="eastAsia" w:hAnsi="宋体" w:cs="宋体"/>
          <w:color w:val="auto"/>
          <w:sz w:val="24"/>
          <w:szCs w:val="24"/>
          <w:u w:val="single"/>
        </w:rPr>
        <w:t xml:space="preserve">   </w:t>
      </w:r>
      <w:r>
        <w:rPr>
          <w:rFonts w:hint="eastAsia" w:hAnsi="宋体" w:cs="宋体"/>
          <w:color w:val="auto"/>
          <w:sz w:val="24"/>
          <w:szCs w:val="24"/>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1AC9E039">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5.乙方未按本合同和响应文件中规定的服务承诺提供售后服务的，乙方应按本合同合计金额 5%向甲方支付违约金。</w:t>
      </w:r>
    </w:p>
    <w:p w14:paraId="61C4F174">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6.乙方提供的货物在保修期内，因设计、工艺或者材料的缺陷和其它质量原因造成的问题，由乙方负责，费用从余款或者履约保证金中扣除，不足另补。</w:t>
      </w:r>
    </w:p>
    <w:p w14:paraId="2046F1AB">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7.甲乙双方有其它违约行为的，由违约方向对方支付违约内容涉及货款额的5%，违约内容涉及货款额的5%不足以赔偿经济损失的按实际赔偿。</w:t>
      </w:r>
    </w:p>
    <w:p w14:paraId="7B221F86">
      <w:pPr>
        <w:pStyle w:val="15"/>
        <w:snapToGrid w:val="0"/>
        <w:spacing w:before="120" w:line="360" w:lineRule="auto"/>
        <w:ind w:left="-70" w:firstLine="472" w:firstLineChars="196"/>
        <w:rPr>
          <w:rFonts w:hAnsi="宋体" w:cs="宋体"/>
          <w:b/>
          <w:color w:val="auto"/>
          <w:sz w:val="24"/>
          <w:szCs w:val="24"/>
        </w:rPr>
      </w:pPr>
      <w:r>
        <w:rPr>
          <w:rFonts w:hint="eastAsia" w:hAnsi="宋体" w:cs="宋体"/>
          <w:b/>
          <w:color w:val="auto"/>
          <w:sz w:val="24"/>
          <w:szCs w:val="24"/>
        </w:rPr>
        <w:t>第十五条  不可抗力事件处理</w:t>
      </w:r>
    </w:p>
    <w:p w14:paraId="7DFF5AFB">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1.在合同有效期内，任何一方因不可抗力事件导致不能履行合同，则合同履行期可延长，其延长期与不可抗力影响期相同。</w:t>
      </w:r>
    </w:p>
    <w:p w14:paraId="6A4184B0">
      <w:pPr>
        <w:pStyle w:val="15"/>
        <w:snapToGrid w:val="0"/>
        <w:spacing w:before="120" w:line="360" w:lineRule="auto"/>
        <w:ind w:left="-70" w:firstLine="480" w:firstLineChars="200"/>
        <w:rPr>
          <w:rFonts w:hAnsi="宋体" w:cs="宋体"/>
          <w:color w:val="auto"/>
          <w:sz w:val="24"/>
          <w:szCs w:val="24"/>
        </w:rPr>
      </w:pPr>
      <w:r>
        <w:rPr>
          <w:rFonts w:hint="eastAsia" w:hAnsi="宋体" w:cs="宋体"/>
          <w:color w:val="auto"/>
          <w:sz w:val="24"/>
          <w:szCs w:val="24"/>
        </w:rPr>
        <w:t>2.不可抗力事件发生后，应立即通知对方，并寄送有关权威机构出具的证明。</w:t>
      </w:r>
    </w:p>
    <w:p w14:paraId="06862DE7">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3.不可抗力事件延续一百二十天以上，双方应通过友好协商，确定是否继续履行合同。</w:t>
      </w:r>
    </w:p>
    <w:p w14:paraId="1E4F68AB">
      <w:pPr>
        <w:snapToGrid w:val="0"/>
        <w:spacing w:before="120" w:line="360" w:lineRule="auto"/>
        <w:ind w:left="-70" w:firstLine="482" w:firstLineChars="200"/>
        <w:rPr>
          <w:rFonts w:ascii="宋体" w:hAnsi="宋体" w:cs="宋体"/>
          <w:color w:val="auto"/>
          <w:sz w:val="24"/>
        </w:rPr>
      </w:pPr>
      <w:r>
        <w:rPr>
          <w:rFonts w:hint="eastAsia" w:ascii="宋体" w:hAnsi="宋体" w:cs="宋体"/>
          <w:b/>
          <w:color w:val="auto"/>
          <w:sz w:val="24"/>
        </w:rPr>
        <w:t>第十六条  合同争议解决</w:t>
      </w:r>
    </w:p>
    <w:p w14:paraId="0AFDF269">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1.因货物质量问题发生争议的，应邀请国家认可的质量检测机构对货物质量进行鉴定。货物符合标准的，鉴定费由甲方承担；货物不符合标准的，鉴定费由乙方承担。</w:t>
      </w:r>
    </w:p>
    <w:p w14:paraId="3177B37E">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2.因履行本合同引起的或者与本合同有关的争议，甲乙双方应首先通过友好协商解决，如果协商不能解决，可向甲方所在地人民法院提起诉讼。</w:t>
      </w:r>
    </w:p>
    <w:p w14:paraId="7F189BCE">
      <w:pPr>
        <w:snapToGrid w:val="0"/>
        <w:spacing w:before="120" w:line="360" w:lineRule="auto"/>
        <w:ind w:left="-70" w:firstLine="588"/>
        <w:rPr>
          <w:rFonts w:ascii="宋体" w:hAnsi="宋体" w:cs="宋体"/>
          <w:color w:val="auto"/>
          <w:sz w:val="24"/>
        </w:rPr>
      </w:pPr>
      <w:r>
        <w:rPr>
          <w:rFonts w:hint="eastAsia" w:ascii="宋体" w:hAnsi="宋体" w:cs="宋体"/>
          <w:color w:val="auto"/>
          <w:sz w:val="24"/>
        </w:rPr>
        <w:t>3.诉讼期间，本合同继续履行。</w:t>
      </w:r>
    </w:p>
    <w:p w14:paraId="6C5E6421">
      <w:pPr>
        <w:pStyle w:val="15"/>
        <w:snapToGrid w:val="0"/>
        <w:spacing w:before="120" w:line="360" w:lineRule="auto"/>
        <w:ind w:left="-70" w:firstLine="472" w:firstLineChars="196"/>
        <w:rPr>
          <w:rFonts w:hAnsi="宋体" w:cs="宋体"/>
          <w:b/>
          <w:color w:val="auto"/>
          <w:sz w:val="24"/>
          <w:szCs w:val="24"/>
        </w:rPr>
      </w:pPr>
      <w:r>
        <w:rPr>
          <w:rFonts w:hint="eastAsia" w:hAnsi="宋体" w:cs="宋体"/>
          <w:b/>
          <w:color w:val="auto"/>
          <w:sz w:val="24"/>
          <w:szCs w:val="24"/>
        </w:rPr>
        <w:t>第十七条  合同生效及其它</w:t>
      </w:r>
    </w:p>
    <w:p w14:paraId="74B1EAA4">
      <w:pPr>
        <w:pStyle w:val="15"/>
        <w:snapToGrid w:val="0"/>
        <w:spacing w:before="120" w:line="360" w:lineRule="auto"/>
        <w:ind w:left="-70" w:firstLine="482" w:firstLineChars="200"/>
        <w:rPr>
          <w:rFonts w:hAnsi="宋体" w:cs="宋体"/>
          <w:b/>
          <w:color w:val="auto"/>
          <w:sz w:val="24"/>
          <w:szCs w:val="24"/>
        </w:rPr>
      </w:pPr>
      <w:r>
        <w:rPr>
          <w:rFonts w:hint="eastAsia" w:hAnsi="宋体" w:cs="宋体"/>
          <w:b/>
          <w:color w:val="auto"/>
          <w:sz w:val="24"/>
          <w:szCs w:val="24"/>
        </w:rPr>
        <w:t>1. 合同经双方法定代表人或者委托代理人签字并加盖单位公章后生效（委托代理人签字的需后附授权委托书，格式自拟）。</w:t>
      </w:r>
    </w:p>
    <w:p w14:paraId="1F78E797">
      <w:pPr>
        <w:pStyle w:val="15"/>
        <w:snapToGrid w:val="0"/>
        <w:spacing w:before="120" w:line="360" w:lineRule="auto"/>
        <w:ind w:left="-70" w:firstLine="482" w:firstLineChars="200"/>
        <w:rPr>
          <w:rFonts w:hAnsi="宋体" w:cs="宋体"/>
          <w:b/>
          <w:color w:val="auto"/>
          <w:sz w:val="24"/>
          <w:szCs w:val="24"/>
        </w:rPr>
      </w:pPr>
      <w:r>
        <w:rPr>
          <w:rFonts w:hint="eastAsia" w:hAnsi="宋体" w:cs="宋体"/>
          <w:b/>
          <w:color w:val="auto"/>
          <w:sz w:val="24"/>
          <w:szCs w:val="24"/>
        </w:rPr>
        <w:t>2.合同执行中涉及采购资金和采购内容修改或者补充的，须经财政部门审批，并签书面补充协议报财政部门备案，方可作为主合同不可分割的一部分。</w:t>
      </w:r>
    </w:p>
    <w:p w14:paraId="33A2D298">
      <w:pPr>
        <w:pStyle w:val="15"/>
        <w:snapToGrid w:val="0"/>
        <w:spacing w:before="120" w:line="360" w:lineRule="auto"/>
        <w:ind w:left="283" w:leftChars="135" w:firstLine="590"/>
        <w:rPr>
          <w:rFonts w:hAnsi="宋体" w:cs="宋体"/>
          <w:b/>
          <w:color w:val="auto"/>
          <w:sz w:val="24"/>
          <w:szCs w:val="24"/>
        </w:rPr>
      </w:pPr>
      <w:r>
        <w:rPr>
          <w:rFonts w:hint="eastAsia" w:hAnsi="宋体" w:cs="宋体"/>
          <w:b/>
          <w:color w:val="auto"/>
          <w:sz w:val="24"/>
          <w:szCs w:val="24"/>
        </w:rPr>
        <w:t>3.本合同未尽事宜，遵照《中华人民共和国民法典》有关条文执行。</w:t>
      </w:r>
    </w:p>
    <w:p w14:paraId="674A3A19">
      <w:pPr>
        <w:snapToGrid w:val="0"/>
        <w:spacing w:before="120" w:line="360" w:lineRule="auto"/>
        <w:ind w:left="-70" w:firstLine="482" w:firstLineChars="200"/>
        <w:rPr>
          <w:rFonts w:ascii="宋体" w:hAnsi="宋体" w:cs="宋体"/>
          <w:b/>
          <w:color w:val="auto"/>
          <w:sz w:val="24"/>
        </w:rPr>
      </w:pPr>
      <w:r>
        <w:rPr>
          <w:rFonts w:hint="eastAsia" w:ascii="宋体" w:hAnsi="宋体" w:cs="宋体"/>
          <w:b/>
          <w:color w:val="auto"/>
          <w:sz w:val="24"/>
        </w:rPr>
        <w:t>第十八条　合同的变更、终止与转让</w:t>
      </w:r>
    </w:p>
    <w:p w14:paraId="21BB47BC">
      <w:pPr>
        <w:snapToGrid w:val="0"/>
        <w:spacing w:before="120" w:line="360" w:lineRule="auto"/>
        <w:ind w:left="-70" w:firstLine="480" w:firstLineChars="200"/>
        <w:rPr>
          <w:rFonts w:ascii="宋体" w:hAnsi="宋体" w:cs="宋体"/>
          <w:color w:val="auto"/>
          <w:sz w:val="24"/>
        </w:rPr>
      </w:pPr>
      <w:r>
        <w:rPr>
          <w:rFonts w:hint="eastAsia" w:ascii="宋体" w:hAnsi="宋体" w:cs="宋体"/>
          <w:color w:val="auto"/>
          <w:sz w:val="24"/>
        </w:rPr>
        <w:t>1.除《中华人民共和国政府采购法》第五十条规定的情形外，本合同一经签订，甲乙双方不得擅自变更、中止或者终止。</w:t>
      </w:r>
    </w:p>
    <w:p w14:paraId="0D6552B6">
      <w:pPr>
        <w:snapToGrid w:val="0"/>
        <w:spacing w:before="120" w:line="360" w:lineRule="auto"/>
        <w:ind w:left="-70" w:firstLine="588"/>
        <w:rPr>
          <w:rFonts w:ascii="宋体" w:hAnsi="宋体" w:cs="宋体"/>
          <w:color w:val="auto"/>
          <w:sz w:val="24"/>
        </w:rPr>
      </w:pPr>
      <w:r>
        <w:rPr>
          <w:rFonts w:hint="eastAsia" w:ascii="宋体" w:hAnsi="宋体" w:cs="宋体"/>
          <w:color w:val="auto"/>
          <w:sz w:val="24"/>
        </w:rPr>
        <w:t>2.乙方不得擅自转让（无进口资格的供应商委托进口货物除外）其应履行的合同义务。</w:t>
      </w:r>
    </w:p>
    <w:p w14:paraId="01059EF6">
      <w:pPr>
        <w:snapToGrid w:val="0"/>
        <w:spacing w:before="120" w:line="360" w:lineRule="auto"/>
        <w:ind w:left="-70" w:firstLine="482" w:firstLineChars="200"/>
        <w:rPr>
          <w:rFonts w:ascii="宋体" w:hAnsi="宋体" w:cs="宋体"/>
          <w:b/>
          <w:color w:val="auto"/>
          <w:sz w:val="24"/>
        </w:rPr>
      </w:pPr>
      <w:r>
        <w:rPr>
          <w:rFonts w:hint="eastAsia" w:ascii="宋体" w:hAnsi="宋体" w:cs="宋体"/>
          <w:b/>
          <w:color w:val="auto"/>
          <w:sz w:val="24"/>
        </w:rPr>
        <w:t>第十九条　</w:t>
      </w:r>
      <w:r>
        <w:rPr>
          <w:rFonts w:hint="eastAsia" w:ascii="宋体" w:hAnsi="宋体" w:cs="宋体"/>
          <w:b/>
          <w:bCs/>
          <w:color w:val="auto"/>
          <w:kern w:val="0"/>
          <w:sz w:val="24"/>
        </w:rPr>
        <w:t>本合同书与下列文件一起构成合同文件</w:t>
      </w:r>
    </w:p>
    <w:p w14:paraId="0778E4C0">
      <w:pPr>
        <w:pStyle w:val="15"/>
        <w:snapToGrid w:val="0"/>
        <w:spacing w:before="120" w:line="360" w:lineRule="auto"/>
        <w:ind w:left="420" w:leftChars="200"/>
        <w:rPr>
          <w:rFonts w:hAnsi="宋体" w:cs="宋体"/>
          <w:color w:val="auto"/>
          <w:sz w:val="24"/>
          <w:szCs w:val="24"/>
        </w:rPr>
      </w:pPr>
      <w:r>
        <w:rPr>
          <w:rFonts w:hint="eastAsia" w:hAnsi="宋体" w:cs="宋体"/>
          <w:color w:val="auto"/>
          <w:sz w:val="24"/>
          <w:szCs w:val="24"/>
        </w:rPr>
        <w:t>1.成交通知书；</w:t>
      </w:r>
    </w:p>
    <w:p w14:paraId="4D64F162">
      <w:pPr>
        <w:pStyle w:val="15"/>
        <w:snapToGrid w:val="0"/>
        <w:spacing w:before="120" w:line="360" w:lineRule="auto"/>
        <w:ind w:left="420" w:leftChars="200"/>
        <w:rPr>
          <w:rFonts w:hAnsi="宋体" w:cs="宋体"/>
          <w:color w:val="auto"/>
          <w:sz w:val="24"/>
          <w:szCs w:val="24"/>
        </w:rPr>
      </w:pPr>
      <w:r>
        <w:rPr>
          <w:rFonts w:hint="eastAsia" w:hAnsi="宋体" w:cs="宋体"/>
          <w:color w:val="auto"/>
          <w:sz w:val="24"/>
          <w:szCs w:val="24"/>
        </w:rPr>
        <w:t>2.商务要求偏离表和技术要求偏离表；</w:t>
      </w:r>
    </w:p>
    <w:p w14:paraId="60CB669F">
      <w:pPr>
        <w:pStyle w:val="15"/>
        <w:snapToGrid w:val="0"/>
        <w:spacing w:before="120" w:line="360" w:lineRule="auto"/>
        <w:ind w:left="420" w:leftChars="200"/>
        <w:rPr>
          <w:rFonts w:hAnsi="宋体" w:cs="宋体"/>
          <w:color w:val="auto"/>
          <w:sz w:val="24"/>
          <w:szCs w:val="24"/>
        </w:rPr>
      </w:pPr>
      <w:r>
        <w:rPr>
          <w:rFonts w:hint="eastAsia" w:hAnsi="宋体" w:cs="宋体"/>
          <w:color w:val="auto"/>
          <w:sz w:val="24"/>
          <w:szCs w:val="24"/>
        </w:rPr>
        <w:t>3.竞标报价表；</w:t>
      </w:r>
    </w:p>
    <w:p w14:paraId="2036AB27">
      <w:pPr>
        <w:pStyle w:val="15"/>
        <w:snapToGrid w:val="0"/>
        <w:spacing w:before="120" w:line="360" w:lineRule="auto"/>
        <w:ind w:left="420" w:leftChars="200"/>
        <w:rPr>
          <w:rFonts w:hAnsi="宋体" w:cs="宋体"/>
          <w:color w:val="auto"/>
          <w:sz w:val="24"/>
          <w:szCs w:val="24"/>
        </w:rPr>
      </w:pPr>
      <w:r>
        <w:rPr>
          <w:rFonts w:hint="eastAsia" w:hAnsi="宋体" w:cs="宋体"/>
          <w:color w:val="auto"/>
          <w:sz w:val="24"/>
          <w:szCs w:val="24"/>
        </w:rPr>
        <w:t>4.其他合同文件。</w:t>
      </w:r>
    </w:p>
    <w:p w14:paraId="10F898C5">
      <w:pPr>
        <w:pStyle w:val="15"/>
        <w:snapToGrid w:val="0"/>
        <w:spacing w:before="120" w:line="360" w:lineRule="auto"/>
        <w:ind w:left="-70" w:firstLine="424" w:firstLineChars="177"/>
        <w:rPr>
          <w:rFonts w:hAnsi="宋体" w:cs="宋体"/>
          <w:b/>
          <w:color w:val="auto"/>
          <w:sz w:val="24"/>
          <w:szCs w:val="24"/>
        </w:rPr>
      </w:pPr>
      <w:r>
        <w:rPr>
          <w:rFonts w:hint="eastAsia" w:hAnsi="宋体" w:cs="宋体"/>
          <w:color w:val="auto"/>
          <w:sz w:val="24"/>
          <w:szCs w:val="24"/>
        </w:rPr>
        <w:t>5.上述合同文件互相补充和解释。如果合同文件之间存在矛盾或者不一致之处，以上述文件的排列顺序在先者为准。</w:t>
      </w:r>
    </w:p>
    <w:p w14:paraId="14EA0BBF">
      <w:pPr>
        <w:pStyle w:val="15"/>
        <w:snapToGrid w:val="0"/>
        <w:spacing w:before="120" w:line="360" w:lineRule="auto"/>
        <w:ind w:left="-70" w:firstLine="426" w:firstLineChars="177"/>
        <w:rPr>
          <w:rFonts w:hint="eastAsia" w:ascii="宋体" w:hAnsi="宋体" w:eastAsia="宋体" w:cs="宋体"/>
          <w:color w:val="auto"/>
          <w:sz w:val="24"/>
          <w:szCs w:val="24"/>
        </w:rPr>
      </w:pPr>
      <w:r>
        <w:rPr>
          <w:rFonts w:hint="eastAsia" w:ascii="宋体" w:hAnsi="宋体" w:cs="宋体"/>
          <w:b/>
          <w:color w:val="auto"/>
          <w:sz w:val="24"/>
        </w:rPr>
        <w:t>第二十条　</w:t>
      </w:r>
      <w:r>
        <w:rPr>
          <w:rFonts w:hint="eastAsia" w:ascii="宋体" w:hAnsi="宋体" w:eastAsia="宋体" w:cs="宋体"/>
          <w:color w:val="auto"/>
          <w:sz w:val="24"/>
          <w:szCs w:val="24"/>
        </w:rPr>
        <w:t>本合同一式四份，具有同等法律效力，财政部门（政府采购监管部门）、采购代理机构各一份，甲乙双方各一份（可根据需要另增加）。</w:t>
      </w:r>
    </w:p>
    <w:p w14:paraId="4F4AFBDA">
      <w:pPr>
        <w:pStyle w:val="15"/>
        <w:snapToGrid w:val="0"/>
        <w:spacing w:before="120" w:line="360" w:lineRule="auto"/>
        <w:ind w:left="-70" w:firstLine="424" w:firstLineChars="177"/>
        <w:rPr>
          <w:rFonts w:hint="eastAsia" w:ascii="宋体" w:hAnsi="宋体" w:eastAsia="宋体" w:cs="宋体"/>
          <w:color w:val="auto"/>
          <w:sz w:val="24"/>
          <w:szCs w:val="24"/>
        </w:rPr>
      </w:pPr>
      <w:r>
        <w:rPr>
          <w:rFonts w:hint="eastAsia" w:ascii="宋体" w:hAnsi="宋体" w:eastAsia="宋体" w:cs="宋体"/>
          <w:color w:val="auto"/>
          <w:sz w:val="24"/>
          <w:szCs w:val="24"/>
        </w:rPr>
        <w:t>本合同甲乙双方签字盖章后生效，自签订之日起七个工作日内，甲方应当将合同副本报同级财政部门备案。</w:t>
      </w:r>
    </w:p>
    <w:p w14:paraId="000C3836">
      <w:pPr>
        <w:pStyle w:val="15"/>
        <w:snapToGrid w:val="0"/>
        <w:spacing w:before="120" w:line="360" w:lineRule="auto"/>
        <w:ind w:left="-70" w:firstLine="424" w:firstLineChars="177"/>
        <w:rPr>
          <w:rFonts w:ascii="宋体" w:hAnsi="宋体" w:cs="宋体"/>
          <w:color w:val="auto"/>
          <w:sz w:val="24"/>
        </w:rPr>
      </w:pPr>
      <w:r>
        <w:rPr>
          <w:rFonts w:hint="eastAsia" w:ascii="宋体" w:hAnsi="宋体" w:eastAsia="宋体" w:cs="宋体"/>
          <w:color w:val="auto"/>
          <w:sz w:val="24"/>
          <w:szCs w:val="24"/>
        </w:rPr>
        <w:t>本合同自签订之日起2个工作日内，甲方应当将采购合同在广西壮族自治区财政厅指定的媒体上公告。</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F22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A2C95B9">
            <w:pPr>
              <w:snapToGrid w:val="0"/>
              <w:spacing w:before="120" w:line="360" w:lineRule="auto"/>
              <w:ind w:left="-70"/>
              <w:rPr>
                <w:rFonts w:ascii="宋体" w:hAnsi="宋体"/>
                <w:color w:val="auto"/>
                <w:sz w:val="24"/>
              </w:rPr>
            </w:pPr>
            <w:r>
              <w:rPr>
                <w:rFonts w:hint="eastAsia" w:ascii="宋体" w:hAnsi="宋体"/>
                <w:color w:val="auto"/>
                <w:sz w:val="24"/>
              </w:rPr>
              <w:t xml:space="preserve">甲方（章）           </w:t>
            </w:r>
          </w:p>
          <w:p w14:paraId="1440255E">
            <w:pPr>
              <w:snapToGrid w:val="0"/>
              <w:spacing w:before="120" w:line="360" w:lineRule="auto"/>
              <w:ind w:left="-70"/>
              <w:rPr>
                <w:rFonts w:ascii="宋体" w:hAnsi="宋体"/>
                <w:color w:val="auto"/>
                <w:sz w:val="24"/>
              </w:rPr>
            </w:pPr>
          </w:p>
          <w:p w14:paraId="55FFD23B">
            <w:pPr>
              <w:snapToGrid w:val="0"/>
              <w:spacing w:before="120" w:line="360" w:lineRule="auto"/>
              <w:ind w:left="-70" w:firstLine="1080" w:firstLineChars="450"/>
              <w:jc w:val="right"/>
              <w:rPr>
                <w:rFonts w:ascii="宋体" w:hAnsi="宋体"/>
                <w:color w:val="auto"/>
                <w:sz w:val="24"/>
              </w:rPr>
            </w:pPr>
            <w:r>
              <w:rPr>
                <w:rFonts w:hint="eastAsia" w:ascii="宋体" w:hAnsi="宋体"/>
                <w:color w:val="auto"/>
                <w:sz w:val="24"/>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3A018595">
            <w:pPr>
              <w:snapToGrid w:val="0"/>
              <w:spacing w:before="120" w:line="360" w:lineRule="auto"/>
              <w:ind w:left="-70"/>
              <w:rPr>
                <w:rFonts w:ascii="宋体" w:hAnsi="宋体"/>
                <w:color w:val="auto"/>
                <w:sz w:val="24"/>
              </w:rPr>
            </w:pPr>
            <w:r>
              <w:rPr>
                <w:rFonts w:hint="eastAsia" w:ascii="宋体" w:hAnsi="宋体"/>
                <w:color w:val="auto"/>
                <w:sz w:val="24"/>
              </w:rPr>
              <w:t xml:space="preserve">乙方（章）              </w:t>
            </w:r>
          </w:p>
          <w:p w14:paraId="0AF6A4A7">
            <w:pPr>
              <w:snapToGrid w:val="0"/>
              <w:spacing w:before="120" w:line="360" w:lineRule="auto"/>
              <w:ind w:left="-70"/>
              <w:rPr>
                <w:rFonts w:ascii="宋体" w:hAnsi="宋体"/>
                <w:color w:val="auto"/>
                <w:sz w:val="24"/>
              </w:rPr>
            </w:pPr>
          </w:p>
          <w:p w14:paraId="28DF9619">
            <w:pPr>
              <w:snapToGrid w:val="0"/>
              <w:spacing w:before="120" w:line="360" w:lineRule="auto"/>
              <w:ind w:left="-70"/>
              <w:jc w:val="right"/>
              <w:rPr>
                <w:rFonts w:ascii="宋体" w:hAnsi="宋体"/>
                <w:color w:val="auto"/>
                <w:sz w:val="24"/>
              </w:rPr>
            </w:pPr>
            <w:r>
              <w:rPr>
                <w:rFonts w:hint="eastAsia" w:ascii="宋体" w:hAnsi="宋体"/>
                <w:color w:val="auto"/>
                <w:sz w:val="24"/>
              </w:rPr>
              <w:t xml:space="preserve"> 年   月   日</w:t>
            </w:r>
          </w:p>
        </w:tc>
      </w:tr>
      <w:tr w14:paraId="7E70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0C177F5">
            <w:pPr>
              <w:snapToGrid w:val="0"/>
              <w:spacing w:before="120" w:line="360" w:lineRule="auto"/>
              <w:ind w:left="-70"/>
              <w:rPr>
                <w:rFonts w:ascii="宋体" w:hAnsi="宋体"/>
                <w:color w:val="auto"/>
                <w:sz w:val="24"/>
              </w:rPr>
            </w:pPr>
            <w:r>
              <w:rPr>
                <w:rFonts w:hint="eastAsia" w:ascii="宋体" w:hAnsi="宋体"/>
                <w:color w:val="auto"/>
                <w:sz w:val="24"/>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71D3C78A">
            <w:pPr>
              <w:snapToGrid w:val="0"/>
              <w:spacing w:before="120" w:line="360" w:lineRule="auto"/>
              <w:ind w:left="-70"/>
              <w:rPr>
                <w:rFonts w:ascii="宋体" w:hAnsi="宋体"/>
                <w:color w:val="auto"/>
                <w:sz w:val="24"/>
              </w:rPr>
            </w:pPr>
            <w:r>
              <w:rPr>
                <w:rFonts w:hint="eastAsia" w:ascii="宋体" w:hAnsi="宋体"/>
                <w:color w:val="auto"/>
                <w:sz w:val="24"/>
              </w:rPr>
              <w:t>单位地址：</w:t>
            </w:r>
          </w:p>
        </w:tc>
      </w:tr>
      <w:tr w14:paraId="2B3A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Borders>
              <w:top w:val="single" w:color="auto" w:sz="4" w:space="0"/>
              <w:left w:val="single" w:color="auto" w:sz="4" w:space="0"/>
              <w:bottom w:val="single" w:color="auto" w:sz="4" w:space="0"/>
              <w:right w:val="single" w:color="auto" w:sz="4" w:space="0"/>
            </w:tcBorders>
          </w:tcPr>
          <w:p w14:paraId="3C1FF5D9">
            <w:pPr>
              <w:snapToGrid w:val="0"/>
              <w:spacing w:before="120" w:line="360" w:lineRule="auto"/>
              <w:ind w:left="-70"/>
              <w:rPr>
                <w:rFonts w:ascii="宋体" w:hAnsi="宋体"/>
                <w:color w:val="auto"/>
                <w:sz w:val="24"/>
              </w:rPr>
            </w:pPr>
            <w:r>
              <w:rPr>
                <w:rFonts w:hint="eastAsia" w:ascii="宋体" w:hAnsi="宋体"/>
                <w:color w:val="auto"/>
                <w:sz w:val="24"/>
              </w:rPr>
              <w:t>法定代表人或者委托代理人：</w:t>
            </w:r>
          </w:p>
        </w:tc>
        <w:tc>
          <w:tcPr>
            <w:tcW w:w="4517" w:type="dxa"/>
            <w:tcBorders>
              <w:top w:val="single" w:color="auto" w:sz="4" w:space="0"/>
              <w:left w:val="single" w:color="auto" w:sz="4" w:space="0"/>
              <w:bottom w:val="single" w:color="auto" w:sz="4" w:space="0"/>
              <w:right w:val="single" w:color="auto" w:sz="4" w:space="0"/>
            </w:tcBorders>
          </w:tcPr>
          <w:p w14:paraId="36A99076">
            <w:pPr>
              <w:snapToGrid w:val="0"/>
              <w:spacing w:before="120" w:line="360" w:lineRule="auto"/>
              <w:ind w:left="-70"/>
              <w:rPr>
                <w:rFonts w:ascii="宋体" w:hAnsi="宋体"/>
                <w:color w:val="auto"/>
                <w:sz w:val="24"/>
              </w:rPr>
            </w:pPr>
            <w:r>
              <w:rPr>
                <w:rFonts w:hint="eastAsia" w:ascii="宋体" w:hAnsi="宋体"/>
                <w:color w:val="auto"/>
                <w:sz w:val="24"/>
              </w:rPr>
              <w:t>法定代表人或者委托代理人：</w:t>
            </w:r>
          </w:p>
        </w:tc>
      </w:tr>
      <w:tr w14:paraId="6027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B1A8C32">
            <w:pPr>
              <w:snapToGrid w:val="0"/>
              <w:spacing w:before="120" w:line="360" w:lineRule="auto"/>
              <w:ind w:left="-70"/>
              <w:rPr>
                <w:rFonts w:ascii="宋体" w:hAnsi="宋体"/>
                <w:color w:val="auto"/>
                <w:sz w:val="24"/>
              </w:rPr>
            </w:pPr>
            <w:r>
              <w:rPr>
                <w:rFonts w:hint="eastAsia" w:ascii="宋体" w:hAnsi="宋体"/>
                <w:color w:val="auto"/>
                <w:sz w:val="24"/>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1AAA93A3">
            <w:pPr>
              <w:snapToGrid w:val="0"/>
              <w:spacing w:before="120" w:line="360" w:lineRule="auto"/>
              <w:ind w:left="-70"/>
              <w:rPr>
                <w:rFonts w:ascii="宋体" w:hAnsi="宋体"/>
                <w:color w:val="auto"/>
                <w:sz w:val="24"/>
              </w:rPr>
            </w:pPr>
            <w:r>
              <w:rPr>
                <w:rFonts w:hint="eastAsia" w:ascii="宋体" w:hAnsi="宋体"/>
                <w:color w:val="auto"/>
                <w:sz w:val="24"/>
              </w:rPr>
              <w:t>电话：</w:t>
            </w:r>
          </w:p>
        </w:tc>
      </w:tr>
      <w:tr w14:paraId="53D5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043F844B">
            <w:pPr>
              <w:snapToGrid w:val="0"/>
              <w:spacing w:before="120" w:line="360" w:lineRule="auto"/>
              <w:ind w:left="-70"/>
              <w:rPr>
                <w:rFonts w:ascii="宋体" w:hAnsi="宋体"/>
                <w:color w:val="auto"/>
                <w:sz w:val="24"/>
              </w:rPr>
            </w:pPr>
            <w:r>
              <w:rPr>
                <w:rFonts w:hint="eastAsia" w:ascii="宋体" w:hAnsi="宋体"/>
                <w:color w:val="auto"/>
                <w:sz w:val="24"/>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3106EBB4">
            <w:pPr>
              <w:snapToGrid w:val="0"/>
              <w:spacing w:before="120" w:line="360" w:lineRule="auto"/>
              <w:ind w:left="-70"/>
              <w:rPr>
                <w:rFonts w:ascii="宋体" w:hAnsi="宋体"/>
                <w:color w:val="auto"/>
                <w:sz w:val="24"/>
              </w:rPr>
            </w:pPr>
            <w:r>
              <w:rPr>
                <w:rFonts w:hint="eastAsia" w:ascii="宋体" w:hAnsi="宋体"/>
                <w:color w:val="auto"/>
                <w:sz w:val="24"/>
              </w:rPr>
              <w:t>电子邮箱：</w:t>
            </w:r>
          </w:p>
        </w:tc>
      </w:tr>
      <w:tr w14:paraId="2A4A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BFDAD24">
            <w:pPr>
              <w:snapToGrid w:val="0"/>
              <w:spacing w:before="120" w:line="360" w:lineRule="auto"/>
              <w:ind w:left="-70"/>
              <w:rPr>
                <w:rFonts w:ascii="宋体" w:hAnsi="宋体"/>
                <w:color w:val="auto"/>
                <w:sz w:val="24"/>
              </w:rPr>
            </w:pPr>
            <w:r>
              <w:rPr>
                <w:rFonts w:hint="eastAsia" w:ascii="宋体" w:hAnsi="宋体"/>
                <w:color w:val="auto"/>
                <w:sz w:val="24"/>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3D413A65">
            <w:pPr>
              <w:snapToGrid w:val="0"/>
              <w:spacing w:before="120" w:line="360" w:lineRule="auto"/>
              <w:ind w:left="-70"/>
              <w:rPr>
                <w:rFonts w:ascii="宋体" w:hAnsi="宋体"/>
                <w:color w:val="auto"/>
                <w:sz w:val="24"/>
              </w:rPr>
            </w:pPr>
            <w:r>
              <w:rPr>
                <w:rFonts w:hint="eastAsia" w:ascii="宋体" w:hAnsi="宋体"/>
                <w:color w:val="auto"/>
                <w:sz w:val="24"/>
              </w:rPr>
              <w:t>开户银行：</w:t>
            </w:r>
          </w:p>
        </w:tc>
      </w:tr>
      <w:tr w14:paraId="221F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A0F47BC">
            <w:pPr>
              <w:snapToGrid w:val="0"/>
              <w:spacing w:before="120" w:line="360" w:lineRule="auto"/>
              <w:ind w:left="-70"/>
              <w:rPr>
                <w:rFonts w:ascii="宋体" w:hAnsi="宋体"/>
                <w:color w:val="auto"/>
                <w:sz w:val="24"/>
              </w:rPr>
            </w:pPr>
            <w:r>
              <w:rPr>
                <w:rFonts w:hint="eastAsia" w:ascii="宋体" w:hAnsi="宋体"/>
                <w:color w:val="auto"/>
                <w:sz w:val="24"/>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6D3FA72D">
            <w:pPr>
              <w:snapToGrid w:val="0"/>
              <w:spacing w:before="120" w:line="360" w:lineRule="auto"/>
              <w:ind w:left="-70"/>
              <w:rPr>
                <w:rFonts w:ascii="宋体" w:hAnsi="宋体"/>
                <w:color w:val="auto"/>
                <w:sz w:val="24"/>
              </w:rPr>
            </w:pPr>
            <w:r>
              <w:rPr>
                <w:rFonts w:hint="eastAsia" w:ascii="宋体" w:hAnsi="宋体"/>
                <w:color w:val="auto"/>
                <w:sz w:val="24"/>
              </w:rPr>
              <w:t>账号：</w:t>
            </w:r>
          </w:p>
        </w:tc>
      </w:tr>
      <w:tr w14:paraId="4A8A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23767495">
            <w:pPr>
              <w:snapToGrid w:val="0"/>
              <w:spacing w:before="120" w:line="360" w:lineRule="auto"/>
              <w:ind w:left="-70"/>
              <w:rPr>
                <w:rFonts w:ascii="宋体" w:hAnsi="宋体"/>
                <w:color w:val="auto"/>
                <w:sz w:val="24"/>
              </w:rPr>
            </w:pPr>
            <w:r>
              <w:rPr>
                <w:rFonts w:hint="eastAsia" w:ascii="宋体" w:hAnsi="宋体"/>
                <w:color w:val="auto"/>
                <w:sz w:val="24"/>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7F430F3E">
            <w:pPr>
              <w:snapToGrid w:val="0"/>
              <w:spacing w:before="120" w:line="360" w:lineRule="auto"/>
              <w:ind w:left="-70"/>
              <w:rPr>
                <w:rFonts w:ascii="宋体" w:hAnsi="宋体"/>
                <w:color w:val="auto"/>
                <w:sz w:val="24"/>
              </w:rPr>
            </w:pPr>
            <w:r>
              <w:rPr>
                <w:rFonts w:hint="eastAsia" w:ascii="宋体" w:hAnsi="宋体"/>
                <w:color w:val="auto"/>
                <w:sz w:val="24"/>
              </w:rPr>
              <w:t>邮政编码：</w:t>
            </w:r>
          </w:p>
        </w:tc>
      </w:tr>
    </w:tbl>
    <w:p w14:paraId="3810BCE2">
      <w:pPr>
        <w:snapToGrid w:val="0"/>
        <w:spacing w:before="120" w:line="360" w:lineRule="auto"/>
        <w:ind w:left="-70"/>
        <w:rPr>
          <w:rFonts w:ascii="宋体" w:hAnsi="宋体"/>
          <w:color w:val="auto"/>
          <w:sz w:val="24"/>
        </w:rPr>
      </w:pPr>
    </w:p>
    <w:p w14:paraId="79F80D24">
      <w:pPr>
        <w:snapToGrid w:val="0"/>
        <w:spacing w:before="120" w:line="400" w:lineRule="exact"/>
        <w:ind w:left="-70" w:right="480" w:firstLine="5250" w:firstLineChars="2500"/>
        <w:rPr>
          <w:rFonts w:ascii="宋体" w:hAnsi="宋体"/>
          <w:bCs/>
          <w:color w:val="auto"/>
          <w:szCs w:val="21"/>
        </w:rPr>
      </w:pPr>
    </w:p>
    <w:sectPr>
      <w:footerReference r:id="rId5" w:type="first"/>
      <w:pgSz w:w="11910" w:h="16840"/>
      <w:pgMar w:top="1134" w:right="1134" w:bottom="1134" w:left="1134" w:header="850" w:footer="56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DC0BD">
    <w:pPr>
      <w:pStyle w:val="19"/>
      <w:jc w:val="center"/>
    </w:pPr>
    <w:r>
      <w:fldChar w:fldCharType="begin"/>
    </w:r>
    <w:r>
      <w:instrText xml:space="preserve"> PAGE   \* MERGEFORMAT </w:instrText>
    </w:r>
    <w:r>
      <w:fldChar w:fldCharType="separate"/>
    </w:r>
    <w:r>
      <w:rPr>
        <w:lang w:val="zh-CN"/>
      </w:rPr>
      <w:t>30</w:t>
    </w:r>
    <w:r>
      <w:rPr>
        <w:lang w:val="zh-CN"/>
      </w:rPr>
      <w:fldChar w:fldCharType="end"/>
    </w:r>
  </w:p>
  <w:p w14:paraId="47AC432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684A9">
    <w:pPr>
      <w:pStyle w:val="19"/>
      <w:spacing w:before="120"/>
      <w:ind w:left="-70" w:firstLine="4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48FC20B">
                          <w:pPr>
                            <w:pStyle w:val="1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PH6EkwKAgAAFQQAAA4AAAAAAAAAAQAgAAAAHgEAAGRy&#10;cy9lMm9Eb2MueG1sUEsFBgAAAAAGAAYAWQEAAJoFAAAAAA==&#10;">
              <v:fill on="f" focussize="0,0"/>
              <v:stroke on="f"/>
              <v:imagedata o:title=""/>
              <o:lock v:ext="edit" aspectratio="f"/>
              <v:textbox inset="0mm,0mm,0mm,0mm" style="mso-fit-shape-to-text:t;">
                <w:txbxContent>
                  <w:p w14:paraId="248FC20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E03B">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65B49"/>
    <w:multiLevelType w:val="singleLevel"/>
    <w:tmpl w:val="9FB65B49"/>
    <w:lvl w:ilvl="0" w:tentative="0">
      <w:start w:val="1"/>
      <w:numFmt w:val="decimal"/>
      <w:suff w:val="nothing"/>
      <w:lvlText w:val="%1、"/>
      <w:lvlJc w:val="left"/>
    </w:lvl>
  </w:abstractNum>
  <w:abstractNum w:abstractNumId="1">
    <w:nsid w:val="2A646790"/>
    <w:multiLevelType w:val="multilevel"/>
    <w:tmpl w:val="2A646790"/>
    <w:lvl w:ilvl="0" w:tentative="0">
      <w:start w:val="1"/>
      <w:numFmt w:val="decimal"/>
      <w:pStyle w:val="70"/>
      <w:lvlText w:val="%1."/>
      <w:lvlJc w:val="left"/>
      <w:pPr>
        <w:tabs>
          <w:tab w:val="left" w:pos="1224"/>
        </w:tabs>
        <w:ind w:left="1224" w:hanging="1224"/>
      </w:pPr>
    </w:lvl>
    <w:lvl w:ilvl="1" w:tentative="0">
      <w:start w:val="1"/>
      <w:numFmt w:val="decimal"/>
      <w:pStyle w:val="68"/>
      <w:lvlText w:val="%1.%2"/>
      <w:lvlJc w:val="left"/>
      <w:pPr>
        <w:tabs>
          <w:tab w:val="left" w:pos="1224"/>
        </w:tabs>
        <w:ind w:left="1224" w:hanging="1224"/>
      </w:pPr>
      <w:rPr>
        <w:sz w:val="24"/>
        <w:szCs w:val="24"/>
      </w:rPr>
    </w:lvl>
    <w:lvl w:ilvl="2" w:tentative="0">
      <w:start w:val="1"/>
      <w:numFmt w:val="decimal"/>
      <w:pStyle w:val="69"/>
      <w:lvlText w:val="%1.%2.%3"/>
      <w:lvlJc w:val="left"/>
      <w:pPr>
        <w:tabs>
          <w:tab w:val="left" w:pos="1224"/>
        </w:tabs>
        <w:ind w:left="1224" w:hanging="1224"/>
      </w:pPr>
      <w:rPr>
        <w:rFonts w:hint="default" w:ascii="Arial Narrow" w:hAnsi="Arial Narrow" w:eastAsia="仿宋_GB2312"/>
        <w:sz w:val="24"/>
        <w:szCs w:val="24"/>
      </w:rPr>
    </w:lvl>
    <w:lvl w:ilvl="3" w:tentative="0">
      <w:start w:val="1"/>
      <w:numFmt w:val="decimal"/>
      <w:lvlText w:val="%1.%2.%3.%4."/>
      <w:lvlJc w:val="left"/>
      <w:pPr>
        <w:tabs>
          <w:tab w:val="left" w:pos="1225"/>
        </w:tabs>
        <w:ind w:left="1225" w:hanging="1225"/>
      </w:pPr>
      <w:rPr>
        <w:sz w:val="24"/>
        <w:szCs w:val="24"/>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231BA90"/>
    <w:multiLevelType w:val="singleLevel"/>
    <w:tmpl w:val="4231BA90"/>
    <w:lvl w:ilvl="0" w:tentative="0">
      <w:start w:val="1"/>
      <w:numFmt w:val="decimal"/>
      <w:suff w:val="nothing"/>
      <w:lvlText w:val="%1、"/>
      <w:lvlJc w:val="left"/>
    </w:lvl>
  </w:abstractNum>
  <w:abstractNum w:abstractNumId="3">
    <w:nsid w:val="46362018"/>
    <w:multiLevelType w:val="singleLevel"/>
    <w:tmpl w:val="46362018"/>
    <w:lvl w:ilvl="0" w:tentative="0">
      <w:start w:val="2"/>
      <w:numFmt w:val="decimal"/>
      <w:lvlText w:val="%1."/>
      <w:lvlJc w:val="left"/>
      <w:pPr>
        <w:tabs>
          <w:tab w:val="left" w:pos="312"/>
        </w:tabs>
        <w:ind w:left="420" w:firstLine="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hideSpellingErrors/>
  <w:documentProtection w:edit="forms" w:enforcement="1" w:cryptProviderType="rsaFull" w:cryptAlgorithmClass="hash" w:cryptAlgorithmType="typeAny" w:cryptAlgorithmSid="4" w:cryptSpinCount="0" w:hash="62cfOXQbbmNa74uGdxzNzDIyDjg=" w:salt="KRXCYTIPWO053BwferuD+g=="/>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DBhNDk4YWQ4MzFjN2Q1NGQxYjU1MGRkYjRjNTQifQ=="/>
  </w:docVars>
  <w:rsids>
    <w:rsidRoot w:val="00F34B14"/>
    <w:rsid w:val="00000672"/>
    <w:rsid w:val="00001799"/>
    <w:rsid w:val="000022D9"/>
    <w:rsid w:val="00002450"/>
    <w:rsid w:val="00002D29"/>
    <w:rsid w:val="000040C5"/>
    <w:rsid w:val="00004A8A"/>
    <w:rsid w:val="0000574C"/>
    <w:rsid w:val="00005E55"/>
    <w:rsid w:val="00005FDF"/>
    <w:rsid w:val="00006586"/>
    <w:rsid w:val="000065BA"/>
    <w:rsid w:val="0001045D"/>
    <w:rsid w:val="00010D39"/>
    <w:rsid w:val="000112BB"/>
    <w:rsid w:val="0001149B"/>
    <w:rsid w:val="0001172C"/>
    <w:rsid w:val="00012854"/>
    <w:rsid w:val="00012EA6"/>
    <w:rsid w:val="000139DC"/>
    <w:rsid w:val="00013D8C"/>
    <w:rsid w:val="00013DFE"/>
    <w:rsid w:val="00013F03"/>
    <w:rsid w:val="000141EA"/>
    <w:rsid w:val="00014385"/>
    <w:rsid w:val="000159F6"/>
    <w:rsid w:val="00016960"/>
    <w:rsid w:val="00017396"/>
    <w:rsid w:val="000177DB"/>
    <w:rsid w:val="00020227"/>
    <w:rsid w:val="000203E4"/>
    <w:rsid w:val="00020455"/>
    <w:rsid w:val="00022731"/>
    <w:rsid w:val="00022792"/>
    <w:rsid w:val="000242CE"/>
    <w:rsid w:val="00025382"/>
    <w:rsid w:val="00025636"/>
    <w:rsid w:val="00025E36"/>
    <w:rsid w:val="00026627"/>
    <w:rsid w:val="00026886"/>
    <w:rsid w:val="00030496"/>
    <w:rsid w:val="000329E0"/>
    <w:rsid w:val="000333A0"/>
    <w:rsid w:val="000352E9"/>
    <w:rsid w:val="00036A07"/>
    <w:rsid w:val="00036E33"/>
    <w:rsid w:val="00037E2D"/>
    <w:rsid w:val="00040571"/>
    <w:rsid w:val="0004156E"/>
    <w:rsid w:val="00041597"/>
    <w:rsid w:val="0004440C"/>
    <w:rsid w:val="00045880"/>
    <w:rsid w:val="000462CB"/>
    <w:rsid w:val="00046B5E"/>
    <w:rsid w:val="0004783A"/>
    <w:rsid w:val="00047C2F"/>
    <w:rsid w:val="000509D9"/>
    <w:rsid w:val="0005398D"/>
    <w:rsid w:val="000552A6"/>
    <w:rsid w:val="00055D41"/>
    <w:rsid w:val="00057CEC"/>
    <w:rsid w:val="00060DCE"/>
    <w:rsid w:val="000623B4"/>
    <w:rsid w:val="00062666"/>
    <w:rsid w:val="000634A7"/>
    <w:rsid w:val="00063E85"/>
    <w:rsid w:val="00063F81"/>
    <w:rsid w:val="00064847"/>
    <w:rsid w:val="0006484B"/>
    <w:rsid w:val="000673E2"/>
    <w:rsid w:val="000703B6"/>
    <w:rsid w:val="000711E4"/>
    <w:rsid w:val="000719F9"/>
    <w:rsid w:val="00072AED"/>
    <w:rsid w:val="00073F47"/>
    <w:rsid w:val="00075B7E"/>
    <w:rsid w:val="00077C70"/>
    <w:rsid w:val="00080B57"/>
    <w:rsid w:val="00081BA3"/>
    <w:rsid w:val="00081D2E"/>
    <w:rsid w:val="0008267B"/>
    <w:rsid w:val="00082D02"/>
    <w:rsid w:val="00083B91"/>
    <w:rsid w:val="0008520B"/>
    <w:rsid w:val="000871B8"/>
    <w:rsid w:val="00087DB6"/>
    <w:rsid w:val="000913BE"/>
    <w:rsid w:val="000918F8"/>
    <w:rsid w:val="00092442"/>
    <w:rsid w:val="0009588E"/>
    <w:rsid w:val="000959EE"/>
    <w:rsid w:val="00095B51"/>
    <w:rsid w:val="00097DA0"/>
    <w:rsid w:val="000A0D6B"/>
    <w:rsid w:val="000A1389"/>
    <w:rsid w:val="000A166E"/>
    <w:rsid w:val="000A2B0E"/>
    <w:rsid w:val="000A398F"/>
    <w:rsid w:val="000A509C"/>
    <w:rsid w:val="000A6007"/>
    <w:rsid w:val="000A65A6"/>
    <w:rsid w:val="000A7275"/>
    <w:rsid w:val="000A7A12"/>
    <w:rsid w:val="000A7CA5"/>
    <w:rsid w:val="000B039A"/>
    <w:rsid w:val="000B1801"/>
    <w:rsid w:val="000B1D0C"/>
    <w:rsid w:val="000B2D03"/>
    <w:rsid w:val="000B3815"/>
    <w:rsid w:val="000B3C7B"/>
    <w:rsid w:val="000B6C95"/>
    <w:rsid w:val="000C0C58"/>
    <w:rsid w:val="000C1679"/>
    <w:rsid w:val="000C2F89"/>
    <w:rsid w:val="000C30BB"/>
    <w:rsid w:val="000C366E"/>
    <w:rsid w:val="000C4635"/>
    <w:rsid w:val="000C548E"/>
    <w:rsid w:val="000C5698"/>
    <w:rsid w:val="000C6DE4"/>
    <w:rsid w:val="000C716B"/>
    <w:rsid w:val="000D01EB"/>
    <w:rsid w:val="000D056E"/>
    <w:rsid w:val="000D0675"/>
    <w:rsid w:val="000D0A89"/>
    <w:rsid w:val="000D1389"/>
    <w:rsid w:val="000D1798"/>
    <w:rsid w:val="000D1A2A"/>
    <w:rsid w:val="000D2626"/>
    <w:rsid w:val="000D2B7D"/>
    <w:rsid w:val="000D4A06"/>
    <w:rsid w:val="000D73DD"/>
    <w:rsid w:val="000D7D9B"/>
    <w:rsid w:val="000E18E2"/>
    <w:rsid w:val="000E28AB"/>
    <w:rsid w:val="000E28C1"/>
    <w:rsid w:val="000E2E3E"/>
    <w:rsid w:val="000E33C5"/>
    <w:rsid w:val="000E3583"/>
    <w:rsid w:val="000E3AF0"/>
    <w:rsid w:val="000E3D53"/>
    <w:rsid w:val="000E4E04"/>
    <w:rsid w:val="000E684C"/>
    <w:rsid w:val="000E6EC9"/>
    <w:rsid w:val="000E70B4"/>
    <w:rsid w:val="000F3281"/>
    <w:rsid w:val="000F3733"/>
    <w:rsid w:val="000F4D88"/>
    <w:rsid w:val="000F64AA"/>
    <w:rsid w:val="000F7AF4"/>
    <w:rsid w:val="000F7C33"/>
    <w:rsid w:val="000F7F0C"/>
    <w:rsid w:val="00100246"/>
    <w:rsid w:val="001004D6"/>
    <w:rsid w:val="00100D90"/>
    <w:rsid w:val="00101A74"/>
    <w:rsid w:val="00103918"/>
    <w:rsid w:val="00104889"/>
    <w:rsid w:val="00104897"/>
    <w:rsid w:val="00104D7E"/>
    <w:rsid w:val="00104EDE"/>
    <w:rsid w:val="00105AA1"/>
    <w:rsid w:val="00106BEE"/>
    <w:rsid w:val="00110339"/>
    <w:rsid w:val="00110C92"/>
    <w:rsid w:val="00113134"/>
    <w:rsid w:val="00113AC0"/>
    <w:rsid w:val="00114851"/>
    <w:rsid w:val="00115E11"/>
    <w:rsid w:val="00115F56"/>
    <w:rsid w:val="001171C9"/>
    <w:rsid w:val="00117CBD"/>
    <w:rsid w:val="0012006A"/>
    <w:rsid w:val="00120990"/>
    <w:rsid w:val="001217B5"/>
    <w:rsid w:val="00121979"/>
    <w:rsid w:val="00122064"/>
    <w:rsid w:val="00125004"/>
    <w:rsid w:val="00125D94"/>
    <w:rsid w:val="001263B8"/>
    <w:rsid w:val="00126763"/>
    <w:rsid w:val="00130217"/>
    <w:rsid w:val="00130783"/>
    <w:rsid w:val="00130990"/>
    <w:rsid w:val="001312CB"/>
    <w:rsid w:val="00132B47"/>
    <w:rsid w:val="00132E64"/>
    <w:rsid w:val="001351CB"/>
    <w:rsid w:val="001359A2"/>
    <w:rsid w:val="00135E37"/>
    <w:rsid w:val="00136020"/>
    <w:rsid w:val="00136445"/>
    <w:rsid w:val="00140132"/>
    <w:rsid w:val="00141C9C"/>
    <w:rsid w:val="001434BE"/>
    <w:rsid w:val="0014479F"/>
    <w:rsid w:val="001452B4"/>
    <w:rsid w:val="00146EC6"/>
    <w:rsid w:val="001478D2"/>
    <w:rsid w:val="00151C48"/>
    <w:rsid w:val="00152A87"/>
    <w:rsid w:val="00154486"/>
    <w:rsid w:val="00156C92"/>
    <w:rsid w:val="00156D0E"/>
    <w:rsid w:val="00156DD9"/>
    <w:rsid w:val="0016086E"/>
    <w:rsid w:val="00160D0C"/>
    <w:rsid w:val="00160F79"/>
    <w:rsid w:val="00161172"/>
    <w:rsid w:val="0016139E"/>
    <w:rsid w:val="00161E65"/>
    <w:rsid w:val="00162597"/>
    <w:rsid w:val="001629AF"/>
    <w:rsid w:val="0016428A"/>
    <w:rsid w:val="001647C9"/>
    <w:rsid w:val="001661A3"/>
    <w:rsid w:val="0016782B"/>
    <w:rsid w:val="00173256"/>
    <w:rsid w:val="001733E1"/>
    <w:rsid w:val="00173F74"/>
    <w:rsid w:val="00175086"/>
    <w:rsid w:val="00175BA6"/>
    <w:rsid w:val="0017617F"/>
    <w:rsid w:val="00176CA7"/>
    <w:rsid w:val="001778C5"/>
    <w:rsid w:val="00177E56"/>
    <w:rsid w:val="00177F0A"/>
    <w:rsid w:val="0018357F"/>
    <w:rsid w:val="00185617"/>
    <w:rsid w:val="00186ADE"/>
    <w:rsid w:val="0019171E"/>
    <w:rsid w:val="0019220F"/>
    <w:rsid w:val="001928B1"/>
    <w:rsid w:val="00194ED5"/>
    <w:rsid w:val="00195424"/>
    <w:rsid w:val="001955FF"/>
    <w:rsid w:val="00197EDD"/>
    <w:rsid w:val="001A02B3"/>
    <w:rsid w:val="001A04BB"/>
    <w:rsid w:val="001A08D0"/>
    <w:rsid w:val="001A14B1"/>
    <w:rsid w:val="001A1B39"/>
    <w:rsid w:val="001A2492"/>
    <w:rsid w:val="001A2E69"/>
    <w:rsid w:val="001A3C34"/>
    <w:rsid w:val="001A3EDE"/>
    <w:rsid w:val="001A4222"/>
    <w:rsid w:val="001A50EA"/>
    <w:rsid w:val="001A5E24"/>
    <w:rsid w:val="001A6D8B"/>
    <w:rsid w:val="001B079E"/>
    <w:rsid w:val="001B0CDA"/>
    <w:rsid w:val="001B0E26"/>
    <w:rsid w:val="001B125A"/>
    <w:rsid w:val="001B1EBA"/>
    <w:rsid w:val="001B2142"/>
    <w:rsid w:val="001B26CF"/>
    <w:rsid w:val="001B2F2B"/>
    <w:rsid w:val="001B327A"/>
    <w:rsid w:val="001B35DE"/>
    <w:rsid w:val="001B3A13"/>
    <w:rsid w:val="001B59FF"/>
    <w:rsid w:val="001B636D"/>
    <w:rsid w:val="001B65D7"/>
    <w:rsid w:val="001B6752"/>
    <w:rsid w:val="001B6768"/>
    <w:rsid w:val="001B6F1F"/>
    <w:rsid w:val="001B7ECC"/>
    <w:rsid w:val="001C25A7"/>
    <w:rsid w:val="001C318C"/>
    <w:rsid w:val="001C4287"/>
    <w:rsid w:val="001C4479"/>
    <w:rsid w:val="001C76B7"/>
    <w:rsid w:val="001C76FB"/>
    <w:rsid w:val="001D2764"/>
    <w:rsid w:val="001D2DAD"/>
    <w:rsid w:val="001D324F"/>
    <w:rsid w:val="001D3697"/>
    <w:rsid w:val="001D51DE"/>
    <w:rsid w:val="001D540E"/>
    <w:rsid w:val="001D58A1"/>
    <w:rsid w:val="001D5A8A"/>
    <w:rsid w:val="001D735E"/>
    <w:rsid w:val="001D73C8"/>
    <w:rsid w:val="001D74D4"/>
    <w:rsid w:val="001D756D"/>
    <w:rsid w:val="001D778C"/>
    <w:rsid w:val="001D7E1F"/>
    <w:rsid w:val="001E0756"/>
    <w:rsid w:val="001E0A8D"/>
    <w:rsid w:val="001E0FFB"/>
    <w:rsid w:val="001E129E"/>
    <w:rsid w:val="001E2B9F"/>
    <w:rsid w:val="001E30C0"/>
    <w:rsid w:val="001E4A8D"/>
    <w:rsid w:val="001E5A94"/>
    <w:rsid w:val="001E7648"/>
    <w:rsid w:val="001F127B"/>
    <w:rsid w:val="001F2A2E"/>
    <w:rsid w:val="001F3B72"/>
    <w:rsid w:val="001F3C63"/>
    <w:rsid w:val="001F4460"/>
    <w:rsid w:val="001F5DAF"/>
    <w:rsid w:val="001F637C"/>
    <w:rsid w:val="001F6B6C"/>
    <w:rsid w:val="001F711A"/>
    <w:rsid w:val="001F75B0"/>
    <w:rsid w:val="001F7686"/>
    <w:rsid w:val="00200CE5"/>
    <w:rsid w:val="002014DB"/>
    <w:rsid w:val="00201E12"/>
    <w:rsid w:val="00202AEC"/>
    <w:rsid w:val="002031E2"/>
    <w:rsid w:val="002033B5"/>
    <w:rsid w:val="0020382C"/>
    <w:rsid w:val="0020437A"/>
    <w:rsid w:val="00204B5F"/>
    <w:rsid w:val="0020532C"/>
    <w:rsid w:val="00205D23"/>
    <w:rsid w:val="0021064F"/>
    <w:rsid w:val="002114C7"/>
    <w:rsid w:val="00212756"/>
    <w:rsid w:val="0021302C"/>
    <w:rsid w:val="00213045"/>
    <w:rsid w:val="00213483"/>
    <w:rsid w:val="00213B1C"/>
    <w:rsid w:val="00214202"/>
    <w:rsid w:val="002146F3"/>
    <w:rsid w:val="002148E3"/>
    <w:rsid w:val="00215373"/>
    <w:rsid w:val="0021552D"/>
    <w:rsid w:val="002156AE"/>
    <w:rsid w:val="00217861"/>
    <w:rsid w:val="0022054D"/>
    <w:rsid w:val="002225FA"/>
    <w:rsid w:val="00224DE1"/>
    <w:rsid w:val="002255B2"/>
    <w:rsid w:val="00225664"/>
    <w:rsid w:val="002269DC"/>
    <w:rsid w:val="002270BB"/>
    <w:rsid w:val="00227F2D"/>
    <w:rsid w:val="00231851"/>
    <w:rsid w:val="002319FB"/>
    <w:rsid w:val="00231B89"/>
    <w:rsid w:val="00231B8E"/>
    <w:rsid w:val="002355BE"/>
    <w:rsid w:val="00236DE9"/>
    <w:rsid w:val="00237D5A"/>
    <w:rsid w:val="00241300"/>
    <w:rsid w:val="00241D3C"/>
    <w:rsid w:val="002439AB"/>
    <w:rsid w:val="002450D5"/>
    <w:rsid w:val="00245587"/>
    <w:rsid w:val="00245F2B"/>
    <w:rsid w:val="00246F95"/>
    <w:rsid w:val="00247676"/>
    <w:rsid w:val="00247F3A"/>
    <w:rsid w:val="00250122"/>
    <w:rsid w:val="00250755"/>
    <w:rsid w:val="00250AE3"/>
    <w:rsid w:val="00251C4A"/>
    <w:rsid w:val="0025271C"/>
    <w:rsid w:val="00252A91"/>
    <w:rsid w:val="002533CD"/>
    <w:rsid w:val="002544C1"/>
    <w:rsid w:val="00254EAB"/>
    <w:rsid w:val="002557AF"/>
    <w:rsid w:val="00256474"/>
    <w:rsid w:val="002566B1"/>
    <w:rsid w:val="002575E3"/>
    <w:rsid w:val="002603C1"/>
    <w:rsid w:val="002609A1"/>
    <w:rsid w:val="002612B1"/>
    <w:rsid w:val="0026130D"/>
    <w:rsid w:val="00266165"/>
    <w:rsid w:val="002677CC"/>
    <w:rsid w:val="0026782A"/>
    <w:rsid w:val="0027125E"/>
    <w:rsid w:val="00271767"/>
    <w:rsid w:val="002719C1"/>
    <w:rsid w:val="00272293"/>
    <w:rsid w:val="002723C8"/>
    <w:rsid w:val="00273CBE"/>
    <w:rsid w:val="002802D7"/>
    <w:rsid w:val="0028232C"/>
    <w:rsid w:val="002827F1"/>
    <w:rsid w:val="00282EC3"/>
    <w:rsid w:val="002835B0"/>
    <w:rsid w:val="0028407E"/>
    <w:rsid w:val="0028410F"/>
    <w:rsid w:val="002854BF"/>
    <w:rsid w:val="00286603"/>
    <w:rsid w:val="00286A98"/>
    <w:rsid w:val="00286FB5"/>
    <w:rsid w:val="00287763"/>
    <w:rsid w:val="00290606"/>
    <w:rsid w:val="00290F9D"/>
    <w:rsid w:val="002918A7"/>
    <w:rsid w:val="00291D6D"/>
    <w:rsid w:val="00291FF1"/>
    <w:rsid w:val="002923F6"/>
    <w:rsid w:val="00293361"/>
    <w:rsid w:val="00294AE8"/>
    <w:rsid w:val="00295287"/>
    <w:rsid w:val="002952B1"/>
    <w:rsid w:val="00295D11"/>
    <w:rsid w:val="00295FA0"/>
    <w:rsid w:val="00296703"/>
    <w:rsid w:val="00297A7A"/>
    <w:rsid w:val="002A0620"/>
    <w:rsid w:val="002A0C3A"/>
    <w:rsid w:val="002A1130"/>
    <w:rsid w:val="002A14D3"/>
    <w:rsid w:val="002A1880"/>
    <w:rsid w:val="002A1D47"/>
    <w:rsid w:val="002A23B7"/>
    <w:rsid w:val="002A3A57"/>
    <w:rsid w:val="002A6D22"/>
    <w:rsid w:val="002A6DEF"/>
    <w:rsid w:val="002A7411"/>
    <w:rsid w:val="002A7C24"/>
    <w:rsid w:val="002B013E"/>
    <w:rsid w:val="002B058D"/>
    <w:rsid w:val="002B0C16"/>
    <w:rsid w:val="002B11C9"/>
    <w:rsid w:val="002B169E"/>
    <w:rsid w:val="002B2621"/>
    <w:rsid w:val="002B2AC5"/>
    <w:rsid w:val="002B3528"/>
    <w:rsid w:val="002B3539"/>
    <w:rsid w:val="002B3B2B"/>
    <w:rsid w:val="002B6D17"/>
    <w:rsid w:val="002B6E71"/>
    <w:rsid w:val="002B7169"/>
    <w:rsid w:val="002C0C1C"/>
    <w:rsid w:val="002C184E"/>
    <w:rsid w:val="002C54C2"/>
    <w:rsid w:val="002C5D34"/>
    <w:rsid w:val="002C5EA7"/>
    <w:rsid w:val="002C661A"/>
    <w:rsid w:val="002C7C6E"/>
    <w:rsid w:val="002D0AF5"/>
    <w:rsid w:val="002D1C54"/>
    <w:rsid w:val="002D1FAA"/>
    <w:rsid w:val="002D2231"/>
    <w:rsid w:val="002D25FC"/>
    <w:rsid w:val="002D318B"/>
    <w:rsid w:val="002D3380"/>
    <w:rsid w:val="002D44D6"/>
    <w:rsid w:val="002D4925"/>
    <w:rsid w:val="002D4AC6"/>
    <w:rsid w:val="002D5C7B"/>
    <w:rsid w:val="002D6DFC"/>
    <w:rsid w:val="002D7648"/>
    <w:rsid w:val="002D7909"/>
    <w:rsid w:val="002E109C"/>
    <w:rsid w:val="002E115E"/>
    <w:rsid w:val="002E1439"/>
    <w:rsid w:val="002E193E"/>
    <w:rsid w:val="002E1D76"/>
    <w:rsid w:val="002E243C"/>
    <w:rsid w:val="002E26C4"/>
    <w:rsid w:val="002E33E9"/>
    <w:rsid w:val="002E4B37"/>
    <w:rsid w:val="002E4BF9"/>
    <w:rsid w:val="002E6F5B"/>
    <w:rsid w:val="002F1549"/>
    <w:rsid w:val="002F16DD"/>
    <w:rsid w:val="002F199D"/>
    <w:rsid w:val="002F23B2"/>
    <w:rsid w:val="002F3C94"/>
    <w:rsid w:val="002F4084"/>
    <w:rsid w:val="002F4672"/>
    <w:rsid w:val="002F4A08"/>
    <w:rsid w:val="002F4ADB"/>
    <w:rsid w:val="002F531E"/>
    <w:rsid w:val="002F5ACC"/>
    <w:rsid w:val="002F6C2C"/>
    <w:rsid w:val="002F704B"/>
    <w:rsid w:val="002F72C3"/>
    <w:rsid w:val="002F768C"/>
    <w:rsid w:val="002F7D1E"/>
    <w:rsid w:val="00301839"/>
    <w:rsid w:val="00302929"/>
    <w:rsid w:val="00302F0F"/>
    <w:rsid w:val="00303243"/>
    <w:rsid w:val="00303BCC"/>
    <w:rsid w:val="00303F2B"/>
    <w:rsid w:val="00303F8D"/>
    <w:rsid w:val="00304541"/>
    <w:rsid w:val="00304580"/>
    <w:rsid w:val="00304943"/>
    <w:rsid w:val="0030586A"/>
    <w:rsid w:val="003074C5"/>
    <w:rsid w:val="00307A3C"/>
    <w:rsid w:val="00307FA4"/>
    <w:rsid w:val="00310CC1"/>
    <w:rsid w:val="00313026"/>
    <w:rsid w:val="00313213"/>
    <w:rsid w:val="0031421F"/>
    <w:rsid w:val="00314B31"/>
    <w:rsid w:val="00314B36"/>
    <w:rsid w:val="00315158"/>
    <w:rsid w:val="00315346"/>
    <w:rsid w:val="00315A65"/>
    <w:rsid w:val="00317BA7"/>
    <w:rsid w:val="00320BE2"/>
    <w:rsid w:val="00321886"/>
    <w:rsid w:val="00321902"/>
    <w:rsid w:val="00323694"/>
    <w:rsid w:val="00324D63"/>
    <w:rsid w:val="003255AF"/>
    <w:rsid w:val="003256EB"/>
    <w:rsid w:val="003259DB"/>
    <w:rsid w:val="00325F20"/>
    <w:rsid w:val="003267F2"/>
    <w:rsid w:val="00331A48"/>
    <w:rsid w:val="0033308D"/>
    <w:rsid w:val="003330C9"/>
    <w:rsid w:val="0033364C"/>
    <w:rsid w:val="00334415"/>
    <w:rsid w:val="00335460"/>
    <w:rsid w:val="0033691E"/>
    <w:rsid w:val="00336CCB"/>
    <w:rsid w:val="0033745F"/>
    <w:rsid w:val="00337631"/>
    <w:rsid w:val="00337F44"/>
    <w:rsid w:val="003401AC"/>
    <w:rsid w:val="003411D1"/>
    <w:rsid w:val="003416BA"/>
    <w:rsid w:val="00341BD6"/>
    <w:rsid w:val="00342A8A"/>
    <w:rsid w:val="00342F99"/>
    <w:rsid w:val="00344726"/>
    <w:rsid w:val="003454A4"/>
    <w:rsid w:val="00350E6C"/>
    <w:rsid w:val="003518A6"/>
    <w:rsid w:val="00351E7F"/>
    <w:rsid w:val="00352953"/>
    <w:rsid w:val="00354062"/>
    <w:rsid w:val="003542B0"/>
    <w:rsid w:val="00355C0D"/>
    <w:rsid w:val="00356385"/>
    <w:rsid w:val="003566A9"/>
    <w:rsid w:val="00356988"/>
    <w:rsid w:val="00356B20"/>
    <w:rsid w:val="00357128"/>
    <w:rsid w:val="0035755E"/>
    <w:rsid w:val="00357A80"/>
    <w:rsid w:val="00361B8B"/>
    <w:rsid w:val="00363F39"/>
    <w:rsid w:val="00364AB0"/>
    <w:rsid w:val="003667B0"/>
    <w:rsid w:val="003667DD"/>
    <w:rsid w:val="00366B48"/>
    <w:rsid w:val="00367764"/>
    <w:rsid w:val="00370316"/>
    <w:rsid w:val="00370DC7"/>
    <w:rsid w:val="0037156C"/>
    <w:rsid w:val="00371CBD"/>
    <w:rsid w:val="00373CBE"/>
    <w:rsid w:val="003740CC"/>
    <w:rsid w:val="0037435E"/>
    <w:rsid w:val="00374E79"/>
    <w:rsid w:val="00375388"/>
    <w:rsid w:val="00375FB9"/>
    <w:rsid w:val="00376851"/>
    <w:rsid w:val="00376FA2"/>
    <w:rsid w:val="00377A3B"/>
    <w:rsid w:val="00377E3C"/>
    <w:rsid w:val="00380B5C"/>
    <w:rsid w:val="00380BBE"/>
    <w:rsid w:val="00381D70"/>
    <w:rsid w:val="00382128"/>
    <w:rsid w:val="0038235E"/>
    <w:rsid w:val="003829D0"/>
    <w:rsid w:val="00382FBA"/>
    <w:rsid w:val="0038444F"/>
    <w:rsid w:val="00384B9C"/>
    <w:rsid w:val="00384E83"/>
    <w:rsid w:val="00385EED"/>
    <w:rsid w:val="00387051"/>
    <w:rsid w:val="00387861"/>
    <w:rsid w:val="00387ECF"/>
    <w:rsid w:val="0039021B"/>
    <w:rsid w:val="00390429"/>
    <w:rsid w:val="0039327C"/>
    <w:rsid w:val="003933A2"/>
    <w:rsid w:val="0039366C"/>
    <w:rsid w:val="003938F3"/>
    <w:rsid w:val="00393EC8"/>
    <w:rsid w:val="00395E42"/>
    <w:rsid w:val="00396052"/>
    <w:rsid w:val="00396A2D"/>
    <w:rsid w:val="00396FC3"/>
    <w:rsid w:val="003A1A94"/>
    <w:rsid w:val="003A204E"/>
    <w:rsid w:val="003A2D25"/>
    <w:rsid w:val="003A4DDB"/>
    <w:rsid w:val="003A60E7"/>
    <w:rsid w:val="003B07DF"/>
    <w:rsid w:val="003B0B6A"/>
    <w:rsid w:val="003B0F79"/>
    <w:rsid w:val="003B29CF"/>
    <w:rsid w:val="003B2E12"/>
    <w:rsid w:val="003B54DF"/>
    <w:rsid w:val="003B645F"/>
    <w:rsid w:val="003B6659"/>
    <w:rsid w:val="003B7733"/>
    <w:rsid w:val="003C0166"/>
    <w:rsid w:val="003C0A40"/>
    <w:rsid w:val="003C21AA"/>
    <w:rsid w:val="003C30BD"/>
    <w:rsid w:val="003C350C"/>
    <w:rsid w:val="003C3903"/>
    <w:rsid w:val="003C3BA0"/>
    <w:rsid w:val="003C4580"/>
    <w:rsid w:val="003C52D8"/>
    <w:rsid w:val="003C5C5E"/>
    <w:rsid w:val="003C6746"/>
    <w:rsid w:val="003C7133"/>
    <w:rsid w:val="003C7555"/>
    <w:rsid w:val="003C7898"/>
    <w:rsid w:val="003D0FF5"/>
    <w:rsid w:val="003D2D1B"/>
    <w:rsid w:val="003D30AB"/>
    <w:rsid w:val="003D3D94"/>
    <w:rsid w:val="003D48C7"/>
    <w:rsid w:val="003D4C08"/>
    <w:rsid w:val="003D51ED"/>
    <w:rsid w:val="003D6675"/>
    <w:rsid w:val="003D7CE8"/>
    <w:rsid w:val="003E1032"/>
    <w:rsid w:val="003E1904"/>
    <w:rsid w:val="003E285E"/>
    <w:rsid w:val="003E3300"/>
    <w:rsid w:val="003E5B89"/>
    <w:rsid w:val="003E6340"/>
    <w:rsid w:val="003E65AC"/>
    <w:rsid w:val="003E6E24"/>
    <w:rsid w:val="003E72B9"/>
    <w:rsid w:val="003E7ED4"/>
    <w:rsid w:val="003F0E52"/>
    <w:rsid w:val="003F0EF2"/>
    <w:rsid w:val="003F0F6B"/>
    <w:rsid w:val="003F1F40"/>
    <w:rsid w:val="003F1FE3"/>
    <w:rsid w:val="003F3865"/>
    <w:rsid w:val="003F3A0A"/>
    <w:rsid w:val="003F4632"/>
    <w:rsid w:val="003F47BA"/>
    <w:rsid w:val="003F5DA1"/>
    <w:rsid w:val="003F6617"/>
    <w:rsid w:val="0040063B"/>
    <w:rsid w:val="00401070"/>
    <w:rsid w:val="00402332"/>
    <w:rsid w:val="004025C2"/>
    <w:rsid w:val="00403E55"/>
    <w:rsid w:val="00404532"/>
    <w:rsid w:val="00404681"/>
    <w:rsid w:val="0040496D"/>
    <w:rsid w:val="00405010"/>
    <w:rsid w:val="0040595A"/>
    <w:rsid w:val="00406923"/>
    <w:rsid w:val="0040713A"/>
    <w:rsid w:val="0040763D"/>
    <w:rsid w:val="004105B0"/>
    <w:rsid w:val="00410EC5"/>
    <w:rsid w:val="00411B1F"/>
    <w:rsid w:val="004133A8"/>
    <w:rsid w:val="00413821"/>
    <w:rsid w:val="00413D43"/>
    <w:rsid w:val="004141A3"/>
    <w:rsid w:val="00414909"/>
    <w:rsid w:val="00415E66"/>
    <w:rsid w:val="00416112"/>
    <w:rsid w:val="00416DF0"/>
    <w:rsid w:val="00417AE0"/>
    <w:rsid w:val="00417BAA"/>
    <w:rsid w:val="00420BA9"/>
    <w:rsid w:val="00420D7A"/>
    <w:rsid w:val="00420D9E"/>
    <w:rsid w:val="004223DE"/>
    <w:rsid w:val="0042293E"/>
    <w:rsid w:val="00422A10"/>
    <w:rsid w:val="00422E3B"/>
    <w:rsid w:val="00424D17"/>
    <w:rsid w:val="00425DFD"/>
    <w:rsid w:val="004263A3"/>
    <w:rsid w:val="00427713"/>
    <w:rsid w:val="00427CCC"/>
    <w:rsid w:val="0043013A"/>
    <w:rsid w:val="00430421"/>
    <w:rsid w:val="00430B4F"/>
    <w:rsid w:val="004314B1"/>
    <w:rsid w:val="00431E65"/>
    <w:rsid w:val="00432589"/>
    <w:rsid w:val="00432A94"/>
    <w:rsid w:val="00433827"/>
    <w:rsid w:val="004355D3"/>
    <w:rsid w:val="004360C8"/>
    <w:rsid w:val="0044006B"/>
    <w:rsid w:val="0044033F"/>
    <w:rsid w:val="00440630"/>
    <w:rsid w:val="00441123"/>
    <w:rsid w:val="0044127B"/>
    <w:rsid w:val="00442095"/>
    <w:rsid w:val="004428BC"/>
    <w:rsid w:val="00442965"/>
    <w:rsid w:val="00444157"/>
    <w:rsid w:val="0044417C"/>
    <w:rsid w:val="00444DB3"/>
    <w:rsid w:val="004452B9"/>
    <w:rsid w:val="00445A2F"/>
    <w:rsid w:val="00446328"/>
    <w:rsid w:val="00446341"/>
    <w:rsid w:val="0044684E"/>
    <w:rsid w:val="004479CA"/>
    <w:rsid w:val="004503A4"/>
    <w:rsid w:val="00450555"/>
    <w:rsid w:val="00450DC6"/>
    <w:rsid w:val="004516A5"/>
    <w:rsid w:val="004535AE"/>
    <w:rsid w:val="00453C42"/>
    <w:rsid w:val="0045463A"/>
    <w:rsid w:val="00454AC9"/>
    <w:rsid w:val="004554A3"/>
    <w:rsid w:val="00455A6E"/>
    <w:rsid w:val="004569CD"/>
    <w:rsid w:val="004578EB"/>
    <w:rsid w:val="00460303"/>
    <w:rsid w:val="00460697"/>
    <w:rsid w:val="00462593"/>
    <w:rsid w:val="00465EEF"/>
    <w:rsid w:val="00466D03"/>
    <w:rsid w:val="0046711B"/>
    <w:rsid w:val="00467312"/>
    <w:rsid w:val="00470795"/>
    <w:rsid w:val="00471156"/>
    <w:rsid w:val="00472429"/>
    <w:rsid w:val="004725E5"/>
    <w:rsid w:val="004726FE"/>
    <w:rsid w:val="00472751"/>
    <w:rsid w:val="00473128"/>
    <w:rsid w:val="0047470A"/>
    <w:rsid w:val="00475078"/>
    <w:rsid w:val="00475226"/>
    <w:rsid w:val="004779A0"/>
    <w:rsid w:val="004808E3"/>
    <w:rsid w:val="0048097D"/>
    <w:rsid w:val="00481016"/>
    <w:rsid w:val="004814C8"/>
    <w:rsid w:val="004814D3"/>
    <w:rsid w:val="0048204C"/>
    <w:rsid w:val="004821BB"/>
    <w:rsid w:val="00482233"/>
    <w:rsid w:val="004826FE"/>
    <w:rsid w:val="004827D5"/>
    <w:rsid w:val="004830C9"/>
    <w:rsid w:val="00483347"/>
    <w:rsid w:val="00483D06"/>
    <w:rsid w:val="00483E2E"/>
    <w:rsid w:val="00484B69"/>
    <w:rsid w:val="00485406"/>
    <w:rsid w:val="0048590F"/>
    <w:rsid w:val="004867A5"/>
    <w:rsid w:val="00486D60"/>
    <w:rsid w:val="00487C87"/>
    <w:rsid w:val="00492A25"/>
    <w:rsid w:val="0049474A"/>
    <w:rsid w:val="00496350"/>
    <w:rsid w:val="00496F91"/>
    <w:rsid w:val="00497274"/>
    <w:rsid w:val="0049797C"/>
    <w:rsid w:val="00497C2C"/>
    <w:rsid w:val="00497E9D"/>
    <w:rsid w:val="004A036E"/>
    <w:rsid w:val="004A1405"/>
    <w:rsid w:val="004A1DB2"/>
    <w:rsid w:val="004A1FC6"/>
    <w:rsid w:val="004A3C03"/>
    <w:rsid w:val="004A3DB7"/>
    <w:rsid w:val="004A3FB3"/>
    <w:rsid w:val="004A5088"/>
    <w:rsid w:val="004A5255"/>
    <w:rsid w:val="004A6097"/>
    <w:rsid w:val="004A6CB0"/>
    <w:rsid w:val="004A70FF"/>
    <w:rsid w:val="004B1B84"/>
    <w:rsid w:val="004B29AC"/>
    <w:rsid w:val="004B35DF"/>
    <w:rsid w:val="004B3627"/>
    <w:rsid w:val="004B3F3A"/>
    <w:rsid w:val="004B4779"/>
    <w:rsid w:val="004B4922"/>
    <w:rsid w:val="004B57DF"/>
    <w:rsid w:val="004C03A0"/>
    <w:rsid w:val="004C2138"/>
    <w:rsid w:val="004C2ED0"/>
    <w:rsid w:val="004C32D4"/>
    <w:rsid w:val="004C3940"/>
    <w:rsid w:val="004C51FD"/>
    <w:rsid w:val="004C65A8"/>
    <w:rsid w:val="004C786C"/>
    <w:rsid w:val="004C7963"/>
    <w:rsid w:val="004D2314"/>
    <w:rsid w:val="004D2F63"/>
    <w:rsid w:val="004D35BA"/>
    <w:rsid w:val="004D4445"/>
    <w:rsid w:val="004D4701"/>
    <w:rsid w:val="004D47C7"/>
    <w:rsid w:val="004D618D"/>
    <w:rsid w:val="004D6202"/>
    <w:rsid w:val="004D62A9"/>
    <w:rsid w:val="004D6FC3"/>
    <w:rsid w:val="004D7476"/>
    <w:rsid w:val="004E0306"/>
    <w:rsid w:val="004E0572"/>
    <w:rsid w:val="004E25A8"/>
    <w:rsid w:val="004E2AA0"/>
    <w:rsid w:val="004E3930"/>
    <w:rsid w:val="004E3ED9"/>
    <w:rsid w:val="004E5866"/>
    <w:rsid w:val="004E6097"/>
    <w:rsid w:val="004E61EF"/>
    <w:rsid w:val="004E6772"/>
    <w:rsid w:val="004E76A7"/>
    <w:rsid w:val="004E7736"/>
    <w:rsid w:val="004E7B03"/>
    <w:rsid w:val="004F0064"/>
    <w:rsid w:val="004F06AC"/>
    <w:rsid w:val="004F1AE6"/>
    <w:rsid w:val="004F1E4C"/>
    <w:rsid w:val="004F243F"/>
    <w:rsid w:val="004F3E0C"/>
    <w:rsid w:val="004F6929"/>
    <w:rsid w:val="004F6A2D"/>
    <w:rsid w:val="004F7160"/>
    <w:rsid w:val="00500258"/>
    <w:rsid w:val="0050175E"/>
    <w:rsid w:val="00501A99"/>
    <w:rsid w:val="00503180"/>
    <w:rsid w:val="0050417C"/>
    <w:rsid w:val="00505450"/>
    <w:rsid w:val="005100B7"/>
    <w:rsid w:val="005111C2"/>
    <w:rsid w:val="005113C9"/>
    <w:rsid w:val="0051280C"/>
    <w:rsid w:val="00512842"/>
    <w:rsid w:val="005128BE"/>
    <w:rsid w:val="00512B7B"/>
    <w:rsid w:val="00512E6C"/>
    <w:rsid w:val="0051356F"/>
    <w:rsid w:val="00513E7C"/>
    <w:rsid w:val="005140BB"/>
    <w:rsid w:val="005143C2"/>
    <w:rsid w:val="00514FD9"/>
    <w:rsid w:val="0051518F"/>
    <w:rsid w:val="0051608F"/>
    <w:rsid w:val="005165E9"/>
    <w:rsid w:val="00516A11"/>
    <w:rsid w:val="005210F7"/>
    <w:rsid w:val="00521753"/>
    <w:rsid w:val="00521A44"/>
    <w:rsid w:val="00521D16"/>
    <w:rsid w:val="005222BE"/>
    <w:rsid w:val="005224EE"/>
    <w:rsid w:val="00523BB1"/>
    <w:rsid w:val="0052451A"/>
    <w:rsid w:val="00524737"/>
    <w:rsid w:val="00526265"/>
    <w:rsid w:val="0052652D"/>
    <w:rsid w:val="0052655D"/>
    <w:rsid w:val="005265E0"/>
    <w:rsid w:val="00526BC3"/>
    <w:rsid w:val="00530415"/>
    <w:rsid w:val="00530F9E"/>
    <w:rsid w:val="0053274E"/>
    <w:rsid w:val="0053358A"/>
    <w:rsid w:val="00534668"/>
    <w:rsid w:val="00534DDD"/>
    <w:rsid w:val="00535291"/>
    <w:rsid w:val="00535A94"/>
    <w:rsid w:val="00537874"/>
    <w:rsid w:val="00540204"/>
    <w:rsid w:val="00540578"/>
    <w:rsid w:val="005407D2"/>
    <w:rsid w:val="00540808"/>
    <w:rsid w:val="0054080E"/>
    <w:rsid w:val="00540EA1"/>
    <w:rsid w:val="0054358E"/>
    <w:rsid w:val="00543AF4"/>
    <w:rsid w:val="00544191"/>
    <w:rsid w:val="00544F39"/>
    <w:rsid w:val="00547EFB"/>
    <w:rsid w:val="005531DF"/>
    <w:rsid w:val="00553874"/>
    <w:rsid w:val="00553ACC"/>
    <w:rsid w:val="00554AD8"/>
    <w:rsid w:val="00554F78"/>
    <w:rsid w:val="005556A5"/>
    <w:rsid w:val="00556BF7"/>
    <w:rsid w:val="005574FC"/>
    <w:rsid w:val="005603FC"/>
    <w:rsid w:val="00560DB5"/>
    <w:rsid w:val="00562149"/>
    <w:rsid w:val="005630D8"/>
    <w:rsid w:val="00563FFD"/>
    <w:rsid w:val="00565855"/>
    <w:rsid w:val="005677CE"/>
    <w:rsid w:val="00567B5D"/>
    <w:rsid w:val="00570445"/>
    <w:rsid w:val="00572E9A"/>
    <w:rsid w:val="00573733"/>
    <w:rsid w:val="00574554"/>
    <w:rsid w:val="00576089"/>
    <w:rsid w:val="005764B1"/>
    <w:rsid w:val="00576A56"/>
    <w:rsid w:val="00576D06"/>
    <w:rsid w:val="005777CA"/>
    <w:rsid w:val="005779E4"/>
    <w:rsid w:val="00580AC5"/>
    <w:rsid w:val="005815E5"/>
    <w:rsid w:val="0058289C"/>
    <w:rsid w:val="00582C35"/>
    <w:rsid w:val="00582DC6"/>
    <w:rsid w:val="005836C7"/>
    <w:rsid w:val="0058408E"/>
    <w:rsid w:val="00585374"/>
    <w:rsid w:val="005876DF"/>
    <w:rsid w:val="0058789A"/>
    <w:rsid w:val="00590B77"/>
    <w:rsid w:val="005913A3"/>
    <w:rsid w:val="00591DCD"/>
    <w:rsid w:val="00594A7B"/>
    <w:rsid w:val="00594AFA"/>
    <w:rsid w:val="0059580E"/>
    <w:rsid w:val="00596A6F"/>
    <w:rsid w:val="005976E1"/>
    <w:rsid w:val="005A0541"/>
    <w:rsid w:val="005A0D64"/>
    <w:rsid w:val="005A1525"/>
    <w:rsid w:val="005A1EC3"/>
    <w:rsid w:val="005A252B"/>
    <w:rsid w:val="005A2A71"/>
    <w:rsid w:val="005A3204"/>
    <w:rsid w:val="005A3341"/>
    <w:rsid w:val="005A46EC"/>
    <w:rsid w:val="005A4847"/>
    <w:rsid w:val="005A494F"/>
    <w:rsid w:val="005A7819"/>
    <w:rsid w:val="005B0160"/>
    <w:rsid w:val="005B0185"/>
    <w:rsid w:val="005B07EC"/>
    <w:rsid w:val="005B09D8"/>
    <w:rsid w:val="005B24F3"/>
    <w:rsid w:val="005B2B11"/>
    <w:rsid w:val="005B2E00"/>
    <w:rsid w:val="005B370E"/>
    <w:rsid w:val="005B4DA3"/>
    <w:rsid w:val="005B5B71"/>
    <w:rsid w:val="005B5BEE"/>
    <w:rsid w:val="005B7784"/>
    <w:rsid w:val="005B77D2"/>
    <w:rsid w:val="005C019B"/>
    <w:rsid w:val="005C144E"/>
    <w:rsid w:val="005C1625"/>
    <w:rsid w:val="005C30F5"/>
    <w:rsid w:val="005C357E"/>
    <w:rsid w:val="005C51A5"/>
    <w:rsid w:val="005C557A"/>
    <w:rsid w:val="005C5A03"/>
    <w:rsid w:val="005C61DD"/>
    <w:rsid w:val="005C6438"/>
    <w:rsid w:val="005C6B8B"/>
    <w:rsid w:val="005D02E3"/>
    <w:rsid w:val="005D1F34"/>
    <w:rsid w:val="005D2529"/>
    <w:rsid w:val="005D25BF"/>
    <w:rsid w:val="005D2C1F"/>
    <w:rsid w:val="005D34B2"/>
    <w:rsid w:val="005D3B54"/>
    <w:rsid w:val="005D40CD"/>
    <w:rsid w:val="005D6B59"/>
    <w:rsid w:val="005D7037"/>
    <w:rsid w:val="005E03E4"/>
    <w:rsid w:val="005E0454"/>
    <w:rsid w:val="005E171D"/>
    <w:rsid w:val="005E34C2"/>
    <w:rsid w:val="005E35C6"/>
    <w:rsid w:val="005E5B01"/>
    <w:rsid w:val="005E7933"/>
    <w:rsid w:val="005E7E0B"/>
    <w:rsid w:val="005F009E"/>
    <w:rsid w:val="005F080C"/>
    <w:rsid w:val="005F0A88"/>
    <w:rsid w:val="005F0DF1"/>
    <w:rsid w:val="005F1516"/>
    <w:rsid w:val="005F229E"/>
    <w:rsid w:val="005F2564"/>
    <w:rsid w:val="005F3822"/>
    <w:rsid w:val="005F3E0B"/>
    <w:rsid w:val="005F4D16"/>
    <w:rsid w:val="005F4E52"/>
    <w:rsid w:val="005F5967"/>
    <w:rsid w:val="005F77C8"/>
    <w:rsid w:val="0060058E"/>
    <w:rsid w:val="00602A3C"/>
    <w:rsid w:val="00603EFD"/>
    <w:rsid w:val="006041DF"/>
    <w:rsid w:val="00604281"/>
    <w:rsid w:val="0060475B"/>
    <w:rsid w:val="00604FB6"/>
    <w:rsid w:val="00605387"/>
    <w:rsid w:val="00605F1F"/>
    <w:rsid w:val="00606302"/>
    <w:rsid w:val="006072EF"/>
    <w:rsid w:val="006076FD"/>
    <w:rsid w:val="00607BA3"/>
    <w:rsid w:val="0061143F"/>
    <w:rsid w:val="006114D8"/>
    <w:rsid w:val="00611585"/>
    <w:rsid w:val="00612931"/>
    <w:rsid w:val="00613601"/>
    <w:rsid w:val="00613791"/>
    <w:rsid w:val="00613AAB"/>
    <w:rsid w:val="006148C7"/>
    <w:rsid w:val="006150D6"/>
    <w:rsid w:val="00617EEE"/>
    <w:rsid w:val="006210FE"/>
    <w:rsid w:val="00622811"/>
    <w:rsid w:val="00622894"/>
    <w:rsid w:val="00622BB7"/>
    <w:rsid w:val="00622F3B"/>
    <w:rsid w:val="00623389"/>
    <w:rsid w:val="0062352A"/>
    <w:rsid w:val="00625E45"/>
    <w:rsid w:val="006265C4"/>
    <w:rsid w:val="00627383"/>
    <w:rsid w:val="00627733"/>
    <w:rsid w:val="006301BB"/>
    <w:rsid w:val="00632605"/>
    <w:rsid w:val="00633F8D"/>
    <w:rsid w:val="006341EF"/>
    <w:rsid w:val="00634BED"/>
    <w:rsid w:val="00635A4A"/>
    <w:rsid w:val="00635FB9"/>
    <w:rsid w:val="00637774"/>
    <w:rsid w:val="0064024C"/>
    <w:rsid w:val="00640291"/>
    <w:rsid w:val="00641FAC"/>
    <w:rsid w:val="006432A5"/>
    <w:rsid w:val="00643664"/>
    <w:rsid w:val="00643CAA"/>
    <w:rsid w:val="0064448B"/>
    <w:rsid w:val="00652137"/>
    <w:rsid w:val="00652680"/>
    <w:rsid w:val="00652A09"/>
    <w:rsid w:val="006530A1"/>
    <w:rsid w:val="00653CDE"/>
    <w:rsid w:val="006540B4"/>
    <w:rsid w:val="0065410B"/>
    <w:rsid w:val="0065636A"/>
    <w:rsid w:val="00656C3C"/>
    <w:rsid w:val="00657003"/>
    <w:rsid w:val="00657126"/>
    <w:rsid w:val="006572C1"/>
    <w:rsid w:val="00660238"/>
    <w:rsid w:val="006602EF"/>
    <w:rsid w:val="00661277"/>
    <w:rsid w:val="006616FE"/>
    <w:rsid w:val="006619D1"/>
    <w:rsid w:val="00663FEA"/>
    <w:rsid w:val="00664253"/>
    <w:rsid w:val="00664803"/>
    <w:rsid w:val="006661A4"/>
    <w:rsid w:val="006670E0"/>
    <w:rsid w:val="00667532"/>
    <w:rsid w:val="006704FD"/>
    <w:rsid w:val="0067294B"/>
    <w:rsid w:val="00673AA4"/>
    <w:rsid w:val="00674187"/>
    <w:rsid w:val="0067508F"/>
    <w:rsid w:val="00675349"/>
    <w:rsid w:val="00675E7E"/>
    <w:rsid w:val="0068051E"/>
    <w:rsid w:val="00680B9D"/>
    <w:rsid w:val="00681F13"/>
    <w:rsid w:val="0068231C"/>
    <w:rsid w:val="00682344"/>
    <w:rsid w:val="00682E78"/>
    <w:rsid w:val="00682F28"/>
    <w:rsid w:val="006836BD"/>
    <w:rsid w:val="00684842"/>
    <w:rsid w:val="00685BD6"/>
    <w:rsid w:val="006878A6"/>
    <w:rsid w:val="00690437"/>
    <w:rsid w:val="00690E65"/>
    <w:rsid w:val="0069188E"/>
    <w:rsid w:val="00691974"/>
    <w:rsid w:val="00691A3F"/>
    <w:rsid w:val="00692CE6"/>
    <w:rsid w:val="00693B6C"/>
    <w:rsid w:val="006942AE"/>
    <w:rsid w:val="0069483C"/>
    <w:rsid w:val="00695421"/>
    <w:rsid w:val="00695AE4"/>
    <w:rsid w:val="00696D4B"/>
    <w:rsid w:val="00697BD3"/>
    <w:rsid w:val="00697DFA"/>
    <w:rsid w:val="006A10F3"/>
    <w:rsid w:val="006A16D5"/>
    <w:rsid w:val="006A1772"/>
    <w:rsid w:val="006A1780"/>
    <w:rsid w:val="006A25A5"/>
    <w:rsid w:val="006A2790"/>
    <w:rsid w:val="006A2F84"/>
    <w:rsid w:val="006A3CEC"/>
    <w:rsid w:val="006A3F75"/>
    <w:rsid w:val="006A4FB3"/>
    <w:rsid w:val="006A5A3E"/>
    <w:rsid w:val="006A6CA7"/>
    <w:rsid w:val="006A703E"/>
    <w:rsid w:val="006A7BE3"/>
    <w:rsid w:val="006B01D1"/>
    <w:rsid w:val="006B16EA"/>
    <w:rsid w:val="006B1780"/>
    <w:rsid w:val="006B224E"/>
    <w:rsid w:val="006B362D"/>
    <w:rsid w:val="006B376E"/>
    <w:rsid w:val="006B4589"/>
    <w:rsid w:val="006B6805"/>
    <w:rsid w:val="006B6BBE"/>
    <w:rsid w:val="006B6DE0"/>
    <w:rsid w:val="006B7D5F"/>
    <w:rsid w:val="006C32F4"/>
    <w:rsid w:val="006C3382"/>
    <w:rsid w:val="006C3C54"/>
    <w:rsid w:val="006C40F4"/>
    <w:rsid w:val="006C427B"/>
    <w:rsid w:val="006C4F9F"/>
    <w:rsid w:val="006C61AB"/>
    <w:rsid w:val="006C650D"/>
    <w:rsid w:val="006C748D"/>
    <w:rsid w:val="006D0C1D"/>
    <w:rsid w:val="006D0CE1"/>
    <w:rsid w:val="006D2004"/>
    <w:rsid w:val="006D2A8C"/>
    <w:rsid w:val="006D2E9D"/>
    <w:rsid w:val="006D4C1E"/>
    <w:rsid w:val="006D4C42"/>
    <w:rsid w:val="006D5809"/>
    <w:rsid w:val="006D630A"/>
    <w:rsid w:val="006D668D"/>
    <w:rsid w:val="006D7363"/>
    <w:rsid w:val="006D74F2"/>
    <w:rsid w:val="006E04C8"/>
    <w:rsid w:val="006E0712"/>
    <w:rsid w:val="006E0754"/>
    <w:rsid w:val="006E2668"/>
    <w:rsid w:val="006E2D39"/>
    <w:rsid w:val="006E32B0"/>
    <w:rsid w:val="006E36D8"/>
    <w:rsid w:val="006E396A"/>
    <w:rsid w:val="006E3A73"/>
    <w:rsid w:val="006E5DD8"/>
    <w:rsid w:val="006E5EA1"/>
    <w:rsid w:val="006E7ABC"/>
    <w:rsid w:val="006F0760"/>
    <w:rsid w:val="006F0FF1"/>
    <w:rsid w:val="006F11E2"/>
    <w:rsid w:val="006F12F5"/>
    <w:rsid w:val="006F2574"/>
    <w:rsid w:val="006F3231"/>
    <w:rsid w:val="006F3582"/>
    <w:rsid w:val="006F3DE3"/>
    <w:rsid w:val="006F511F"/>
    <w:rsid w:val="006F61D8"/>
    <w:rsid w:val="006F62B7"/>
    <w:rsid w:val="006F70BC"/>
    <w:rsid w:val="006F713A"/>
    <w:rsid w:val="006F76BF"/>
    <w:rsid w:val="0070492D"/>
    <w:rsid w:val="00705161"/>
    <w:rsid w:val="007066A4"/>
    <w:rsid w:val="00706F37"/>
    <w:rsid w:val="00707D09"/>
    <w:rsid w:val="0071209F"/>
    <w:rsid w:val="007125A2"/>
    <w:rsid w:val="00713F79"/>
    <w:rsid w:val="007148A8"/>
    <w:rsid w:val="007171E0"/>
    <w:rsid w:val="00717C40"/>
    <w:rsid w:val="0072033C"/>
    <w:rsid w:val="00720B1B"/>
    <w:rsid w:val="00721062"/>
    <w:rsid w:val="00721E5D"/>
    <w:rsid w:val="007229D4"/>
    <w:rsid w:val="007230F8"/>
    <w:rsid w:val="007233F4"/>
    <w:rsid w:val="00723646"/>
    <w:rsid w:val="00724044"/>
    <w:rsid w:val="007244E1"/>
    <w:rsid w:val="007248D3"/>
    <w:rsid w:val="00725137"/>
    <w:rsid w:val="007263ED"/>
    <w:rsid w:val="00727A43"/>
    <w:rsid w:val="00727FF2"/>
    <w:rsid w:val="007323E0"/>
    <w:rsid w:val="00733791"/>
    <w:rsid w:val="00733857"/>
    <w:rsid w:val="00733DE2"/>
    <w:rsid w:val="007346E7"/>
    <w:rsid w:val="007352EA"/>
    <w:rsid w:val="007364E5"/>
    <w:rsid w:val="0073792F"/>
    <w:rsid w:val="00740DA6"/>
    <w:rsid w:val="00741A0E"/>
    <w:rsid w:val="00741D1E"/>
    <w:rsid w:val="00741EE2"/>
    <w:rsid w:val="00742367"/>
    <w:rsid w:val="00742EAA"/>
    <w:rsid w:val="00743818"/>
    <w:rsid w:val="007439E2"/>
    <w:rsid w:val="00743E9C"/>
    <w:rsid w:val="007441FB"/>
    <w:rsid w:val="00744517"/>
    <w:rsid w:val="00744810"/>
    <w:rsid w:val="00747079"/>
    <w:rsid w:val="00747DE2"/>
    <w:rsid w:val="007504BF"/>
    <w:rsid w:val="007506CD"/>
    <w:rsid w:val="0075267F"/>
    <w:rsid w:val="007526EC"/>
    <w:rsid w:val="0075310C"/>
    <w:rsid w:val="00753347"/>
    <w:rsid w:val="00753C48"/>
    <w:rsid w:val="007545C1"/>
    <w:rsid w:val="00754C97"/>
    <w:rsid w:val="00754FE4"/>
    <w:rsid w:val="00755538"/>
    <w:rsid w:val="00756236"/>
    <w:rsid w:val="00756271"/>
    <w:rsid w:val="00756521"/>
    <w:rsid w:val="00756AB7"/>
    <w:rsid w:val="0075798D"/>
    <w:rsid w:val="00760477"/>
    <w:rsid w:val="00761938"/>
    <w:rsid w:val="00761AF4"/>
    <w:rsid w:val="00762071"/>
    <w:rsid w:val="007623FB"/>
    <w:rsid w:val="0076376A"/>
    <w:rsid w:val="0076500F"/>
    <w:rsid w:val="0076504E"/>
    <w:rsid w:val="00765D24"/>
    <w:rsid w:val="00765E6A"/>
    <w:rsid w:val="007664E0"/>
    <w:rsid w:val="00767EA0"/>
    <w:rsid w:val="0077068F"/>
    <w:rsid w:val="0077408D"/>
    <w:rsid w:val="00774270"/>
    <w:rsid w:val="00775679"/>
    <w:rsid w:val="00775803"/>
    <w:rsid w:val="007774BF"/>
    <w:rsid w:val="00777B32"/>
    <w:rsid w:val="0078051E"/>
    <w:rsid w:val="00781FDD"/>
    <w:rsid w:val="00782A9F"/>
    <w:rsid w:val="0078508A"/>
    <w:rsid w:val="00786D5C"/>
    <w:rsid w:val="00786E96"/>
    <w:rsid w:val="00787F93"/>
    <w:rsid w:val="007907CA"/>
    <w:rsid w:val="00791E6D"/>
    <w:rsid w:val="007928DC"/>
    <w:rsid w:val="00792E53"/>
    <w:rsid w:val="007933DF"/>
    <w:rsid w:val="007939CC"/>
    <w:rsid w:val="00796FB8"/>
    <w:rsid w:val="007A11C2"/>
    <w:rsid w:val="007A2367"/>
    <w:rsid w:val="007A41BF"/>
    <w:rsid w:val="007A490A"/>
    <w:rsid w:val="007A581D"/>
    <w:rsid w:val="007A7B95"/>
    <w:rsid w:val="007B0297"/>
    <w:rsid w:val="007B0F53"/>
    <w:rsid w:val="007B1DD8"/>
    <w:rsid w:val="007B21AE"/>
    <w:rsid w:val="007B2570"/>
    <w:rsid w:val="007B3113"/>
    <w:rsid w:val="007B3304"/>
    <w:rsid w:val="007B332B"/>
    <w:rsid w:val="007B394D"/>
    <w:rsid w:val="007B6423"/>
    <w:rsid w:val="007B7490"/>
    <w:rsid w:val="007B774A"/>
    <w:rsid w:val="007C0525"/>
    <w:rsid w:val="007C0B56"/>
    <w:rsid w:val="007C1377"/>
    <w:rsid w:val="007C13F7"/>
    <w:rsid w:val="007C218D"/>
    <w:rsid w:val="007C2D28"/>
    <w:rsid w:val="007C3E22"/>
    <w:rsid w:val="007C67C6"/>
    <w:rsid w:val="007C707A"/>
    <w:rsid w:val="007C7E59"/>
    <w:rsid w:val="007D0B91"/>
    <w:rsid w:val="007D1452"/>
    <w:rsid w:val="007D1E29"/>
    <w:rsid w:val="007D460C"/>
    <w:rsid w:val="007D4AD3"/>
    <w:rsid w:val="007D4C8D"/>
    <w:rsid w:val="007D5D19"/>
    <w:rsid w:val="007D5FDC"/>
    <w:rsid w:val="007D6D68"/>
    <w:rsid w:val="007E01DA"/>
    <w:rsid w:val="007E1603"/>
    <w:rsid w:val="007E2976"/>
    <w:rsid w:val="007E2E85"/>
    <w:rsid w:val="007E32DA"/>
    <w:rsid w:val="007E3FFB"/>
    <w:rsid w:val="007E4998"/>
    <w:rsid w:val="007E4A9C"/>
    <w:rsid w:val="007E6914"/>
    <w:rsid w:val="007E7F78"/>
    <w:rsid w:val="007F0C8B"/>
    <w:rsid w:val="007F1517"/>
    <w:rsid w:val="007F1D44"/>
    <w:rsid w:val="007F2C13"/>
    <w:rsid w:val="007F2CEC"/>
    <w:rsid w:val="007F4949"/>
    <w:rsid w:val="007F55DE"/>
    <w:rsid w:val="007F5605"/>
    <w:rsid w:val="007F6147"/>
    <w:rsid w:val="007F78FF"/>
    <w:rsid w:val="00800F6C"/>
    <w:rsid w:val="008025BE"/>
    <w:rsid w:val="00804C86"/>
    <w:rsid w:val="008051FC"/>
    <w:rsid w:val="008055A9"/>
    <w:rsid w:val="008070EB"/>
    <w:rsid w:val="00807376"/>
    <w:rsid w:val="00810052"/>
    <w:rsid w:val="00810B0E"/>
    <w:rsid w:val="00810E8E"/>
    <w:rsid w:val="0081142D"/>
    <w:rsid w:val="00812462"/>
    <w:rsid w:val="008126E2"/>
    <w:rsid w:val="00813256"/>
    <w:rsid w:val="0081481D"/>
    <w:rsid w:val="00814BE8"/>
    <w:rsid w:val="00814F6E"/>
    <w:rsid w:val="00815B84"/>
    <w:rsid w:val="00821A3D"/>
    <w:rsid w:val="00821B06"/>
    <w:rsid w:val="00822037"/>
    <w:rsid w:val="00822634"/>
    <w:rsid w:val="00823FC6"/>
    <w:rsid w:val="00823FFC"/>
    <w:rsid w:val="0082418A"/>
    <w:rsid w:val="00824811"/>
    <w:rsid w:val="00825C74"/>
    <w:rsid w:val="00826AB9"/>
    <w:rsid w:val="00826E0E"/>
    <w:rsid w:val="0082731F"/>
    <w:rsid w:val="00827D11"/>
    <w:rsid w:val="00827E0F"/>
    <w:rsid w:val="00827F6E"/>
    <w:rsid w:val="00831758"/>
    <w:rsid w:val="00831977"/>
    <w:rsid w:val="0083279F"/>
    <w:rsid w:val="00833B7F"/>
    <w:rsid w:val="00834906"/>
    <w:rsid w:val="00836075"/>
    <w:rsid w:val="00836417"/>
    <w:rsid w:val="008411F9"/>
    <w:rsid w:val="008413AB"/>
    <w:rsid w:val="00842D10"/>
    <w:rsid w:val="0084322B"/>
    <w:rsid w:val="00843B93"/>
    <w:rsid w:val="00843F81"/>
    <w:rsid w:val="00844087"/>
    <w:rsid w:val="0084519E"/>
    <w:rsid w:val="00846370"/>
    <w:rsid w:val="00847C2B"/>
    <w:rsid w:val="00851A7C"/>
    <w:rsid w:val="0085270D"/>
    <w:rsid w:val="008532BF"/>
    <w:rsid w:val="00853BF4"/>
    <w:rsid w:val="00854294"/>
    <w:rsid w:val="008555FB"/>
    <w:rsid w:val="0085788B"/>
    <w:rsid w:val="00857941"/>
    <w:rsid w:val="00857A9E"/>
    <w:rsid w:val="00857DE2"/>
    <w:rsid w:val="00863E7D"/>
    <w:rsid w:val="0086407F"/>
    <w:rsid w:val="00864E79"/>
    <w:rsid w:val="00866111"/>
    <w:rsid w:val="0086661F"/>
    <w:rsid w:val="00866A0D"/>
    <w:rsid w:val="00866DB5"/>
    <w:rsid w:val="0086784E"/>
    <w:rsid w:val="00867AF1"/>
    <w:rsid w:val="008701BD"/>
    <w:rsid w:val="008720B3"/>
    <w:rsid w:val="00872118"/>
    <w:rsid w:val="00872827"/>
    <w:rsid w:val="00872A32"/>
    <w:rsid w:val="00874ECA"/>
    <w:rsid w:val="00876EAE"/>
    <w:rsid w:val="00880386"/>
    <w:rsid w:val="00880F95"/>
    <w:rsid w:val="00882B44"/>
    <w:rsid w:val="00882FE5"/>
    <w:rsid w:val="00886138"/>
    <w:rsid w:val="00886E66"/>
    <w:rsid w:val="008871B0"/>
    <w:rsid w:val="008912F5"/>
    <w:rsid w:val="0089181B"/>
    <w:rsid w:val="0089217C"/>
    <w:rsid w:val="008928A1"/>
    <w:rsid w:val="00893671"/>
    <w:rsid w:val="00895838"/>
    <w:rsid w:val="00895A72"/>
    <w:rsid w:val="00895CDF"/>
    <w:rsid w:val="008968C7"/>
    <w:rsid w:val="00897A55"/>
    <w:rsid w:val="008A0FC9"/>
    <w:rsid w:val="008A1956"/>
    <w:rsid w:val="008A40D3"/>
    <w:rsid w:val="008A469C"/>
    <w:rsid w:val="008A484A"/>
    <w:rsid w:val="008A5877"/>
    <w:rsid w:val="008A6539"/>
    <w:rsid w:val="008A701C"/>
    <w:rsid w:val="008B05DD"/>
    <w:rsid w:val="008B17E8"/>
    <w:rsid w:val="008B266C"/>
    <w:rsid w:val="008B2D03"/>
    <w:rsid w:val="008B2E7C"/>
    <w:rsid w:val="008B42AB"/>
    <w:rsid w:val="008B45A7"/>
    <w:rsid w:val="008B4A70"/>
    <w:rsid w:val="008B502F"/>
    <w:rsid w:val="008B5142"/>
    <w:rsid w:val="008B6AFE"/>
    <w:rsid w:val="008B7034"/>
    <w:rsid w:val="008B7227"/>
    <w:rsid w:val="008B73C2"/>
    <w:rsid w:val="008C191C"/>
    <w:rsid w:val="008C1DA4"/>
    <w:rsid w:val="008C2CD5"/>
    <w:rsid w:val="008C2E29"/>
    <w:rsid w:val="008C32B7"/>
    <w:rsid w:val="008C3618"/>
    <w:rsid w:val="008C3F20"/>
    <w:rsid w:val="008C43AD"/>
    <w:rsid w:val="008C59FB"/>
    <w:rsid w:val="008C6687"/>
    <w:rsid w:val="008C68F0"/>
    <w:rsid w:val="008C6F92"/>
    <w:rsid w:val="008C731F"/>
    <w:rsid w:val="008C74D9"/>
    <w:rsid w:val="008C79C3"/>
    <w:rsid w:val="008C7A47"/>
    <w:rsid w:val="008D0170"/>
    <w:rsid w:val="008D1052"/>
    <w:rsid w:val="008D124C"/>
    <w:rsid w:val="008D1983"/>
    <w:rsid w:val="008D1BB3"/>
    <w:rsid w:val="008D1C32"/>
    <w:rsid w:val="008D222C"/>
    <w:rsid w:val="008D22AE"/>
    <w:rsid w:val="008D234A"/>
    <w:rsid w:val="008D5060"/>
    <w:rsid w:val="008D566C"/>
    <w:rsid w:val="008D58D9"/>
    <w:rsid w:val="008D66EA"/>
    <w:rsid w:val="008D6E59"/>
    <w:rsid w:val="008D7155"/>
    <w:rsid w:val="008D7DE4"/>
    <w:rsid w:val="008E09B3"/>
    <w:rsid w:val="008E141A"/>
    <w:rsid w:val="008E1A44"/>
    <w:rsid w:val="008E28E6"/>
    <w:rsid w:val="008E2B60"/>
    <w:rsid w:val="008E3232"/>
    <w:rsid w:val="008E3674"/>
    <w:rsid w:val="008E3B6C"/>
    <w:rsid w:val="008E688C"/>
    <w:rsid w:val="008E68BB"/>
    <w:rsid w:val="008E6C9B"/>
    <w:rsid w:val="008E77D4"/>
    <w:rsid w:val="008F0981"/>
    <w:rsid w:val="008F0AFD"/>
    <w:rsid w:val="008F17B2"/>
    <w:rsid w:val="008F28EE"/>
    <w:rsid w:val="008F357B"/>
    <w:rsid w:val="008F44CA"/>
    <w:rsid w:val="008F49B9"/>
    <w:rsid w:val="008F49D3"/>
    <w:rsid w:val="008F6519"/>
    <w:rsid w:val="008F7012"/>
    <w:rsid w:val="008F73BE"/>
    <w:rsid w:val="008F7B17"/>
    <w:rsid w:val="00900042"/>
    <w:rsid w:val="0090034B"/>
    <w:rsid w:val="00902623"/>
    <w:rsid w:val="00902890"/>
    <w:rsid w:val="00904BE4"/>
    <w:rsid w:val="0090504A"/>
    <w:rsid w:val="00905D7E"/>
    <w:rsid w:val="009063B7"/>
    <w:rsid w:val="00907037"/>
    <w:rsid w:val="009076EB"/>
    <w:rsid w:val="009108F3"/>
    <w:rsid w:val="0091160A"/>
    <w:rsid w:val="00912838"/>
    <w:rsid w:val="00913258"/>
    <w:rsid w:val="0091564D"/>
    <w:rsid w:val="009156DA"/>
    <w:rsid w:val="00916BC5"/>
    <w:rsid w:val="0091726A"/>
    <w:rsid w:val="00920184"/>
    <w:rsid w:val="00920EA4"/>
    <w:rsid w:val="00921792"/>
    <w:rsid w:val="00921BEA"/>
    <w:rsid w:val="00923998"/>
    <w:rsid w:val="00923DB4"/>
    <w:rsid w:val="0092430E"/>
    <w:rsid w:val="0092625F"/>
    <w:rsid w:val="009268A9"/>
    <w:rsid w:val="00927B37"/>
    <w:rsid w:val="009301B2"/>
    <w:rsid w:val="0093065F"/>
    <w:rsid w:val="009313DD"/>
    <w:rsid w:val="00931BDE"/>
    <w:rsid w:val="009321B1"/>
    <w:rsid w:val="00932ED7"/>
    <w:rsid w:val="0093357E"/>
    <w:rsid w:val="0093422D"/>
    <w:rsid w:val="00934DD7"/>
    <w:rsid w:val="009369A9"/>
    <w:rsid w:val="00936CF7"/>
    <w:rsid w:val="00937201"/>
    <w:rsid w:val="0093734A"/>
    <w:rsid w:val="00937783"/>
    <w:rsid w:val="00937D89"/>
    <w:rsid w:val="00940FE1"/>
    <w:rsid w:val="00942306"/>
    <w:rsid w:val="009424B8"/>
    <w:rsid w:val="009433A4"/>
    <w:rsid w:val="0094435B"/>
    <w:rsid w:val="00944668"/>
    <w:rsid w:val="00944DC6"/>
    <w:rsid w:val="0094537D"/>
    <w:rsid w:val="0094573F"/>
    <w:rsid w:val="009458B0"/>
    <w:rsid w:val="00945B52"/>
    <w:rsid w:val="00945DC0"/>
    <w:rsid w:val="00945F05"/>
    <w:rsid w:val="00946348"/>
    <w:rsid w:val="009471AD"/>
    <w:rsid w:val="009478A2"/>
    <w:rsid w:val="0095053B"/>
    <w:rsid w:val="0095074A"/>
    <w:rsid w:val="009512AB"/>
    <w:rsid w:val="00952DE9"/>
    <w:rsid w:val="00955643"/>
    <w:rsid w:val="00955FBB"/>
    <w:rsid w:val="0095694B"/>
    <w:rsid w:val="00956BD5"/>
    <w:rsid w:val="009574BB"/>
    <w:rsid w:val="009577B5"/>
    <w:rsid w:val="009608E6"/>
    <w:rsid w:val="009609E4"/>
    <w:rsid w:val="00961779"/>
    <w:rsid w:val="00962EB1"/>
    <w:rsid w:val="00966522"/>
    <w:rsid w:val="00967D3F"/>
    <w:rsid w:val="00967E78"/>
    <w:rsid w:val="00970D7E"/>
    <w:rsid w:val="00970F18"/>
    <w:rsid w:val="00971CF1"/>
    <w:rsid w:val="009721E9"/>
    <w:rsid w:val="00972A58"/>
    <w:rsid w:val="00973772"/>
    <w:rsid w:val="0097451E"/>
    <w:rsid w:val="00975E1E"/>
    <w:rsid w:val="00975E70"/>
    <w:rsid w:val="00977CD6"/>
    <w:rsid w:val="00982481"/>
    <w:rsid w:val="00982D26"/>
    <w:rsid w:val="0098330E"/>
    <w:rsid w:val="009849E9"/>
    <w:rsid w:val="00987812"/>
    <w:rsid w:val="00990225"/>
    <w:rsid w:val="0099244B"/>
    <w:rsid w:val="009947B6"/>
    <w:rsid w:val="00995150"/>
    <w:rsid w:val="009957F3"/>
    <w:rsid w:val="00995D67"/>
    <w:rsid w:val="009970BF"/>
    <w:rsid w:val="009A013B"/>
    <w:rsid w:val="009A02F4"/>
    <w:rsid w:val="009A1F12"/>
    <w:rsid w:val="009A2494"/>
    <w:rsid w:val="009A26CA"/>
    <w:rsid w:val="009A36F2"/>
    <w:rsid w:val="009A5749"/>
    <w:rsid w:val="009A57D0"/>
    <w:rsid w:val="009A6559"/>
    <w:rsid w:val="009A68FC"/>
    <w:rsid w:val="009A7514"/>
    <w:rsid w:val="009A7E7A"/>
    <w:rsid w:val="009B1584"/>
    <w:rsid w:val="009B2469"/>
    <w:rsid w:val="009B314F"/>
    <w:rsid w:val="009B439C"/>
    <w:rsid w:val="009B4A6C"/>
    <w:rsid w:val="009B5777"/>
    <w:rsid w:val="009B5779"/>
    <w:rsid w:val="009B6753"/>
    <w:rsid w:val="009B6A26"/>
    <w:rsid w:val="009C079D"/>
    <w:rsid w:val="009C0D70"/>
    <w:rsid w:val="009C13D1"/>
    <w:rsid w:val="009C2913"/>
    <w:rsid w:val="009C3008"/>
    <w:rsid w:val="009C365F"/>
    <w:rsid w:val="009C5AFE"/>
    <w:rsid w:val="009C6606"/>
    <w:rsid w:val="009C6CE5"/>
    <w:rsid w:val="009C6D50"/>
    <w:rsid w:val="009C7547"/>
    <w:rsid w:val="009D1678"/>
    <w:rsid w:val="009D1693"/>
    <w:rsid w:val="009D1C49"/>
    <w:rsid w:val="009D2721"/>
    <w:rsid w:val="009D2F60"/>
    <w:rsid w:val="009D338C"/>
    <w:rsid w:val="009D3D0D"/>
    <w:rsid w:val="009D5BAC"/>
    <w:rsid w:val="009D64BD"/>
    <w:rsid w:val="009D7B2F"/>
    <w:rsid w:val="009D7B6C"/>
    <w:rsid w:val="009D7F83"/>
    <w:rsid w:val="009E0D0A"/>
    <w:rsid w:val="009E0D1A"/>
    <w:rsid w:val="009E153F"/>
    <w:rsid w:val="009E2D6C"/>
    <w:rsid w:val="009E388B"/>
    <w:rsid w:val="009E393E"/>
    <w:rsid w:val="009E444E"/>
    <w:rsid w:val="009E4968"/>
    <w:rsid w:val="009E663C"/>
    <w:rsid w:val="009E6BB1"/>
    <w:rsid w:val="009F0092"/>
    <w:rsid w:val="009F0CD9"/>
    <w:rsid w:val="009F1A79"/>
    <w:rsid w:val="009F1F57"/>
    <w:rsid w:val="009F2456"/>
    <w:rsid w:val="009F2E26"/>
    <w:rsid w:val="009F4FCF"/>
    <w:rsid w:val="009F5DE2"/>
    <w:rsid w:val="009F65F4"/>
    <w:rsid w:val="009F676B"/>
    <w:rsid w:val="00A004DF"/>
    <w:rsid w:val="00A00D29"/>
    <w:rsid w:val="00A00FD5"/>
    <w:rsid w:val="00A019A8"/>
    <w:rsid w:val="00A01B03"/>
    <w:rsid w:val="00A02C66"/>
    <w:rsid w:val="00A03861"/>
    <w:rsid w:val="00A0464C"/>
    <w:rsid w:val="00A054E0"/>
    <w:rsid w:val="00A0663F"/>
    <w:rsid w:val="00A066CE"/>
    <w:rsid w:val="00A0740B"/>
    <w:rsid w:val="00A07427"/>
    <w:rsid w:val="00A075A9"/>
    <w:rsid w:val="00A077E2"/>
    <w:rsid w:val="00A11042"/>
    <w:rsid w:val="00A133D8"/>
    <w:rsid w:val="00A14E97"/>
    <w:rsid w:val="00A20069"/>
    <w:rsid w:val="00A20280"/>
    <w:rsid w:val="00A2244D"/>
    <w:rsid w:val="00A2253D"/>
    <w:rsid w:val="00A22AEC"/>
    <w:rsid w:val="00A2418A"/>
    <w:rsid w:val="00A247B8"/>
    <w:rsid w:val="00A24D39"/>
    <w:rsid w:val="00A24D8F"/>
    <w:rsid w:val="00A25B8B"/>
    <w:rsid w:val="00A269C3"/>
    <w:rsid w:val="00A26ECA"/>
    <w:rsid w:val="00A317A5"/>
    <w:rsid w:val="00A324C1"/>
    <w:rsid w:val="00A337DB"/>
    <w:rsid w:val="00A3467F"/>
    <w:rsid w:val="00A3470B"/>
    <w:rsid w:val="00A3551A"/>
    <w:rsid w:val="00A3580B"/>
    <w:rsid w:val="00A376E8"/>
    <w:rsid w:val="00A37E69"/>
    <w:rsid w:val="00A37F8E"/>
    <w:rsid w:val="00A41737"/>
    <w:rsid w:val="00A42B8F"/>
    <w:rsid w:val="00A43254"/>
    <w:rsid w:val="00A43896"/>
    <w:rsid w:val="00A43A26"/>
    <w:rsid w:val="00A447A0"/>
    <w:rsid w:val="00A459F5"/>
    <w:rsid w:val="00A45FC0"/>
    <w:rsid w:val="00A46B32"/>
    <w:rsid w:val="00A478D2"/>
    <w:rsid w:val="00A47ECC"/>
    <w:rsid w:val="00A5008C"/>
    <w:rsid w:val="00A50171"/>
    <w:rsid w:val="00A5102E"/>
    <w:rsid w:val="00A51083"/>
    <w:rsid w:val="00A5132E"/>
    <w:rsid w:val="00A51533"/>
    <w:rsid w:val="00A51E68"/>
    <w:rsid w:val="00A52F3B"/>
    <w:rsid w:val="00A531D4"/>
    <w:rsid w:val="00A55ACD"/>
    <w:rsid w:val="00A55CFA"/>
    <w:rsid w:val="00A575B8"/>
    <w:rsid w:val="00A64182"/>
    <w:rsid w:val="00A647B1"/>
    <w:rsid w:val="00A64DEF"/>
    <w:rsid w:val="00A65D87"/>
    <w:rsid w:val="00A65E4E"/>
    <w:rsid w:val="00A665DF"/>
    <w:rsid w:val="00A67F1B"/>
    <w:rsid w:val="00A67FCC"/>
    <w:rsid w:val="00A709F3"/>
    <w:rsid w:val="00A716DC"/>
    <w:rsid w:val="00A720AF"/>
    <w:rsid w:val="00A7217B"/>
    <w:rsid w:val="00A7293E"/>
    <w:rsid w:val="00A72EE4"/>
    <w:rsid w:val="00A73067"/>
    <w:rsid w:val="00A737C4"/>
    <w:rsid w:val="00A739A6"/>
    <w:rsid w:val="00A73C3B"/>
    <w:rsid w:val="00A75EF9"/>
    <w:rsid w:val="00A76BC9"/>
    <w:rsid w:val="00A77566"/>
    <w:rsid w:val="00A80563"/>
    <w:rsid w:val="00A8311C"/>
    <w:rsid w:val="00A84BC8"/>
    <w:rsid w:val="00A84C5F"/>
    <w:rsid w:val="00A85D91"/>
    <w:rsid w:val="00A86973"/>
    <w:rsid w:val="00A8721F"/>
    <w:rsid w:val="00A8740B"/>
    <w:rsid w:val="00A87519"/>
    <w:rsid w:val="00A905A2"/>
    <w:rsid w:val="00A9246D"/>
    <w:rsid w:val="00A93644"/>
    <w:rsid w:val="00A93BD0"/>
    <w:rsid w:val="00A944A1"/>
    <w:rsid w:val="00A95D69"/>
    <w:rsid w:val="00A96F89"/>
    <w:rsid w:val="00A975A4"/>
    <w:rsid w:val="00A977B3"/>
    <w:rsid w:val="00A97DC8"/>
    <w:rsid w:val="00AA2001"/>
    <w:rsid w:val="00AA2B5C"/>
    <w:rsid w:val="00AA31DD"/>
    <w:rsid w:val="00AA4E59"/>
    <w:rsid w:val="00AA5328"/>
    <w:rsid w:val="00AA5393"/>
    <w:rsid w:val="00AA63D4"/>
    <w:rsid w:val="00AA6767"/>
    <w:rsid w:val="00AB02C2"/>
    <w:rsid w:val="00AB03FD"/>
    <w:rsid w:val="00AB19E5"/>
    <w:rsid w:val="00AB38CB"/>
    <w:rsid w:val="00AB3BEC"/>
    <w:rsid w:val="00AB44E4"/>
    <w:rsid w:val="00AB4AEB"/>
    <w:rsid w:val="00AB5352"/>
    <w:rsid w:val="00AB56AE"/>
    <w:rsid w:val="00AB62D5"/>
    <w:rsid w:val="00AB65B5"/>
    <w:rsid w:val="00AB6DCD"/>
    <w:rsid w:val="00AB6EE0"/>
    <w:rsid w:val="00AB7A64"/>
    <w:rsid w:val="00AC2DFD"/>
    <w:rsid w:val="00AC352D"/>
    <w:rsid w:val="00AC40B7"/>
    <w:rsid w:val="00AC5122"/>
    <w:rsid w:val="00AC531F"/>
    <w:rsid w:val="00AC6121"/>
    <w:rsid w:val="00AC626D"/>
    <w:rsid w:val="00AC6CB1"/>
    <w:rsid w:val="00AC79DA"/>
    <w:rsid w:val="00AD0091"/>
    <w:rsid w:val="00AD23D8"/>
    <w:rsid w:val="00AD23EF"/>
    <w:rsid w:val="00AD307B"/>
    <w:rsid w:val="00AD31F9"/>
    <w:rsid w:val="00AD41B3"/>
    <w:rsid w:val="00AD4B31"/>
    <w:rsid w:val="00AD4C48"/>
    <w:rsid w:val="00AD57AF"/>
    <w:rsid w:val="00AD6267"/>
    <w:rsid w:val="00AD7317"/>
    <w:rsid w:val="00AE01A8"/>
    <w:rsid w:val="00AE069F"/>
    <w:rsid w:val="00AE0CBD"/>
    <w:rsid w:val="00AE123A"/>
    <w:rsid w:val="00AE28A7"/>
    <w:rsid w:val="00AE33A6"/>
    <w:rsid w:val="00AE3715"/>
    <w:rsid w:val="00AE3729"/>
    <w:rsid w:val="00AE55B2"/>
    <w:rsid w:val="00AE5C6A"/>
    <w:rsid w:val="00AE65F7"/>
    <w:rsid w:val="00AE7280"/>
    <w:rsid w:val="00AF033A"/>
    <w:rsid w:val="00AF1699"/>
    <w:rsid w:val="00AF3896"/>
    <w:rsid w:val="00AF3CEE"/>
    <w:rsid w:val="00AF6C33"/>
    <w:rsid w:val="00B0098A"/>
    <w:rsid w:val="00B00A5F"/>
    <w:rsid w:val="00B0225F"/>
    <w:rsid w:val="00B029B8"/>
    <w:rsid w:val="00B02F60"/>
    <w:rsid w:val="00B032B8"/>
    <w:rsid w:val="00B04B46"/>
    <w:rsid w:val="00B05050"/>
    <w:rsid w:val="00B0534D"/>
    <w:rsid w:val="00B06368"/>
    <w:rsid w:val="00B06FC6"/>
    <w:rsid w:val="00B07163"/>
    <w:rsid w:val="00B07429"/>
    <w:rsid w:val="00B12FE6"/>
    <w:rsid w:val="00B1303F"/>
    <w:rsid w:val="00B1364A"/>
    <w:rsid w:val="00B13D3C"/>
    <w:rsid w:val="00B1525C"/>
    <w:rsid w:val="00B16715"/>
    <w:rsid w:val="00B17910"/>
    <w:rsid w:val="00B20F18"/>
    <w:rsid w:val="00B21516"/>
    <w:rsid w:val="00B22CE0"/>
    <w:rsid w:val="00B23738"/>
    <w:rsid w:val="00B23BEF"/>
    <w:rsid w:val="00B247BB"/>
    <w:rsid w:val="00B25C11"/>
    <w:rsid w:val="00B25EDF"/>
    <w:rsid w:val="00B25EE6"/>
    <w:rsid w:val="00B27BC0"/>
    <w:rsid w:val="00B3115A"/>
    <w:rsid w:val="00B31A5C"/>
    <w:rsid w:val="00B33C19"/>
    <w:rsid w:val="00B34861"/>
    <w:rsid w:val="00B363BD"/>
    <w:rsid w:val="00B369F7"/>
    <w:rsid w:val="00B36A99"/>
    <w:rsid w:val="00B37537"/>
    <w:rsid w:val="00B41B81"/>
    <w:rsid w:val="00B42980"/>
    <w:rsid w:val="00B434B2"/>
    <w:rsid w:val="00B434C7"/>
    <w:rsid w:val="00B43D45"/>
    <w:rsid w:val="00B44771"/>
    <w:rsid w:val="00B4650E"/>
    <w:rsid w:val="00B468F2"/>
    <w:rsid w:val="00B46B45"/>
    <w:rsid w:val="00B46D3D"/>
    <w:rsid w:val="00B46F6B"/>
    <w:rsid w:val="00B47286"/>
    <w:rsid w:val="00B47894"/>
    <w:rsid w:val="00B50234"/>
    <w:rsid w:val="00B51BF4"/>
    <w:rsid w:val="00B52C68"/>
    <w:rsid w:val="00B542FE"/>
    <w:rsid w:val="00B55A1B"/>
    <w:rsid w:val="00B561DB"/>
    <w:rsid w:val="00B57494"/>
    <w:rsid w:val="00B61DCE"/>
    <w:rsid w:val="00B62188"/>
    <w:rsid w:val="00B62467"/>
    <w:rsid w:val="00B62F79"/>
    <w:rsid w:val="00B62F82"/>
    <w:rsid w:val="00B6373D"/>
    <w:rsid w:val="00B648FA"/>
    <w:rsid w:val="00B662FF"/>
    <w:rsid w:val="00B72C80"/>
    <w:rsid w:val="00B730B4"/>
    <w:rsid w:val="00B74340"/>
    <w:rsid w:val="00B744E0"/>
    <w:rsid w:val="00B7481A"/>
    <w:rsid w:val="00B74F2F"/>
    <w:rsid w:val="00B756FB"/>
    <w:rsid w:val="00B769BC"/>
    <w:rsid w:val="00B77349"/>
    <w:rsid w:val="00B7761E"/>
    <w:rsid w:val="00B80A37"/>
    <w:rsid w:val="00B80A3D"/>
    <w:rsid w:val="00B823E0"/>
    <w:rsid w:val="00B82B78"/>
    <w:rsid w:val="00B84662"/>
    <w:rsid w:val="00B85402"/>
    <w:rsid w:val="00B864A3"/>
    <w:rsid w:val="00B86C2A"/>
    <w:rsid w:val="00B877F1"/>
    <w:rsid w:val="00B902A5"/>
    <w:rsid w:val="00B90420"/>
    <w:rsid w:val="00B913E4"/>
    <w:rsid w:val="00B91DB9"/>
    <w:rsid w:val="00B93EFE"/>
    <w:rsid w:val="00B94956"/>
    <w:rsid w:val="00B94C7F"/>
    <w:rsid w:val="00B956B5"/>
    <w:rsid w:val="00B95C3A"/>
    <w:rsid w:val="00B95FCE"/>
    <w:rsid w:val="00B97330"/>
    <w:rsid w:val="00BA0D44"/>
    <w:rsid w:val="00BA0E26"/>
    <w:rsid w:val="00BA31BF"/>
    <w:rsid w:val="00BA43FC"/>
    <w:rsid w:val="00BA478B"/>
    <w:rsid w:val="00BA5224"/>
    <w:rsid w:val="00BA7B27"/>
    <w:rsid w:val="00BA7CA7"/>
    <w:rsid w:val="00BA7E3B"/>
    <w:rsid w:val="00BB079C"/>
    <w:rsid w:val="00BB2B56"/>
    <w:rsid w:val="00BB39C1"/>
    <w:rsid w:val="00BB5D16"/>
    <w:rsid w:val="00BB6180"/>
    <w:rsid w:val="00BB69E6"/>
    <w:rsid w:val="00BB7D2A"/>
    <w:rsid w:val="00BC0299"/>
    <w:rsid w:val="00BC1B7A"/>
    <w:rsid w:val="00BC2BC7"/>
    <w:rsid w:val="00BC2C17"/>
    <w:rsid w:val="00BC3ACD"/>
    <w:rsid w:val="00BC3C33"/>
    <w:rsid w:val="00BC66D7"/>
    <w:rsid w:val="00BC6E73"/>
    <w:rsid w:val="00BD0014"/>
    <w:rsid w:val="00BD01D8"/>
    <w:rsid w:val="00BD0CBE"/>
    <w:rsid w:val="00BD2512"/>
    <w:rsid w:val="00BD255F"/>
    <w:rsid w:val="00BD383D"/>
    <w:rsid w:val="00BD4236"/>
    <w:rsid w:val="00BD575B"/>
    <w:rsid w:val="00BD5CCA"/>
    <w:rsid w:val="00BD5CD4"/>
    <w:rsid w:val="00BD6652"/>
    <w:rsid w:val="00BD6EF9"/>
    <w:rsid w:val="00BD77DD"/>
    <w:rsid w:val="00BE0ACB"/>
    <w:rsid w:val="00BE1A90"/>
    <w:rsid w:val="00BE3537"/>
    <w:rsid w:val="00BE360F"/>
    <w:rsid w:val="00BE50FD"/>
    <w:rsid w:val="00BE51CA"/>
    <w:rsid w:val="00BE5E5A"/>
    <w:rsid w:val="00BE6D47"/>
    <w:rsid w:val="00BE7032"/>
    <w:rsid w:val="00BE7330"/>
    <w:rsid w:val="00BF01C5"/>
    <w:rsid w:val="00BF066A"/>
    <w:rsid w:val="00BF361C"/>
    <w:rsid w:val="00BF4342"/>
    <w:rsid w:val="00BF5050"/>
    <w:rsid w:val="00BF5422"/>
    <w:rsid w:val="00BF54CF"/>
    <w:rsid w:val="00BF59B1"/>
    <w:rsid w:val="00BF6A78"/>
    <w:rsid w:val="00BF6E19"/>
    <w:rsid w:val="00BF79B4"/>
    <w:rsid w:val="00C01427"/>
    <w:rsid w:val="00C016A1"/>
    <w:rsid w:val="00C0508D"/>
    <w:rsid w:val="00C058AF"/>
    <w:rsid w:val="00C11AAA"/>
    <w:rsid w:val="00C124C1"/>
    <w:rsid w:val="00C128AE"/>
    <w:rsid w:val="00C136D6"/>
    <w:rsid w:val="00C136EB"/>
    <w:rsid w:val="00C13D5B"/>
    <w:rsid w:val="00C16047"/>
    <w:rsid w:val="00C17AE2"/>
    <w:rsid w:val="00C20F27"/>
    <w:rsid w:val="00C215CF"/>
    <w:rsid w:val="00C2244B"/>
    <w:rsid w:val="00C22B0D"/>
    <w:rsid w:val="00C22F55"/>
    <w:rsid w:val="00C240C1"/>
    <w:rsid w:val="00C250D0"/>
    <w:rsid w:val="00C252AC"/>
    <w:rsid w:val="00C255AB"/>
    <w:rsid w:val="00C25D93"/>
    <w:rsid w:val="00C27214"/>
    <w:rsid w:val="00C27597"/>
    <w:rsid w:val="00C30382"/>
    <w:rsid w:val="00C30D6F"/>
    <w:rsid w:val="00C31063"/>
    <w:rsid w:val="00C31B7E"/>
    <w:rsid w:val="00C3242A"/>
    <w:rsid w:val="00C32AE2"/>
    <w:rsid w:val="00C33201"/>
    <w:rsid w:val="00C332C4"/>
    <w:rsid w:val="00C33C3C"/>
    <w:rsid w:val="00C360B3"/>
    <w:rsid w:val="00C3679B"/>
    <w:rsid w:val="00C37027"/>
    <w:rsid w:val="00C3778D"/>
    <w:rsid w:val="00C405A3"/>
    <w:rsid w:val="00C4069E"/>
    <w:rsid w:val="00C41364"/>
    <w:rsid w:val="00C42752"/>
    <w:rsid w:val="00C42973"/>
    <w:rsid w:val="00C44F9C"/>
    <w:rsid w:val="00C4730E"/>
    <w:rsid w:val="00C5019C"/>
    <w:rsid w:val="00C5034F"/>
    <w:rsid w:val="00C52479"/>
    <w:rsid w:val="00C5291F"/>
    <w:rsid w:val="00C52C59"/>
    <w:rsid w:val="00C5349E"/>
    <w:rsid w:val="00C5354B"/>
    <w:rsid w:val="00C54467"/>
    <w:rsid w:val="00C54D3D"/>
    <w:rsid w:val="00C55116"/>
    <w:rsid w:val="00C55A30"/>
    <w:rsid w:val="00C57C58"/>
    <w:rsid w:val="00C6028F"/>
    <w:rsid w:val="00C608F1"/>
    <w:rsid w:val="00C631E1"/>
    <w:rsid w:val="00C638D8"/>
    <w:rsid w:val="00C63C84"/>
    <w:rsid w:val="00C63D26"/>
    <w:rsid w:val="00C641EB"/>
    <w:rsid w:val="00C65053"/>
    <w:rsid w:val="00C65BD9"/>
    <w:rsid w:val="00C66061"/>
    <w:rsid w:val="00C66F69"/>
    <w:rsid w:val="00C67223"/>
    <w:rsid w:val="00C67339"/>
    <w:rsid w:val="00C67CFF"/>
    <w:rsid w:val="00C707B8"/>
    <w:rsid w:val="00C7084B"/>
    <w:rsid w:val="00C71C15"/>
    <w:rsid w:val="00C71F3D"/>
    <w:rsid w:val="00C72F53"/>
    <w:rsid w:val="00C74035"/>
    <w:rsid w:val="00C76FF4"/>
    <w:rsid w:val="00C77818"/>
    <w:rsid w:val="00C77AE3"/>
    <w:rsid w:val="00C8063F"/>
    <w:rsid w:val="00C81549"/>
    <w:rsid w:val="00C829A1"/>
    <w:rsid w:val="00C83B36"/>
    <w:rsid w:val="00C84F8A"/>
    <w:rsid w:val="00C85209"/>
    <w:rsid w:val="00C8618F"/>
    <w:rsid w:val="00C90372"/>
    <w:rsid w:val="00C9041F"/>
    <w:rsid w:val="00C91A45"/>
    <w:rsid w:val="00C91ED2"/>
    <w:rsid w:val="00C91FB4"/>
    <w:rsid w:val="00C95745"/>
    <w:rsid w:val="00C962E3"/>
    <w:rsid w:val="00C965BD"/>
    <w:rsid w:val="00C97997"/>
    <w:rsid w:val="00CA08FE"/>
    <w:rsid w:val="00CA0FAC"/>
    <w:rsid w:val="00CA25C0"/>
    <w:rsid w:val="00CA3451"/>
    <w:rsid w:val="00CA4948"/>
    <w:rsid w:val="00CA52F9"/>
    <w:rsid w:val="00CA568B"/>
    <w:rsid w:val="00CA7500"/>
    <w:rsid w:val="00CB1239"/>
    <w:rsid w:val="00CB178B"/>
    <w:rsid w:val="00CB19FE"/>
    <w:rsid w:val="00CB23C2"/>
    <w:rsid w:val="00CB304C"/>
    <w:rsid w:val="00CB53E8"/>
    <w:rsid w:val="00CB594A"/>
    <w:rsid w:val="00CB5CB2"/>
    <w:rsid w:val="00CB6979"/>
    <w:rsid w:val="00CB74EC"/>
    <w:rsid w:val="00CC0A3D"/>
    <w:rsid w:val="00CC2373"/>
    <w:rsid w:val="00CC3C6A"/>
    <w:rsid w:val="00CC3D24"/>
    <w:rsid w:val="00CC3F91"/>
    <w:rsid w:val="00CC4B0A"/>
    <w:rsid w:val="00CC544A"/>
    <w:rsid w:val="00CC57EA"/>
    <w:rsid w:val="00CC5954"/>
    <w:rsid w:val="00CC6C4E"/>
    <w:rsid w:val="00CD05A2"/>
    <w:rsid w:val="00CD19DA"/>
    <w:rsid w:val="00CD29D4"/>
    <w:rsid w:val="00CD38F5"/>
    <w:rsid w:val="00CD437E"/>
    <w:rsid w:val="00CD5A89"/>
    <w:rsid w:val="00CD5DAD"/>
    <w:rsid w:val="00CD72C5"/>
    <w:rsid w:val="00CD79A7"/>
    <w:rsid w:val="00CE0789"/>
    <w:rsid w:val="00CE1A03"/>
    <w:rsid w:val="00CE2346"/>
    <w:rsid w:val="00CE3529"/>
    <w:rsid w:val="00CE35C8"/>
    <w:rsid w:val="00CE3962"/>
    <w:rsid w:val="00CE5105"/>
    <w:rsid w:val="00CE56BD"/>
    <w:rsid w:val="00CE5EC0"/>
    <w:rsid w:val="00CE6F9F"/>
    <w:rsid w:val="00CE773B"/>
    <w:rsid w:val="00CE781A"/>
    <w:rsid w:val="00CE7B3A"/>
    <w:rsid w:val="00CF10BC"/>
    <w:rsid w:val="00CF10D4"/>
    <w:rsid w:val="00CF1D74"/>
    <w:rsid w:val="00CF2BE2"/>
    <w:rsid w:val="00CF55F9"/>
    <w:rsid w:val="00CF71A6"/>
    <w:rsid w:val="00CF7495"/>
    <w:rsid w:val="00CF7671"/>
    <w:rsid w:val="00D01CF9"/>
    <w:rsid w:val="00D0334D"/>
    <w:rsid w:val="00D0374D"/>
    <w:rsid w:val="00D05A76"/>
    <w:rsid w:val="00D07F1D"/>
    <w:rsid w:val="00D10558"/>
    <w:rsid w:val="00D1203E"/>
    <w:rsid w:val="00D13E70"/>
    <w:rsid w:val="00D16C58"/>
    <w:rsid w:val="00D17019"/>
    <w:rsid w:val="00D170C1"/>
    <w:rsid w:val="00D21168"/>
    <w:rsid w:val="00D235C8"/>
    <w:rsid w:val="00D2438C"/>
    <w:rsid w:val="00D25DFA"/>
    <w:rsid w:val="00D26C3F"/>
    <w:rsid w:val="00D27185"/>
    <w:rsid w:val="00D27C40"/>
    <w:rsid w:val="00D32B84"/>
    <w:rsid w:val="00D337AE"/>
    <w:rsid w:val="00D33AB3"/>
    <w:rsid w:val="00D33F24"/>
    <w:rsid w:val="00D346B7"/>
    <w:rsid w:val="00D346B8"/>
    <w:rsid w:val="00D350CE"/>
    <w:rsid w:val="00D35AC8"/>
    <w:rsid w:val="00D35D34"/>
    <w:rsid w:val="00D36F87"/>
    <w:rsid w:val="00D37E4E"/>
    <w:rsid w:val="00D42E6C"/>
    <w:rsid w:val="00D43218"/>
    <w:rsid w:val="00D43B80"/>
    <w:rsid w:val="00D44236"/>
    <w:rsid w:val="00D45B1E"/>
    <w:rsid w:val="00D45BA4"/>
    <w:rsid w:val="00D471AF"/>
    <w:rsid w:val="00D4724F"/>
    <w:rsid w:val="00D4758C"/>
    <w:rsid w:val="00D50519"/>
    <w:rsid w:val="00D516A5"/>
    <w:rsid w:val="00D5264C"/>
    <w:rsid w:val="00D5289A"/>
    <w:rsid w:val="00D537FE"/>
    <w:rsid w:val="00D538F0"/>
    <w:rsid w:val="00D54A6A"/>
    <w:rsid w:val="00D54BF8"/>
    <w:rsid w:val="00D54D7C"/>
    <w:rsid w:val="00D55951"/>
    <w:rsid w:val="00D572BE"/>
    <w:rsid w:val="00D57EB6"/>
    <w:rsid w:val="00D60ED7"/>
    <w:rsid w:val="00D63586"/>
    <w:rsid w:val="00D64173"/>
    <w:rsid w:val="00D65916"/>
    <w:rsid w:val="00D65C2E"/>
    <w:rsid w:val="00D664BF"/>
    <w:rsid w:val="00D66D8B"/>
    <w:rsid w:val="00D72A1C"/>
    <w:rsid w:val="00D73580"/>
    <w:rsid w:val="00D73802"/>
    <w:rsid w:val="00D73868"/>
    <w:rsid w:val="00D73C2C"/>
    <w:rsid w:val="00D73D52"/>
    <w:rsid w:val="00D745E7"/>
    <w:rsid w:val="00D77495"/>
    <w:rsid w:val="00D774ED"/>
    <w:rsid w:val="00D777F6"/>
    <w:rsid w:val="00D77F88"/>
    <w:rsid w:val="00D8044C"/>
    <w:rsid w:val="00D81EAA"/>
    <w:rsid w:val="00D8259F"/>
    <w:rsid w:val="00D825F2"/>
    <w:rsid w:val="00D828B1"/>
    <w:rsid w:val="00D84F27"/>
    <w:rsid w:val="00D850D4"/>
    <w:rsid w:val="00D862D1"/>
    <w:rsid w:val="00D873C6"/>
    <w:rsid w:val="00D9067E"/>
    <w:rsid w:val="00D90A01"/>
    <w:rsid w:val="00D91027"/>
    <w:rsid w:val="00D937E0"/>
    <w:rsid w:val="00D94C7D"/>
    <w:rsid w:val="00D94CA4"/>
    <w:rsid w:val="00D94FB4"/>
    <w:rsid w:val="00D95E99"/>
    <w:rsid w:val="00DA098C"/>
    <w:rsid w:val="00DA1A3A"/>
    <w:rsid w:val="00DA2C65"/>
    <w:rsid w:val="00DA395D"/>
    <w:rsid w:val="00DA44EB"/>
    <w:rsid w:val="00DB16B8"/>
    <w:rsid w:val="00DB1D52"/>
    <w:rsid w:val="00DB1F62"/>
    <w:rsid w:val="00DB2E03"/>
    <w:rsid w:val="00DB3742"/>
    <w:rsid w:val="00DB3F4B"/>
    <w:rsid w:val="00DB427E"/>
    <w:rsid w:val="00DB61A4"/>
    <w:rsid w:val="00DB67C1"/>
    <w:rsid w:val="00DB70CD"/>
    <w:rsid w:val="00DB70F4"/>
    <w:rsid w:val="00DC1056"/>
    <w:rsid w:val="00DC16DA"/>
    <w:rsid w:val="00DC211E"/>
    <w:rsid w:val="00DC21D8"/>
    <w:rsid w:val="00DC2369"/>
    <w:rsid w:val="00DC282A"/>
    <w:rsid w:val="00DC34DC"/>
    <w:rsid w:val="00DC3CC6"/>
    <w:rsid w:val="00DC514A"/>
    <w:rsid w:val="00DC5469"/>
    <w:rsid w:val="00DC64EC"/>
    <w:rsid w:val="00DC67B1"/>
    <w:rsid w:val="00DC7833"/>
    <w:rsid w:val="00DD132B"/>
    <w:rsid w:val="00DD1725"/>
    <w:rsid w:val="00DD21B9"/>
    <w:rsid w:val="00DD2427"/>
    <w:rsid w:val="00DD2A18"/>
    <w:rsid w:val="00DD5AB3"/>
    <w:rsid w:val="00DD5B1A"/>
    <w:rsid w:val="00DD61E8"/>
    <w:rsid w:val="00DD62C0"/>
    <w:rsid w:val="00DD7859"/>
    <w:rsid w:val="00DE03AC"/>
    <w:rsid w:val="00DE0A1D"/>
    <w:rsid w:val="00DE15B2"/>
    <w:rsid w:val="00DE1A9A"/>
    <w:rsid w:val="00DE3D2C"/>
    <w:rsid w:val="00DE43D0"/>
    <w:rsid w:val="00DE5E82"/>
    <w:rsid w:val="00DE5FA6"/>
    <w:rsid w:val="00DE6494"/>
    <w:rsid w:val="00DE6AA1"/>
    <w:rsid w:val="00DE6C57"/>
    <w:rsid w:val="00DE74D7"/>
    <w:rsid w:val="00DE7EF7"/>
    <w:rsid w:val="00DF1185"/>
    <w:rsid w:val="00DF1299"/>
    <w:rsid w:val="00DF164F"/>
    <w:rsid w:val="00DF1A70"/>
    <w:rsid w:val="00DF23A8"/>
    <w:rsid w:val="00DF2F27"/>
    <w:rsid w:val="00DF6CCC"/>
    <w:rsid w:val="00DF6D0C"/>
    <w:rsid w:val="00DF6F64"/>
    <w:rsid w:val="00DF721E"/>
    <w:rsid w:val="00DF7C87"/>
    <w:rsid w:val="00E009B0"/>
    <w:rsid w:val="00E00A09"/>
    <w:rsid w:val="00E0345F"/>
    <w:rsid w:val="00E03D5C"/>
    <w:rsid w:val="00E043AC"/>
    <w:rsid w:val="00E046A9"/>
    <w:rsid w:val="00E04C0F"/>
    <w:rsid w:val="00E0570B"/>
    <w:rsid w:val="00E057B2"/>
    <w:rsid w:val="00E05996"/>
    <w:rsid w:val="00E10B87"/>
    <w:rsid w:val="00E135D8"/>
    <w:rsid w:val="00E1478B"/>
    <w:rsid w:val="00E14FAC"/>
    <w:rsid w:val="00E15007"/>
    <w:rsid w:val="00E16EC7"/>
    <w:rsid w:val="00E1714F"/>
    <w:rsid w:val="00E21576"/>
    <w:rsid w:val="00E219CE"/>
    <w:rsid w:val="00E23961"/>
    <w:rsid w:val="00E24071"/>
    <w:rsid w:val="00E24EBC"/>
    <w:rsid w:val="00E2522C"/>
    <w:rsid w:val="00E2599B"/>
    <w:rsid w:val="00E27383"/>
    <w:rsid w:val="00E2793D"/>
    <w:rsid w:val="00E31AFA"/>
    <w:rsid w:val="00E3203D"/>
    <w:rsid w:val="00E324EE"/>
    <w:rsid w:val="00E34296"/>
    <w:rsid w:val="00E359FF"/>
    <w:rsid w:val="00E36AA7"/>
    <w:rsid w:val="00E36E39"/>
    <w:rsid w:val="00E405F1"/>
    <w:rsid w:val="00E43054"/>
    <w:rsid w:val="00E434C4"/>
    <w:rsid w:val="00E44FE4"/>
    <w:rsid w:val="00E45D30"/>
    <w:rsid w:val="00E46013"/>
    <w:rsid w:val="00E4654B"/>
    <w:rsid w:val="00E477C3"/>
    <w:rsid w:val="00E5048D"/>
    <w:rsid w:val="00E50AC4"/>
    <w:rsid w:val="00E50E2C"/>
    <w:rsid w:val="00E51077"/>
    <w:rsid w:val="00E5132D"/>
    <w:rsid w:val="00E51741"/>
    <w:rsid w:val="00E51E16"/>
    <w:rsid w:val="00E52151"/>
    <w:rsid w:val="00E53730"/>
    <w:rsid w:val="00E53C46"/>
    <w:rsid w:val="00E54511"/>
    <w:rsid w:val="00E55DC3"/>
    <w:rsid w:val="00E57577"/>
    <w:rsid w:val="00E62043"/>
    <w:rsid w:val="00E626B9"/>
    <w:rsid w:val="00E627C9"/>
    <w:rsid w:val="00E630F3"/>
    <w:rsid w:val="00E65198"/>
    <w:rsid w:val="00E664FB"/>
    <w:rsid w:val="00E66F0D"/>
    <w:rsid w:val="00E672F9"/>
    <w:rsid w:val="00E67345"/>
    <w:rsid w:val="00E70615"/>
    <w:rsid w:val="00E71A5E"/>
    <w:rsid w:val="00E7207B"/>
    <w:rsid w:val="00E7347A"/>
    <w:rsid w:val="00E75325"/>
    <w:rsid w:val="00E759FB"/>
    <w:rsid w:val="00E75A47"/>
    <w:rsid w:val="00E75D8C"/>
    <w:rsid w:val="00E77771"/>
    <w:rsid w:val="00E777F2"/>
    <w:rsid w:val="00E779ED"/>
    <w:rsid w:val="00E802C9"/>
    <w:rsid w:val="00E80EDD"/>
    <w:rsid w:val="00E80F0A"/>
    <w:rsid w:val="00E81A6A"/>
    <w:rsid w:val="00E8291B"/>
    <w:rsid w:val="00E8395F"/>
    <w:rsid w:val="00E8473F"/>
    <w:rsid w:val="00E85E41"/>
    <w:rsid w:val="00E85EA1"/>
    <w:rsid w:val="00E866CD"/>
    <w:rsid w:val="00E91044"/>
    <w:rsid w:val="00E910D3"/>
    <w:rsid w:val="00E923CF"/>
    <w:rsid w:val="00E9335F"/>
    <w:rsid w:val="00E95111"/>
    <w:rsid w:val="00EA061E"/>
    <w:rsid w:val="00EA14C8"/>
    <w:rsid w:val="00EA19D3"/>
    <w:rsid w:val="00EA40E8"/>
    <w:rsid w:val="00EA6649"/>
    <w:rsid w:val="00EB05D0"/>
    <w:rsid w:val="00EB07C5"/>
    <w:rsid w:val="00EB1D49"/>
    <w:rsid w:val="00EB42DD"/>
    <w:rsid w:val="00EB559F"/>
    <w:rsid w:val="00EB5F3D"/>
    <w:rsid w:val="00EB652B"/>
    <w:rsid w:val="00EB6EC2"/>
    <w:rsid w:val="00EC1CEB"/>
    <w:rsid w:val="00EC21A7"/>
    <w:rsid w:val="00EC268C"/>
    <w:rsid w:val="00EC3753"/>
    <w:rsid w:val="00EC3CB8"/>
    <w:rsid w:val="00EC3D46"/>
    <w:rsid w:val="00EC4E71"/>
    <w:rsid w:val="00EC6667"/>
    <w:rsid w:val="00EC7269"/>
    <w:rsid w:val="00ED0365"/>
    <w:rsid w:val="00ED0865"/>
    <w:rsid w:val="00ED094F"/>
    <w:rsid w:val="00ED16B6"/>
    <w:rsid w:val="00ED1C60"/>
    <w:rsid w:val="00ED2EB9"/>
    <w:rsid w:val="00ED4469"/>
    <w:rsid w:val="00ED5F23"/>
    <w:rsid w:val="00ED6DC0"/>
    <w:rsid w:val="00ED79CE"/>
    <w:rsid w:val="00ED7A7A"/>
    <w:rsid w:val="00EE038C"/>
    <w:rsid w:val="00EE040B"/>
    <w:rsid w:val="00EE47C5"/>
    <w:rsid w:val="00EE490C"/>
    <w:rsid w:val="00EE55F9"/>
    <w:rsid w:val="00EE613B"/>
    <w:rsid w:val="00EE7E17"/>
    <w:rsid w:val="00EF2C8E"/>
    <w:rsid w:val="00EF3A0D"/>
    <w:rsid w:val="00EF3CEB"/>
    <w:rsid w:val="00EF41A8"/>
    <w:rsid w:val="00EF44FB"/>
    <w:rsid w:val="00EF4D3C"/>
    <w:rsid w:val="00EF51CA"/>
    <w:rsid w:val="00EF5554"/>
    <w:rsid w:val="00EF5AD8"/>
    <w:rsid w:val="00EF5D2F"/>
    <w:rsid w:val="00EF63F5"/>
    <w:rsid w:val="00EF6758"/>
    <w:rsid w:val="00EF6B90"/>
    <w:rsid w:val="00EF70AE"/>
    <w:rsid w:val="00EF79F7"/>
    <w:rsid w:val="00F00418"/>
    <w:rsid w:val="00F006C0"/>
    <w:rsid w:val="00F009BB"/>
    <w:rsid w:val="00F019AA"/>
    <w:rsid w:val="00F0267E"/>
    <w:rsid w:val="00F02686"/>
    <w:rsid w:val="00F0459B"/>
    <w:rsid w:val="00F046F3"/>
    <w:rsid w:val="00F04E15"/>
    <w:rsid w:val="00F05DF3"/>
    <w:rsid w:val="00F0641B"/>
    <w:rsid w:val="00F069EA"/>
    <w:rsid w:val="00F07B6E"/>
    <w:rsid w:val="00F07DF8"/>
    <w:rsid w:val="00F11461"/>
    <w:rsid w:val="00F11675"/>
    <w:rsid w:val="00F1182D"/>
    <w:rsid w:val="00F12557"/>
    <w:rsid w:val="00F13A8F"/>
    <w:rsid w:val="00F144F8"/>
    <w:rsid w:val="00F14DF8"/>
    <w:rsid w:val="00F164A3"/>
    <w:rsid w:val="00F17AD9"/>
    <w:rsid w:val="00F17F74"/>
    <w:rsid w:val="00F202C2"/>
    <w:rsid w:val="00F209D5"/>
    <w:rsid w:val="00F22756"/>
    <w:rsid w:val="00F23890"/>
    <w:rsid w:val="00F2447A"/>
    <w:rsid w:val="00F24638"/>
    <w:rsid w:val="00F2504D"/>
    <w:rsid w:val="00F2637F"/>
    <w:rsid w:val="00F263A8"/>
    <w:rsid w:val="00F268F7"/>
    <w:rsid w:val="00F3053D"/>
    <w:rsid w:val="00F30BDB"/>
    <w:rsid w:val="00F30CF8"/>
    <w:rsid w:val="00F31633"/>
    <w:rsid w:val="00F31EDF"/>
    <w:rsid w:val="00F32CDE"/>
    <w:rsid w:val="00F32CFC"/>
    <w:rsid w:val="00F32D4C"/>
    <w:rsid w:val="00F34811"/>
    <w:rsid w:val="00F34B14"/>
    <w:rsid w:val="00F36A6A"/>
    <w:rsid w:val="00F40101"/>
    <w:rsid w:val="00F404F7"/>
    <w:rsid w:val="00F40CCA"/>
    <w:rsid w:val="00F41521"/>
    <w:rsid w:val="00F42D97"/>
    <w:rsid w:val="00F43F09"/>
    <w:rsid w:val="00F45A72"/>
    <w:rsid w:val="00F46723"/>
    <w:rsid w:val="00F50016"/>
    <w:rsid w:val="00F50647"/>
    <w:rsid w:val="00F5118A"/>
    <w:rsid w:val="00F51A21"/>
    <w:rsid w:val="00F5276E"/>
    <w:rsid w:val="00F529F9"/>
    <w:rsid w:val="00F52E9F"/>
    <w:rsid w:val="00F53304"/>
    <w:rsid w:val="00F53D37"/>
    <w:rsid w:val="00F53D40"/>
    <w:rsid w:val="00F545ED"/>
    <w:rsid w:val="00F554C3"/>
    <w:rsid w:val="00F5687F"/>
    <w:rsid w:val="00F5727D"/>
    <w:rsid w:val="00F575C7"/>
    <w:rsid w:val="00F60305"/>
    <w:rsid w:val="00F61B12"/>
    <w:rsid w:val="00F620C5"/>
    <w:rsid w:val="00F62398"/>
    <w:rsid w:val="00F626C5"/>
    <w:rsid w:val="00F631E8"/>
    <w:rsid w:val="00F63223"/>
    <w:rsid w:val="00F63264"/>
    <w:rsid w:val="00F6379E"/>
    <w:rsid w:val="00F655D4"/>
    <w:rsid w:val="00F66EC0"/>
    <w:rsid w:val="00F70799"/>
    <w:rsid w:val="00F70906"/>
    <w:rsid w:val="00F70A8B"/>
    <w:rsid w:val="00F724FB"/>
    <w:rsid w:val="00F72578"/>
    <w:rsid w:val="00F72A26"/>
    <w:rsid w:val="00F72CA9"/>
    <w:rsid w:val="00F733C3"/>
    <w:rsid w:val="00F756DD"/>
    <w:rsid w:val="00F75DB3"/>
    <w:rsid w:val="00F80047"/>
    <w:rsid w:val="00F8104D"/>
    <w:rsid w:val="00F81587"/>
    <w:rsid w:val="00F82571"/>
    <w:rsid w:val="00F85258"/>
    <w:rsid w:val="00F85B72"/>
    <w:rsid w:val="00F8766F"/>
    <w:rsid w:val="00F87F50"/>
    <w:rsid w:val="00F9104C"/>
    <w:rsid w:val="00F91082"/>
    <w:rsid w:val="00F91A9A"/>
    <w:rsid w:val="00F93ABB"/>
    <w:rsid w:val="00F94D79"/>
    <w:rsid w:val="00F975D3"/>
    <w:rsid w:val="00FA118A"/>
    <w:rsid w:val="00FA11CD"/>
    <w:rsid w:val="00FA31C7"/>
    <w:rsid w:val="00FA472D"/>
    <w:rsid w:val="00FA7254"/>
    <w:rsid w:val="00FB0214"/>
    <w:rsid w:val="00FB080C"/>
    <w:rsid w:val="00FB18F6"/>
    <w:rsid w:val="00FB2A52"/>
    <w:rsid w:val="00FB2F13"/>
    <w:rsid w:val="00FB6232"/>
    <w:rsid w:val="00FB6E19"/>
    <w:rsid w:val="00FB71F6"/>
    <w:rsid w:val="00FC0016"/>
    <w:rsid w:val="00FC1483"/>
    <w:rsid w:val="00FC1C47"/>
    <w:rsid w:val="00FC2EF2"/>
    <w:rsid w:val="00FC39ED"/>
    <w:rsid w:val="00FC4419"/>
    <w:rsid w:val="00FC47E2"/>
    <w:rsid w:val="00FC4AA5"/>
    <w:rsid w:val="00FC5148"/>
    <w:rsid w:val="00FC6590"/>
    <w:rsid w:val="00FC75AC"/>
    <w:rsid w:val="00FD01BF"/>
    <w:rsid w:val="00FD0525"/>
    <w:rsid w:val="00FD297D"/>
    <w:rsid w:val="00FD2D13"/>
    <w:rsid w:val="00FD3D26"/>
    <w:rsid w:val="00FD4789"/>
    <w:rsid w:val="00FD6071"/>
    <w:rsid w:val="00FE0794"/>
    <w:rsid w:val="00FE1041"/>
    <w:rsid w:val="00FE24CB"/>
    <w:rsid w:val="00FE3166"/>
    <w:rsid w:val="00FE3320"/>
    <w:rsid w:val="00FE3473"/>
    <w:rsid w:val="00FE353B"/>
    <w:rsid w:val="00FE4049"/>
    <w:rsid w:val="00FE4794"/>
    <w:rsid w:val="00FE5DF7"/>
    <w:rsid w:val="00FE5F72"/>
    <w:rsid w:val="00FE7B6B"/>
    <w:rsid w:val="00FF0231"/>
    <w:rsid w:val="00FF1C9B"/>
    <w:rsid w:val="00FF1D49"/>
    <w:rsid w:val="00FF2562"/>
    <w:rsid w:val="00FF2CE1"/>
    <w:rsid w:val="00FF3A41"/>
    <w:rsid w:val="00FF3E5B"/>
    <w:rsid w:val="00FF52BE"/>
    <w:rsid w:val="00FF544F"/>
    <w:rsid w:val="00FF57E4"/>
    <w:rsid w:val="00FF78E5"/>
    <w:rsid w:val="0102768A"/>
    <w:rsid w:val="01115B19"/>
    <w:rsid w:val="01213882"/>
    <w:rsid w:val="013A37BE"/>
    <w:rsid w:val="01437C9C"/>
    <w:rsid w:val="01494A56"/>
    <w:rsid w:val="016025FC"/>
    <w:rsid w:val="01675739"/>
    <w:rsid w:val="01714809"/>
    <w:rsid w:val="017936BE"/>
    <w:rsid w:val="01840BB5"/>
    <w:rsid w:val="018467E3"/>
    <w:rsid w:val="018C1643"/>
    <w:rsid w:val="0197381C"/>
    <w:rsid w:val="0198159D"/>
    <w:rsid w:val="019B347B"/>
    <w:rsid w:val="01A7022B"/>
    <w:rsid w:val="01B701A0"/>
    <w:rsid w:val="01DF6ED8"/>
    <w:rsid w:val="01EF3980"/>
    <w:rsid w:val="01FB40D3"/>
    <w:rsid w:val="020C62E0"/>
    <w:rsid w:val="0210580B"/>
    <w:rsid w:val="021B6523"/>
    <w:rsid w:val="021C3640"/>
    <w:rsid w:val="02337D11"/>
    <w:rsid w:val="024C119E"/>
    <w:rsid w:val="02511F9D"/>
    <w:rsid w:val="025D2614"/>
    <w:rsid w:val="025D4D8E"/>
    <w:rsid w:val="02667932"/>
    <w:rsid w:val="026954E1"/>
    <w:rsid w:val="0273635F"/>
    <w:rsid w:val="029E458B"/>
    <w:rsid w:val="02BC1AB4"/>
    <w:rsid w:val="02C31095"/>
    <w:rsid w:val="02DC5CB3"/>
    <w:rsid w:val="02DF428A"/>
    <w:rsid w:val="02E1151B"/>
    <w:rsid w:val="02E4100B"/>
    <w:rsid w:val="03042D29"/>
    <w:rsid w:val="03056ED3"/>
    <w:rsid w:val="03072543"/>
    <w:rsid w:val="032338E1"/>
    <w:rsid w:val="033C0E47"/>
    <w:rsid w:val="03463A74"/>
    <w:rsid w:val="034A4333"/>
    <w:rsid w:val="034E5B8A"/>
    <w:rsid w:val="0354416A"/>
    <w:rsid w:val="035C5045"/>
    <w:rsid w:val="0370464D"/>
    <w:rsid w:val="037203C5"/>
    <w:rsid w:val="03772173"/>
    <w:rsid w:val="037857B5"/>
    <w:rsid w:val="0382550D"/>
    <w:rsid w:val="0388408C"/>
    <w:rsid w:val="038C592B"/>
    <w:rsid w:val="03A314B8"/>
    <w:rsid w:val="03B81B5E"/>
    <w:rsid w:val="03C50E3C"/>
    <w:rsid w:val="03C65AB6"/>
    <w:rsid w:val="03CC1609"/>
    <w:rsid w:val="03CF75C5"/>
    <w:rsid w:val="03D82B98"/>
    <w:rsid w:val="03F83E8B"/>
    <w:rsid w:val="03FC0E90"/>
    <w:rsid w:val="04146DCA"/>
    <w:rsid w:val="041E22FB"/>
    <w:rsid w:val="0437361B"/>
    <w:rsid w:val="04441A51"/>
    <w:rsid w:val="04477AA3"/>
    <w:rsid w:val="04637B4D"/>
    <w:rsid w:val="04697A1A"/>
    <w:rsid w:val="047542EA"/>
    <w:rsid w:val="0490144A"/>
    <w:rsid w:val="04AC5B58"/>
    <w:rsid w:val="04B0389B"/>
    <w:rsid w:val="04B969D1"/>
    <w:rsid w:val="04D06D2A"/>
    <w:rsid w:val="04D20ABE"/>
    <w:rsid w:val="04DA76EC"/>
    <w:rsid w:val="04E64373"/>
    <w:rsid w:val="05120F0D"/>
    <w:rsid w:val="0519537F"/>
    <w:rsid w:val="051A472F"/>
    <w:rsid w:val="053505D4"/>
    <w:rsid w:val="05393890"/>
    <w:rsid w:val="05410997"/>
    <w:rsid w:val="054D74A5"/>
    <w:rsid w:val="054F6C10"/>
    <w:rsid w:val="05544226"/>
    <w:rsid w:val="055866A0"/>
    <w:rsid w:val="055B3F73"/>
    <w:rsid w:val="055B6051"/>
    <w:rsid w:val="056A005E"/>
    <w:rsid w:val="056D5E78"/>
    <w:rsid w:val="05810D93"/>
    <w:rsid w:val="05880374"/>
    <w:rsid w:val="058D7738"/>
    <w:rsid w:val="05932810"/>
    <w:rsid w:val="059A3C03"/>
    <w:rsid w:val="05AD2F61"/>
    <w:rsid w:val="05B71F0C"/>
    <w:rsid w:val="05CC64B2"/>
    <w:rsid w:val="05CE7F8F"/>
    <w:rsid w:val="05DB66F5"/>
    <w:rsid w:val="05DC6A27"/>
    <w:rsid w:val="05E7509A"/>
    <w:rsid w:val="05F250AD"/>
    <w:rsid w:val="05F902BC"/>
    <w:rsid w:val="0616597F"/>
    <w:rsid w:val="06500E91"/>
    <w:rsid w:val="0658762B"/>
    <w:rsid w:val="067A3BB5"/>
    <w:rsid w:val="069F0652"/>
    <w:rsid w:val="06A60A84"/>
    <w:rsid w:val="06AE3050"/>
    <w:rsid w:val="06D80448"/>
    <w:rsid w:val="06E67100"/>
    <w:rsid w:val="06EC048E"/>
    <w:rsid w:val="06F35CC1"/>
    <w:rsid w:val="06F45206"/>
    <w:rsid w:val="070D6D82"/>
    <w:rsid w:val="0721638A"/>
    <w:rsid w:val="073A0ECF"/>
    <w:rsid w:val="073A6B9F"/>
    <w:rsid w:val="073C7668"/>
    <w:rsid w:val="07576304"/>
    <w:rsid w:val="076D7821"/>
    <w:rsid w:val="07795DA1"/>
    <w:rsid w:val="077C5CB6"/>
    <w:rsid w:val="078B414B"/>
    <w:rsid w:val="07B72767"/>
    <w:rsid w:val="07B76CEE"/>
    <w:rsid w:val="07CA6A21"/>
    <w:rsid w:val="07CB4548"/>
    <w:rsid w:val="07E07FF3"/>
    <w:rsid w:val="07E66BDC"/>
    <w:rsid w:val="08077E72"/>
    <w:rsid w:val="080C703A"/>
    <w:rsid w:val="08147C9D"/>
    <w:rsid w:val="082425D6"/>
    <w:rsid w:val="084904A1"/>
    <w:rsid w:val="08493DEA"/>
    <w:rsid w:val="084C66CA"/>
    <w:rsid w:val="08534AED"/>
    <w:rsid w:val="085D1644"/>
    <w:rsid w:val="086A1FB2"/>
    <w:rsid w:val="087B41C0"/>
    <w:rsid w:val="087B7D1C"/>
    <w:rsid w:val="08AE6F52"/>
    <w:rsid w:val="08BC3DA8"/>
    <w:rsid w:val="08C571E9"/>
    <w:rsid w:val="08DD4532"/>
    <w:rsid w:val="08DF6008"/>
    <w:rsid w:val="08F47B58"/>
    <w:rsid w:val="08F55AA5"/>
    <w:rsid w:val="08F63846"/>
    <w:rsid w:val="092C7268"/>
    <w:rsid w:val="092E4FA0"/>
    <w:rsid w:val="093323A4"/>
    <w:rsid w:val="093F3D88"/>
    <w:rsid w:val="0946032A"/>
    <w:rsid w:val="09532309"/>
    <w:rsid w:val="09597EF2"/>
    <w:rsid w:val="09714C67"/>
    <w:rsid w:val="098D7D07"/>
    <w:rsid w:val="09A92503"/>
    <w:rsid w:val="09AF28CC"/>
    <w:rsid w:val="09B07E99"/>
    <w:rsid w:val="09B5725D"/>
    <w:rsid w:val="09CC2AAC"/>
    <w:rsid w:val="09CD0A4B"/>
    <w:rsid w:val="09D820EE"/>
    <w:rsid w:val="09E1374B"/>
    <w:rsid w:val="09FA34EB"/>
    <w:rsid w:val="09FE0C04"/>
    <w:rsid w:val="09FE29B2"/>
    <w:rsid w:val="0A035CDE"/>
    <w:rsid w:val="0A0C3321"/>
    <w:rsid w:val="0A1331CE"/>
    <w:rsid w:val="0A2A768E"/>
    <w:rsid w:val="0A371FFD"/>
    <w:rsid w:val="0A4D65AF"/>
    <w:rsid w:val="0A544CC8"/>
    <w:rsid w:val="0A652D3E"/>
    <w:rsid w:val="0A8235E3"/>
    <w:rsid w:val="0A8D3D36"/>
    <w:rsid w:val="0A922A21"/>
    <w:rsid w:val="0AA27E70"/>
    <w:rsid w:val="0AA65080"/>
    <w:rsid w:val="0AA96DC2"/>
    <w:rsid w:val="0AAC68B2"/>
    <w:rsid w:val="0AB063A2"/>
    <w:rsid w:val="0AB07738"/>
    <w:rsid w:val="0AC237A2"/>
    <w:rsid w:val="0ACB4F8A"/>
    <w:rsid w:val="0ACE6829"/>
    <w:rsid w:val="0AD100C7"/>
    <w:rsid w:val="0ADD2F10"/>
    <w:rsid w:val="0AF344E1"/>
    <w:rsid w:val="0B275F39"/>
    <w:rsid w:val="0B2B4994"/>
    <w:rsid w:val="0B2B77D7"/>
    <w:rsid w:val="0B3A48F0"/>
    <w:rsid w:val="0B3A5CEC"/>
    <w:rsid w:val="0B54122E"/>
    <w:rsid w:val="0B8D0492"/>
    <w:rsid w:val="0B925AA8"/>
    <w:rsid w:val="0BA92C14"/>
    <w:rsid w:val="0BB023D2"/>
    <w:rsid w:val="0BBC0D77"/>
    <w:rsid w:val="0BC1319E"/>
    <w:rsid w:val="0BC1638D"/>
    <w:rsid w:val="0BCD088E"/>
    <w:rsid w:val="0BD75BB1"/>
    <w:rsid w:val="0BF027CF"/>
    <w:rsid w:val="0BF30ADA"/>
    <w:rsid w:val="0BF51ABF"/>
    <w:rsid w:val="0C1956DF"/>
    <w:rsid w:val="0C320371"/>
    <w:rsid w:val="0C613B7C"/>
    <w:rsid w:val="0C775615"/>
    <w:rsid w:val="0C7D1DA1"/>
    <w:rsid w:val="0C92213C"/>
    <w:rsid w:val="0C930BF7"/>
    <w:rsid w:val="0C956E62"/>
    <w:rsid w:val="0CCA19BF"/>
    <w:rsid w:val="0CD61F68"/>
    <w:rsid w:val="0CDD3770"/>
    <w:rsid w:val="0CE850B8"/>
    <w:rsid w:val="0CEE6B82"/>
    <w:rsid w:val="0CEF642E"/>
    <w:rsid w:val="0CF32576"/>
    <w:rsid w:val="0D103128"/>
    <w:rsid w:val="0D4F221D"/>
    <w:rsid w:val="0D523741"/>
    <w:rsid w:val="0D645222"/>
    <w:rsid w:val="0D696CDD"/>
    <w:rsid w:val="0D7731A8"/>
    <w:rsid w:val="0D817B82"/>
    <w:rsid w:val="0D84032B"/>
    <w:rsid w:val="0D86163D"/>
    <w:rsid w:val="0D8B27AF"/>
    <w:rsid w:val="0D8D4779"/>
    <w:rsid w:val="0DA11FD2"/>
    <w:rsid w:val="0DB84B17"/>
    <w:rsid w:val="0DD732D9"/>
    <w:rsid w:val="0DF20A80"/>
    <w:rsid w:val="0DF30354"/>
    <w:rsid w:val="0E032C8D"/>
    <w:rsid w:val="0E124C7E"/>
    <w:rsid w:val="0E18568C"/>
    <w:rsid w:val="0E211365"/>
    <w:rsid w:val="0E286250"/>
    <w:rsid w:val="0E287C35"/>
    <w:rsid w:val="0E2A021A"/>
    <w:rsid w:val="0E3146CE"/>
    <w:rsid w:val="0E3407D9"/>
    <w:rsid w:val="0E39220B"/>
    <w:rsid w:val="0E4D3F08"/>
    <w:rsid w:val="0E5057A7"/>
    <w:rsid w:val="0E51617F"/>
    <w:rsid w:val="0E5A4301"/>
    <w:rsid w:val="0E7019A5"/>
    <w:rsid w:val="0E7B2823"/>
    <w:rsid w:val="0E8536A2"/>
    <w:rsid w:val="0E904057"/>
    <w:rsid w:val="0EA855E3"/>
    <w:rsid w:val="0EA930F6"/>
    <w:rsid w:val="0EAA4EB7"/>
    <w:rsid w:val="0EAD1661"/>
    <w:rsid w:val="0EBB7841"/>
    <w:rsid w:val="0EC163AE"/>
    <w:rsid w:val="0EC3241C"/>
    <w:rsid w:val="0ECA5C06"/>
    <w:rsid w:val="0ED85EC8"/>
    <w:rsid w:val="0EEC54CF"/>
    <w:rsid w:val="0EF32D02"/>
    <w:rsid w:val="0EF457CC"/>
    <w:rsid w:val="0EF83E74"/>
    <w:rsid w:val="0F1E2C44"/>
    <w:rsid w:val="0F2509E1"/>
    <w:rsid w:val="0F275C22"/>
    <w:rsid w:val="0F557518"/>
    <w:rsid w:val="0F566DED"/>
    <w:rsid w:val="0F5F5CA1"/>
    <w:rsid w:val="0F672631"/>
    <w:rsid w:val="0F6D2806"/>
    <w:rsid w:val="0F706100"/>
    <w:rsid w:val="0F8C280E"/>
    <w:rsid w:val="0F9643EC"/>
    <w:rsid w:val="0FC85F3C"/>
    <w:rsid w:val="0FDC3796"/>
    <w:rsid w:val="0FEC4AAB"/>
    <w:rsid w:val="0FEF171B"/>
    <w:rsid w:val="0FF06008"/>
    <w:rsid w:val="10152804"/>
    <w:rsid w:val="10173DF5"/>
    <w:rsid w:val="10251019"/>
    <w:rsid w:val="10257014"/>
    <w:rsid w:val="103F3D25"/>
    <w:rsid w:val="10534F50"/>
    <w:rsid w:val="10562895"/>
    <w:rsid w:val="105714F9"/>
    <w:rsid w:val="1059188B"/>
    <w:rsid w:val="106D0892"/>
    <w:rsid w:val="10703EDE"/>
    <w:rsid w:val="1077038D"/>
    <w:rsid w:val="107E2A9F"/>
    <w:rsid w:val="108F3E01"/>
    <w:rsid w:val="109202F8"/>
    <w:rsid w:val="109C2F25"/>
    <w:rsid w:val="10A27F31"/>
    <w:rsid w:val="10B72740"/>
    <w:rsid w:val="10BC5375"/>
    <w:rsid w:val="10CA487C"/>
    <w:rsid w:val="10CD24F3"/>
    <w:rsid w:val="10D60BC7"/>
    <w:rsid w:val="10ED1235"/>
    <w:rsid w:val="10EF574B"/>
    <w:rsid w:val="10FE679F"/>
    <w:rsid w:val="1102722C"/>
    <w:rsid w:val="11186A50"/>
    <w:rsid w:val="11203944"/>
    <w:rsid w:val="113D288D"/>
    <w:rsid w:val="1145536B"/>
    <w:rsid w:val="1146319E"/>
    <w:rsid w:val="11515ABE"/>
    <w:rsid w:val="115E4E0F"/>
    <w:rsid w:val="1163361A"/>
    <w:rsid w:val="1178129C"/>
    <w:rsid w:val="119105B0"/>
    <w:rsid w:val="11927058"/>
    <w:rsid w:val="119A0D13"/>
    <w:rsid w:val="119C2276"/>
    <w:rsid w:val="11A02087"/>
    <w:rsid w:val="11AA0401"/>
    <w:rsid w:val="11AA3C64"/>
    <w:rsid w:val="11AB1672"/>
    <w:rsid w:val="11B04EDA"/>
    <w:rsid w:val="11C66D88"/>
    <w:rsid w:val="11CD086F"/>
    <w:rsid w:val="11E626AA"/>
    <w:rsid w:val="11E84674"/>
    <w:rsid w:val="11F51F3D"/>
    <w:rsid w:val="11F8116E"/>
    <w:rsid w:val="1212229A"/>
    <w:rsid w:val="123258EF"/>
    <w:rsid w:val="12374CB3"/>
    <w:rsid w:val="12681F2A"/>
    <w:rsid w:val="1299596E"/>
    <w:rsid w:val="12A42B28"/>
    <w:rsid w:val="12A604D9"/>
    <w:rsid w:val="12A83E03"/>
    <w:rsid w:val="12D135F3"/>
    <w:rsid w:val="12D25FB0"/>
    <w:rsid w:val="12D51DEF"/>
    <w:rsid w:val="12E0534B"/>
    <w:rsid w:val="131B45D5"/>
    <w:rsid w:val="13207E3D"/>
    <w:rsid w:val="132316DC"/>
    <w:rsid w:val="133726DD"/>
    <w:rsid w:val="13390EFF"/>
    <w:rsid w:val="133D26A9"/>
    <w:rsid w:val="13441D7E"/>
    <w:rsid w:val="1351449B"/>
    <w:rsid w:val="13712447"/>
    <w:rsid w:val="13737F6D"/>
    <w:rsid w:val="137454F5"/>
    <w:rsid w:val="137B1518"/>
    <w:rsid w:val="13906D71"/>
    <w:rsid w:val="13A040B0"/>
    <w:rsid w:val="13A140F9"/>
    <w:rsid w:val="13AF4F03"/>
    <w:rsid w:val="13C407C9"/>
    <w:rsid w:val="13CC58CF"/>
    <w:rsid w:val="13CE1647"/>
    <w:rsid w:val="13CF5A55"/>
    <w:rsid w:val="13D824C6"/>
    <w:rsid w:val="13D840FA"/>
    <w:rsid w:val="13E26EA1"/>
    <w:rsid w:val="1404150D"/>
    <w:rsid w:val="14092F0D"/>
    <w:rsid w:val="14107EB2"/>
    <w:rsid w:val="14221993"/>
    <w:rsid w:val="1445127B"/>
    <w:rsid w:val="146808CE"/>
    <w:rsid w:val="14736E66"/>
    <w:rsid w:val="14787805"/>
    <w:rsid w:val="14816E5B"/>
    <w:rsid w:val="14875E17"/>
    <w:rsid w:val="148F44D2"/>
    <w:rsid w:val="149B6AC2"/>
    <w:rsid w:val="149F4D92"/>
    <w:rsid w:val="14A34882"/>
    <w:rsid w:val="14A44728"/>
    <w:rsid w:val="14AB7BDB"/>
    <w:rsid w:val="14BC5944"/>
    <w:rsid w:val="14C03306"/>
    <w:rsid w:val="14C81165"/>
    <w:rsid w:val="14C91BD6"/>
    <w:rsid w:val="14D544E4"/>
    <w:rsid w:val="14D62DC5"/>
    <w:rsid w:val="14E8318D"/>
    <w:rsid w:val="14EC447B"/>
    <w:rsid w:val="14F81179"/>
    <w:rsid w:val="150246C5"/>
    <w:rsid w:val="15064E11"/>
    <w:rsid w:val="15086DDB"/>
    <w:rsid w:val="150C2973"/>
    <w:rsid w:val="150C68CB"/>
    <w:rsid w:val="151E215B"/>
    <w:rsid w:val="1521215C"/>
    <w:rsid w:val="15264037"/>
    <w:rsid w:val="15293653"/>
    <w:rsid w:val="1534169A"/>
    <w:rsid w:val="153D598D"/>
    <w:rsid w:val="153F3306"/>
    <w:rsid w:val="154C316C"/>
    <w:rsid w:val="15704562"/>
    <w:rsid w:val="1571672E"/>
    <w:rsid w:val="15842905"/>
    <w:rsid w:val="15A308B2"/>
    <w:rsid w:val="15A72150"/>
    <w:rsid w:val="15B55C69"/>
    <w:rsid w:val="15C03E03"/>
    <w:rsid w:val="15C2342E"/>
    <w:rsid w:val="15C73125"/>
    <w:rsid w:val="15D13671"/>
    <w:rsid w:val="15E72E94"/>
    <w:rsid w:val="15E769F0"/>
    <w:rsid w:val="15E92769"/>
    <w:rsid w:val="15ED6D5E"/>
    <w:rsid w:val="15F20809"/>
    <w:rsid w:val="15F32B79"/>
    <w:rsid w:val="15F829AC"/>
    <w:rsid w:val="15FA2BC8"/>
    <w:rsid w:val="16027CCE"/>
    <w:rsid w:val="16084F36"/>
    <w:rsid w:val="16143C3C"/>
    <w:rsid w:val="161672D6"/>
    <w:rsid w:val="161D2412"/>
    <w:rsid w:val="161D4BA7"/>
    <w:rsid w:val="162A25EB"/>
    <w:rsid w:val="162F731B"/>
    <w:rsid w:val="16323122"/>
    <w:rsid w:val="163B773C"/>
    <w:rsid w:val="16430C73"/>
    <w:rsid w:val="16565924"/>
    <w:rsid w:val="16571056"/>
    <w:rsid w:val="166149F5"/>
    <w:rsid w:val="16656AFC"/>
    <w:rsid w:val="16677B31"/>
    <w:rsid w:val="16717134"/>
    <w:rsid w:val="16841088"/>
    <w:rsid w:val="16893F4C"/>
    <w:rsid w:val="1699418F"/>
    <w:rsid w:val="16C60F0B"/>
    <w:rsid w:val="16D056D6"/>
    <w:rsid w:val="16D06017"/>
    <w:rsid w:val="16D20E0F"/>
    <w:rsid w:val="16D72F09"/>
    <w:rsid w:val="16FD2A55"/>
    <w:rsid w:val="172F68A1"/>
    <w:rsid w:val="17313ED0"/>
    <w:rsid w:val="17366761"/>
    <w:rsid w:val="173B3498"/>
    <w:rsid w:val="174740D4"/>
    <w:rsid w:val="175F34D1"/>
    <w:rsid w:val="177C01F0"/>
    <w:rsid w:val="177E5132"/>
    <w:rsid w:val="178E4527"/>
    <w:rsid w:val="1791130A"/>
    <w:rsid w:val="179A0C8D"/>
    <w:rsid w:val="179B3F36"/>
    <w:rsid w:val="17C3523B"/>
    <w:rsid w:val="17C36FE9"/>
    <w:rsid w:val="17CE6630"/>
    <w:rsid w:val="17D50A8B"/>
    <w:rsid w:val="17DC5D0A"/>
    <w:rsid w:val="17EC50D1"/>
    <w:rsid w:val="17EF7DDE"/>
    <w:rsid w:val="17FE5B8E"/>
    <w:rsid w:val="180E295A"/>
    <w:rsid w:val="181B1F85"/>
    <w:rsid w:val="182503A4"/>
    <w:rsid w:val="1831033B"/>
    <w:rsid w:val="18327578"/>
    <w:rsid w:val="185875BA"/>
    <w:rsid w:val="185A16FC"/>
    <w:rsid w:val="1881137E"/>
    <w:rsid w:val="18870C36"/>
    <w:rsid w:val="189270E7"/>
    <w:rsid w:val="189D3F17"/>
    <w:rsid w:val="18AC4201"/>
    <w:rsid w:val="18B03D9C"/>
    <w:rsid w:val="18B22F8F"/>
    <w:rsid w:val="18B54B84"/>
    <w:rsid w:val="18D05E62"/>
    <w:rsid w:val="18D21BDA"/>
    <w:rsid w:val="18D70F9E"/>
    <w:rsid w:val="18E11E1D"/>
    <w:rsid w:val="18E436BB"/>
    <w:rsid w:val="18E90CD1"/>
    <w:rsid w:val="18F02060"/>
    <w:rsid w:val="18FE02D5"/>
    <w:rsid w:val="191A5E87"/>
    <w:rsid w:val="191B262F"/>
    <w:rsid w:val="1921362A"/>
    <w:rsid w:val="19324427"/>
    <w:rsid w:val="19667C11"/>
    <w:rsid w:val="19820BA0"/>
    <w:rsid w:val="19AC41D9"/>
    <w:rsid w:val="19AC6D7E"/>
    <w:rsid w:val="19B72B7E"/>
    <w:rsid w:val="19B94B48"/>
    <w:rsid w:val="19C071A3"/>
    <w:rsid w:val="19CC6629"/>
    <w:rsid w:val="19D1006B"/>
    <w:rsid w:val="19D41982"/>
    <w:rsid w:val="19E46AD2"/>
    <w:rsid w:val="19EF40C6"/>
    <w:rsid w:val="19FE07AD"/>
    <w:rsid w:val="1A02029D"/>
    <w:rsid w:val="1A141D7E"/>
    <w:rsid w:val="1A3A7A37"/>
    <w:rsid w:val="1A472154"/>
    <w:rsid w:val="1A4B59CE"/>
    <w:rsid w:val="1A4C32C6"/>
    <w:rsid w:val="1A562397"/>
    <w:rsid w:val="1A622AE9"/>
    <w:rsid w:val="1A676352"/>
    <w:rsid w:val="1A713602"/>
    <w:rsid w:val="1A877C45"/>
    <w:rsid w:val="1A8C5DB8"/>
    <w:rsid w:val="1A8D50A0"/>
    <w:rsid w:val="1A976C37"/>
    <w:rsid w:val="1A9B5929"/>
    <w:rsid w:val="1AA17AB6"/>
    <w:rsid w:val="1AAA63EA"/>
    <w:rsid w:val="1AB6775B"/>
    <w:rsid w:val="1AB772D9"/>
    <w:rsid w:val="1AC83294"/>
    <w:rsid w:val="1ACA01AF"/>
    <w:rsid w:val="1AD80FFE"/>
    <w:rsid w:val="1AFA16D5"/>
    <w:rsid w:val="1B100797"/>
    <w:rsid w:val="1B193AF0"/>
    <w:rsid w:val="1B1D5C78"/>
    <w:rsid w:val="1B4D379A"/>
    <w:rsid w:val="1B4F19F8"/>
    <w:rsid w:val="1B5678DF"/>
    <w:rsid w:val="1B596248"/>
    <w:rsid w:val="1B8847D2"/>
    <w:rsid w:val="1B970EB9"/>
    <w:rsid w:val="1B9D672E"/>
    <w:rsid w:val="1BA17641"/>
    <w:rsid w:val="1BA33337"/>
    <w:rsid w:val="1BA710FC"/>
    <w:rsid w:val="1BC21F3A"/>
    <w:rsid w:val="1BC82E20"/>
    <w:rsid w:val="1BCA4194"/>
    <w:rsid w:val="1BCC553F"/>
    <w:rsid w:val="1BCD0437"/>
    <w:rsid w:val="1BD143CB"/>
    <w:rsid w:val="1BD87507"/>
    <w:rsid w:val="1BD92184"/>
    <w:rsid w:val="1BDE2644"/>
    <w:rsid w:val="1BE0531C"/>
    <w:rsid w:val="1BEE234F"/>
    <w:rsid w:val="1BF339CD"/>
    <w:rsid w:val="1BFD0D1C"/>
    <w:rsid w:val="1C166281"/>
    <w:rsid w:val="1C367A66"/>
    <w:rsid w:val="1C3A5A50"/>
    <w:rsid w:val="1C5170A2"/>
    <w:rsid w:val="1C534F2C"/>
    <w:rsid w:val="1C7134B8"/>
    <w:rsid w:val="1C7E0123"/>
    <w:rsid w:val="1C834B42"/>
    <w:rsid w:val="1C8D1584"/>
    <w:rsid w:val="1CAE0268"/>
    <w:rsid w:val="1CAE0692"/>
    <w:rsid w:val="1CBA09BB"/>
    <w:rsid w:val="1CD970E6"/>
    <w:rsid w:val="1CEE0B2F"/>
    <w:rsid w:val="1D024E79"/>
    <w:rsid w:val="1D0974FB"/>
    <w:rsid w:val="1D284953"/>
    <w:rsid w:val="1D4061A8"/>
    <w:rsid w:val="1D75230B"/>
    <w:rsid w:val="1D7E7C3A"/>
    <w:rsid w:val="1D813BCE"/>
    <w:rsid w:val="1D9A4DBE"/>
    <w:rsid w:val="1D9B4C90"/>
    <w:rsid w:val="1D9E02DC"/>
    <w:rsid w:val="1DAC0C4B"/>
    <w:rsid w:val="1DB918CB"/>
    <w:rsid w:val="1DBC69B5"/>
    <w:rsid w:val="1DD17A09"/>
    <w:rsid w:val="1DDA3BB5"/>
    <w:rsid w:val="1DDA43AF"/>
    <w:rsid w:val="1DDE2DCF"/>
    <w:rsid w:val="1DF35950"/>
    <w:rsid w:val="1DFC3255"/>
    <w:rsid w:val="1E110FD6"/>
    <w:rsid w:val="1E1251AF"/>
    <w:rsid w:val="1E256308"/>
    <w:rsid w:val="1E276524"/>
    <w:rsid w:val="1E391DB3"/>
    <w:rsid w:val="1E5535E5"/>
    <w:rsid w:val="1E6B5FCE"/>
    <w:rsid w:val="1E780B2E"/>
    <w:rsid w:val="1E8A260F"/>
    <w:rsid w:val="1E8E0351"/>
    <w:rsid w:val="1E9516DF"/>
    <w:rsid w:val="1E9B4F4B"/>
    <w:rsid w:val="1EA731C1"/>
    <w:rsid w:val="1EAA5582"/>
    <w:rsid w:val="1EB95633"/>
    <w:rsid w:val="1EBB4EBE"/>
    <w:rsid w:val="1EBE630B"/>
    <w:rsid w:val="1EC27FFB"/>
    <w:rsid w:val="1ED019E9"/>
    <w:rsid w:val="1ED53102"/>
    <w:rsid w:val="1EE07B2E"/>
    <w:rsid w:val="1EFA3FB6"/>
    <w:rsid w:val="1EFA71FA"/>
    <w:rsid w:val="1F063325"/>
    <w:rsid w:val="1F2C36C6"/>
    <w:rsid w:val="1F2F44D3"/>
    <w:rsid w:val="1F3F5AEF"/>
    <w:rsid w:val="1F4145DE"/>
    <w:rsid w:val="1F6317DE"/>
    <w:rsid w:val="1F63358C"/>
    <w:rsid w:val="1F646872"/>
    <w:rsid w:val="1F680BA2"/>
    <w:rsid w:val="1F68119F"/>
    <w:rsid w:val="1F6E4982"/>
    <w:rsid w:val="1F964131"/>
    <w:rsid w:val="1F9855E3"/>
    <w:rsid w:val="1FAA3E59"/>
    <w:rsid w:val="1FB93253"/>
    <w:rsid w:val="1FBC5DF5"/>
    <w:rsid w:val="1FC55574"/>
    <w:rsid w:val="1FFB6D5F"/>
    <w:rsid w:val="20104D96"/>
    <w:rsid w:val="20397E8F"/>
    <w:rsid w:val="205B4929"/>
    <w:rsid w:val="20601879"/>
    <w:rsid w:val="20781442"/>
    <w:rsid w:val="207D067D"/>
    <w:rsid w:val="208A5948"/>
    <w:rsid w:val="20971013"/>
    <w:rsid w:val="20992FDD"/>
    <w:rsid w:val="20B816B5"/>
    <w:rsid w:val="20BD452B"/>
    <w:rsid w:val="20C173E3"/>
    <w:rsid w:val="20DD111C"/>
    <w:rsid w:val="20E00413"/>
    <w:rsid w:val="20EC5ACC"/>
    <w:rsid w:val="21013F79"/>
    <w:rsid w:val="210406C9"/>
    <w:rsid w:val="210E39CB"/>
    <w:rsid w:val="211A411E"/>
    <w:rsid w:val="212C5BFF"/>
    <w:rsid w:val="2130769E"/>
    <w:rsid w:val="21582E98"/>
    <w:rsid w:val="2158628B"/>
    <w:rsid w:val="215B0191"/>
    <w:rsid w:val="216B2BCB"/>
    <w:rsid w:val="216F7310"/>
    <w:rsid w:val="21703D3E"/>
    <w:rsid w:val="217575A6"/>
    <w:rsid w:val="21B7196D"/>
    <w:rsid w:val="21B83F86"/>
    <w:rsid w:val="21BC3427"/>
    <w:rsid w:val="21BF17F5"/>
    <w:rsid w:val="21C12C09"/>
    <w:rsid w:val="21D70261"/>
    <w:rsid w:val="21D74795"/>
    <w:rsid w:val="21DE514B"/>
    <w:rsid w:val="21E55E66"/>
    <w:rsid w:val="21FA7451"/>
    <w:rsid w:val="21FF50C2"/>
    <w:rsid w:val="220F74CF"/>
    <w:rsid w:val="2210107D"/>
    <w:rsid w:val="221178A8"/>
    <w:rsid w:val="221213CF"/>
    <w:rsid w:val="221F7512"/>
    <w:rsid w:val="22280ABD"/>
    <w:rsid w:val="22325497"/>
    <w:rsid w:val="22327A92"/>
    <w:rsid w:val="223B259E"/>
    <w:rsid w:val="2246271F"/>
    <w:rsid w:val="22477195"/>
    <w:rsid w:val="225562CE"/>
    <w:rsid w:val="227410C5"/>
    <w:rsid w:val="228157EF"/>
    <w:rsid w:val="22853819"/>
    <w:rsid w:val="228A7081"/>
    <w:rsid w:val="228E329D"/>
    <w:rsid w:val="229121BE"/>
    <w:rsid w:val="22965435"/>
    <w:rsid w:val="22A55C69"/>
    <w:rsid w:val="22B1460E"/>
    <w:rsid w:val="22BD6F35"/>
    <w:rsid w:val="22C95DFC"/>
    <w:rsid w:val="22CC769A"/>
    <w:rsid w:val="22D12527"/>
    <w:rsid w:val="22D84291"/>
    <w:rsid w:val="22DE29C3"/>
    <w:rsid w:val="2300689F"/>
    <w:rsid w:val="230C7A96"/>
    <w:rsid w:val="231D2AC2"/>
    <w:rsid w:val="231D53A2"/>
    <w:rsid w:val="233F4C96"/>
    <w:rsid w:val="23434A50"/>
    <w:rsid w:val="23525352"/>
    <w:rsid w:val="23576068"/>
    <w:rsid w:val="23580F2E"/>
    <w:rsid w:val="235D5D60"/>
    <w:rsid w:val="235F050E"/>
    <w:rsid w:val="23641AD7"/>
    <w:rsid w:val="237C4C1C"/>
    <w:rsid w:val="238910E7"/>
    <w:rsid w:val="23902475"/>
    <w:rsid w:val="239301B8"/>
    <w:rsid w:val="23A46F6A"/>
    <w:rsid w:val="23A60388"/>
    <w:rsid w:val="23B0550D"/>
    <w:rsid w:val="23B7504C"/>
    <w:rsid w:val="23BD6FE3"/>
    <w:rsid w:val="23D23D7A"/>
    <w:rsid w:val="23E80E96"/>
    <w:rsid w:val="240233B8"/>
    <w:rsid w:val="24274E22"/>
    <w:rsid w:val="24374FE7"/>
    <w:rsid w:val="24561911"/>
    <w:rsid w:val="245636BF"/>
    <w:rsid w:val="24571307"/>
    <w:rsid w:val="246A0F18"/>
    <w:rsid w:val="246F4781"/>
    <w:rsid w:val="24753200"/>
    <w:rsid w:val="24877D1C"/>
    <w:rsid w:val="248F097F"/>
    <w:rsid w:val="24BA2984"/>
    <w:rsid w:val="24BC729A"/>
    <w:rsid w:val="24BE6240"/>
    <w:rsid w:val="24CD46E5"/>
    <w:rsid w:val="24D14878"/>
    <w:rsid w:val="25020A43"/>
    <w:rsid w:val="25056E93"/>
    <w:rsid w:val="250B0172"/>
    <w:rsid w:val="250B47F3"/>
    <w:rsid w:val="25123C68"/>
    <w:rsid w:val="25246333"/>
    <w:rsid w:val="25284930"/>
    <w:rsid w:val="25381017"/>
    <w:rsid w:val="25401C79"/>
    <w:rsid w:val="256013D0"/>
    <w:rsid w:val="25665B84"/>
    <w:rsid w:val="256B5BB0"/>
    <w:rsid w:val="256C6F12"/>
    <w:rsid w:val="256F64B0"/>
    <w:rsid w:val="25706A02"/>
    <w:rsid w:val="25725281"/>
    <w:rsid w:val="257A0B00"/>
    <w:rsid w:val="258424AE"/>
    <w:rsid w:val="25850F5F"/>
    <w:rsid w:val="25891872"/>
    <w:rsid w:val="258A1146"/>
    <w:rsid w:val="258C3110"/>
    <w:rsid w:val="25AF660E"/>
    <w:rsid w:val="25B6018D"/>
    <w:rsid w:val="25BF1F53"/>
    <w:rsid w:val="25D01FE7"/>
    <w:rsid w:val="25DC6389"/>
    <w:rsid w:val="25E66E61"/>
    <w:rsid w:val="25ED1E01"/>
    <w:rsid w:val="25EE5B79"/>
    <w:rsid w:val="26025181"/>
    <w:rsid w:val="2609650F"/>
    <w:rsid w:val="2613738E"/>
    <w:rsid w:val="262030C3"/>
    <w:rsid w:val="263317DE"/>
    <w:rsid w:val="26446DE3"/>
    <w:rsid w:val="264D165B"/>
    <w:rsid w:val="26500522"/>
    <w:rsid w:val="26524377"/>
    <w:rsid w:val="26543C2E"/>
    <w:rsid w:val="265C29D1"/>
    <w:rsid w:val="266B278A"/>
    <w:rsid w:val="26774027"/>
    <w:rsid w:val="267E3B00"/>
    <w:rsid w:val="269229A8"/>
    <w:rsid w:val="26924756"/>
    <w:rsid w:val="26976211"/>
    <w:rsid w:val="26995AE5"/>
    <w:rsid w:val="269E759F"/>
    <w:rsid w:val="26A12BEB"/>
    <w:rsid w:val="26A76454"/>
    <w:rsid w:val="26AF70B6"/>
    <w:rsid w:val="26D7699F"/>
    <w:rsid w:val="26F07A4C"/>
    <w:rsid w:val="27111B1F"/>
    <w:rsid w:val="272730F1"/>
    <w:rsid w:val="27315DD3"/>
    <w:rsid w:val="273837FA"/>
    <w:rsid w:val="2744334E"/>
    <w:rsid w:val="27455B12"/>
    <w:rsid w:val="27455C6D"/>
    <w:rsid w:val="274A5E17"/>
    <w:rsid w:val="274E4B21"/>
    <w:rsid w:val="27616FE8"/>
    <w:rsid w:val="277F2F2D"/>
    <w:rsid w:val="27876558"/>
    <w:rsid w:val="27A26C1B"/>
    <w:rsid w:val="27A60908"/>
    <w:rsid w:val="27A6495D"/>
    <w:rsid w:val="27D8263D"/>
    <w:rsid w:val="27E4019F"/>
    <w:rsid w:val="27F12073"/>
    <w:rsid w:val="280679B6"/>
    <w:rsid w:val="2813470D"/>
    <w:rsid w:val="281713B7"/>
    <w:rsid w:val="281C4C20"/>
    <w:rsid w:val="284B1061"/>
    <w:rsid w:val="289724F8"/>
    <w:rsid w:val="28A013AD"/>
    <w:rsid w:val="28B430AA"/>
    <w:rsid w:val="28C11538"/>
    <w:rsid w:val="28C36E49"/>
    <w:rsid w:val="28CF6A9C"/>
    <w:rsid w:val="28D01566"/>
    <w:rsid w:val="28D80F1F"/>
    <w:rsid w:val="28DC0D01"/>
    <w:rsid w:val="28E65763"/>
    <w:rsid w:val="28EC18E6"/>
    <w:rsid w:val="28F416F8"/>
    <w:rsid w:val="28FA423F"/>
    <w:rsid w:val="2901505F"/>
    <w:rsid w:val="290731DA"/>
    <w:rsid w:val="2912495F"/>
    <w:rsid w:val="292A336C"/>
    <w:rsid w:val="292C2A21"/>
    <w:rsid w:val="2940049A"/>
    <w:rsid w:val="29411008"/>
    <w:rsid w:val="294837F2"/>
    <w:rsid w:val="29504391"/>
    <w:rsid w:val="29642175"/>
    <w:rsid w:val="29651707"/>
    <w:rsid w:val="29664B00"/>
    <w:rsid w:val="2976210D"/>
    <w:rsid w:val="29844DA6"/>
    <w:rsid w:val="29A94291"/>
    <w:rsid w:val="29AC409C"/>
    <w:rsid w:val="29BB5D72"/>
    <w:rsid w:val="29BF1D06"/>
    <w:rsid w:val="29D07A70"/>
    <w:rsid w:val="29F319B0"/>
    <w:rsid w:val="2A0616E3"/>
    <w:rsid w:val="2A0B4F4C"/>
    <w:rsid w:val="2A0D0CC4"/>
    <w:rsid w:val="2A175540"/>
    <w:rsid w:val="2A1A6F3D"/>
    <w:rsid w:val="2A1D6A2D"/>
    <w:rsid w:val="2A291581"/>
    <w:rsid w:val="2A391AB9"/>
    <w:rsid w:val="2A3D0E7D"/>
    <w:rsid w:val="2A663F30"/>
    <w:rsid w:val="2A7A2D06"/>
    <w:rsid w:val="2A7E571E"/>
    <w:rsid w:val="2AC11AAE"/>
    <w:rsid w:val="2AC24A4E"/>
    <w:rsid w:val="2AC62C21"/>
    <w:rsid w:val="2AD76BDC"/>
    <w:rsid w:val="2AE15AEA"/>
    <w:rsid w:val="2AE46E39"/>
    <w:rsid w:val="2AF50EB8"/>
    <w:rsid w:val="2AF61758"/>
    <w:rsid w:val="2AF754D0"/>
    <w:rsid w:val="2B0025D7"/>
    <w:rsid w:val="2B09065E"/>
    <w:rsid w:val="2B0B4AD7"/>
    <w:rsid w:val="2B17347C"/>
    <w:rsid w:val="2B1A4D1A"/>
    <w:rsid w:val="2B342280"/>
    <w:rsid w:val="2B4469A5"/>
    <w:rsid w:val="2B45623B"/>
    <w:rsid w:val="2B54647E"/>
    <w:rsid w:val="2B5D3585"/>
    <w:rsid w:val="2B7663F5"/>
    <w:rsid w:val="2B774624"/>
    <w:rsid w:val="2B9176D3"/>
    <w:rsid w:val="2B9C64CF"/>
    <w:rsid w:val="2BA611ED"/>
    <w:rsid w:val="2BAD567C"/>
    <w:rsid w:val="2BB77B14"/>
    <w:rsid w:val="2BD72A2F"/>
    <w:rsid w:val="2BD80E5D"/>
    <w:rsid w:val="2BD96984"/>
    <w:rsid w:val="2BDE3F9A"/>
    <w:rsid w:val="2BF67536"/>
    <w:rsid w:val="2C09185D"/>
    <w:rsid w:val="2C1B7B34"/>
    <w:rsid w:val="2C2E4F21"/>
    <w:rsid w:val="2C3818FC"/>
    <w:rsid w:val="2C3D51E7"/>
    <w:rsid w:val="2C453BA4"/>
    <w:rsid w:val="2C583D4C"/>
    <w:rsid w:val="2C7A7174"/>
    <w:rsid w:val="2C7A72BE"/>
    <w:rsid w:val="2C8763E0"/>
    <w:rsid w:val="2C8B2374"/>
    <w:rsid w:val="2C8B4122"/>
    <w:rsid w:val="2C901A33"/>
    <w:rsid w:val="2CA13945"/>
    <w:rsid w:val="2CB46C88"/>
    <w:rsid w:val="2CFC5020"/>
    <w:rsid w:val="2D206660"/>
    <w:rsid w:val="2D2500D2"/>
    <w:rsid w:val="2D37282D"/>
    <w:rsid w:val="2D450775"/>
    <w:rsid w:val="2D4615F9"/>
    <w:rsid w:val="2D68642F"/>
    <w:rsid w:val="2D753181"/>
    <w:rsid w:val="2D76392A"/>
    <w:rsid w:val="2D825525"/>
    <w:rsid w:val="2D850B71"/>
    <w:rsid w:val="2D9139BA"/>
    <w:rsid w:val="2DB476A8"/>
    <w:rsid w:val="2DBE4083"/>
    <w:rsid w:val="2DCB36BC"/>
    <w:rsid w:val="2DCF003E"/>
    <w:rsid w:val="2DD05EAD"/>
    <w:rsid w:val="2DD53D8C"/>
    <w:rsid w:val="2DE15316"/>
    <w:rsid w:val="2DE57862"/>
    <w:rsid w:val="2DEC6E42"/>
    <w:rsid w:val="2DF45CF7"/>
    <w:rsid w:val="2DF61A6F"/>
    <w:rsid w:val="2DF6381D"/>
    <w:rsid w:val="2DFF6930"/>
    <w:rsid w:val="2E163EBF"/>
    <w:rsid w:val="2E1B14D5"/>
    <w:rsid w:val="2E212DFE"/>
    <w:rsid w:val="2E232138"/>
    <w:rsid w:val="2E416702"/>
    <w:rsid w:val="2E41718E"/>
    <w:rsid w:val="2E786F75"/>
    <w:rsid w:val="2E821554"/>
    <w:rsid w:val="2EAF7ABA"/>
    <w:rsid w:val="2EB72FAC"/>
    <w:rsid w:val="2ECC611B"/>
    <w:rsid w:val="2ED022C0"/>
    <w:rsid w:val="2EE30245"/>
    <w:rsid w:val="2EE8585B"/>
    <w:rsid w:val="2EED69CE"/>
    <w:rsid w:val="2EFA10EB"/>
    <w:rsid w:val="2EFA733D"/>
    <w:rsid w:val="2F041F69"/>
    <w:rsid w:val="2F10090E"/>
    <w:rsid w:val="2F183841"/>
    <w:rsid w:val="2F1C72B3"/>
    <w:rsid w:val="2F294338"/>
    <w:rsid w:val="2F401D3C"/>
    <w:rsid w:val="2F4C6477"/>
    <w:rsid w:val="2F5B427F"/>
    <w:rsid w:val="2F835584"/>
    <w:rsid w:val="2F8A06C1"/>
    <w:rsid w:val="2F8C268B"/>
    <w:rsid w:val="2F8F4C4F"/>
    <w:rsid w:val="2F94153F"/>
    <w:rsid w:val="2FA95C88"/>
    <w:rsid w:val="2FAF2BAF"/>
    <w:rsid w:val="2FCA31B3"/>
    <w:rsid w:val="30085A89"/>
    <w:rsid w:val="301D4299"/>
    <w:rsid w:val="302C1778"/>
    <w:rsid w:val="30313232"/>
    <w:rsid w:val="303B19BB"/>
    <w:rsid w:val="303F6A4D"/>
    <w:rsid w:val="3041370F"/>
    <w:rsid w:val="30467249"/>
    <w:rsid w:val="30491720"/>
    <w:rsid w:val="30670A02"/>
    <w:rsid w:val="30770743"/>
    <w:rsid w:val="30850E88"/>
    <w:rsid w:val="30894E1C"/>
    <w:rsid w:val="30AA57D3"/>
    <w:rsid w:val="30BC014C"/>
    <w:rsid w:val="30C16364"/>
    <w:rsid w:val="30D75B88"/>
    <w:rsid w:val="30F04DDC"/>
    <w:rsid w:val="30F46739"/>
    <w:rsid w:val="31083A05"/>
    <w:rsid w:val="311513CF"/>
    <w:rsid w:val="311E37B6"/>
    <w:rsid w:val="31220D76"/>
    <w:rsid w:val="312A215B"/>
    <w:rsid w:val="314B3E80"/>
    <w:rsid w:val="31552F50"/>
    <w:rsid w:val="3166233E"/>
    <w:rsid w:val="31713AE0"/>
    <w:rsid w:val="317C04DD"/>
    <w:rsid w:val="319554AC"/>
    <w:rsid w:val="3199108F"/>
    <w:rsid w:val="31A67308"/>
    <w:rsid w:val="31AD4B3A"/>
    <w:rsid w:val="31B41A25"/>
    <w:rsid w:val="31E63BA8"/>
    <w:rsid w:val="320221EB"/>
    <w:rsid w:val="320A2BCE"/>
    <w:rsid w:val="32130E41"/>
    <w:rsid w:val="322877DD"/>
    <w:rsid w:val="322A618B"/>
    <w:rsid w:val="323E5B63"/>
    <w:rsid w:val="32453A27"/>
    <w:rsid w:val="324F79A0"/>
    <w:rsid w:val="3261426C"/>
    <w:rsid w:val="3263064A"/>
    <w:rsid w:val="32650F71"/>
    <w:rsid w:val="32717916"/>
    <w:rsid w:val="32797109"/>
    <w:rsid w:val="327A0EC0"/>
    <w:rsid w:val="3281224F"/>
    <w:rsid w:val="32917FB8"/>
    <w:rsid w:val="32AC0C06"/>
    <w:rsid w:val="32C27E62"/>
    <w:rsid w:val="32CB171C"/>
    <w:rsid w:val="32DC1D50"/>
    <w:rsid w:val="32E20814"/>
    <w:rsid w:val="32FE0135"/>
    <w:rsid w:val="33053078"/>
    <w:rsid w:val="330B6F53"/>
    <w:rsid w:val="331A61FF"/>
    <w:rsid w:val="331C3D26"/>
    <w:rsid w:val="333252F7"/>
    <w:rsid w:val="33356B95"/>
    <w:rsid w:val="334D3E67"/>
    <w:rsid w:val="337F056D"/>
    <w:rsid w:val="33833DA5"/>
    <w:rsid w:val="338D077F"/>
    <w:rsid w:val="338E62A6"/>
    <w:rsid w:val="33995376"/>
    <w:rsid w:val="339C6C14"/>
    <w:rsid w:val="33A673CC"/>
    <w:rsid w:val="33A96884"/>
    <w:rsid w:val="33B57CD6"/>
    <w:rsid w:val="33CB74FA"/>
    <w:rsid w:val="33DE722D"/>
    <w:rsid w:val="33F20F2A"/>
    <w:rsid w:val="33F4419F"/>
    <w:rsid w:val="341D5FA7"/>
    <w:rsid w:val="341D7D55"/>
    <w:rsid w:val="3431735D"/>
    <w:rsid w:val="34392AF0"/>
    <w:rsid w:val="344A5B75"/>
    <w:rsid w:val="344D6161"/>
    <w:rsid w:val="344D7F0F"/>
    <w:rsid w:val="345D2848"/>
    <w:rsid w:val="34781430"/>
    <w:rsid w:val="347D6A46"/>
    <w:rsid w:val="34894549"/>
    <w:rsid w:val="34A246FE"/>
    <w:rsid w:val="34A63644"/>
    <w:rsid w:val="34A900C6"/>
    <w:rsid w:val="34CA3F9D"/>
    <w:rsid w:val="34D0051F"/>
    <w:rsid w:val="34D50630"/>
    <w:rsid w:val="34D90058"/>
    <w:rsid w:val="34DF2263"/>
    <w:rsid w:val="34ED0B8D"/>
    <w:rsid w:val="34F14902"/>
    <w:rsid w:val="34FA09EA"/>
    <w:rsid w:val="35164541"/>
    <w:rsid w:val="35246EC1"/>
    <w:rsid w:val="352753BA"/>
    <w:rsid w:val="352A3AB6"/>
    <w:rsid w:val="35337105"/>
    <w:rsid w:val="35346A6B"/>
    <w:rsid w:val="3537750C"/>
    <w:rsid w:val="3537798C"/>
    <w:rsid w:val="35392F39"/>
    <w:rsid w:val="353C420B"/>
    <w:rsid w:val="357716E7"/>
    <w:rsid w:val="35784B06"/>
    <w:rsid w:val="357D6C72"/>
    <w:rsid w:val="357F7ED5"/>
    <w:rsid w:val="35B77D36"/>
    <w:rsid w:val="35C13FC9"/>
    <w:rsid w:val="35C778E0"/>
    <w:rsid w:val="35E7171B"/>
    <w:rsid w:val="35E825E5"/>
    <w:rsid w:val="35ED3757"/>
    <w:rsid w:val="35F57B47"/>
    <w:rsid w:val="35F83319"/>
    <w:rsid w:val="35FE7713"/>
    <w:rsid w:val="360311CD"/>
    <w:rsid w:val="361138EA"/>
    <w:rsid w:val="362063D3"/>
    <w:rsid w:val="362604D5"/>
    <w:rsid w:val="362E6D87"/>
    <w:rsid w:val="36370E76"/>
    <w:rsid w:val="363C160C"/>
    <w:rsid w:val="364230A5"/>
    <w:rsid w:val="364257B6"/>
    <w:rsid w:val="364D1EBF"/>
    <w:rsid w:val="365612FD"/>
    <w:rsid w:val="365E4655"/>
    <w:rsid w:val="36626AA0"/>
    <w:rsid w:val="36662444"/>
    <w:rsid w:val="3666655F"/>
    <w:rsid w:val="36714388"/>
    <w:rsid w:val="367E2601"/>
    <w:rsid w:val="368C641D"/>
    <w:rsid w:val="36B96B1A"/>
    <w:rsid w:val="36BE50F4"/>
    <w:rsid w:val="36D93CDC"/>
    <w:rsid w:val="36DE12F2"/>
    <w:rsid w:val="36E96615"/>
    <w:rsid w:val="36F6488E"/>
    <w:rsid w:val="36F834D1"/>
    <w:rsid w:val="36FF7BE6"/>
    <w:rsid w:val="370276D6"/>
    <w:rsid w:val="370964B1"/>
    <w:rsid w:val="3715285E"/>
    <w:rsid w:val="372F07D3"/>
    <w:rsid w:val="373B6744"/>
    <w:rsid w:val="373D289B"/>
    <w:rsid w:val="374264D3"/>
    <w:rsid w:val="37625508"/>
    <w:rsid w:val="37806273"/>
    <w:rsid w:val="37824373"/>
    <w:rsid w:val="378269E1"/>
    <w:rsid w:val="378620B5"/>
    <w:rsid w:val="37862D3A"/>
    <w:rsid w:val="378C4D7F"/>
    <w:rsid w:val="379A346B"/>
    <w:rsid w:val="37A75B88"/>
    <w:rsid w:val="37A91900"/>
    <w:rsid w:val="37C003A8"/>
    <w:rsid w:val="37C329C2"/>
    <w:rsid w:val="37DB7874"/>
    <w:rsid w:val="37DD7E02"/>
    <w:rsid w:val="37E80BA5"/>
    <w:rsid w:val="37EA5922"/>
    <w:rsid w:val="37F952C8"/>
    <w:rsid w:val="37FD13F8"/>
    <w:rsid w:val="38003C16"/>
    <w:rsid w:val="380454FC"/>
    <w:rsid w:val="380E23B1"/>
    <w:rsid w:val="38161052"/>
    <w:rsid w:val="381C4EC4"/>
    <w:rsid w:val="38276B93"/>
    <w:rsid w:val="3835496F"/>
    <w:rsid w:val="38361D6B"/>
    <w:rsid w:val="38563836"/>
    <w:rsid w:val="38613F89"/>
    <w:rsid w:val="38757F5D"/>
    <w:rsid w:val="38763ED8"/>
    <w:rsid w:val="387E0FDF"/>
    <w:rsid w:val="389600D6"/>
    <w:rsid w:val="389D5829"/>
    <w:rsid w:val="389F75FE"/>
    <w:rsid w:val="38D0030D"/>
    <w:rsid w:val="38DB01DF"/>
    <w:rsid w:val="38E2331B"/>
    <w:rsid w:val="38EA6674"/>
    <w:rsid w:val="390C0398"/>
    <w:rsid w:val="391060DB"/>
    <w:rsid w:val="3913458B"/>
    <w:rsid w:val="391E1E7A"/>
    <w:rsid w:val="392A49E3"/>
    <w:rsid w:val="39335925"/>
    <w:rsid w:val="39447B32"/>
    <w:rsid w:val="394B24F0"/>
    <w:rsid w:val="39804C3F"/>
    <w:rsid w:val="39812695"/>
    <w:rsid w:val="39887F4C"/>
    <w:rsid w:val="398B750F"/>
    <w:rsid w:val="398E34A3"/>
    <w:rsid w:val="398E5251"/>
    <w:rsid w:val="39AD58C4"/>
    <w:rsid w:val="39B5569E"/>
    <w:rsid w:val="39B839F2"/>
    <w:rsid w:val="39C66A0D"/>
    <w:rsid w:val="39C77313"/>
    <w:rsid w:val="39DF28E3"/>
    <w:rsid w:val="39E60BE9"/>
    <w:rsid w:val="39E77348"/>
    <w:rsid w:val="39ED4C94"/>
    <w:rsid w:val="39FE23D7"/>
    <w:rsid w:val="39FF3A59"/>
    <w:rsid w:val="3A0112E1"/>
    <w:rsid w:val="3A0353BC"/>
    <w:rsid w:val="3A0B0650"/>
    <w:rsid w:val="3A0B64A7"/>
    <w:rsid w:val="3A1840A9"/>
    <w:rsid w:val="3A26548A"/>
    <w:rsid w:val="3A361610"/>
    <w:rsid w:val="3A362B2F"/>
    <w:rsid w:val="3A5B6852"/>
    <w:rsid w:val="3A703167"/>
    <w:rsid w:val="3A704957"/>
    <w:rsid w:val="3A8F3B5A"/>
    <w:rsid w:val="3AA0348E"/>
    <w:rsid w:val="3AA5290F"/>
    <w:rsid w:val="3AB76CFE"/>
    <w:rsid w:val="3ABE1B66"/>
    <w:rsid w:val="3AC52EF5"/>
    <w:rsid w:val="3AC7092A"/>
    <w:rsid w:val="3AD331DF"/>
    <w:rsid w:val="3AE07D71"/>
    <w:rsid w:val="3AF74C02"/>
    <w:rsid w:val="3AF815BB"/>
    <w:rsid w:val="3AF8490D"/>
    <w:rsid w:val="3AFD443D"/>
    <w:rsid w:val="3B001939"/>
    <w:rsid w:val="3B021A53"/>
    <w:rsid w:val="3B0532F1"/>
    <w:rsid w:val="3B281408"/>
    <w:rsid w:val="3B2C5C74"/>
    <w:rsid w:val="3B3616FD"/>
    <w:rsid w:val="3B4007CD"/>
    <w:rsid w:val="3B45079A"/>
    <w:rsid w:val="3B550BE8"/>
    <w:rsid w:val="3B5B73B5"/>
    <w:rsid w:val="3B5D4EDB"/>
    <w:rsid w:val="3B6D7897"/>
    <w:rsid w:val="3B781D15"/>
    <w:rsid w:val="3B976570"/>
    <w:rsid w:val="3BA269CE"/>
    <w:rsid w:val="3BA925ED"/>
    <w:rsid w:val="3BB371F1"/>
    <w:rsid w:val="3BC63E91"/>
    <w:rsid w:val="3BC6658C"/>
    <w:rsid w:val="3BCE7153"/>
    <w:rsid w:val="3BF35840"/>
    <w:rsid w:val="3C0059A5"/>
    <w:rsid w:val="3C033CD5"/>
    <w:rsid w:val="3C134E78"/>
    <w:rsid w:val="3C340332"/>
    <w:rsid w:val="3C4A29EA"/>
    <w:rsid w:val="3C4B742A"/>
    <w:rsid w:val="3C5928B0"/>
    <w:rsid w:val="3C687FDC"/>
    <w:rsid w:val="3C794682"/>
    <w:rsid w:val="3C7B53A9"/>
    <w:rsid w:val="3CAF1767"/>
    <w:rsid w:val="3CC80A7A"/>
    <w:rsid w:val="3CD245E0"/>
    <w:rsid w:val="3CD45671"/>
    <w:rsid w:val="3CDA48E7"/>
    <w:rsid w:val="3D070E25"/>
    <w:rsid w:val="3D08531B"/>
    <w:rsid w:val="3D0F48FB"/>
    <w:rsid w:val="3D10255B"/>
    <w:rsid w:val="3D124BBA"/>
    <w:rsid w:val="3D192362"/>
    <w:rsid w:val="3D233F03"/>
    <w:rsid w:val="3D261B83"/>
    <w:rsid w:val="3D47303C"/>
    <w:rsid w:val="3D4E5423"/>
    <w:rsid w:val="3D556267"/>
    <w:rsid w:val="3D78424E"/>
    <w:rsid w:val="3D7C2FEC"/>
    <w:rsid w:val="3D934BE4"/>
    <w:rsid w:val="3D9F17DB"/>
    <w:rsid w:val="3DBA6615"/>
    <w:rsid w:val="3DC41242"/>
    <w:rsid w:val="3DE6058D"/>
    <w:rsid w:val="3DEB4A20"/>
    <w:rsid w:val="3DF6345D"/>
    <w:rsid w:val="3DF8713D"/>
    <w:rsid w:val="3E09759C"/>
    <w:rsid w:val="3E10092B"/>
    <w:rsid w:val="3E186F0B"/>
    <w:rsid w:val="3E435064"/>
    <w:rsid w:val="3E6A003B"/>
    <w:rsid w:val="3E77555D"/>
    <w:rsid w:val="3E7964D0"/>
    <w:rsid w:val="3E7C1B1C"/>
    <w:rsid w:val="3E834932"/>
    <w:rsid w:val="3E8409D1"/>
    <w:rsid w:val="3E846C23"/>
    <w:rsid w:val="3E90381A"/>
    <w:rsid w:val="3E907376"/>
    <w:rsid w:val="3EB218F1"/>
    <w:rsid w:val="3EC15757"/>
    <w:rsid w:val="3EE13701"/>
    <w:rsid w:val="3EE6168C"/>
    <w:rsid w:val="3EFE0783"/>
    <w:rsid w:val="3F051B12"/>
    <w:rsid w:val="3F0A7128"/>
    <w:rsid w:val="3F123C66"/>
    <w:rsid w:val="3F171845"/>
    <w:rsid w:val="3F177A97"/>
    <w:rsid w:val="3F1A4BB3"/>
    <w:rsid w:val="3F1B4469"/>
    <w:rsid w:val="3F277CDA"/>
    <w:rsid w:val="3F2A3495"/>
    <w:rsid w:val="3F4E170B"/>
    <w:rsid w:val="3F542FF5"/>
    <w:rsid w:val="3F544847"/>
    <w:rsid w:val="3F642B1C"/>
    <w:rsid w:val="3F6820A1"/>
    <w:rsid w:val="3F7C37F0"/>
    <w:rsid w:val="3F890F5D"/>
    <w:rsid w:val="3FA07A8C"/>
    <w:rsid w:val="3FA5377A"/>
    <w:rsid w:val="3FAC4683"/>
    <w:rsid w:val="3FC2005E"/>
    <w:rsid w:val="3FD15E98"/>
    <w:rsid w:val="3FF81676"/>
    <w:rsid w:val="40064F63"/>
    <w:rsid w:val="40076CDF"/>
    <w:rsid w:val="4013200C"/>
    <w:rsid w:val="40150E25"/>
    <w:rsid w:val="40192BA6"/>
    <w:rsid w:val="40271F5C"/>
    <w:rsid w:val="40363F4D"/>
    <w:rsid w:val="4058233E"/>
    <w:rsid w:val="40747468"/>
    <w:rsid w:val="4093098F"/>
    <w:rsid w:val="409A272E"/>
    <w:rsid w:val="40A6466A"/>
    <w:rsid w:val="40B57568"/>
    <w:rsid w:val="40BA692C"/>
    <w:rsid w:val="40BD4946"/>
    <w:rsid w:val="40BE7759"/>
    <w:rsid w:val="40E1210B"/>
    <w:rsid w:val="40E77274"/>
    <w:rsid w:val="40EF2A79"/>
    <w:rsid w:val="410944F6"/>
    <w:rsid w:val="41166258"/>
    <w:rsid w:val="411B56FD"/>
    <w:rsid w:val="41232723"/>
    <w:rsid w:val="41285C47"/>
    <w:rsid w:val="4148218A"/>
    <w:rsid w:val="41610E0B"/>
    <w:rsid w:val="416337E3"/>
    <w:rsid w:val="41685D9E"/>
    <w:rsid w:val="419D28C4"/>
    <w:rsid w:val="41A01FC6"/>
    <w:rsid w:val="41B17D2F"/>
    <w:rsid w:val="41BA0B0D"/>
    <w:rsid w:val="41C31810"/>
    <w:rsid w:val="41CD2F97"/>
    <w:rsid w:val="41D659E7"/>
    <w:rsid w:val="41DE6B9D"/>
    <w:rsid w:val="420049FD"/>
    <w:rsid w:val="42135DD8"/>
    <w:rsid w:val="421A1D78"/>
    <w:rsid w:val="421E659F"/>
    <w:rsid w:val="42206C63"/>
    <w:rsid w:val="42254279"/>
    <w:rsid w:val="42276243"/>
    <w:rsid w:val="4238363D"/>
    <w:rsid w:val="4239456E"/>
    <w:rsid w:val="423D5A66"/>
    <w:rsid w:val="42417884"/>
    <w:rsid w:val="42497F67"/>
    <w:rsid w:val="42550A18"/>
    <w:rsid w:val="425600A9"/>
    <w:rsid w:val="425C413F"/>
    <w:rsid w:val="425D7EB7"/>
    <w:rsid w:val="426B6130"/>
    <w:rsid w:val="426D00FA"/>
    <w:rsid w:val="427C658F"/>
    <w:rsid w:val="429F227D"/>
    <w:rsid w:val="42A44D37"/>
    <w:rsid w:val="42A7780B"/>
    <w:rsid w:val="42A96C58"/>
    <w:rsid w:val="42B20202"/>
    <w:rsid w:val="42C121F4"/>
    <w:rsid w:val="42C27D1A"/>
    <w:rsid w:val="42CB58F0"/>
    <w:rsid w:val="42D57304"/>
    <w:rsid w:val="42F40871"/>
    <w:rsid w:val="42F473A1"/>
    <w:rsid w:val="42F73E67"/>
    <w:rsid w:val="43056584"/>
    <w:rsid w:val="430664B8"/>
    <w:rsid w:val="432A1125"/>
    <w:rsid w:val="433A1BCB"/>
    <w:rsid w:val="433E53D9"/>
    <w:rsid w:val="434F77FF"/>
    <w:rsid w:val="43824C1A"/>
    <w:rsid w:val="438A4CDB"/>
    <w:rsid w:val="438D0328"/>
    <w:rsid w:val="43923E29"/>
    <w:rsid w:val="4396542E"/>
    <w:rsid w:val="43A35D9D"/>
    <w:rsid w:val="43B05F93"/>
    <w:rsid w:val="43B27D8E"/>
    <w:rsid w:val="43C55D14"/>
    <w:rsid w:val="43E72782"/>
    <w:rsid w:val="44124CF1"/>
    <w:rsid w:val="441E62C0"/>
    <w:rsid w:val="44234472"/>
    <w:rsid w:val="44274ACD"/>
    <w:rsid w:val="44343FA0"/>
    <w:rsid w:val="445B0426"/>
    <w:rsid w:val="445C2059"/>
    <w:rsid w:val="44631FBB"/>
    <w:rsid w:val="44692B43"/>
    <w:rsid w:val="447F5EC2"/>
    <w:rsid w:val="44862689"/>
    <w:rsid w:val="448D2A4F"/>
    <w:rsid w:val="448E07FB"/>
    <w:rsid w:val="448F0E12"/>
    <w:rsid w:val="449961D7"/>
    <w:rsid w:val="449C6A74"/>
    <w:rsid w:val="44BD4C3D"/>
    <w:rsid w:val="44BE2144"/>
    <w:rsid w:val="44BF0E72"/>
    <w:rsid w:val="44CC46BA"/>
    <w:rsid w:val="44D37FBC"/>
    <w:rsid w:val="44D5342A"/>
    <w:rsid w:val="44DA57EF"/>
    <w:rsid w:val="44DD0E3B"/>
    <w:rsid w:val="44F81E89"/>
    <w:rsid w:val="45017990"/>
    <w:rsid w:val="450464A6"/>
    <w:rsid w:val="450D7972"/>
    <w:rsid w:val="451066F7"/>
    <w:rsid w:val="45146B54"/>
    <w:rsid w:val="45174FF1"/>
    <w:rsid w:val="452F67E7"/>
    <w:rsid w:val="454113CA"/>
    <w:rsid w:val="45513D03"/>
    <w:rsid w:val="457C68A6"/>
    <w:rsid w:val="45811C7C"/>
    <w:rsid w:val="458319E2"/>
    <w:rsid w:val="45967968"/>
    <w:rsid w:val="45A97F18"/>
    <w:rsid w:val="45AC0F39"/>
    <w:rsid w:val="45AD0799"/>
    <w:rsid w:val="45B47174"/>
    <w:rsid w:val="45C2593C"/>
    <w:rsid w:val="45C5024D"/>
    <w:rsid w:val="45DD5596"/>
    <w:rsid w:val="4607616F"/>
    <w:rsid w:val="460A5C60"/>
    <w:rsid w:val="461E170B"/>
    <w:rsid w:val="46401681"/>
    <w:rsid w:val="464C6278"/>
    <w:rsid w:val="464F5D68"/>
    <w:rsid w:val="46536E8C"/>
    <w:rsid w:val="465E4B3A"/>
    <w:rsid w:val="46731A57"/>
    <w:rsid w:val="467B090B"/>
    <w:rsid w:val="468B3EFB"/>
    <w:rsid w:val="46916381"/>
    <w:rsid w:val="469460F7"/>
    <w:rsid w:val="46A2071E"/>
    <w:rsid w:val="46C3241B"/>
    <w:rsid w:val="46DC7FF2"/>
    <w:rsid w:val="46E75FA1"/>
    <w:rsid w:val="46F54107"/>
    <w:rsid w:val="46F9547C"/>
    <w:rsid w:val="46FF2957"/>
    <w:rsid w:val="47040377"/>
    <w:rsid w:val="470A6193"/>
    <w:rsid w:val="47127AD1"/>
    <w:rsid w:val="471F580B"/>
    <w:rsid w:val="47201E61"/>
    <w:rsid w:val="472E5983"/>
    <w:rsid w:val="474312E2"/>
    <w:rsid w:val="4747201E"/>
    <w:rsid w:val="476C707E"/>
    <w:rsid w:val="476E7525"/>
    <w:rsid w:val="477A7446"/>
    <w:rsid w:val="477E03FD"/>
    <w:rsid w:val="4783216D"/>
    <w:rsid w:val="47876474"/>
    <w:rsid w:val="47887784"/>
    <w:rsid w:val="4792415F"/>
    <w:rsid w:val="47AE3AD2"/>
    <w:rsid w:val="47C50090"/>
    <w:rsid w:val="47D1739A"/>
    <w:rsid w:val="47D41938"/>
    <w:rsid w:val="47D97FDF"/>
    <w:rsid w:val="47DC4F5C"/>
    <w:rsid w:val="47E30E5E"/>
    <w:rsid w:val="47F70466"/>
    <w:rsid w:val="48254FD3"/>
    <w:rsid w:val="48266C22"/>
    <w:rsid w:val="48496F13"/>
    <w:rsid w:val="485B09F4"/>
    <w:rsid w:val="486045D6"/>
    <w:rsid w:val="486F0BE5"/>
    <w:rsid w:val="4880045B"/>
    <w:rsid w:val="488356D6"/>
    <w:rsid w:val="488E257D"/>
    <w:rsid w:val="48B40671"/>
    <w:rsid w:val="48B84099"/>
    <w:rsid w:val="48E87129"/>
    <w:rsid w:val="48F826E7"/>
    <w:rsid w:val="48FF5824"/>
    <w:rsid w:val="493378FF"/>
    <w:rsid w:val="49575660"/>
    <w:rsid w:val="49626A9A"/>
    <w:rsid w:val="496B7097"/>
    <w:rsid w:val="49845D29"/>
    <w:rsid w:val="499B5738"/>
    <w:rsid w:val="499F244D"/>
    <w:rsid w:val="49AE46BE"/>
    <w:rsid w:val="49B54F13"/>
    <w:rsid w:val="49B74350"/>
    <w:rsid w:val="49BA799D"/>
    <w:rsid w:val="49BD73EB"/>
    <w:rsid w:val="49D7054F"/>
    <w:rsid w:val="49DF11B1"/>
    <w:rsid w:val="49F41101"/>
    <w:rsid w:val="49F64E79"/>
    <w:rsid w:val="49F92273"/>
    <w:rsid w:val="4A050C18"/>
    <w:rsid w:val="4A121587"/>
    <w:rsid w:val="4A5D6CA6"/>
    <w:rsid w:val="4A6A3171"/>
    <w:rsid w:val="4A804742"/>
    <w:rsid w:val="4A8F58C2"/>
    <w:rsid w:val="4A9220C8"/>
    <w:rsid w:val="4AB4263E"/>
    <w:rsid w:val="4ABB577A"/>
    <w:rsid w:val="4ABD6F9B"/>
    <w:rsid w:val="4AC663E7"/>
    <w:rsid w:val="4AC705C3"/>
    <w:rsid w:val="4AC72371"/>
    <w:rsid w:val="4AD351BA"/>
    <w:rsid w:val="4AE73555"/>
    <w:rsid w:val="4AF15640"/>
    <w:rsid w:val="4AF8077D"/>
    <w:rsid w:val="4AF96BC7"/>
    <w:rsid w:val="4B1E3227"/>
    <w:rsid w:val="4B5C51AF"/>
    <w:rsid w:val="4B6B71A0"/>
    <w:rsid w:val="4B6D2F06"/>
    <w:rsid w:val="4B725159"/>
    <w:rsid w:val="4B937662"/>
    <w:rsid w:val="4B937B72"/>
    <w:rsid w:val="4B9D4C1F"/>
    <w:rsid w:val="4BC4555C"/>
    <w:rsid w:val="4BD5286C"/>
    <w:rsid w:val="4BD56D10"/>
    <w:rsid w:val="4BD929FD"/>
    <w:rsid w:val="4BDD7BA7"/>
    <w:rsid w:val="4BE96317"/>
    <w:rsid w:val="4BEB0208"/>
    <w:rsid w:val="4BEC797C"/>
    <w:rsid w:val="4BFB4050"/>
    <w:rsid w:val="4BFD7DA2"/>
    <w:rsid w:val="4C043CBA"/>
    <w:rsid w:val="4C1A464A"/>
    <w:rsid w:val="4C7B00A5"/>
    <w:rsid w:val="4C7C4B97"/>
    <w:rsid w:val="4C7D6F5C"/>
    <w:rsid w:val="4CDB0356"/>
    <w:rsid w:val="4CEF36E2"/>
    <w:rsid w:val="4CF03E01"/>
    <w:rsid w:val="4CF937E7"/>
    <w:rsid w:val="4D1127C3"/>
    <w:rsid w:val="4D1A0E7E"/>
    <w:rsid w:val="4D2215B2"/>
    <w:rsid w:val="4D221AE1"/>
    <w:rsid w:val="4D243AAB"/>
    <w:rsid w:val="4D27359B"/>
    <w:rsid w:val="4D31441A"/>
    <w:rsid w:val="4D3742C8"/>
    <w:rsid w:val="4D3B1120"/>
    <w:rsid w:val="4D5D520F"/>
    <w:rsid w:val="4D64034B"/>
    <w:rsid w:val="4D7678F6"/>
    <w:rsid w:val="4D7D35AD"/>
    <w:rsid w:val="4D7F266D"/>
    <w:rsid w:val="4D84736B"/>
    <w:rsid w:val="4D8602C2"/>
    <w:rsid w:val="4D901140"/>
    <w:rsid w:val="4D9F71C1"/>
    <w:rsid w:val="4DA16EA9"/>
    <w:rsid w:val="4DAF4CC1"/>
    <w:rsid w:val="4DBF37D4"/>
    <w:rsid w:val="4DDD3C5A"/>
    <w:rsid w:val="4DE84AD8"/>
    <w:rsid w:val="4DEC3685"/>
    <w:rsid w:val="4DED0341"/>
    <w:rsid w:val="4DF91E57"/>
    <w:rsid w:val="4E045AE0"/>
    <w:rsid w:val="4E0C2B34"/>
    <w:rsid w:val="4E0E53DC"/>
    <w:rsid w:val="4E3C4E24"/>
    <w:rsid w:val="4E3E294A"/>
    <w:rsid w:val="4E4A7541"/>
    <w:rsid w:val="4E807407"/>
    <w:rsid w:val="4E870795"/>
    <w:rsid w:val="4E892302"/>
    <w:rsid w:val="4E8A5B90"/>
    <w:rsid w:val="4E8D7A74"/>
    <w:rsid w:val="4EB26E94"/>
    <w:rsid w:val="4ED137BE"/>
    <w:rsid w:val="4ED67027"/>
    <w:rsid w:val="4ED96B17"/>
    <w:rsid w:val="4EDB463D"/>
    <w:rsid w:val="4EEF2C61"/>
    <w:rsid w:val="4EF83441"/>
    <w:rsid w:val="4EFD595E"/>
    <w:rsid w:val="4F10078B"/>
    <w:rsid w:val="4F1C324D"/>
    <w:rsid w:val="4F372FFB"/>
    <w:rsid w:val="4F37724F"/>
    <w:rsid w:val="4F3F609A"/>
    <w:rsid w:val="4F491BDC"/>
    <w:rsid w:val="4F4E7EFF"/>
    <w:rsid w:val="4F676F3B"/>
    <w:rsid w:val="4F764366"/>
    <w:rsid w:val="4F8A56A3"/>
    <w:rsid w:val="4F8B1BBF"/>
    <w:rsid w:val="4F8C3073"/>
    <w:rsid w:val="4F9D18F3"/>
    <w:rsid w:val="4FA76FA4"/>
    <w:rsid w:val="4FA9749A"/>
    <w:rsid w:val="4FB60A29"/>
    <w:rsid w:val="4FC60E49"/>
    <w:rsid w:val="4FCA3333"/>
    <w:rsid w:val="4FDC68BF"/>
    <w:rsid w:val="4FDD6193"/>
    <w:rsid w:val="4FF167FA"/>
    <w:rsid w:val="5002572F"/>
    <w:rsid w:val="50093EFF"/>
    <w:rsid w:val="500D0826"/>
    <w:rsid w:val="500F0A42"/>
    <w:rsid w:val="5012408F"/>
    <w:rsid w:val="50146059"/>
    <w:rsid w:val="5024780B"/>
    <w:rsid w:val="502A762A"/>
    <w:rsid w:val="50324731"/>
    <w:rsid w:val="50456C5A"/>
    <w:rsid w:val="5058322F"/>
    <w:rsid w:val="506A511E"/>
    <w:rsid w:val="50761340"/>
    <w:rsid w:val="50797CC1"/>
    <w:rsid w:val="50875D00"/>
    <w:rsid w:val="508C2053"/>
    <w:rsid w:val="508D7BB9"/>
    <w:rsid w:val="50A15412"/>
    <w:rsid w:val="50A50A25"/>
    <w:rsid w:val="50A53155"/>
    <w:rsid w:val="50A76ECD"/>
    <w:rsid w:val="50AA7287"/>
    <w:rsid w:val="50B27620"/>
    <w:rsid w:val="50BE6F9A"/>
    <w:rsid w:val="50CF1F80"/>
    <w:rsid w:val="50D65C11"/>
    <w:rsid w:val="50DC04D0"/>
    <w:rsid w:val="50E20723"/>
    <w:rsid w:val="50E4045D"/>
    <w:rsid w:val="50ED0658"/>
    <w:rsid w:val="50F6750C"/>
    <w:rsid w:val="510936E3"/>
    <w:rsid w:val="5109395F"/>
    <w:rsid w:val="510E0CFA"/>
    <w:rsid w:val="5116195C"/>
    <w:rsid w:val="512C28A5"/>
    <w:rsid w:val="512E4EF8"/>
    <w:rsid w:val="513B13C3"/>
    <w:rsid w:val="513F391C"/>
    <w:rsid w:val="514A1AEC"/>
    <w:rsid w:val="51564E44"/>
    <w:rsid w:val="51850890"/>
    <w:rsid w:val="518B6393"/>
    <w:rsid w:val="51912727"/>
    <w:rsid w:val="519C4558"/>
    <w:rsid w:val="519D196F"/>
    <w:rsid w:val="51AC22C1"/>
    <w:rsid w:val="51D31886"/>
    <w:rsid w:val="51D57A6A"/>
    <w:rsid w:val="51E25CE3"/>
    <w:rsid w:val="51E8779D"/>
    <w:rsid w:val="520B5239"/>
    <w:rsid w:val="52120376"/>
    <w:rsid w:val="521D6D1B"/>
    <w:rsid w:val="523C3645"/>
    <w:rsid w:val="523F3135"/>
    <w:rsid w:val="524C5AFA"/>
    <w:rsid w:val="52633DBC"/>
    <w:rsid w:val="52720E14"/>
    <w:rsid w:val="529167FF"/>
    <w:rsid w:val="52A66D10"/>
    <w:rsid w:val="52C10D75"/>
    <w:rsid w:val="52DE20E6"/>
    <w:rsid w:val="52E15F9A"/>
    <w:rsid w:val="52F21F55"/>
    <w:rsid w:val="52FA36B8"/>
    <w:rsid w:val="52FF78E7"/>
    <w:rsid w:val="53034162"/>
    <w:rsid w:val="53086608"/>
    <w:rsid w:val="53117D4E"/>
    <w:rsid w:val="533F05E1"/>
    <w:rsid w:val="53536E98"/>
    <w:rsid w:val="53566988"/>
    <w:rsid w:val="53612C0E"/>
    <w:rsid w:val="53671DD7"/>
    <w:rsid w:val="536A41E2"/>
    <w:rsid w:val="537A50EC"/>
    <w:rsid w:val="53884C19"/>
    <w:rsid w:val="53901E9A"/>
    <w:rsid w:val="53925883"/>
    <w:rsid w:val="539A6875"/>
    <w:rsid w:val="53A5346C"/>
    <w:rsid w:val="53B162CA"/>
    <w:rsid w:val="53BC4DA3"/>
    <w:rsid w:val="53C378F8"/>
    <w:rsid w:val="53CE4770"/>
    <w:rsid w:val="53CF1689"/>
    <w:rsid w:val="53D61877"/>
    <w:rsid w:val="53D83B9B"/>
    <w:rsid w:val="5403737D"/>
    <w:rsid w:val="540619D1"/>
    <w:rsid w:val="54082F40"/>
    <w:rsid w:val="541D655E"/>
    <w:rsid w:val="54297BF9"/>
    <w:rsid w:val="54336CC9"/>
    <w:rsid w:val="544D50D9"/>
    <w:rsid w:val="544E26B2"/>
    <w:rsid w:val="5455279C"/>
    <w:rsid w:val="54613836"/>
    <w:rsid w:val="546268D4"/>
    <w:rsid w:val="546566B7"/>
    <w:rsid w:val="547B30D9"/>
    <w:rsid w:val="548E5CAE"/>
    <w:rsid w:val="54C86B69"/>
    <w:rsid w:val="54C9057D"/>
    <w:rsid w:val="54D45E2C"/>
    <w:rsid w:val="54D57D91"/>
    <w:rsid w:val="550C4BD7"/>
    <w:rsid w:val="55124B31"/>
    <w:rsid w:val="55256612"/>
    <w:rsid w:val="553973C4"/>
    <w:rsid w:val="55456CB4"/>
    <w:rsid w:val="55572986"/>
    <w:rsid w:val="55582E57"/>
    <w:rsid w:val="55593595"/>
    <w:rsid w:val="555D5DAC"/>
    <w:rsid w:val="556436B9"/>
    <w:rsid w:val="556B4F0B"/>
    <w:rsid w:val="556E7FB9"/>
    <w:rsid w:val="556F0946"/>
    <w:rsid w:val="55757355"/>
    <w:rsid w:val="55841727"/>
    <w:rsid w:val="55935C72"/>
    <w:rsid w:val="559A74FE"/>
    <w:rsid w:val="55A35A5D"/>
    <w:rsid w:val="55BA1450"/>
    <w:rsid w:val="55CC1183"/>
    <w:rsid w:val="55CE4439"/>
    <w:rsid w:val="5601759D"/>
    <w:rsid w:val="56037855"/>
    <w:rsid w:val="560B1CAC"/>
    <w:rsid w:val="560C1580"/>
    <w:rsid w:val="5612303A"/>
    <w:rsid w:val="561F7505"/>
    <w:rsid w:val="56357B6B"/>
    <w:rsid w:val="564B3E56"/>
    <w:rsid w:val="565871C1"/>
    <w:rsid w:val="565C42B5"/>
    <w:rsid w:val="56630E61"/>
    <w:rsid w:val="56682C5A"/>
    <w:rsid w:val="566903DB"/>
    <w:rsid w:val="566D64C3"/>
    <w:rsid w:val="567A473C"/>
    <w:rsid w:val="568E6439"/>
    <w:rsid w:val="569E667C"/>
    <w:rsid w:val="569F23F4"/>
    <w:rsid w:val="56A4683B"/>
    <w:rsid w:val="56C500AD"/>
    <w:rsid w:val="56C55BC4"/>
    <w:rsid w:val="56D24578"/>
    <w:rsid w:val="56DB6AD4"/>
    <w:rsid w:val="56DE2F1C"/>
    <w:rsid w:val="56EA26AF"/>
    <w:rsid w:val="56EF62E7"/>
    <w:rsid w:val="56EF6ED8"/>
    <w:rsid w:val="56F40992"/>
    <w:rsid w:val="570404A9"/>
    <w:rsid w:val="5708289B"/>
    <w:rsid w:val="571B7CE3"/>
    <w:rsid w:val="571E0325"/>
    <w:rsid w:val="572D7D3B"/>
    <w:rsid w:val="572F19CA"/>
    <w:rsid w:val="57335AAB"/>
    <w:rsid w:val="5750406D"/>
    <w:rsid w:val="575454D0"/>
    <w:rsid w:val="576D604E"/>
    <w:rsid w:val="57835872"/>
    <w:rsid w:val="578D66F1"/>
    <w:rsid w:val="578E0CE1"/>
    <w:rsid w:val="578F1872"/>
    <w:rsid w:val="579D4B86"/>
    <w:rsid w:val="57A31A70"/>
    <w:rsid w:val="57A35F14"/>
    <w:rsid w:val="57A5204B"/>
    <w:rsid w:val="57B911A0"/>
    <w:rsid w:val="57BE4CE1"/>
    <w:rsid w:val="57CC7219"/>
    <w:rsid w:val="57CD4D3F"/>
    <w:rsid w:val="57D165DD"/>
    <w:rsid w:val="57DA1517"/>
    <w:rsid w:val="57DD1426"/>
    <w:rsid w:val="57EA769F"/>
    <w:rsid w:val="57F02618"/>
    <w:rsid w:val="57F549C2"/>
    <w:rsid w:val="57F97484"/>
    <w:rsid w:val="58006EC2"/>
    <w:rsid w:val="5809477E"/>
    <w:rsid w:val="580A1AEF"/>
    <w:rsid w:val="58116149"/>
    <w:rsid w:val="582232DD"/>
    <w:rsid w:val="58223AF1"/>
    <w:rsid w:val="582241C7"/>
    <w:rsid w:val="58303BD9"/>
    <w:rsid w:val="58311772"/>
    <w:rsid w:val="58346B6C"/>
    <w:rsid w:val="58397404"/>
    <w:rsid w:val="585316E8"/>
    <w:rsid w:val="58550FBC"/>
    <w:rsid w:val="585D299D"/>
    <w:rsid w:val="586B6A32"/>
    <w:rsid w:val="589A7317"/>
    <w:rsid w:val="589D2821"/>
    <w:rsid w:val="58AC3EB4"/>
    <w:rsid w:val="58C3686E"/>
    <w:rsid w:val="58C60230"/>
    <w:rsid w:val="58CA1BB5"/>
    <w:rsid w:val="58CE1230"/>
    <w:rsid w:val="58D2260D"/>
    <w:rsid w:val="58D439C7"/>
    <w:rsid w:val="58E230B8"/>
    <w:rsid w:val="58E862D4"/>
    <w:rsid w:val="58EA204C"/>
    <w:rsid w:val="58F67946"/>
    <w:rsid w:val="58FA1B64"/>
    <w:rsid w:val="590D7AE9"/>
    <w:rsid w:val="59154BEF"/>
    <w:rsid w:val="595B4CF8"/>
    <w:rsid w:val="596428D3"/>
    <w:rsid w:val="596671F9"/>
    <w:rsid w:val="59692354"/>
    <w:rsid w:val="596C0CB3"/>
    <w:rsid w:val="597E2795"/>
    <w:rsid w:val="598E4F82"/>
    <w:rsid w:val="5991071A"/>
    <w:rsid w:val="59B76D62"/>
    <w:rsid w:val="59C04B5B"/>
    <w:rsid w:val="59C601EC"/>
    <w:rsid w:val="59CB4142"/>
    <w:rsid w:val="59D145A3"/>
    <w:rsid w:val="59D460CF"/>
    <w:rsid w:val="5A221372"/>
    <w:rsid w:val="5A290952"/>
    <w:rsid w:val="5A2C2BA6"/>
    <w:rsid w:val="5A407A4A"/>
    <w:rsid w:val="5A4675B2"/>
    <w:rsid w:val="5A5B2AD6"/>
    <w:rsid w:val="5A7140A7"/>
    <w:rsid w:val="5A715E56"/>
    <w:rsid w:val="5A8C2C8F"/>
    <w:rsid w:val="5A8F2EFA"/>
    <w:rsid w:val="5A957D93"/>
    <w:rsid w:val="5AA1498D"/>
    <w:rsid w:val="5AAD1584"/>
    <w:rsid w:val="5AB20948"/>
    <w:rsid w:val="5AE824B9"/>
    <w:rsid w:val="5AF2100E"/>
    <w:rsid w:val="5B10566E"/>
    <w:rsid w:val="5B106514"/>
    <w:rsid w:val="5B351579"/>
    <w:rsid w:val="5B3760D9"/>
    <w:rsid w:val="5B4812AC"/>
    <w:rsid w:val="5B4930DF"/>
    <w:rsid w:val="5B612747"/>
    <w:rsid w:val="5B6C2D6A"/>
    <w:rsid w:val="5B7F4D2A"/>
    <w:rsid w:val="5B8E3542"/>
    <w:rsid w:val="5BA13276"/>
    <w:rsid w:val="5BA364E3"/>
    <w:rsid w:val="5BA73E07"/>
    <w:rsid w:val="5BAA1C16"/>
    <w:rsid w:val="5BBB7CD0"/>
    <w:rsid w:val="5BBE258E"/>
    <w:rsid w:val="5BC546AB"/>
    <w:rsid w:val="5BC57684"/>
    <w:rsid w:val="5BCA59D8"/>
    <w:rsid w:val="5BCB5E0B"/>
    <w:rsid w:val="5BCD39E5"/>
    <w:rsid w:val="5BCF552A"/>
    <w:rsid w:val="5BD26DC8"/>
    <w:rsid w:val="5BD90156"/>
    <w:rsid w:val="5BE66A1A"/>
    <w:rsid w:val="5BF112D7"/>
    <w:rsid w:val="5C0056E3"/>
    <w:rsid w:val="5C1004D6"/>
    <w:rsid w:val="5C1358B5"/>
    <w:rsid w:val="5C210E5C"/>
    <w:rsid w:val="5C277114"/>
    <w:rsid w:val="5C2C7702"/>
    <w:rsid w:val="5C5617A7"/>
    <w:rsid w:val="5C7009A1"/>
    <w:rsid w:val="5C702869"/>
    <w:rsid w:val="5C746036"/>
    <w:rsid w:val="5C7463C7"/>
    <w:rsid w:val="5C753F23"/>
    <w:rsid w:val="5C995323"/>
    <w:rsid w:val="5C9F314E"/>
    <w:rsid w:val="5CAB5170"/>
    <w:rsid w:val="5CC10AD7"/>
    <w:rsid w:val="5CE768A3"/>
    <w:rsid w:val="5CE90F4C"/>
    <w:rsid w:val="5D072AA1"/>
    <w:rsid w:val="5D1A27D4"/>
    <w:rsid w:val="5D3A69D3"/>
    <w:rsid w:val="5D4D45D8"/>
    <w:rsid w:val="5D556041"/>
    <w:rsid w:val="5D5846C0"/>
    <w:rsid w:val="5D5F1B97"/>
    <w:rsid w:val="5D63417B"/>
    <w:rsid w:val="5D691B70"/>
    <w:rsid w:val="5D815A58"/>
    <w:rsid w:val="5DA622BA"/>
    <w:rsid w:val="5DAB49FC"/>
    <w:rsid w:val="5DB449D7"/>
    <w:rsid w:val="5DDE7CA6"/>
    <w:rsid w:val="5DE60909"/>
    <w:rsid w:val="5DF3340F"/>
    <w:rsid w:val="5E005E6E"/>
    <w:rsid w:val="5E0B1125"/>
    <w:rsid w:val="5E28552D"/>
    <w:rsid w:val="5E3132C9"/>
    <w:rsid w:val="5E47584B"/>
    <w:rsid w:val="5E653537"/>
    <w:rsid w:val="5E677C9B"/>
    <w:rsid w:val="5E6B3BBE"/>
    <w:rsid w:val="5E930A90"/>
    <w:rsid w:val="5E994DBA"/>
    <w:rsid w:val="5E9D190F"/>
    <w:rsid w:val="5EB34C8F"/>
    <w:rsid w:val="5ED13367"/>
    <w:rsid w:val="5EDC1FD4"/>
    <w:rsid w:val="5EE17B24"/>
    <w:rsid w:val="5EE222A7"/>
    <w:rsid w:val="5F074FDA"/>
    <w:rsid w:val="5F236821"/>
    <w:rsid w:val="5F2B2A77"/>
    <w:rsid w:val="5F2B5783"/>
    <w:rsid w:val="5F310A0D"/>
    <w:rsid w:val="5F357D99"/>
    <w:rsid w:val="5F3C2ED6"/>
    <w:rsid w:val="5F41673E"/>
    <w:rsid w:val="5F4905E3"/>
    <w:rsid w:val="5F667F53"/>
    <w:rsid w:val="5F6D4912"/>
    <w:rsid w:val="5F7E063F"/>
    <w:rsid w:val="5F80710D"/>
    <w:rsid w:val="5F8D2138"/>
    <w:rsid w:val="5F942D12"/>
    <w:rsid w:val="5FA666FE"/>
    <w:rsid w:val="5FCB5AB5"/>
    <w:rsid w:val="5FFC1611"/>
    <w:rsid w:val="5FFF04A2"/>
    <w:rsid w:val="60017314"/>
    <w:rsid w:val="60251BBC"/>
    <w:rsid w:val="604162CA"/>
    <w:rsid w:val="6042451C"/>
    <w:rsid w:val="60455893"/>
    <w:rsid w:val="604F66CE"/>
    <w:rsid w:val="605129B1"/>
    <w:rsid w:val="60567FC7"/>
    <w:rsid w:val="606007BB"/>
    <w:rsid w:val="607453FF"/>
    <w:rsid w:val="6075770C"/>
    <w:rsid w:val="6088514E"/>
    <w:rsid w:val="60885CA7"/>
    <w:rsid w:val="6094289E"/>
    <w:rsid w:val="60AC7F66"/>
    <w:rsid w:val="60AE7E03"/>
    <w:rsid w:val="60BC7967"/>
    <w:rsid w:val="60BF6646"/>
    <w:rsid w:val="60C30678"/>
    <w:rsid w:val="60C952FD"/>
    <w:rsid w:val="60D378F4"/>
    <w:rsid w:val="60DF3423"/>
    <w:rsid w:val="60E90E3C"/>
    <w:rsid w:val="60EB0CCD"/>
    <w:rsid w:val="60ED0CFE"/>
    <w:rsid w:val="60ED41C1"/>
    <w:rsid w:val="60FA6BA5"/>
    <w:rsid w:val="611063C8"/>
    <w:rsid w:val="61113EEE"/>
    <w:rsid w:val="61151C31"/>
    <w:rsid w:val="61205628"/>
    <w:rsid w:val="612358BE"/>
    <w:rsid w:val="61471C84"/>
    <w:rsid w:val="61475B62"/>
    <w:rsid w:val="61532759"/>
    <w:rsid w:val="61722BDF"/>
    <w:rsid w:val="61745166"/>
    <w:rsid w:val="617B2468"/>
    <w:rsid w:val="617F52FC"/>
    <w:rsid w:val="61867CAF"/>
    <w:rsid w:val="618835DC"/>
    <w:rsid w:val="61890126"/>
    <w:rsid w:val="61892784"/>
    <w:rsid w:val="618F0EDB"/>
    <w:rsid w:val="619568CD"/>
    <w:rsid w:val="6198016C"/>
    <w:rsid w:val="619B44E4"/>
    <w:rsid w:val="61A15272"/>
    <w:rsid w:val="61A42FB4"/>
    <w:rsid w:val="61B52ACC"/>
    <w:rsid w:val="61BC3E5A"/>
    <w:rsid w:val="61BF10D9"/>
    <w:rsid w:val="61CB6793"/>
    <w:rsid w:val="61D40352"/>
    <w:rsid w:val="61D75138"/>
    <w:rsid w:val="61E561AB"/>
    <w:rsid w:val="61F335F4"/>
    <w:rsid w:val="62173786"/>
    <w:rsid w:val="621C6331"/>
    <w:rsid w:val="622720EB"/>
    <w:rsid w:val="6229273D"/>
    <w:rsid w:val="622D6B06"/>
    <w:rsid w:val="625C1559"/>
    <w:rsid w:val="62620EA5"/>
    <w:rsid w:val="62643A48"/>
    <w:rsid w:val="62654AE2"/>
    <w:rsid w:val="627C50F9"/>
    <w:rsid w:val="629C6381"/>
    <w:rsid w:val="629F7BDB"/>
    <w:rsid w:val="62C1505B"/>
    <w:rsid w:val="62C27B96"/>
    <w:rsid w:val="62E25B42"/>
    <w:rsid w:val="62EC4C13"/>
    <w:rsid w:val="62F53AC8"/>
    <w:rsid w:val="62FD0801"/>
    <w:rsid w:val="6302602E"/>
    <w:rsid w:val="630456A4"/>
    <w:rsid w:val="631303F2"/>
    <w:rsid w:val="63185A08"/>
    <w:rsid w:val="631B00C2"/>
    <w:rsid w:val="63275C4B"/>
    <w:rsid w:val="632B301A"/>
    <w:rsid w:val="633A772C"/>
    <w:rsid w:val="633C50A1"/>
    <w:rsid w:val="633F4CF0"/>
    <w:rsid w:val="634E2675"/>
    <w:rsid w:val="636D3251"/>
    <w:rsid w:val="63847AD9"/>
    <w:rsid w:val="63A6062F"/>
    <w:rsid w:val="63A63014"/>
    <w:rsid w:val="63BA261B"/>
    <w:rsid w:val="63D80CF3"/>
    <w:rsid w:val="63E137D0"/>
    <w:rsid w:val="63E453B6"/>
    <w:rsid w:val="63E952D4"/>
    <w:rsid w:val="63F0603D"/>
    <w:rsid w:val="63F63329"/>
    <w:rsid w:val="640C7C21"/>
    <w:rsid w:val="64194713"/>
    <w:rsid w:val="642D3F6A"/>
    <w:rsid w:val="644B5969"/>
    <w:rsid w:val="645C36D2"/>
    <w:rsid w:val="647B624F"/>
    <w:rsid w:val="648210E5"/>
    <w:rsid w:val="6493545D"/>
    <w:rsid w:val="649A1E81"/>
    <w:rsid w:val="649C7F73"/>
    <w:rsid w:val="64AD3F2E"/>
    <w:rsid w:val="64B13A1E"/>
    <w:rsid w:val="64B90414"/>
    <w:rsid w:val="64C01EB3"/>
    <w:rsid w:val="64E45EF7"/>
    <w:rsid w:val="64F93617"/>
    <w:rsid w:val="64FB19DA"/>
    <w:rsid w:val="65085608"/>
    <w:rsid w:val="65224776"/>
    <w:rsid w:val="65233389"/>
    <w:rsid w:val="65332685"/>
    <w:rsid w:val="65366619"/>
    <w:rsid w:val="655A5E64"/>
    <w:rsid w:val="65766C11"/>
    <w:rsid w:val="659155FE"/>
    <w:rsid w:val="65B5189C"/>
    <w:rsid w:val="65D11E9E"/>
    <w:rsid w:val="65D73FEF"/>
    <w:rsid w:val="65DA2261"/>
    <w:rsid w:val="65E505B2"/>
    <w:rsid w:val="65F31E15"/>
    <w:rsid w:val="65FC516D"/>
    <w:rsid w:val="65FE7137"/>
    <w:rsid w:val="66067D9A"/>
    <w:rsid w:val="660B53B0"/>
    <w:rsid w:val="660C45AF"/>
    <w:rsid w:val="660E3D04"/>
    <w:rsid w:val="661F0E5C"/>
    <w:rsid w:val="6635242D"/>
    <w:rsid w:val="663F14FE"/>
    <w:rsid w:val="66445E88"/>
    <w:rsid w:val="665F74AA"/>
    <w:rsid w:val="6663343E"/>
    <w:rsid w:val="66710901"/>
    <w:rsid w:val="668C4743"/>
    <w:rsid w:val="66A57729"/>
    <w:rsid w:val="66AC6B93"/>
    <w:rsid w:val="66BE31F6"/>
    <w:rsid w:val="66D24120"/>
    <w:rsid w:val="66E32877"/>
    <w:rsid w:val="66EF6A80"/>
    <w:rsid w:val="671D4BF2"/>
    <w:rsid w:val="6733328F"/>
    <w:rsid w:val="67380427"/>
    <w:rsid w:val="674C7A2E"/>
    <w:rsid w:val="675863D3"/>
    <w:rsid w:val="677435B2"/>
    <w:rsid w:val="67763AD8"/>
    <w:rsid w:val="6779459B"/>
    <w:rsid w:val="678A67A9"/>
    <w:rsid w:val="678E0047"/>
    <w:rsid w:val="67900263"/>
    <w:rsid w:val="67A930D3"/>
    <w:rsid w:val="67B05CAC"/>
    <w:rsid w:val="67B20D62"/>
    <w:rsid w:val="67CC6DC1"/>
    <w:rsid w:val="67D00DCA"/>
    <w:rsid w:val="67EF75F1"/>
    <w:rsid w:val="67EF7863"/>
    <w:rsid w:val="67F53CE1"/>
    <w:rsid w:val="680520B9"/>
    <w:rsid w:val="682D3D04"/>
    <w:rsid w:val="684D7F02"/>
    <w:rsid w:val="68555008"/>
    <w:rsid w:val="685F19E3"/>
    <w:rsid w:val="68792AA5"/>
    <w:rsid w:val="68927B64"/>
    <w:rsid w:val="689C6793"/>
    <w:rsid w:val="68A044D6"/>
    <w:rsid w:val="68A45648"/>
    <w:rsid w:val="68A90854"/>
    <w:rsid w:val="68DC3034"/>
    <w:rsid w:val="68DD0479"/>
    <w:rsid w:val="690004CD"/>
    <w:rsid w:val="690600B1"/>
    <w:rsid w:val="69124F16"/>
    <w:rsid w:val="692A0243"/>
    <w:rsid w:val="692D1AE1"/>
    <w:rsid w:val="69475A71"/>
    <w:rsid w:val="694A6CE4"/>
    <w:rsid w:val="695B664F"/>
    <w:rsid w:val="696324F7"/>
    <w:rsid w:val="6965127B"/>
    <w:rsid w:val="69995D91"/>
    <w:rsid w:val="69B1626F"/>
    <w:rsid w:val="69B21907"/>
    <w:rsid w:val="69B50A61"/>
    <w:rsid w:val="69B55D5F"/>
    <w:rsid w:val="69C64B0E"/>
    <w:rsid w:val="69CD5C14"/>
    <w:rsid w:val="69CF0D33"/>
    <w:rsid w:val="69D87020"/>
    <w:rsid w:val="69DE3DEE"/>
    <w:rsid w:val="69E93C5A"/>
    <w:rsid w:val="69F83E9D"/>
    <w:rsid w:val="6A096B38"/>
    <w:rsid w:val="6A132A85"/>
    <w:rsid w:val="6A142843"/>
    <w:rsid w:val="6A375F27"/>
    <w:rsid w:val="6A4175F2"/>
    <w:rsid w:val="6A4C294C"/>
    <w:rsid w:val="6A4E1D0F"/>
    <w:rsid w:val="6A590DE0"/>
    <w:rsid w:val="6A6034B6"/>
    <w:rsid w:val="6A6E4160"/>
    <w:rsid w:val="6A757D3A"/>
    <w:rsid w:val="6A9F6418"/>
    <w:rsid w:val="6AB24495"/>
    <w:rsid w:val="6AE4594F"/>
    <w:rsid w:val="6AE45C83"/>
    <w:rsid w:val="6AEB0325"/>
    <w:rsid w:val="6AF06E8A"/>
    <w:rsid w:val="6AFB3C45"/>
    <w:rsid w:val="6B1A3508"/>
    <w:rsid w:val="6B2F3925"/>
    <w:rsid w:val="6B3322F6"/>
    <w:rsid w:val="6B4B3B36"/>
    <w:rsid w:val="6B543355"/>
    <w:rsid w:val="6B5670CE"/>
    <w:rsid w:val="6B58613A"/>
    <w:rsid w:val="6B621F16"/>
    <w:rsid w:val="6B8579B3"/>
    <w:rsid w:val="6B8C2AEF"/>
    <w:rsid w:val="6B8D1753"/>
    <w:rsid w:val="6B8F6B7F"/>
    <w:rsid w:val="6B9946B3"/>
    <w:rsid w:val="6BA53BB1"/>
    <w:rsid w:val="6BA876CA"/>
    <w:rsid w:val="6BAD26B6"/>
    <w:rsid w:val="6BBD3180"/>
    <w:rsid w:val="6BC55102"/>
    <w:rsid w:val="6BD46524"/>
    <w:rsid w:val="6BD6700F"/>
    <w:rsid w:val="6BD821D8"/>
    <w:rsid w:val="6BDA7CFF"/>
    <w:rsid w:val="6BEC7A32"/>
    <w:rsid w:val="6BFF7765"/>
    <w:rsid w:val="6C042FCD"/>
    <w:rsid w:val="6C101449"/>
    <w:rsid w:val="6C313697"/>
    <w:rsid w:val="6C44786E"/>
    <w:rsid w:val="6C8163CC"/>
    <w:rsid w:val="6C951E77"/>
    <w:rsid w:val="6CA81596"/>
    <w:rsid w:val="6CAD71C1"/>
    <w:rsid w:val="6CB202B7"/>
    <w:rsid w:val="6CB96699"/>
    <w:rsid w:val="6CD21441"/>
    <w:rsid w:val="6CDC7AA6"/>
    <w:rsid w:val="6CE03ECA"/>
    <w:rsid w:val="6CE34746"/>
    <w:rsid w:val="6CEF1588"/>
    <w:rsid w:val="6CF70716"/>
    <w:rsid w:val="6CFE5C6F"/>
    <w:rsid w:val="6D1721E6"/>
    <w:rsid w:val="6D1837C6"/>
    <w:rsid w:val="6D282CEC"/>
    <w:rsid w:val="6D34599B"/>
    <w:rsid w:val="6D3E250F"/>
    <w:rsid w:val="6D4D4500"/>
    <w:rsid w:val="6D617FAC"/>
    <w:rsid w:val="6D9914F3"/>
    <w:rsid w:val="6DA531CF"/>
    <w:rsid w:val="6DA73C10"/>
    <w:rsid w:val="6DB4457F"/>
    <w:rsid w:val="6DBB590E"/>
    <w:rsid w:val="6DBE53FE"/>
    <w:rsid w:val="6DBF159E"/>
    <w:rsid w:val="6DC42A14"/>
    <w:rsid w:val="6DC7272B"/>
    <w:rsid w:val="6DE76850"/>
    <w:rsid w:val="6DEF051F"/>
    <w:rsid w:val="6DF332FA"/>
    <w:rsid w:val="6DFE57FA"/>
    <w:rsid w:val="6E08659A"/>
    <w:rsid w:val="6E1E55C2"/>
    <w:rsid w:val="6E3F653F"/>
    <w:rsid w:val="6E427DDD"/>
    <w:rsid w:val="6E4C0C5C"/>
    <w:rsid w:val="6E5A3E2A"/>
    <w:rsid w:val="6E5F098F"/>
    <w:rsid w:val="6E666C53"/>
    <w:rsid w:val="6E71421E"/>
    <w:rsid w:val="6E7B6E4B"/>
    <w:rsid w:val="6E8201DA"/>
    <w:rsid w:val="6E8B52E0"/>
    <w:rsid w:val="6E9A1018"/>
    <w:rsid w:val="6EAE3CC7"/>
    <w:rsid w:val="6EAE7221"/>
    <w:rsid w:val="6EB14883"/>
    <w:rsid w:val="6EB977A6"/>
    <w:rsid w:val="6EE318B3"/>
    <w:rsid w:val="6EE41A38"/>
    <w:rsid w:val="6EF04610"/>
    <w:rsid w:val="6EF54E4F"/>
    <w:rsid w:val="6F0E7CBF"/>
    <w:rsid w:val="6F100289"/>
    <w:rsid w:val="6F142583"/>
    <w:rsid w:val="6F186527"/>
    <w:rsid w:val="6F2A4AF9"/>
    <w:rsid w:val="6F370FC4"/>
    <w:rsid w:val="6F4D6A71"/>
    <w:rsid w:val="6F5B3B3A"/>
    <w:rsid w:val="6F60051B"/>
    <w:rsid w:val="6F683873"/>
    <w:rsid w:val="6F79782E"/>
    <w:rsid w:val="6F7A5BC7"/>
    <w:rsid w:val="6F7E3097"/>
    <w:rsid w:val="6F881820"/>
    <w:rsid w:val="6F9827BA"/>
    <w:rsid w:val="6FA10B33"/>
    <w:rsid w:val="6FA97789"/>
    <w:rsid w:val="6FB20BD4"/>
    <w:rsid w:val="6FBA59BE"/>
    <w:rsid w:val="6FC61156"/>
    <w:rsid w:val="6FC950CC"/>
    <w:rsid w:val="6FCE7B7A"/>
    <w:rsid w:val="6FE56C72"/>
    <w:rsid w:val="6FEF1353"/>
    <w:rsid w:val="6FFD3FBC"/>
    <w:rsid w:val="70025A76"/>
    <w:rsid w:val="70191889"/>
    <w:rsid w:val="701A70C1"/>
    <w:rsid w:val="701D01BA"/>
    <w:rsid w:val="70296B3E"/>
    <w:rsid w:val="702C2AF3"/>
    <w:rsid w:val="703C2E83"/>
    <w:rsid w:val="70422316"/>
    <w:rsid w:val="70611204"/>
    <w:rsid w:val="7064403B"/>
    <w:rsid w:val="706A1742"/>
    <w:rsid w:val="709F32C5"/>
    <w:rsid w:val="70AE175A"/>
    <w:rsid w:val="70C20D61"/>
    <w:rsid w:val="70CC1706"/>
    <w:rsid w:val="70D6480D"/>
    <w:rsid w:val="70EC5DDE"/>
    <w:rsid w:val="70F2184A"/>
    <w:rsid w:val="710364D6"/>
    <w:rsid w:val="710B2708"/>
    <w:rsid w:val="710C284A"/>
    <w:rsid w:val="710D46D2"/>
    <w:rsid w:val="712518CC"/>
    <w:rsid w:val="713A2FED"/>
    <w:rsid w:val="71453E6C"/>
    <w:rsid w:val="714E0847"/>
    <w:rsid w:val="714E3D71"/>
    <w:rsid w:val="71655B6B"/>
    <w:rsid w:val="71687B5B"/>
    <w:rsid w:val="7187346B"/>
    <w:rsid w:val="719F6672"/>
    <w:rsid w:val="71AD1A11"/>
    <w:rsid w:val="71C830D3"/>
    <w:rsid w:val="71CD5C10"/>
    <w:rsid w:val="71E116BB"/>
    <w:rsid w:val="71FB43B2"/>
    <w:rsid w:val="720676AD"/>
    <w:rsid w:val="720C2BDC"/>
    <w:rsid w:val="721174BD"/>
    <w:rsid w:val="72273572"/>
    <w:rsid w:val="7234593E"/>
    <w:rsid w:val="72457E9C"/>
    <w:rsid w:val="724B248D"/>
    <w:rsid w:val="726C50F6"/>
    <w:rsid w:val="726F4F19"/>
    <w:rsid w:val="72A46970"/>
    <w:rsid w:val="72B15531"/>
    <w:rsid w:val="72BC64F7"/>
    <w:rsid w:val="72CE60E3"/>
    <w:rsid w:val="72D57472"/>
    <w:rsid w:val="72DF5BFA"/>
    <w:rsid w:val="72E444E7"/>
    <w:rsid w:val="72ED47BB"/>
    <w:rsid w:val="72EF4CB6"/>
    <w:rsid w:val="72F86CBC"/>
    <w:rsid w:val="73045661"/>
    <w:rsid w:val="73075151"/>
    <w:rsid w:val="730D5D09"/>
    <w:rsid w:val="730E028E"/>
    <w:rsid w:val="73373C88"/>
    <w:rsid w:val="736425A4"/>
    <w:rsid w:val="736D76AA"/>
    <w:rsid w:val="73800D4B"/>
    <w:rsid w:val="73942E89"/>
    <w:rsid w:val="73AF381F"/>
    <w:rsid w:val="73B623B1"/>
    <w:rsid w:val="73D615D4"/>
    <w:rsid w:val="73DD6B37"/>
    <w:rsid w:val="73E55626"/>
    <w:rsid w:val="73F25E01"/>
    <w:rsid w:val="73F93DCE"/>
    <w:rsid w:val="74164A82"/>
    <w:rsid w:val="7428537F"/>
    <w:rsid w:val="743E1047"/>
    <w:rsid w:val="74404150"/>
    <w:rsid w:val="74416441"/>
    <w:rsid w:val="74486084"/>
    <w:rsid w:val="744A3547"/>
    <w:rsid w:val="745B7503"/>
    <w:rsid w:val="7463285B"/>
    <w:rsid w:val="746A3BEA"/>
    <w:rsid w:val="74793E2D"/>
    <w:rsid w:val="74B135C7"/>
    <w:rsid w:val="74C01A5C"/>
    <w:rsid w:val="74E05E61"/>
    <w:rsid w:val="74FA2C30"/>
    <w:rsid w:val="74FC6F38"/>
    <w:rsid w:val="750C6A4F"/>
    <w:rsid w:val="7510017A"/>
    <w:rsid w:val="75175B20"/>
    <w:rsid w:val="752913AF"/>
    <w:rsid w:val="75397EDA"/>
    <w:rsid w:val="754E52B9"/>
    <w:rsid w:val="757D656B"/>
    <w:rsid w:val="75935864"/>
    <w:rsid w:val="75994786"/>
    <w:rsid w:val="759B4CA8"/>
    <w:rsid w:val="75A02087"/>
    <w:rsid w:val="75B34550"/>
    <w:rsid w:val="75B72E5F"/>
    <w:rsid w:val="75C37A55"/>
    <w:rsid w:val="75D83E8B"/>
    <w:rsid w:val="75DD619C"/>
    <w:rsid w:val="75E064B3"/>
    <w:rsid w:val="75EA0113"/>
    <w:rsid w:val="75F220E9"/>
    <w:rsid w:val="75F23E97"/>
    <w:rsid w:val="75F432BA"/>
    <w:rsid w:val="76045755"/>
    <w:rsid w:val="760D620D"/>
    <w:rsid w:val="761107C1"/>
    <w:rsid w:val="761A5EDE"/>
    <w:rsid w:val="762E1891"/>
    <w:rsid w:val="76391AC6"/>
    <w:rsid w:val="763B75EC"/>
    <w:rsid w:val="763C15B6"/>
    <w:rsid w:val="764A5A81"/>
    <w:rsid w:val="764C5FF9"/>
    <w:rsid w:val="766E5C13"/>
    <w:rsid w:val="766F2FC2"/>
    <w:rsid w:val="768005D5"/>
    <w:rsid w:val="7685484F"/>
    <w:rsid w:val="768E0063"/>
    <w:rsid w:val="76B90938"/>
    <w:rsid w:val="76BC49EB"/>
    <w:rsid w:val="76BE0385"/>
    <w:rsid w:val="76C43A85"/>
    <w:rsid w:val="76DF37AF"/>
    <w:rsid w:val="76E41A31"/>
    <w:rsid w:val="76F75BE7"/>
    <w:rsid w:val="77000DA2"/>
    <w:rsid w:val="77130D68"/>
    <w:rsid w:val="77185F5F"/>
    <w:rsid w:val="771D3564"/>
    <w:rsid w:val="771D4F43"/>
    <w:rsid w:val="77244524"/>
    <w:rsid w:val="773F3EF6"/>
    <w:rsid w:val="774F7AF5"/>
    <w:rsid w:val="776D5ECB"/>
    <w:rsid w:val="77CF26E1"/>
    <w:rsid w:val="77DC13E8"/>
    <w:rsid w:val="77E13575"/>
    <w:rsid w:val="77E66DCA"/>
    <w:rsid w:val="77F0062F"/>
    <w:rsid w:val="77F55179"/>
    <w:rsid w:val="781E69D1"/>
    <w:rsid w:val="782D7408"/>
    <w:rsid w:val="78340059"/>
    <w:rsid w:val="7839241C"/>
    <w:rsid w:val="78504E72"/>
    <w:rsid w:val="785B2BE5"/>
    <w:rsid w:val="7860192F"/>
    <w:rsid w:val="78764386"/>
    <w:rsid w:val="787A0305"/>
    <w:rsid w:val="78992B87"/>
    <w:rsid w:val="78A07EF6"/>
    <w:rsid w:val="78B10039"/>
    <w:rsid w:val="78B25122"/>
    <w:rsid w:val="78C338C8"/>
    <w:rsid w:val="78D930EC"/>
    <w:rsid w:val="78F044E3"/>
    <w:rsid w:val="78F32400"/>
    <w:rsid w:val="78F671A8"/>
    <w:rsid w:val="78F9378E"/>
    <w:rsid w:val="78FD7D15"/>
    <w:rsid w:val="79004B1D"/>
    <w:rsid w:val="79020895"/>
    <w:rsid w:val="790520F8"/>
    <w:rsid w:val="79053AB0"/>
    <w:rsid w:val="791F31F5"/>
    <w:rsid w:val="792B7DEB"/>
    <w:rsid w:val="79313CA7"/>
    <w:rsid w:val="79395BF8"/>
    <w:rsid w:val="793B3143"/>
    <w:rsid w:val="793F0909"/>
    <w:rsid w:val="79426EE3"/>
    <w:rsid w:val="795766F4"/>
    <w:rsid w:val="799B5677"/>
    <w:rsid w:val="799B64B0"/>
    <w:rsid w:val="79A656C4"/>
    <w:rsid w:val="79AE60D7"/>
    <w:rsid w:val="79B17049"/>
    <w:rsid w:val="79B25E17"/>
    <w:rsid w:val="79C25CDD"/>
    <w:rsid w:val="79C76001"/>
    <w:rsid w:val="79D224E9"/>
    <w:rsid w:val="79D7467F"/>
    <w:rsid w:val="79E1716A"/>
    <w:rsid w:val="79E306C6"/>
    <w:rsid w:val="79EE0E19"/>
    <w:rsid w:val="79EE2F80"/>
    <w:rsid w:val="79FF297F"/>
    <w:rsid w:val="7A1C5986"/>
    <w:rsid w:val="7A1F7224"/>
    <w:rsid w:val="7A3251AA"/>
    <w:rsid w:val="7A326F58"/>
    <w:rsid w:val="7A42798E"/>
    <w:rsid w:val="7A63515A"/>
    <w:rsid w:val="7A880CF2"/>
    <w:rsid w:val="7A993CB5"/>
    <w:rsid w:val="7A9E7208"/>
    <w:rsid w:val="7AAA5924"/>
    <w:rsid w:val="7ABC4A73"/>
    <w:rsid w:val="7AC04563"/>
    <w:rsid w:val="7AC12D9A"/>
    <w:rsid w:val="7AC73B44"/>
    <w:rsid w:val="7AD5025E"/>
    <w:rsid w:val="7AD7365B"/>
    <w:rsid w:val="7ADD0453"/>
    <w:rsid w:val="7AE364A4"/>
    <w:rsid w:val="7AF46346"/>
    <w:rsid w:val="7B0222ED"/>
    <w:rsid w:val="7B022DCE"/>
    <w:rsid w:val="7B0D16AD"/>
    <w:rsid w:val="7B0F5EBF"/>
    <w:rsid w:val="7B1242D4"/>
    <w:rsid w:val="7B130FB9"/>
    <w:rsid w:val="7B266FDC"/>
    <w:rsid w:val="7B4909FD"/>
    <w:rsid w:val="7B533629"/>
    <w:rsid w:val="7B66352D"/>
    <w:rsid w:val="7B666F4A"/>
    <w:rsid w:val="7B740B29"/>
    <w:rsid w:val="7B964B46"/>
    <w:rsid w:val="7BA2571C"/>
    <w:rsid w:val="7BB22216"/>
    <w:rsid w:val="7BC167E5"/>
    <w:rsid w:val="7BDE0625"/>
    <w:rsid w:val="7BF64EDE"/>
    <w:rsid w:val="7C0B450A"/>
    <w:rsid w:val="7C1A66F4"/>
    <w:rsid w:val="7C1E1D84"/>
    <w:rsid w:val="7C300D7F"/>
    <w:rsid w:val="7C321491"/>
    <w:rsid w:val="7C3C5E6C"/>
    <w:rsid w:val="7C3E1BE4"/>
    <w:rsid w:val="7C400C1E"/>
    <w:rsid w:val="7C5F1CF3"/>
    <w:rsid w:val="7C662EE9"/>
    <w:rsid w:val="7C666E84"/>
    <w:rsid w:val="7C6B36AE"/>
    <w:rsid w:val="7C6F6241"/>
    <w:rsid w:val="7C745605"/>
    <w:rsid w:val="7C896BD7"/>
    <w:rsid w:val="7C8C2CA7"/>
    <w:rsid w:val="7C9932BE"/>
    <w:rsid w:val="7CA97FA9"/>
    <w:rsid w:val="7CB400F8"/>
    <w:rsid w:val="7CB415DD"/>
    <w:rsid w:val="7CB56EAE"/>
    <w:rsid w:val="7CBC0A6A"/>
    <w:rsid w:val="7CC93C60"/>
    <w:rsid w:val="7CD2057E"/>
    <w:rsid w:val="7CD460A4"/>
    <w:rsid w:val="7CDB5685"/>
    <w:rsid w:val="7CE85FF3"/>
    <w:rsid w:val="7CE97DD7"/>
    <w:rsid w:val="7CEC1640"/>
    <w:rsid w:val="7CF24F98"/>
    <w:rsid w:val="7CF90201"/>
    <w:rsid w:val="7D0270B5"/>
    <w:rsid w:val="7D045FE7"/>
    <w:rsid w:val="7D1248CC"/>
    <w:rsid w:val="7D261F04"/>
    <w:rsid w:val="7D3923AB"/>
    <w:rsid w:val="7D3E5C13"/>
    <w:rsid w:val="7D5E1E12"/>
    <w:rsid w:val="7D603DDC"/>
    <w:rsid w:val="7D6235F1"/>
    <w:rsid w:val="7D684BFF"/>
    <w:rsid w:val="7D697134"/>
    <w:rsid w:val="7D717D97"/>
    <w:rsid w:val="7D9F66B2"/>
    <w:rsid w:val="7DB67EA0"/>
    <w:rsid w:val="7DD02D0F"/>
    <w:rsid w:val="7DD11708"/>
    <w:rsid w:val="7DD210F9"/>
    <w:rsid w:val="7DD4545D"/>
    <w:rsid w:val="7DD83ECB"/>
    <w:rsid w:val="7DFB58B2"/>
    <w:rsid w:val="7DFD5ACF"/>
    <w:rsid w:val="7E1C7D03"/>
    <w:rsid w:val="7E2D1F10"/>
    <w:rsid w:val="7E507FA2"/>
    <w:rsid w:val="7E5D031B"/>
    <w:rsid w:val="7E642AAF"/>
    <w:rsid w:val="7E7E6934"/>
    <w:rsid w:val="7E891110"/>
    <w:rsid w:val="7E8E6727"/>
    <w:rsid w:val="7E933D3D"/>
    <w:rsid w:val="7E9401E1"/>
    <w:rsid w:val="7E953898"/>
    <w:rsid w:val="7EA63A70"/>
    <w:rsid w:val="7EB21FDA"/>
    <w:rsid w:val="7EBC46EA"/>
    <w:rsid w:val="7EC167BD"/>
    <w:rsid w:val="7ECB1C97"/>
    <w:rsid w:val="7EE03426"/>
    <w:rsid w:val="7EE05341"/>
    <w:rsid w:val="7EE747B5"/>
    <w:rsid w:val="7F0905D2"/>
    <w:rsid w:val="7F0B230B"/>
    <w:rsid w:val="7F13109F"/>
    <w:rsid w:val="7F1C3D32"/>
    <w:rsid w:val="7F207CC7"/>
    <w:rsid w:val="7F343772"/>
    <w:rsid w:val="7F427C3D"/>
    <w:rsid w:val="7F4A08A0"/>
    <w:rsid w:val="7F4D03AE"/>
    <w:rsid w:val="7F741DC0"/>
    <w:rsid w:val="7F761D48"/>
    <w:rsid w:val="7F983C52"/>
    <w:rsid w:val="7FA36202"/>
    <w:rsid w:val="7FB34146"/>
    <w:rsid w:val="7FC71EF0"/>
    <w:rsid w:val="7FC76394"/>
    <w:rsid w:val="7FD85EAB"/>
    <w:rsid w:val="7FD91C23"/>
    <w:rsid w:val="7FE74EA8"/>
    <w:rsid w:val="7FF00447"/>
    <w:rsid w:val="7FF60A27"/>
    <w:rsid w:val="7FF82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autoRedefine/>
    <w:qFormat/>
    <w:uiPriority w:val="0"/>
    <w:pPr>
      <w:keepNext/>
      <w:keepLines/>
      <w:spacing w:before="280" w:after="290" w:line="376" w:lineRule="auto"/>
      <w:outlineLvl w:val="3"/>
    </w:pPr>
    <w:rPr>
      <w:rFonts w:ascii="宋体" w:hAnsi="Arial" w:eastAsia="黑体"/>
      <w:b/>
      <w:bCs/>
      <w:sz w:val="24"/>
      <w:szCs w:val="20"/>
    </w:rPr>
  </w:style>
  <w:style w:type="paragraph" w:styleId="5">
    <w:name w:val="heading 5"/>
    <w:basedOn w:val="1"/>
    <w:next w:val="6"/>
    <w:link w:val="36"/>
    <w:autoRedefine/>
    <w:qFormat/>
    <w:uiPriority w:val="9"/>
    <w:pPr>
      <w:keepNext/>
      <w:keepLines/>
      <w:spacing w:before="280" w:after="290" w:line="376" w:lineRule="auto"/>
      <w:outlineLvl w:val="4"/>
    </w:pPr>
    <w:rPr>
      <w:b/>
      <w:bCs/>
      <w:sz w:val="28"/>
      <w:szCs w:val="28"/>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table of authorities"/>
    <w:basedOn w:val="1"/>
    <w:next w:val="1"/>
    <w:autoRedefine/>
    <w:unhideWhenUsed/>
    <w:qFormat/>
    <w:uiPriority w:val="99"/>
    <w:pPr>
      <w:ind w:left="420" w:leftChars="200"/>
    </w:pPr>
  </w:style>
  <w:style w:type="paragraph" w:styleId="8">
    <w:name w:val="index 8"/>
    <w:basedOn w:val="1"/>
    <w:next w:val="1"/>
    <w:autoRedefine/>
    <w:qFormat/>
    <w:uiPriority w:val="0"/>
    <w:pPr>
      <w:ind w:left="2940"/>
    </w:pPr>
  </w:style>
  <w:style w:type="paragraph" w:styleId="9">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0">
    <w:name w:val="annotation text"/>
    <w:basedOn w:val="1"/>
    <w:link w:val="37"/>
    <w:autoRedefine/>
    <w:qFormat/>
    <w:uiPriority w:val="0"/>
    <w:pPr>
      <w:jc w:val="left"/>
    </w:pPr>
  </w:style>
  <w:style w:type="paragraph" w:styleId="11">
    <w:name w:val="Body Text 3"/>
    <w:basedOn w:val="1"/>
    <w:link w:val="38"/>
    <w:autoRedefine/>
    <w:unhideWhenUsed/>
    <w:qFormat/>
    <w:uiPriority w:val="99"/>
    <w:pPr>
      <w:spacing w:after="120"/>
    </w:pPr>
    <w:rPr>
      <w:sz w:val="16"/>
      <w:szCs w:val="16"/>
    </w:rPr>
  </w:style>
  <w:style w:type="paragraph" w:styleId="12">
    <w:name w:val="Body Text"/>
    <w:basedOn w:val="1"/>
    <w:link w:val="39"/>
    <w:autoRedefine/>
    <w:unhideWhenUsed/>
    <w:qFormat/>
    <w:uiPriority w:val="0"/>
    <w:pPr>
      <w:spacing w:after="120"/>
    </w:pPr>
  </w:style>
  <w:style w:type="paragraph" w:styleId="13">
    <w:name w:val="Body Text Indent"/>
    <w:basedOn w:val="1"/>
    <w:link w:val="40"/>
    <w:autoRedefine/>
    <w:qFormat/>
    <w:uiPriority w:val="0"/>
    <w:pPr>
      <w:ind w:firstLine="830" w:firstLineChars="352"/>
    </w:pPr>
    <w:rPr>
      <w:rFonts w:ascii="仿宋_GB2312" w:eastAsia="仿宋_GB2312"/>
      <w:kern w:val="0"/>
      <w:sz w:val="32"/>
      <w:szCs w:val="20"/>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next w:val="16"/>
    <w:link w:val="41"/>
    <w:autoRedefine/>
    <w:qFormat/>
    <w:uiPriority w:val="0"/>
    <w:rPr>
      <w:rFonts w:ascii="宋体" w:hAnsi="Courier New"/>
      <w:kern w:val="0"/>
      <w:sz w:val="20"/>
      <w:szCs w:val="21"/>
    </w:rPr>
  </w:style>
  <w:style w:type="paragraph" w:customStyle="1" w:styleId="16">
    <w:name w:val="Default"/>
    <w:next w:val="1"/>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7">
    <w:name w:val="Date"/>
    <w:basedOn w:val="1"/>
    <w:next w:val="1"/>
    <w:link w:val="42"/>
    <w:autoRedefine/>
    <w:unhideWhenUsed/>
    <w:qFormat/>
    <w:uiPriority w:val="99"/>
    <w:pPr>
      <w:ind w:left="100" w:leftChars="2500"/>
    </w:pPr>
  </w:style>
  <w:style w:type="paragraph" w:styleId="18">
    <w:name w:val="Balloon Text"/>
    <w:basedOn w:val="1"/>
    <w:autoRedefine/>
    <w:semiHidden/>
    <w:qFormat/>
    <w:uiPriority w:val="0"/>
    <w:rPr>
      <w:sz w:val="18"/>
      <w:szCs w:val="18"/>
    </w:rPr>
  </w:style>
  <w:style w:type="paragraph" w:styleId="19">
    <w:name w:val="footer"/>
    <w:basedOn w:val="1"/>
    <w:next w:val="1"/>
    <w:link w:val="43"/>
    <w:autoRedefine/>
    <w:unhideWhenUsed/>
    <w:qFormat/>
    <w:uiPriority w:val="99"/>
    <w:pPr>
      <w:tabs>
        <w:tab w:val="center" w:pos="4153"/>
        <w:tab w:val="right" w:pos="8306"/>
      </w:tabs>
      <w:snapToGrid w:val="0"/>
      <w:jc w:val="left"/>
    </w:pPr>
    <w:rPr>
      <w:kern w:val="0"/>
      <w:sz w:val="18"/>
      <w:szCs w:val="18"/>
    </w:rPr>
  </w:style>
  <w:style w:type="paragraph" w:styleId="20">
    <w:name w:val="header"/>
    <w:basedOn w:val="1"/>
    <w:link w:val="44"/>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1">
    <w:name w:val="toc 1"/>
    <w:basedOn w:val="1"/>
    <w:next w:val="1"/>
    <w:autoRedefine/>
    <w:unhideWhenUsed/>
    <w:qFormat/>
    <w:uiPriority w:val="39"/>
  </w:style>
  <w:style w:type="paragraph" w:styleId="22">
    <w:name w:val="toc 2"/>
    <w:basedOn w:val="1"/>
    <w:next w:val="1"/>
    <w:autoRedefine/>
    <w:unhideWhenUsed/>
    <w:qFormat/>
    <w:uiPriority w:val="39"/>
    <w:pPr>
      <w:tabs>
        <w:tab w:val="right" w:leader="dot" w:pos="8296"/>
      </w:tabs>
      <w:ind w:left="420" w:leftChars="200"/>
    </w:pPr>
  </w:style>
  <w:style w:type="paragraph" w:styleId="23">
    <w:name w:val="Body Text 2"/>
    <w:basedOn w:val="1"/>
    <w:qFormat/>
    <w:uiPriority w:val="0"/>
    <w:pPr>
      <w:spacing w:after="120" w:line="480" w:lineRule="auto"/>
    </w:pPr>
  </w:style>
  <w:style w:type="paragraph" w:styleId="24">
    <w:name w:val="Normal (Web)"/>
    <w:basedOn w:val="1"/>
    <w:autoRedefine/>
    <w:unhideWhenUsed/>
    <w:qFormat/>
    <w:uiPriority w:val="99"/>
    <w:rPr>
      <w:rFonts w:ascii="Calibri" w:hAnsi="Calibri"/>
      <w:kern w:val="0"/>
      <w:sz w:val="24"/>
    </w:rPr>
  </w:style>
  <w:style w:type="paragraph" w:styleId="25">
    <w:name w:val="annotation subject"/>
    <w:basedOn w:val="10"/>
    <w:next w:val="10"/>
    <w:link w:val="45"/>
    <w:autoRedefine/>
    <w:qFormat/>
    <w:uiPriority w:val="99"/>
    <w:rPr>
      <w:b/>
      <w:bCs/>
    </w:rPr>
  </w:style>
  <w:style w:type="paragraph" w:styleId="26">
    <w:name w:val="Body Text First Indent"/>
    <w:basedOn w:val="12"/>
    <w:link w:val="73"/>
    <w:autoRedefine/>
    <w:qFormat/>
    <w:uiPriority w:val="0"/>
    <w:pPr>
      <w:ind w:firstLine="420" w:firstLineChars="100"/>
    </w:pPr>
  </w:style>
  <w:style w:type="paragraph" w:styleId="27">
    <w:name w:val="Body Text First Indent 2"/>
    <w:basedOn w:val="1"/>
    <w:autoRedefine/>
    <w:unhideWhenUsed/>
    <w:qFormat/>
    <w:uiPriority w:val="99"/>
    <w:pPr>
      <w:spacing w:after="120"/>
      <w:ind w:left="420" w:leftChars="200" w:firstLine="420" w:firstLineChars="200"/>
    </w:pPr>
  </w:style>
  <w:style w:type="table" w:styleId="29">
    <w:name w:val="Table Grid"/>
    <w:basedOn w:val="2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paragraph" w:customStyle="1" w:styleId="33">
    <w:name w:val="正文-公1"/>
    <w:basedOn w:val="1"/>
    <w:qFormat/>
    <w:uiPriority w:val="0"/>
    <w:pPr>
      <w:ind w:firstLine="200" w:firstLineChars="200"/>
    </w:pPr>
    <w:rPr>
      <w:rFonts w:ascii="Calibri" w:hAnsi="Calibri" w:cs="Calibri"/>
      <w:color w:val="000000"/>
      <w:szCs w:val="21"/>
    </w:rPr>
  </w:style>
  <w:style w:type="character" w:customStyle="1" w:styleId="34">
    <w:name w:val="标题 1 Char"/>
    <w:link w:val="2"/>
    <w:autoRedefine/>
    <w:qFormat/>
    <w:uiPriority w:val="0"/>
    <w:rPr>
      <w:b/>
      <w:bCs/>
      <w:kern w:val="44"/>
      <w:sz w:val="44"/>
      <w:szCs w:val="44"/>
    </w:rPr>
  </w:style>
  <w:style w:type="character" w:customStyle="1" w:styleId="35">
    <w:name w:val="标题 2 Char"/>
    <w:link w:val="3"/>
    <w:autoRedefine/>
    <w:qFormat/>
    <w:uiPriority w:val="9"/>
    <w:rPr>
      <w:rFonts w:ascii="Cambria" w:hAnsi="Cambria" w:eastAsia="宋体" w:cs="Times New Roman"/>
      <w:b/>
      <w:bCs/>
      <w:kern w:val="2"/>
      <w:sz w:val="32"/>
      <w:szCs w:val="32"/>
    </w:rPr>
  </w:style>
  <w:style w:type="character" w:customStyle="1" w:styleId="36">
    <w:name w:val="标题 5 Char"/>
    <w:link w:val="5"/>
    <w:autoRedefine/>
    <w:semiHidden/>
    <w:qFormat/>
    <w:uiPriority w:val="9"/>
    <w:rPr>
      <w:rFonts w:ascii="Times New Roman" w:hAnsi="Times New Roman"/>
      <w:b/>
      <w:bCs/>
      <w:kern w:val="2"/>
      <w:sz w:val="28"/>
      <w:szCs w:val="28"/>
    </w:rPr>
  </w:style>
  <w:style w:type="character" w:customStyle="1" w:styleId="37">
    <w:name w:val="批注文字 Char"/>
    <w:link w:val="10"/>
    <w:autoRedefine/>
    <w:qFormat/>
    <w:uiPriority w:val="0"/>
    <w:rPr>
      <w:rFonts w:ascii="Times New Roman" w:hAnsi="Times New Roman"/>
      <w:kern w:val="2"/>
      <w:sz w:val="21"/>
      <w:szCs w:val="24"/>
    </w:rPr>
  </w:style>
  <w:style w:type="character" w:customStyle="1" w:styleId="38">
    <w:name w:val="正文文本 3 Char"/>
    <w:link w:val="11"/>
    <w:autoRedefine/>
    <w:semiHidden/>
    <w:qFormat/>
    <w:uiPriority w:val="99"/>
    <w:rPr>
      <w:rFonts w:ascii="Times New Roman" w:hAnsi="Times New Roman"/>
      <w:kern w:val="2"/>
      <w:sz w:val="16"/>
      <w:szCs w:val="16"/>
    </w:rPr>
  </w:style>
  <w:style w:type="character" w:customStyle="1" w:styleId="39">
    <w:name w:val="正文文本 Char"/>
    <w:link w:val="12"/>
    <w:autoRedefine/>
    <w:qFormat/>
    <w:uiPriority w:val="0"/>
    <w:rPr>
      <w:rFonts w:ascii="Times New Roman" w:hAnsi="Times New Roman"/>
      <w:kern w:val="2"/>
      <w:sz w:val="21"/>
      <w:szCs w:val="24"/>
    </w:rPr>
  </w:style>
  <w:style w:type="character" w:customStyle="1" w:styleId="40">
    <w:name w:val="正文文本缩进 Char"/>
    <w:link w:val="13"/>
    <w:autoRedefine/>
    <w:qFormat/>
    <w:uiPriority w:val="0"/>
    <w:rPr>
      <w:rFonts w:ascii="仿宋_GB2312" w:hAnsi="Times New Roman" w:eastAsia="仿宋_GB2312" w:cs="Times New Roman"/>
      <w:sz w:val="32"/>
      <w:szCs w:val="20"/>
    </w:rPr>
  </w:style>
  <w:style w:type="character" w:customStyle="1" w:styleId="41">
    <w:name w:val="纯文本 Char"/>
    <w:link w:val="15"/>
    <w:autoRedefine/>
    <w:qFormat/>
    <w:uiPriority w:val="0"/>
    <w:rPr>
      <w:rFonts w:ascii="宋体" w:hAnsi="Courier New" w:eastAsia="宋体" w:cs="Courier New"/>
      <w:szCs w:val="21"/>
    </w:rPr>
  </w:style>
  <w:style w:type="character" w:customStyle="1" w:styleId="42">
    <w:name w:val="日期 Char"/>
    <w:link w:val="17"/>
    <w:autoRedefine/>
    <w:semiHidden/>
    <w:qFormat/>
    <w:uiPriority w:val="99"/>
    <w:rPr>
      <w:rFonts w:ascii="Times New Roman" w:hAnsi="Times New Roman"/>
      <w:kern w:val="2"/>
      <w:sz w:val="21"/>
      <w:szCs w:val="24"/>
    </w:rPr>
  </w:style>
  <w:style w:type="character" w:customStyle="1" w:styleId="43">
    <w:name w:val="页脚 Char1"/>
    <w:link w:val="19"/>
    <w:autoRedefine/>
    <w:qFormat/>
    <w:uiPriority w:val="99"/>
    <w:rPr>
      <w:sz w:val="18"/>
      <w:szCs w:val="18"/>
    </w:rPr>
  </w:style>
  <w:style w:type="character" w:customStyle="1" w:styleId="44">
    <w:name w:val="页眉 Char"/>
    <w:link w:val="20"/>
    <w:autoRedefine/>
    <w:qFormat/>
    <w:uiPriority w:val="99"/>
    <w:rPr>
      <w:sz w:val="18"/>
      <w:szCs w:val="18"/>
    </w:rPr>
  </w:style>
  <w:style w:type="character" w:customStyle="1" w:styleId="45">
    <w:name w:val="批注主题 Char"/>
    <w:link w:val="25"/>
    <w:autoRedefine/>
    <w:qFormat/>
    <w:uiPriority w:val="99"/>
    <w:rPr>
      <w:rFonts w:ascii="Times New Roman" w:hAnsi="Times New Roman"/>
      <w:b/>
      <w:bCs/>
      <w:kern w:val="2"/>
      <w:sz w:val="21"/>
      <w:szCs w:val="24"/>
    </w:rPr>
  </w:style>
  <w:style w:type="character" w:customStyle="1" w:styleId="46">
    <w:name w:val="font11"/>
    <w:basedOn w:val="30"/>
    <w:autoRedefine/>
    <w:qFormat/>
    <w:uiPriority w:val="0"/>
    <w:rPr>
      <w:rFonts w:hint="default" w:ascii="Times New Roman" w:hAnsi="Times New Roman" w:cs="Times New Roman"/>
      <w:color w:val="000000"/>
      <w:sz w:val="20"/>
      <w:szCs w:val="20"/>
      <w:u w:val="none"/>
    </w:rPr>
  </w:style>
  <w:style w:type="character" w:customStyle="1" w:styleId="47">
    <w:name w:val="font81"/>
    <w:basedOn w:val="30"/>
    <w:autoRedefine/>
    <w:qFormat/>
    <w:uiPriority w:val="0"/>
    <w:rPr>
      <w:rFonts w:hint="eastAsia" w:ascii="宋体" w:hAnsi="宋体" w:eastAsia="宋体" w:cs="宋体"/>
      <w:color w:val="000000"/>
      <w:sz w:val="20"/>
      <w:szCs w:val="20"/>
      <w:u w:val="none"/>
    </w:rPr>
  </w:style>
  <w:style w:type="character" w:customStyle="1" w:styleId="48">
    <w:name w:val="正文文本 (26) + 间距 0 pt"/>
    <w:autoRedefine/>
    <w:qFormat/>
    <w:uiPriority w:val="0"/>
    <w:rPr>
      <w:rFonts w:hint="eastAsia" w:ascii="宋体" w:hAnsi="宋体" w:eastAsia="宋体" w:cs="宋体"/>
      <w:color w:val="000000"/>
      <w:spacing w:val="0"/>
      <w:w w:val="100"/>
      <w:position w:val="0"/>
      <w:sz w:val="22"/>
      <w:szCs w:val="22"/>
      <w:u w:val="none"/>
      <w:lang w:val="zh-CN" w:eastAsia="zh-CN" w:bidi="zh-CN"/>
    </w:rPr>
  </w:style>
  <w:style w:type="character" w:customStyle="1" w:styleId="49">
    <w:name w:val="批注文字 Char1"/>
    <w:autoRedefine/>
    <w:qFormat/>
    <w:uiPriority w:val="0"/>
    <w:rPr>
      <w:rFonts w:ascii="Times New Roman" w:hAnsi="Times New Roman"/>
      <w:kern w:val="2"/>
      <w:sz w:val="21"/>
      <w:szCs w:val="24"/>
    </w:rPr>
  </w:style>
  <w:style w:type="character" w:customStyle="1" w:styleId="50">
    <w:name w:val="纯文本 Char1"/>
    <w:autoRedefine/>
    <w:qFormat/>
    <w:uiPriority w:val="0"/>
    <w:rPr>
      <w:rFonts w:ascii="宋体" w:hAnsi="Courier New" w:eastAsia="宋体" w:cs="Courier New"/>
      <w:szCs w:val="21"/>
    </w:rPr>
  </w:style>
  <w:style w:type="character" w:customStyle="1" w:styleId="51">
    <w:name w:val="批注文字 Char2"/>
    <w:autoRedefine/>
    <w:qFormat/>
    <w:uiPriority w:val="0"/>
    <w:rPr>
      <w:rFonts w:ascii="Times New Roman" w:hAnsi="Times New Roman"/>
      <w:kern w:val="2"/>
      <w:sz w:val="21"/>
      <w:szCs w:val="24"/>
    </w:rPr>
  </w:style>
  <w:style w:type="character" w:customStyle="1" w:styleId="52">
    <w:name w:val="批注文字 字符2"/>
    <w:autoRedefine/>
    <w:qFormat/>
    <w:uiPriority w:val="0"/>
    <w:rPr>
      <w:rFonts w:ascii="Times New Roman" w:hAnsi="Times New Roman"/>
      <w:kern w:val="2"/>
      <w:sz w:val="21"/>
      <w:szCs w:val="24"/>
    </w:rPr>
  </w:style>
  <w:style w:type="character" w:customStyle="1" w:styleId="53">
    <w:name w:val="页脚 Char"/>
    <w:autoRedefine/>
    <w:qFormat/>
    <w:uiPriority w:val="99"/>
    <w:rPr>
      <w:lang w:eastAsia="zh-CN"/>
    </w:rPr>
  </w:style>
  <w:style w:type="character" w:customStyle="1" w:styleId="54">
    <w:name w:val="纯文本 字符1"/>
    <w:autoRedefine/>
    <w:qFormat/>
    <w:uiPriority w:val="0"/>
    <w:rPr>
      <w:rFonts w:ascii="宋体" w:hAnsi="Courier New"/>
    </w:rPr>
  </w:style>
  <w:style w:type="character" w:customStyle="1" w:styleId="55">
    <w:name w:val="纯文本 字符2"/>
    <w:autoRedefine/>
    <w:qFormat/>
    <w:uiPriority w:val="0"/>
    <w:rPr>
      <w:rFonts w:ascii="宋体" w:hAnsi="Courier New" w:eastAsia="宋体" w:cs="Courier New"/>
      <w:szCs w:val="21"/>
    </w:rPr>
  </w:style>
  <w:style w:type="character" w:customStyle="1" w:styleId="56">
    <w:name w:val="批注文字 字符1"/>
    <w:autoRedefine/>
    <w:qFormat/>
    <w:uiPriority w:val="0"/>
    <w:rPr>
      <w:kern w:val="2"/>
      <w:sz w:val="21"/>
      <w:szCs w:val="24"/>
    </w:rPr>
  </w:style>
  <w:style w:type="character" w:customStyle="1" w:styleId="57">
    <w:name w:val="textcontents"/>
    <w:autoRedefine/>
    <w:qFormat/>
    <w:uiPriority w:val="0"/>
  </w:style>
  <w:style w:type="character" w:customStyle="1" w:styleId="58">
    <w:name w:val="标题 1 字符"/>
    <w:autoRedefine/>
    <w:qFormat/>
    <w:uiPriority w:val="9"/>
    <w:rPr>
      <w:b/>
      <w:bCs/>
      <w:kern w:val="44"/>
      <w:sz w:val="44"/>
      <w:szCs w:val="44"/>
    </w:rPr>
  </w:style>
  <w:style w:type="character" w:customStyle="1" w:styleId="59">
    <w:name w:val="apple-style-span"/>
    <w:autoRedefine/>
    <w:qFormat/>
    <w:uiPriority w:val="0"/>
  </w:style>
  <w:style w:type="character" w:customStyle="1" w:styleId="60">
    <w:name w:val="正文文本缩进 字符1"/>
    <w:autoRedefine/>
    <w:qFormat/>
    <w:uiPriority w:val="0"/>
    <w:rPr>
      <w:rFonts w:ascii="仿宋_GB2312" w:hAnsi="Times New Roman" w:eastAsia="仿宋_GB2312" w:cs="Times New Roman"/>
      <w:sz w:val="32"/>
      <w:szCs w:val="20"/>
    </w:rPr>
  </w:style>
  <w:style w:type="paragraph" w:customStyle="1" w:styleId="61">
    <w:name w:val="默认段落字体 Para Char Char Char Char Char Char Char Char Char1 Char Char Char Char"/>
    <w:basedOn w:val="1"/>
    <w:autoRedefine/>
    <w:qFormat/>
    <w:uiPriority w:val="0"/>
    <w:rPr>
      <w:rFonts w:ascii="Tahoma" w:hAnsi="Tahoma"/>
      <w:sz w:val="24"/>
      <w:szCs w:val="20"/>
    </w:rPr>
  </w:style>
  <w:style w:type="paragraph" w:customStyle="1" w:styleId="62">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styleId="63">
    <w:name w:val="List Paragraph"/>
    <w:basedOn w:val="1"/>
    <w:autoRedefine/>
    <w:qFormat/>
    <w:uiPriority w:val="34"/>
    <w:pPr>
      <w:ind w:firstLine="420" w:firstLineChars="200"/>
    </w:pPr>
  </w:style>
  <w:style w:type="paragraph" w:customStyle="1" w:styleId="64">
    <w:name w:val="Table Paragraph"/>
    <w:basedOn w:val="1"/>
    <w:autoRedefine/>
    <w:qFormat/>
    <w:uiPriority w:val="1"/>
    <w:pPr>
      <w:jc w:val="left"/>
    </w:pPr>
    <w:rPr>
      <w:rFonts w:ascii="Calibri" w:hAnsi="Calibri"/>
      <w:kern w:val="0"/>
      <w:sz w:val="22"/>
      <w:szCs w:val="22"/>
      <w:lang w:eastAsia="en-US"/>
    </w:rPr>
  </w:style>
  <w:style w:type="paragraph" w:customStyle="1" w:styleId="65">
    <w:name w:val="表格文字"/>
    <w:basedOn w:val="12"/>
    <w:autoRedefine/>
    <w:qFormat/>
    <w:uiPriority w:val="99"/>
    <w:pPr>
      <w:spacing w:before="25" w:after="25"/>
    </w:pPr>
    <w:rPr>
      <w:bCs/>
      <w:spacing w:val="10"/>
      <w:kern w:val="0"/>
    </w:rPr>
  </w:style>
  <w:style w:type="paragraph" w:customStyle="1" w:styleId="66">
    <w:name w:val="列表段落1"/>
    <w:basedOn w:val="1"/>
    <w:autoRedefine/>
    <w:qFormat/>
    <w:uiPriority w:val="34"/>
    <w:pPr>
      <w:ind w:firstLine="420" w:firstLineChars="200"/>
    </w:pPr>
  </w:style>
  <w:style w:type="paragraph" w:customStyle="1" w:styleId="67">
    <w:name w:val="List Paragraph1"/>
    <w:basedOn w:val="1"/>
    <w:autoRedefine/>
    <w:qFormat/>
    <w:uiPriority w:val="34"/>
    <w:pPr>
      <w:pBdr>
        <w:top w:val="none" w:color="000000" w:sz="0" w:space="0"/>
        <w:left w:val="none" w:color="000000" w:sz="0" w:space="0"/>
        <w:bottom w:val="none" w:color="000000" w:sz="0" w:space="0"/>
        <w:right w:val="none" w:color="000000" w:sz="0" w:space="0"/>
        <w:between w:val="none" w:color="000000" w:sz="0" w:space="0"/>
      </w:pBdr>
      <w:ind w:left="720"/>
      <w:contextualSpacing/>
    </w:pPr>
    <w:rPr>
      <w:kern w:val="1"/>
    </w:rPr>
  </w:style>
  <w:style w:type="paragraph" w:customStyle="1" w:styleId="68">
    <w:name w:val="标2"/>
    <w:basedOn w:val="1"/>
    <w:autoRedefine/>
    <w:qFormat/>
    <w:uiPriority w:val="0"/>
    <w:pPr>
      <w:numPr>
        <w:ilvl w:val="1"/>
        <w:numId w:val="1"/>
      </w:numPr>
      <w:adjustRightInd w:val="0"/>
      <w:snapToGrid w:val="0"/>
      <w:spacing w:beforeLines="50" w:afterLines="50"/>
      <w:ind w:left="2448"/>
      <w:outlineLvl w:val="1"/>
    </w:pPr>
    <w:rPr>
      <w:rFonts w:ascii="Arial Narrow" w:hAnsi="Arial Narrow" w:eastAsia="仿宋_GB2312"/>
      <w:b/>
      <w:kern w:val="0"/>
      <w:sz w:val="32"/>
      <w:szCs w:val="32"/>
    </w:rPr>
  </w:style>
  <w:style w:type="paragraph" w:customStyle="1" w:styleId="69">
    <w:name w:val="标3"/>
    <w:basedOn w:val="1"/>
    <w:autoRedefine/>
    <w:qFormat/>
    <w:uiPriority w:val="0"/>
    <w:pPr>
      <w:numPr>
        <w:ilvl w:val="2"/>
        <w:numId w:val="1"/>
      </w:numPr>
      <w:adjustRightInd w:val="0"/>
      <w:snapToGrid w:val="0"/>
      <w:spacing w:beforeLines="50"/>
      <w:ind w:left="2448"/>
      <w:outlineLvl w:val="2"/>
    </w:pPr>
    <w:rPr>
      <w:rFonts w:ascii="Arial Narrow" w:hAnsi="Arial Narrow" w:eastAsia="仿宋_GB2312"/>
      <w:sz w:val="32"/>
      <w:szCs w:val="32"/>
    </w:rPr>
  </w:style>
  <w:style w:type="paragraph" w:customStyle="1" w:styleId="70">
    <w:name w:val="标1"/>
    <w:basedOn w:val="1"/>
    <w:autoRedefine/>
    <w:qFormat/>
    <w:uiPriority w:val="0"/>
    <w:pPr>
      <w:widowControl/>
      <w:numPr>
        <w:ilvl w:val="0"/>
        <w:numId w:val="1"/>
      </w:numPr>
      <w:adjustRightInd w:val="0"/>
      <w:snapToGrid w:val="0"/>
      <w:spacing w:beforeLines="100" w:line="360" w:lineRule="auto"/>
      <w:ind w:left="2448"/>
      <w:jc w:val="left"/>
      <w:outlineLvl w:val="0"/>
    </w:pPr>
    <w:rPr>
      <w:rFonts w:ascii="Arial Narrow" w:hAnsi="Arial Narrow" w:eastAsia="仿宋_GB2312"/>
      <w:b/>
      <w:bCs/>
      <w:color w:val="FF0000"/>
      <w:spacing w:val="20"/>
      <w:sz w:val="32"/>
      <w:szCs w:val="32"/>
    </w:rPr>
  </w:style>
  <w:style w:type="paragraph" w:customStyle="1" w:styleId="71">
    <w:name w:val="CM17"/>
    <w:basedOn w:val="16"/>
    <w:next w:val="16"/>
    <w:unhideWhenUsed/>
    <w:qFormat/>
    <w:uiPriority w:val="99"/>
    <w:rPr>
      <w:rFonts w:hint="default"/>
    </w:rPr>
  </w:style>
  <w:style w:type="character" w:customStyle="1" w:styleId="72">
    <w:name w:val="font01"/>
    <w:basedOn w:val="30"/>
    <w:qFormat/>
    <w:uiPriority w:val="0"/>
    <w:rPr>
      <w:rFonts w:hint="eastAsia" w:ascii="宋体" w:hAnsi="宋体" w:eastAsia="宋体" w:cs="宋体"/>
      <w:color w:val="000000"/>
      <w:sz w:val="22"/>
      <w:szCs w:val="22"/>
      <w:u w:val="none"/>
    </w:rPr>
  </w:style>
  <w:style w:type="character" w:customStyle="1" w:styleId="73">
    <w:name w:val="正文首行缩进 Char"/>
    <w:basedOn w:val="39"/>
    <w:link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80</Pages>
  <Words>12547</Words>
  <Characters>13575</Characters>
  <Lines>402</Lines>
  <Paragraphs>113</Paragraphs>
  <TotalTime>26</TotalTime>
  <ScaleCrop>false</ScaleCrop>
  <LinksUpToDate>false</LinksUpToDate>
  <CharactersWithSpaces>13779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2025-11-05T11:44:00Z</dcterms:created>
  <dc:creator>KWZB</dc:creator>
  <cp:lastModifiedBy>櫻桃</cp:lastModifiedBy>
  <cp:lastPrinted>2025-11-10T00:50:00Z</cp:lastPrinted>
  <dcterms:modified xsi:type="dcterms:W3CDTF">2025-11-10T02:41:22Z</dcterms:modified>
  <dc:title>竞争性谈判文件规范</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1729F1C142A84D60AF69686EA8736BE8_13</vt:lpwstr>
  </property>
  <property fmtid="{D5CDD505-2E9C-101B-9397-08002B2CF9AE}" pid="4" name="KSOTemplateDocerSaveRecord">
    <vt:lpwstr>eyJoZGlkIjoiMzYxZDBhNDk4YWQ4MzFjN2Q1NGQxYjU1MGRkYjRjNTQiLCJ1c2VySWQiOiIzNDI2ODgzNDQifQ==</vt:lpwstr>
  </property>
</Properties>
</file>