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ind w:firstLine="1040"/>
        <w:jc w:val="center"/>
        <w:rPr>
          <w:rFonts w:hint="eastAsia" w:ascii="宋体" w:hAnsi="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0"/>
        <w:jc w:val="center"/>
        <w:textAlignment w:val="auto"/>
        <w:rPr>
          <w:rFonts w:hint="eastAsia" w:ascii="宋体" w:hAnsi="宋体"/>
          <w:color w:val="auto"/>
          <w:sz w:val="52"/>
          <w:szCs w:val="52"/>
          <w:highlight w:val="none"/>
        </w:rPr>
      </w:pPr>
      <w:r>
        <w:rPr>
          <w:rFonts w:hint="eastAsia" w:ascii="宋体" w:hAnsi="宋体"/>
          <w:color w:val="auto"/>
          <w:sz w:val="52"/>
          <w:szCs w:val="52"/>
          <w:highlight w:val="none"/>
        </w:rPr>
        <w:t>公开招标文件</w:t>
      </w:r>
    </w:p>
    <w:p>
      <w:pPr>
        <w:keepNext w:val="0"/>
        <w:keepLines w:val="0"/>
        <w:pageBreakBefore w:val="0"/>
        <w:widowControl w:val="0"/>
        <w:kinsoku/>
        <w:wordWrap/>
        <w:overflowPunct/>
        <w:topLinePunct w:val="0"/>
        <w:autoSpaceDE/>
        <w:autoSpaceDN/>
        <w:bidi w:val="0"/>
        <w:adjustRightInd/>
        <w:spacing w:before="120" w:beforeLines="50" w:line="360" w:lineRule="auto"/>
        <w:ind w:firstLine="960"/>
        <w:jc w:val="center"/>
        <w:textAlignment w:val="auto"/>
        <w:rPr>
          <w:rFonts w:hint="eastAsia" w:ascii="仿宋_GB2312" w:hAnsi="宋体" w:eastAsia="仿宋_GB2312"/>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0"/>
        <w:jc w:val="center"/>
        <w:textAlignment w:val="auto"/>
        <w:rPr>
          <w:rFonts w:hint="eastAsia" w:ascii="宋体" w:hAnsi="宋体" w:cs="宋体"/>
          <w:color w:val="auto"/>
          <w:sz w:val="72"/>
          <w:szCs w:val="72"/>
          <w:highlight w:val="none"/>
        </w:rPr>
      </w:pPr>
      <w:r>
        <w:rPr>
          <w:rFonts w:hint="eastAsia" w:ascii="宋体" w:hAnsi="宋体" w:cs="宋体"/>
          <w:color w:val="auto"/>
          <w:sz w:val="72"/>
          <w:szCs w:val="72"/>
          <w:highlight w:val="none"/>
        </w:rPr>
        <w:t>招 标 文 件</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0"/>
        <w:jc w:val="center"/>
        <w:textAlignment w:val="auto"/>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600"/>
        <w:textAlignment w:val="auto"/>
        <w:rPr>
          <w:rFonts w:hint="eastAsia" w:ascii="仿宋_GB2312" w:hAnsi="宋体" w:eastAsia="仿宋_GB2312"/>
          <w:color w:val="auto"/>
          <w:sz w:val="30"/>
          <w:szCs w:val="72"/>
          <w:highlight w:val="none"/>
        </w:rPr>
      </w:pPr>
    </w:p>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firstLine="2711" w:firstLineChars="900"/>
        <w:textAlignment w:val="auto"/>
        <w:rPr>
          <w:rFonts w:hint="eastAsia" w:hAnsi="宋体" w:cs="宋体"/>
          <w:b/>
          <w:bCs/>
          <w:color w:val="auto"/>
          <w:sz w:val="30"/>
          <w:szCs w:val="30"/>
          <w:highlight w:val="none"/>
        </w:rPr>
      </w:pPr>
    </w:p>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firstLine="0" w:firstLineChars="0"/>
        <w:jc w:val="center"/>
        <w:textAlignment w:val="auto"/>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bookmarkStart w:id="0" w:name="OLE_LINK17"/>
      <w:r>
        <w:rPr>
          <w:rFonts w:hint="eastAsia" w:hAnsi="宋体" w:cs="宋体"/>
          <w:b/>
          <w:bCs/>
          <w:color w:val="auto"/>
          <w:sz w:val="30"/>
          <w:szCs w:val="30"/>
          <w:highlight w:val="none"/>
        </w:rPr>
        <w:t>广西医科大学零星修缮、设计、</w:t>
      </w:r>
    </w:p>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3593" w:firstLineChars="1193"/>
        <w:textAlignment w:val="auto"/>
        <w:rPr>
          <w:rFonts w:hint="eastAsia" w:hAnsi="宋体" w:cs="宋体"/>
          <w:color w:val="auto"/>
          <w:sz w:val="30"/>
          <w:szCs w:val="30"/>
          <w:highlight w:val="none"/>
        </w:rPr>
      </w:pPr>
      <w:r>
        <w:rPr>
          <w:rFonts w:hint="eastAsia" w:hAnsi="宋体" w:cs="宋体"/>
          <w:b/>
          <w:bCs/>
          <w:color w:val="auto"/>
          <w:sz w:val="30"/>
          <w:szCs w:val="30"/>
          <w:highlight w:val="none"/>
        </w:rPr>
        <w:t>监理服务(两年)采购项目</w:t>
      </w:r>
    </w:p>
    <w:bookmarkEnd w:id="0"/>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firstLine="2108" w:firstLineChars="700"/>
        <w:jc w:val="both"/>
        <w:textAlignment w:val="auto"/>
        <w:rPr>
          <w:rFonts w:hint="eastAsia" w:hAnsi="宋体" w:eastAsia="宋体" w:cs="宋体"/>
          <w:b/>
          <w:bCs/>
          <w:color w:val="auto"/>
          <w:w w:val="95"/>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GXZC2025-G3-001847-GXKL</w:t>
      </w:r>
    </w:p>
    <w:p>
      <w:pPr>
        <w:keepNext w:val="0"/>
        <w:keepLines w:val="0"/>
        <w:pageBreakBefore w:val="0"/>
        <w:widowControl w:val="0"/>
        <w:kinsoku/>
        <w:wordWrap/>
        <w:overflowPunct/>
        <w:topLinePunct w:val="0"/>
        <w:autoSpaceDE/>
        <w:autoSpaceDN/>
        <w:bidi w:val="0"/>
        <w:adjustRightInd/>
        <w:snapToGrid w:val="0"/>
        <w:spacing w:before="50" w:after="120" w:line="360" w:lineRule="auto"/>
        <w:ind w:firstLine="2576" w:firstLineChars="900"/>
        <w:textAlignment w:val="auto"/>
        <w:rPr>
          <w:rFonts w:hint="eastAsia" w:ascii="宋体" w:hAnsi="宋体" w:cs="宋体"/>
          <w:b/>
          <w:bCs/>
          <w:color w:val="auto"/>
          <w:w w:val="95"/>
          <w:sz w:val="30"/>
          <w:szCs w:val="30"/>
          <w:highlight w:val="none"/>
        </w:rPr>
      </w:pPr>
    </w:p>
    <w:p>
      <w:pPr>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2106" w:firstLineChars="736"/>
        <w:textAlignment w:val="auto"/>
        <w:rPr>
          <w:rFonts w:hint="eastAsia" w:ascii="宋体" w:hAnsi="宋体" w:cs="宋体"/>
          <w:b/>
          <w:bCs/>
          <w:color w:val="auto"/>
          <w:w w:val="95"/>
          <w:sz w:val="30"/>
          <w:szCs w:val="30"/>
          <w:highlight w:val="none"/>
        </w:rPr>
      </w:pPr>
      <w:r>
        <w:rPr>
          <w:rFonts w:hint="eastAsia" w:ascii="宋体" w:hAnsi="宋体" w:cs="宋体"/>
          <w:b/>
          <w:bCs/>
          <w:color w:val="auto"/>
          <w:w w:val="95"/>
          <w:sz w:val="30"/>
          <w:szCs w:val="30"/>
          <w:highlight w:val="none"/>
        </w:rPr>
        <w:t>采购人：广西医科大学</w:t>
      </w:r>
    </w:p>
    <w:p>
      <w:pPr>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2106" w:firstLineChars="736"/>
        <w:textAlignment w:val="auto"/>
        <w:rPr>
          <w:rFonts w:hint="eastAsia" w:ascii="宋体" w:hAnsi="宋体" w:cs="宋体"/>
          <w:b/>
          <w:bCs/>
          <w:color w:val="auto"/>
          <w:w w:val="95"/>
          <w:sz w:val="30"/>
          <w:szCs w:val="30"/>
          <w:highlight w:val="none"/>
        </w:rPr>
      </w:pPr>
      <w:r>
        <w:rPr>
          <w:rFonts w:hint="eastAsia" w:ascii="宋体" w:hAnsi="宋体" w:cs="宋体"/>
          <w:b/>
          <w:bCs/>
          <w:color w:val="auto"/>
          <w:w w:val="95"/>
          <w:sz w:val="30"/>
          <w:szCs w:val="30"/>
          <w:highlight w:val="none"/>
        </w:rPr>
        <w:t>采购代理机构：</w:t>
      </w:r>
      <w:bookmarkStart w:id="1" w:name="PO_3000001866_PM031"/>
      <w:r>
        <w:rPr>
          <w:rFonts w:hint="eastAsia" w:ascii="宋体" w:hAnsi="宋体" w:cs="宋体"/>
          <w:b/>
          <w:bCs/>
          <w:color w:val="auto"/>
          <w:w w:val="95"/>
          <w:sz w:val="30"/>
          <w:szCs w:val="30"/>
          <w:highlight w:val="none"/>
        </w:rPr>
        <w:t>广西科联招标中心有限公司</w:t>
      </w:r>
      <w:bookmarkEnd w:id="1"/>
    </w:p>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firstLine="4293" w:firstLineChars="1500"/>
        <w:textAlignment w:val="auto"/>
        <w:rPr>
          <w:rFonts w:hint="eastAsia" w:hAnsi="宋体" w:cs="宋体"/>
          <w:b/>
          <w:bCs/>
          <w:color w:val="auto"/>
          <w:w w:val="95"/>
          <w:sz w:val="30"/>
          <w:szCs w:val="30"/>
          <w:highlight w:val="none"/>
        </w:rPr>
      </w:pPr>
    </w:p>
    <w:p>
      <w:pPr>
        <w:pStyle w:val="14"/>
        <w:keepNext w:val="0"/>
        <w:keepLines w:val="0"/>
        <w:pageBreakBefore w:val="0"/>
        <w:widowControl w:val="0"/>
        <w:kinsoku/>
        <w:wordWrap/>
        <w:overflowPunct/>
        <w:topLinePunct w:val="0"/>
        <w:autoSpaceDE/>
        <w:autoSpaceDN/>
        <w:bidi w:val="0"/>
        <w:adjustRightInd/>
        <w:snapToGrid w:val="0"/>
        <w:spacing w:before="50" w:after="120" w:line="360" w:lineRule="auto"/>
        <w:ind w:firstLine="0" w:firstLineChars="0"/>
        <w:jc w:val="center"/>
        <w:textAlignment w:val="auto"/>
        <w:rPr>
          <w:rFonts w:hint="eastAsia" w:hAnsi="宋体" w:cs="宋体"/>
          <w:b/>
          <w:bCs/>
          <w:color w:val="auto"/>
          <w:w w:val="95"/>
          <w:sz w:val="30"/>
          <w:szCs w:val="3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日</w:t>
      </w:r>
    </w:p>
    <w:p>
      <w:pPr>
        <w:widowControl/>
        <w:spacing w:line="360" w:lineRule="auto"/>
        <w:ind w:firstLine="570"/>
        <w:rPr>
          <w:rFonts w:hint="eastAsia" w:ascii="宋体" w:hAnsi="宋体" w:cs="宋体"/>
          <w:b/>
          <w:bCs/>
          <w:color w:val="auto"/>
          <w:w w:val="95"/>
          <w:sz w:val="30"/>
          <w:szCs w:val="30"/>
          <w:highlight w:val="none"/>
        </w:rPr>
        <w:sectPr>
          <w:pgSz w:w="11905" w:h="16838"/>
          <w:pgMar w:top="1134" w:right="1134" w:bottom="1134" w:left="1134" w:header="850" w:footer="850" w:gutter="0"/>
          <w:pgNumType w:start="1"/>
          <w:cols w:space="0" w:num="1"/>
          <w:titlePg/>
          <w:docGrid w:linePitch="331" w:charSpace="0"/>
        </w:sectPr>
      </w:pPr>
    </w:p>
    <w:p>
      <w:pPr>
        <w:pStyle w:val="14"/>
        <w:ind w:firstLine="964"/>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pPr>
        <w:pStyle w:val="17"/>
        <w:tabs>
          <w:tab w:val="right" w:leader="dot" w:pos="9637"/>
        </w:tabs>
        <w:rPr>
          <w:color w:val="auto"/>
          <w:highlight w:val="none"/>
        </w:rPr>
      </w:pP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24"/>
          <w:szCs w:val="24"/>
          <w:highlight w:val="none"/>
        </w:rPr>
        <w:t>第四章  评标方法和评标标准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_Toc10034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24"/>
          <w:szCs w:val="24"/>
          <w:highlight w:val="none"/>
        </w:rPr>
        <w:t xml:space="preserve">第五章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24"/>
          <w:szCs w:val="24"/>
          <w:highlight w:val="none"/>
        </w:rPr>
        <w:t xml:space="preserve">第六章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7"/>
        <w:tabs>
          <w:tab w:val="right" w:leader="dot" w:pos="9637"/>
        </w:tabs>
        <w:rPr>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24"/>
          <w:szCs w:val="24"/>
          <w:highlight w:val="none"/>
        </w:rPr>
        <w:t xml:space="preserve">第七章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质疑、投诉材料格式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14"/>
        <w:ind w:firstLine="420"/>
        <w:jc w:val="center"/>
        <w:rPr>
          <w:color w:val="auto"/>
          <w:highlight w:val="none"/>
        </w:rPr>
      </w:pPr>
      <w:r>
        <w:rPr>
          <w:color w:val="auto"/>
          <w:highlight w:val="none"/>
        </w:rPr>
        <w:fldChar w:fldCharType="end"/>
      </w:r>
      <w:r>
        <w:rPr>
          <w:rFonts w:hint="eastAsia"/>
          <w:color w:val="auto"/>
          <w:highlight w:val="none"/>
        </w:rPr>
        <w:tab/>
      </w:r>
      <w:bookmarkStart w:id="2" w:name="_Toc532545041"/>
    </w:p>
    <w:p>
      <w:pPr>
        <w:ind w:firstLine="420"/>
        <w:rPr>
          <w:color w:val="auto"/>
          <w:highlight w:val="none"/>
        </w:rPr>
      </w:pPr>
      <w:r>
        <w:rPr>
          <w:rFonts w:hint="eastAsia"/>
          <w:color w:val="auto"/>
          <w:highlight w:val="none"/>
        </w:rPr>
        <w:br w:type="page"/>
      </w:r>
    </w:p>
    <w:p>
      <w:pPr>
        <w:pStyle w:val="14"/>
        <w:ind w:firstLine="723"/>
        <w:jc w:val="center"/>
        <w:outlineLvl w:val="0"/>
        <w:rPr>
          <w:rFonts w:ascii="Times New Roman" w:hAnsi="Times New Roman"/>
          <w:b/>
          <w:color w:val="auto"/>
          <w:sz w:val="36"/>
          <w:highlight w:val="none"/>
        </w:rPr>
      </w:pPr>
      <w:bookmarkStart w:id="3" w:name="_Toc11500"/>
      <w:bookmarkStart w:id="4" w:name="_Toc8345"/>
      <w:bookmarkStart w:id="5" w:name="_Toc19537"/>
      <w:bookmarkStart w:id="6" w:name="_Toc12228"/>
      <w:bookmarkStart w:id="7" w:name="_Toc18459"/>
      <w:bookmarkStart w:id="8" w:name="_Toc184"/>
      <w:bookmarkStart w:id="9" w:name="_Toc18707"/>
      <w:bookmarkStart w:id="10" w:name="_Toc16222"/>
      <w:bookmarkStart w:id="11" w:name="_Toc16576"/>
      <w:bookmarkStart w:id="12" w:name="_Toc20258"/>
      <w:bookmarkStart w:id="13" w:name="_Toc9949"/>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2"/>
      <w:bookmarkEnd w:id="3"/>
      <w:bookmarkEnd w:id="4"/>
      <w:bookmarkEnd w:id="5"/>
      <w:bookmarkEnd w:id="6"/>
      <w:bookmarkEnd w:id="7"/>
      <w:bookmarkEnd w:id="8"/>
      <w:bookmarkEnd w:id="9"/>
      <w:bookmarkEnd w:id="10"/>
      <w:bookmarkEnd w:id="11"/>
      <w:bookmarkEnd w:id="12"/>
      <w:bookmarkEnd w:id="13"/>
    </w:p>
    <w:p>
      <w:pPr>
        <w:pStyle w:val="14"/>
        <w:ind w:firstLine="602"/>
        <w:jc w:val="center"/>
        <w:rPr>
          <w:rFonts w:ascii="Times New Roman" w:hAnsi="Times New Roman"/>
          <w:b/>
          <w:color w:val="auto"/>
          <w:sz w:val="30"/>
          <w:szCs w:val="30"/>
          <w:highlight w:val="none"/>
        </w:rPr>
      </w:pPr>
    </w:p>
    <w:p>
      <w:pPr>
        <w:pStyle w:val="14"/>
        <w:ind w:firstLine="602"/>
        <w:jc w:val="center"/>
        <w:rPr>
          <w:rFonts w:ascii="Times New Roman" w:hAnsi="Times New Roman"/>
          <w:b/>
          <w:color w:val="auto"/>
          <w:sz w:val="30"/>
          <w:szCs w:val="30"/>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广西医科大学零星修缮、设计、监理服务(两年)采购项目 </w:t>
      </w:r>
      <w:r>
        <w:rPr>
          <w:rFonts w:hint="eastAsia" w:ascii="宋体" w:hAnsi="宋体" w:cs="宋体"/>
          <w:color w:val="auto"/>
          <w:szCs w:val="21"/>
          <w:highlight w:val="none"/>
        </w:rPr>
        <w:t>招标项目的潜在投标人应在广西政府采购云平台（https://www.gcy.zfcg.gxzf.gov.cn/</w:t>
      </w:r>
      <w:r>
        <w:rPr>
          <w:rFonts w:hint="eastAsia" w:ascii="宋体" w:hAnsi="宋体" w:cs="宋体"/>
          <w:color w:val="auto"/>
          <w:sz w:val="24"/>
          <w:highlight w:val="none"/>
        </w:rPr>
        <w:t>）</w:t>
      </w:r>
      <w:r>
        <w:rPr>
          <w:rFonts w:hint="eastAsia" w:ascii="宋体" w:hAnsi="宋体" w:cs="宋体"/>
          <w:color w:val="auto"/>
          <w:szCs w:val="21"/>
          <w:highlight w:val="none"/>
        </w:rPr>
        <w:t>获取招标文件，并于</w:t>
      </w:r>
      <w:bookmarkStart w:id="14" w:name="PO_3000001866_PM015"/>
      <w:bookmarkStart w:id="15" w:name="PO_3000001867_PM015"/>
      <w:r>
        <w:rPr>
          <w:rFonts w:hint="eastAsia" w:ascii="宋体" w:hAnsi="宋体" w:cs="宋体"/>
          <w:color w:val="auto"/>
          <w:szCs w:val="21"/>
          <w:highlight w:val="none"/>
          <w:u w:val="single"/>
        </w:rPr>
        <w:t>2025 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bookmarkEnd w:id="14"/>
      <w:bookmarkEnd w:id="15"/>
      <w:r>
        <w:rPr>
          <w:rFonts w:hint="eastAsia" w:ascii="宋体" w:hAnsi="宋体" w:cs="宋体"/>
          <w:color w:val="auto"/>
          <w:szCs w:val="21"/>
          <w:highlight w:val="none"/>
          <w:u w:val="single"/>
        </w:rPr>
        <w:t>09:30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pPr>
        <w:spacing w:line="360" w:lineRule="auto"/>
        <w:ind w:firstLine="482"/>
        <w:rPr>
          <w:rFonts w:hint="eastAsia" w:ascii="黑体" w:hAnsi="黑体" w:eastAsia="黑体"/>
          <w:b/>
          <w:bCs/>
          <w:color w:val="auto"/>
          <w:sz w:val="24"/>
          <w:highlight w:val="none"/>
        </w:rPr>
      </w:pPr>
      <w:bookmarkStart w:id="16" w:name="_Toc28359079"/>
      <w:bookmarkStart w:id="17" w:name="_Toc35393621"/>
      <w:bookmarkStart w:id="18" w:name="_Toc35393790"/>
      <w:bookmarkStart w:id="19" w:name="_Toc28359002"/>
      <w:bookmarkStart w:id="20" w:name="_Hlk24379207"/>
      <w:r>
        <w:rPr>
          <w:rFonts w:hint="eastAsia" w:ascii="黑体" w:hAnsi="黑体" w:eastAsia="黑体"/>
          <w:b/>
          <w:bCs/>
          <w:color w:val="auto"/>
          <w:sz w:val="24"/>
          <w:highlight w:val="none"/>
        </w:rPr>
        <w:t>一、项目基本情况</w:t>
      </w:r>
      <w:bookmarkEnd w:id="16"/>
      <w:bookmarkEnd w:id="17"/>
      <w:bookmarkEnd w:id="18"/>
      <w:bookmarkEnd w:id="19"/>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GXZC2025-G3-001847-GXKL</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bookmarkEnd w:id="20"/>
      <w:r>
        <w:rPr>
          <w:rFonts w:hint="eastAsia" w:ascii="宋体" w:hAnsi="宋体"/>
          <w:color w:val="auto"/>
          <w:szCs w:val="21"/>
          <w:highlight w:val="none"/>
        </w:rPr>
        <w:t xml:space="preserve">广西医科大学零星修缮、设计、监理服务(两年)采购项目 </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预算总金额（元）：</w:t>
      </w:r>
      <w:bookmarkStart w:id="21" w:name="PO_3000001867_PM001392"/>
      <w:r>
        <w:rPr>
          <w:rFonts w:hint="eastAsia" w:ascii="宋体" w:hAnsi="宋体"/>
          <w:color w:val="auto"/>
          <w:szCs w:val="21"/>
          <w:highlight w:val="none"/>
        </w:rPr>
        <w:t>25500000.00</w:t>
      </w:r>
      <w:r>
        <w:rPr>
          <w:rFonts w:hint="eastAsia" w:ascii="宋体" w:hAnsi="宋体" w:cs="宋体"/>
          <w:color w:val="auto"/>
          <w:szCs w:val="21"/>
          <w:highlight w:val="none"/>
        </w:rPr>
        <w:t>。</w:t>
      </w:r>
      <w:bookmarkEnd w:id="21"/>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采购需求：</w:t>
      </w:r>
      <w:bookmarkStart w:id="22" w:name="PO_3000001867_PM004"/>
      <w:r>
        <w:rPr>
          <w:rFonts w:hint="eastAsia" w:ascii="宋体" w:hAnsi="宋体" w:cs="宋体"/>
          <w:color w:val="auto"/>
          <w:szCs w:val="21"/>
          <w:highlight w:val="none"/>
        </w:rPr>
        <w:t xml:space="preserve"> </w:t>
      </w:r>
      <w:bookmarkEnd w:id="22"/>
    </w:p>
    <w:p>
      <w:pPr>
        <w:spacing w:line="360" w:lineRule="auto"/>
        <w:ind w:firstLine="422" w:firstLineChars="200"/>
        <w:rPr>
          <w:rFonts w:hint="eastAsia" w:ascii="宋体" w:hAnsi="宋体"/>
          <w:color w:val="auto"/>
          <w:szCs w:val="21"/>
          <w:highlight w:val="none"/>
        </w:rPr>
      </w:pPr>
      <w:bookmarkStart w:id="23" w:name="_Toc35393622"/>
      <w:bookmarkStart w:id="24" w:name="_Toc35393791"/>
      <w:bookmarkStart w:id="25" w:name="_Toc28359003"/>
      <w:bookmarkStart w:id="26" w:name="_Toc28359080"/>
      <w:r>
        <w:rPr>
          <w:rFonts w:hint="eastAsia" w:ascii="宋体" w:hAnsi="宋体"/>
          <w:b/>
          <w:bCs/>
          <w:color w:val="auto"/>
          <w:szCs w:val="21"/>
          <w:highlight w:val="none"/>
        </w:rPr>
        <w:t>标项（分标）1：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27" w:name="OLE_LINK18"/>
      <w:r>
        <w:rPr>
          <w:rFonts w:hint="eastAsia" w:ascii="宋体" w:hAnsi="宋体"/>
          <w:color w:val="auto"/>
          <w:szCs w:val="21"/>
          <w:highlight w:val="none"/>
        </w:rPr>
        <w:t>教学、科研、基础设施修缮服务</w:t>
      </w:r>
      <w:bookmarkEnd w:id="2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预算金额（元）:5200000.00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bookmarkStart w:id="28" w:name="OLE_LINK34"/>
      <w:r>
        <w:rPr>
          <w:rFonts w:hint="eastAsia" w:ascii="宋体" w:hAnsi="宋体"/>
          <w:color w:val="auto"/>
          <w:szCs w:val="21"/>
          <w:highlight w:val="none"/>
        </w:rPr>
        <w:t>主要负责校本部及武鸣校区的教学、科研、基础设施零星修缮改造工程，详见本公告附件。</w:t>
      </w:r>
      <w:bookmarkEnd w:id="2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s="宋体"/>
          <w:bCs/>
          <w:color w:val="auto"/>
          <w:szCs w:val="21"/>
          <w:highlight w:val="none"/>
        </w:rPr>
        <w:t>对于在合同有效期内已立项、但截至合同终止之日（含到期终止与提前终止）仍未完成的修缮项目，中标人在该项目的任务委托书约定的修缮服务期限内应负责继续修缮直至该项目验收合格</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标项（分标）2：</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29" w:name="OLE_LINK19"/>
      <w:r>
        <w:rPr>
          <w:rFonts w:hint="eastAsia" w:ascii="宋体" w:hAnsi="宋体"/>
          <w:color w:val="auto"/>
          <w:szCs w:val="21"/>
          <w:highlight w:val="none"/>
        </w:rPr>
        <w:t>学生、教工生活用房及校园环境修缮服务</w:t>
      </w:r>
      <w:bookmarkEnd w:id="29"/>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预算金额（元）:5200000.00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学生、教工生活用房及校园环境</w:t>
      </w:r>
      <w:r>
        <w:rPr>
          <w:rFonts w:ascii="宋体" w:hAnsi="宋体" w:cs="宋体"/>
          <w:bCs/>
          <w:color w:val="auto"/>
          <w:szCs w:val="21"/>
          <w:highlight w:val="none"/>
        </w:rPr>
        <w:t>零星修缮改造工程</w:t>
      </w:r>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标项（分标）3：</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0" w:name="OLE_LINK20"/>
      <w:r>
        <w:rPr>
          <w:rFonts w:hint="eastAsia" w:ascii="宋体" w:hAnsi="宋体"/>
          <w:color w:val="auto"/>
          <w:szCs w:val="21"/>
          <w:highlight w:val="none"/>
        </w:rPr>
        <w:t>行政办公、校园基础设施保障修缮服务</w:t>
      </w:r>
      <w:bookmarkEnd w:id="30"/>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4800000.00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行政办公、校园基础设施保障</w:t>
      </w:r>
      <w:r>
        <w:rPr>
          <w:rFonts w:ascii="宋体" w:hAnsi="宋体" w:cs="宋体"/>
          <w:bCs/>
          <w:color w:val="auto"/>
          <w:szCs w:val="21"/>
          <w:highlight w:val="none"/>
        </w:rPr>
        <w:t>零星修缮改造工程</w:t>
      </w:r>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标项（分标）4：</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1" w:name="OLE_LINK24"/>
      <w:r>
        <w:rPr>
          <w:rFonts w:hint="eastAsia" w:ascii="宋体" w:hAnsi="宋体"/>
          <w:color w:val="auto"/>
          <w:szCs w:val="21"/>
          <w:highlight w:val="none"/>
        </w:rPr>
        <w:t>校园水、电、市政道路基础设施保障修缮服务</w:t>
      </w:r>
      <w:bookmarkEnd w:id="31"/>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4400000.00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校园水、电、市政道路基础设施保障</w:t>
      </w:r>
      <w:r>
        <w:rPr>
          <w:rFonts w:ascii="宋体" w:hAnsi="宋体" w:cs="宋体"/>
          <w:bCs/>
          <w:color w:val="auto"/>
          <w:szCs w:val="21"/>
          <w:highlight w:val="none"/>
        </w:rPr>
        <w:t>零星修缮改造工程</w:t>
      </w:r>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标项（分标）5：</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2" w:name="OLE_LINK25"/>
      <w:r>
        <w:rPr>
          <w:rFonts w:hint="eastAsia" w:ascii="宋体" w:hAnsi="宋体"/>
          <w:color w:val="auto"/>
          <w:szCs w:val="21"/>
          <w:highlight w:val="none"/>
        </w:rPr>
        <w:t>校园地下排污、排水基础设施保障修缮服务</w:t>
      </w:r>
      <w:bookmarkEnd w:id="32"/>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4400000.00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ascii="宋体" w:hAnsi="宋体" w:cs="宋体"/>
          <w:bCs/>
          <w:color w:val="auto"/>
          <w:szCs w:val="21"/>
          <w:highlight w:val="none"/>
        </w:rPr>
        <w:t>主要负责校本部及武鸣校区的校园地下排污、排水基础设施保障零星修缮改造工程</w:t>
      </w:r>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bookmarkStart w:id="33" w:name="_Hlk202280305"/>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bookmarkEnd w:id="33"/>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标项（分标）6：</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4" w:name="OLE_LINK26"/>
      <w:r>
        <w:rPr>
          <w:rFonts w:hint="eastAsia" w:ascii="宋体" w:hAnsi="宋体"/>
          <w:color w:val="auto"/>
          <w:szCs w:val="21"/>
          <w:highlight w:val="none"/>
        </w:rPr>
        <w:t>校本部设计服务</w:t>
      </w:r>
      <w:bookmarkEnd w:id="3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600000.00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s="宋体"/>
          <w:bCs/>
          <w:color w:val="auto"/>
          <w:szCs w:val="21"/>
          <w:highlight w:val="none"/>
          <w:lang w:eastAsia="zh-CN"/>
        </w:rPr>
        <w:t>负责</w:t>
      </w:r>
      <w:r>
        <w:rPr>
          <w:rFonts w:ascii="宋体" w:hAnsi="宋体" w:cs="宋体"/>
          <w:bCs/>
          <w:color w:val="auto"/>
          <w:szCs w:val="21"/>
          <w:highlight w:val="none"/>
        </w:rPr>
        <w:t>广西医科大学校本部等范围内的零星修缮建设项目</w:t>
      </w:r>
      <w:r>
        <w:rPr>
          <w:rFonts w:hint="eastAsia" w:ascii="宋体" w:hAnsi="宋体" w:cs="宋体"/>
          <w:bCs/>
          <w:color w:val="auto"/>
          <w:szCs w:val="21"/>
          <w:highlight w:val="none"/>
          <w:lang w:eastAsia="zh-CN"/>
        </w:rPr>
        <w:t>的前期咨询与设计工作</w:t>
      </w:r>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标项（分标）7：</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5" w:name="OLE_LINK29"/>
      <w:r>
        <w:rPr>
          <w:rFonts w:hint="eastAsia" w:ascii="宋体" w:hAnsi="宋体"/>
          <w:color w:val="auto"/>
          <w:szCs w:val="21"/>
          <w:highlight w:val="none"/>
        </w:rPr>
        <w:t>武鸣校区设计服务</w:t>
      </w:r>
      <w:bookmarkEnd w:id="3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600000.00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s="宋体"/>
          <w:bCs/>
          <w:color w:val="auto"/>
          <w:szCs w:val="21"/>
          <w:highlight w:val="none"/>
          <w:lang w:eastAsia="zh-CN"/>
        </w:rPr>
        <w:t>负责</w:t>
      </w:r>
      <w:r>
        <w:rPr>
          <w:rFonts w:ascii="宋体" w:hAnsi="宋体" w:cs="宋体"/>
          <w:bCs/>
          <w:color w:val="auto"/>
          <w:szCs w:val="21"/>
          <w:highlight w:val="none"/>
        </w:rPr>
        <w:t>广西医科大学</w:t>
      </w:r>
      <w:r>
        <w:rPr>
          <w:rFonts w:hint="eastAsia" w:ascii="宋体" w:hAnsi="宋体" w:cs="宋体"/>
          <w:bCs/>
          <w:color w:val="auto"/>
          <w:szCs w:val="21"/>
          <w:highlight w:val="none"/>
        </w:rPr>
        <w:t>武鸣校区</w:t>
      </w:r>
      <w:r>
        <w:rPr>
          <w:rFonts w:ascii="宋体" w:hAnsi="宋体" w:cs="宋体"/>
          <w:bCs/>
          <w:color w:val="auto"/>
          <w:szCs w:val="21"/>
          <w:highlight w:val="none"/>
        </w:rPr>
        <w:t>等范围内的零星修缮建设项目</w:t>
      </w:r>
      <w:r>
        <w:rPr>
          <w:rFonts w:hint="eastAsia" w:ascii="宋体" w:hAnsi="宋体" w:cs="宋体"/>
          <w:bCs/>
          <w:color w:val="auto"/>
          <w:szCs w:val="21"/>
          <w:highlight w:val="none"/>
          <w:lang w:eastAsia="zh-CN"/>
        </w:rPr>
        <w:t>的</w:t>
      </w:r>
      <w:bookmarkStart w:id="36" w:name="OLE_LINK33"/>
      <w:r>
        <w:rPr>
          <w:rFonts w:hint="eastAsia" w:ascii="宋体" w:hAnsi="宋体" w:cs="宋体"/>
          <w:bCs/>
          <w:color w:val="auto"/>
          <w:szCs w:val="21"/>
          <w:highlight w:val="none"/>
          <w:lang w:eastAsia="zh-CN"/>
        </w:rPr>
        <w:t>前期咨询与设计工作</w:t>
      </w:r>
      <w:bookmarkEnd w:id="36"/>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rPr>
          <w:rFonts w:hint="eastAsia" w:ascii="宋体" w:hAnsi="宋体" w:eastAsia="宋体"/>
          <w:color w:val="auto"/>
          <w:szCs w:val="21"/>
          <w:highlight w:val="none"/>
          <w:lang w:eastAsia="zh-CN"/>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s="宋体"/>
          <w:bCs/>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标项（分标）8：</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标项名称: </w:t>
      </w:r>
      <w:bookmarkStart w:id="37" w:name="OLE_LINK30"/>
      <w:r>
        <w:rPr>
          <w:rFonts w:hint="eastAsia" w:ascii="宋体" w:hAnsi="Courier New"/>
          <w:bCs/>
          <w:caps/>
          <w:color w:val="auto"/>
          <w:szCs w:val="21"/>
          <w:highlight w:val="none"/>
        </w:rPr>
        <w:t>监理服务</w:t>
      </w:r>
      <w:bookmarkEnd w:id="3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 300000.00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bookmarkStart w:id="38" w:name="OLE_LINK65"/>
      <w:r>
        <w:rPr>
          <w:rFonts w:ascii="宋体" w:hAnsi="宋体" w:cs="宋体"/>
          <w:bCs/>
          <w:color w:val="auto"/>
          <w:szCs w:val="21"/>
          <w:highlight w:val="none"/>
        </w:rPr>
        <w:t>主要负责校本部及武鸣校区各类用房、学生宿舍、校园环境、基础设施、水、电等修缮改造项目的监理工作</w:t>
      </w:r>
      <w:bookmarkEnd w:id="38"/>
      <w:r>
        <w:rPr>
          <w:rFonts w:hint="eastAsia" w:ascii="宋体" w:hAnsi="宋体"/>
          <w:color w:val="auto"/>
          <w:szCs w:val="21"/>
          <w:highlight w:val="none"/>
        </w:rPr>
        <w:t>，详见本公告附件。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pPr>
        <w:spacing w:line="360" w:lineRule="auto"/>
        <w:ind w:firstLine="420" w:firstLineChars="200"/>
        <w:rPr>
          <w:color w:val="auto"/>
          <w:szCs w:val="21"/>
          <w:highlight w:val="none"/>
        </w:rPr>
      </w:pPr>
      <w:bookmarkStart w:id="39" w:name="_Hlk202280295"/>
      <w:r>
        <w:rPr>
          <w:rFonts w:hint="eastAsia" w:ascii="宋体" w:hAnsi="宋体"/>
          <w:color w:val="auto"/>
          <w:szCs w:val="21"/>
          <w:highlight w:val="none"/>
        </w:rPr>
        <w:t>合同履约期限：</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监理费（含未达到支付条件的监理费）金额累计达到本分标预算金额的，合同自动提前终止。</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应继续提供监理服务直至该项目验收合格</w:t>
      </w:r>
      <w:r>
        <w:rPr>
          <w:rFonts w:hint="eastAsia" w:ascii="宋体" w:hAnsi="宋体"/>
          <w:color w:val="auto"/>
          <w:szCs w:val="21"/>
          <w:highlight w:val="none"/>
        </w:rPr>
        <w:t>。</w:t>
      </w:r>
    </w:p>
    <w:bookmarkEnd w:id="39"/>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82"/>
        <w:rPr>
          <w:rFonts w:hint="eastAsia" w:ascii="黑体" w:hAnsi="黑体" w:eastAsia="黑体"/>
          <w:b/>
          <w:bCs/>
          <w:color w:val="auto"/>
          <w:sz w:val="24"/>
          <w:highlight w:val="none"/>
        </w:rPr>
      </w:pPr>
      <w:r>
        <w:rPr>
          <w:rFonts w:hint="eastAsia" w:ascii="黑体" w:hAnsi="黑体" w:eastAsia="黑体"/>
          <w:b/>
          <w:bCs/>
          <w:color w:val="auto"/>
          <w:sz w:val="24"/>
          <w:highlight w:val="none"/>
        </w:rPr>
        <w:t>二、</w:t>
      </w:r>
      <w:r>
        <w:rPr>
          <w:rFonts w:hint="eastAsia" w:ascii="黑体" w:hAnsi="黑体" w:eastAsia="黑体"/>
          <w:b/>
          <w:bCs/>
          <w:color w:val="auto"/>
          <w:sz w:val="24"/>
          <w:highlight w:val="none"/>
          <w:lang w:eastAsia="zh-CN"/>
        </w:rPr>
        <w:t>申请</w:t>
      </w:r>
      <w:r>
        <w:rPr>
          <w:rFonts w:hint="eastAsia" w:ascii="黑体" w:hAnsi="黑体" w:eastAsia="黑体"/>
          <w:b/>
          <w:bCs/>
          <w:color w:val="auto"/>
          <w:sz w:val="24"/>
          <w:highlight w:val="none"/>
        </w:rPr>
        <w:t>人的资格要求：</w:t>
      </w:r>
      <w:bookmarkEnd w:id="23"/>
      <w:bookmarkEnd w:id="24"/>
      <w:bookmarkEnd w:id="25"/>
      <w:bookmarkEnd w:id="26"/>
    </w:p>
    <w:p>
      <w:pPr>
        <w:spacing w:line="360" w:lineRule="auto"/>
        <w:ind w:firstLine="420" w:firstLineChars="200"/>
        <w:rPr>
          <w:rFonts w:hint="eastAsia" w:ascii="宋体" w:hAnsi="宋体"/>
          <w:color w:val="auto"/>
          <w:szCs w:val="21"/>
          <w:highlight w:val="none"/>
        </w:rPr>
      </w:pPr>
      <w:bookmarkStart w:id="40" w:name="_Toc28359081"/>
      <w:bookmarkStart w:id="41" w:name="_Toc28359004"/>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2.落实政府采购政策需满足的资格要求：</w:t>
      </w:r>
      <w:r>
        <w:rPr>
          <w:rFonts w:hint="eastAsia" w:ascii="宋体" w:hAnsi="宋体" w:cs="宋体"/>
          <w:color w:val="auto"/>
          <w:szCs w:val="21"/>
          <w:highlight w:val="none"/>
          <w:u w:val="single"/>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3.本项目的特定资格要求：1分标、2分标、3分标、4分标、5分标：</w:t>
      </w:r>
      <w:bookmarkStart w:id="42" w:name="OLE_LINK35"/>
      <w:r>
        <w:rPr>
          <w:rFonts w:hint="eastAsia" w:ascii="宋体" w:hAnsi="宋体"/>
          <w:color w:val="auto"/>
          <w:szCs w:val="21"/>
          <w:highlight w:val="none"/>
          <w:lang w:eastAsia="zh-CN"/>
        </w:rPr>
        <w:t>供应商</w:t>
      </w:r>
      <w:r>
        <w:rPr>
          <w:rFonts w:hint="eastAsia" w:ascii="宋体" w:hAnsi="宋体"/>
          <w:color w:val="auto"/>
          <w:szCs w:val="21"/>
          <w:highlight w:val="none"/>
        </w:rPr>
        <w:t>具备</w:t>
      </w:r>
      <w:bookmarkStart w:id="43" w:name="OLE_LINK10"/>
      <w:bookmarkStart w:id="44" w:name="OLE_LINK11"/>
      <w:bookmarkStart w:id="45" w:name="OLE_LINK12"/>
      <w:r>
        <w:rPr>
          <w:rFonts w:hint="eastAsia" w:ascii="宋体" w:hAnsi="宋体"/>
          <w:color w:val="auto"/>
          <w:szCs w:val="21"/>
          <w:highlight w:val="none"/>
        </w:rPr>
        <w:t>建筑</w:t>
      </w:r>
      <w:bookmarkEnd w:id="43"/>
      <w:r>
        <w:rPr>
          <w:rFonts w:hint="eastAsia" w:ascii="宋体" w:hAnsi="宋体"/>
          <w:color w:val="auto"/>
          <w:szCs w:val="21"/>
          <w:highlight w:val="none"/>
        </w:rPr>
        <w:t>工程施工总承包</w:t>
      </w:r>
      <w:bookmarkEnd w:id="44"/>
      <w:bookmarkEnd w:id="45"/>
      <w:r>
        <w:rPr>
          <w:rFonts w:hint="eastAsia" w:ascii="宋体" w:hAnsi="宋体"/>
          <w:color w:val="auto"/>
          <w:szCs w:val="21"/>
          <w:highlight w:val="none"/>
        </w:rPr>
        <w:t>三级及以上资质，具有省级及以上建设行政主管部门颁发的安全生产许可证</w:t>
      </w:r>
      <w:bookmarkEnd w:id="42"/>
      <w:r>
        <w:rPr>
          <w:rFonts w:hint="eastAsia" w:ascii="宋体" w:hAnsi="宋体"/>
          <w:color w:val="auto"/>
          <w:szCs w:val="21"/>
          <w:highlight w:val="none"/>
        </w:rPr>
        <w:t>；6分标、7分标：</w:t>
      </w:r>
      <w:r>
        <w:rPr>
          <w:rFonts w:hint="eastAsia" w:ascii="宋体" w:hAnsi="宋体"/>
          <w:color w:val="auto"/>
          <w:szCs w:val="21"/>
          <w:highlight w:val="none"/>
          <w:lang w:eastAsia="zh-CN"/>
        </w:rPr>
        <w:t>供应商</w:t>
      </w:r>
      <w:r>
        <w:rPr>
          <w:rFonts w:hint="eastAsia" w:ascii="宋体" w:hAnsi="宋体"/>
          <w:color w:val="auto"/>
          <w:szCs w:val="21"/>
          <w:highlight w:val="none"/>
        </w:rPr>
        <w:t>具备</w:t>
      </w:r>
      <w:bookmarkStart w:id="46" w:name="OLE_LINK13"/>
      <w:r>
        <w:rPr>
          <w:rFonts w:hint="eastAsia" w:ascii="宋体" w:hAnsi="宋体"/>
          <w:color w:val="auto"/>
          <w:szCs w:val="21"/>
          <w:highlight w:val="none"/>
        </w:rPr>
        <w:t>工程设计建筑行业</w:t>
      </w:r>
      <w:bookmarkEnd w:id="46"/>
      <w:r>
        <w:rPr>
          <w:rFonts w:hint="eastAsia" w:ascii="宋体" w:hAnsi="宋体"/>
          <w:color w:val="auto"/>
          <w:szCs w:val="21"/>
          <w:highlight w:val="none"/>
        </w:rPr>
        <w:t>乙级及以上资质或工程设计建筑行业(建筑工程)专业乙级及以上资质或工程设计综合甲级资质；8分标：</w:t>
      </w:r>
      <w:r>
        <w:rPr>
          <w:rFonts w:hint="eastAsia" w:ascii="宋体" w:hAnsi="宋体"/>
          <w:color w:val="auto"/>
          <w:szCs w:val="21"/>
          <w:highlight w:val="none"/>
          <w:lang w:eastAsia="zh-CN"/>
        </w:rPr>
        <w:t>供应商</w:t>
      </w:r>
      <w:r>
        <w:rPr>
          <w:rFonts w:hint="eastAsia" w:ascii="宋体" w:hAnsi="宋体"/>
          <w:color w:val="auto"/>
          <w:szCs w:val="21"/>
          <w:highlight w:val="none"/>
        </w:rPr>
        <w:t>具备</w:t>
      </w:r>
      <w:bookmarkStart w:id="47" w:name="OLE_LINK15"/>
      <w:r>
        <w:rPr>
          <w:rFonts w:hint="eastAsia" w:ascii="宋体" w:hAnsi="宋体"/>
          <w:color w:val="auto"/>
          <w:szCs w:val="21"/>
          <w:highlight w:val="none"/>
        </w:rPr>
        <w:t>工程监理综合资质</w:t>
      </w:r>
      <w:bookmarkEnd w:id="47"/>
      <w:r>
        <w:rPr>
          <w:rFonts w:hint="eastAsia" w:ascii="宋体" w:hAnsi="宋体"/>
          <w:color w:val="auto"/>
          <w:szCs w:val="21"/>
          <w:highlight w:val="none"/>
        </w:rPr>
        <w:t>或者</w:t>
      </w:r>
      <w:bookmarkStart w:id="48" w:name="OLE_LINK16"/>
      <w:r>
        <w:rPr>
          <w:rFonts w:hint="eastAsia" w:ascii="宋体" w:hAnsi="宋体"/>
          <w:color w:val="auto"/>
          <w:szCs w:val="21"/>
          <w:highlight w:val="none"/>
        </w:rPr>
        <w:t>房屋建筑工程监理</w:t>
      </w:r>
      <w:bookmarkEnd w:id="48"/>
      <w:r>
        <w:rPr>
          <w:rFonts w:hint="eastAsia" w:ascii="宋体" w:hAnsi="宋体"/>
          <w:color w:val="auto"/>
          <w:szCs w:val="21"/>
          <w:highlight w:val="none"/>
        </w:rPr>
        <w:t>乙级及以上</w:t>
      </w:r>
      <w:bookmarkStart w:id="49" w:name="OLE_LINK14"/>
      <w:r>
        <w:rPr>
          <w:rFonts w:hint="eastAsia" w:ascii="宋体" w:hAnsi="宋体"/>
          <w:color w:val="auto"/>
          <w:szCs w:val="21"/>
          <w:highlight w:val="none"/>
        </w:rPr>
        <w:t>资质</w:t>
      </w:r>
      <w:bookmarkEnd w:id="49"/>
      <w:r>
        <w:rPr>
          <w:rFonts w:hint="eastAsia" w:ascii="宋体" w:hAnsi="宋体"/>
          <w:color w:val="auto"/>
          <w:szCs w:val="21"/>
          <w:highlight w:val="none"/>
        </w:rPr>
        <w:t>。</w:t>
      </w:r>
    </w:p>
    <w:p>
      <w:pPr>
        <w:spacing w:line="360" w:lineRule="auto"/>
        <w:ind w:firstLine="482"/>
        <w:rPr>
          <w:rFonts w:hint="eastAsia" w:ascii="黑体" w:hAnsi="黑体" w:eastAsia="黑体"/>
          <w:b/>
          <w:bCs/>
          <w:color w:val="auto"/>
          <w:sz w:val="24"/>
          <w:highlight w:val="none"/>
        </w:rPr>
      </w:pPr>
      <w:bookmarkStart w:id="50" w:name="_Toc35393623"/>
      <w:bookmarkStart w:id="51" w:name="_Toc35393792"/>
      <w:r>
        <w:rPr>
          <w:rFonts w:hint="eastAsia" w:ascii="黑体" w:hAnsi="黑体" w:eastAsia="黑体"/>
          <w:b/>
          <w:bCs/>
          <w:color w:val="auto"/>
          <w:sz w:val="24"/>
          <w:highlight w:val="none"/>
        </w:rPr>
        <w:t>三、获取招标文件</w:t>
      </w:r>
      <w:bookmarkEnd w:id="40"/>
      <w:bookmarkEnd w:id="41"/>
      <w:bookmarkEnd w:id="50"/>
      <w:bookmarkEnd w:id="51"/>
    </w:p>
    <w:p>
      <w:pPr>
        <w:snapToGrid w:val="0"/>
        <w:spacing w:line="360" w:lineRule="auto"/>
        <w:ind w:firstLine="472" w:firstLineChars="225"/>
        <w:rPr>
          <w:rFonts w:hint="eastAsia" w:ascii="宋体" w:hAnsi="宋体"/>
          <w:color w:val="auto"/>
          <w:szCs w:val="21"/>
          <w:highlight w:val="none"/>
        </w:rPr>
      </w:pPr>
      <w:bookmarkStart w:id="52" w:name="_Toc28359082"/>
      <w:bookmarkStart w:id="53" w:name="_Toc28359005"/>
      <w:bookmarkStart w:id="54" w:name="_Toc35393624"/>
      <w:bookmarkStart w:id="55" w:name="_Toc35393793"/>
      <w:r>
        <w:rPr>
          <w:rFonts w:hint="eastAsia" w:ascii="宋体" w:hAnsi="宋体"/>
          <w:color w:val="auto"/>
          <w:szCs w:val="21"/>
          <w:highlight w:val="none"/>
        </w:rPr>
        <w:t>时间：</w:t>
      </w:r>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 xml:space="preserve"> 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 xml:space="preserve"> 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w:t>
      </w:r>
      <w:r>
        <w:rPr>
          <w:rFonts w:hint="eastAsia" w:ascii="宋体" w:hAnsi="宋体" w:cs="宋体"/>
          <w:bCs/>
          <w:color w:val="auto"/>
          <w:kern w:val="0"/>
          <w:szCs w:val="21"/>
          <w:highlight w:val="none"/>
        </w:rPr>
        <w:t>，</w:t>
      </w:r>
      <w:r>
        <w:rPr>
          <w:rFonts w:hint="eastAsia" w:ascii="宋体" w:hAnsi="宋体"/>
          <w:color w:val="auto"/>
          <w:szCs w:val="21"/>
          <w:highlight w:val="none"/>
        </w:rPr>
        <w:t>每天上午00:00至11:59，下午12:00至23:59（北京时间，法定节假日除外）。</w:t>
      </w:r>
    </w:p>
    <w:p>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地点：</w:t>
      </w:r>
      <w:bookmarkStart w:id="56" w:name="OLE_LINK37"/>
      <w:r>
        <w:rPr>
          <w:rFonts w:hint="eastAsia" w:ascii="宋体" w:hAnsi="宋体" w:cs="宋体"/>
          <w:color w:val="auto"/>
          <w:szCs w:val="21"/>
          <w:highlight w:val="none"/>
        </w:rPr>
        <w:t>广西政府采购云平台（</w:t>
      </w:r>
      <w:r>
        <w:rPr>
          <w:rStyle w:val="26"/>
          <w:rFonts w:hint="eastAsia" w:ascii="宋体" w:hAnsi="宋体" w:cs="宋体"/>
          <w:b w:val="0"/>
          <w:bCs/>
          <w:color w:val="auto"/>
          <w:szCs w:val="21"/>
          <w:highlight w:val="none"/>
        </w:rPr>
        <w:t>https://www.gcy.zfcg.gxzf.gov.cn/</w:t>
      </w:r>
      <w:r>
        <w:rPr>
          <w:rFonts w:hint="eastAsia" w:ascii="宋体" w:hAnsi="宋体" w:cs="宋体"/>
          <w:color w:val="auto"/>
          <w:szCs w:val="21"/>
          <w:highlight w:val="none"/>
        </w:rPr>
        <w:t>）</w:t>
      </w:r>
      <w:bookmarkEnd w:id="56"/>
    </w:p>
    <w:p>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方式:</w:t>
      </w:r>
      <w:bookmarkStart w:id="57" w:name="OLE_LINK38"/>
      <w:r>
        <w:rPr>
          <w:rFonts w:hint="eastAsia" w:ascii="宋体" w:hAnsi="宋体"/>
          <w:color w:val="auto"/>
          <w:szCs w:val="21"/>
          <w:highlight w:val="none"/>
        </w:rPr>
        <w:t>网上下载。本项目不发放纸质文件，</w:t>
      </w:r>
      <w:r>
        <w:rPr>
          <w:rFonts w:hint="eastAsia" w:ascii="宋体" w:hAnsi="宋体" w:cs="宋体"/>
          <w:color w:val="auto"/>
          <w:szCs w:val="21"/>
          <w:highlight w:val="none"/>
        </w:rPr>
        <w:t>潜在投标人</w:t>
      </w:r>
      <w:r>
        <w:rPr>
          <w:rFonts w:hint="eastAsia" w:ascii="宋体" w:hAnsi="宋体"/>
          <w:color w:val="auto"/>
          <w:szCs w:val="21"/>
          <w:highlight w:val="none"/>
        </w:rPr>
        <w:t>可自行在</w:t>
      </w:r>
      <w:r>
        <w:rPr>
          <w:rFonts w:hint="eastAsia" w:ascii="宋体" w:hAnsi="宋体" w:cs="宋体"/>
          <w:color w:val="auto"/>
          <w:szCs w:val="21"/>
          <w:highlight w:val="none"/>
        </w:rPr>
        <w:t>广西政府采购云平台（</w:t>
      </w:r>
      <w:r>
        <w:rPr>
          <w:rStyle w:val="26"/>
          <w:rFonts w:hint="eastAsia" w:ascii="宋体" w:hAnsi="宋体" w:cs="宋体"/>
          <w:b w:val="0"/>
          <w:bCs/>
          <w:color w:val="auto"/>
          <w:szCs w:val="21"/>
          <w:highlight w:val="none"/>
        </w:rPr>
        <w:t>https://www.gcy.zfcg.gxzf.gov.cn/</w:t>
      </w:r>
      <w:r>
        <w:rPr>
          <w:rFonts w:hint="eastAsia" w:ascii="宋体" w:hAnsi="宋体" w:cs="宋体"/>
          <w:color w:val="auto"/>
          <w:szCs w:val="21"/>
          <w:highlight w:val="none"/>
        </w:rPr>
        <w:t>）</w:t>
      </w:r>
      <w:r>
        <w:rPr>
          <w:rFonts w:hint="eastAsia" w:ascii="宋体" w:hAnsi="宋体"/>
          <w:color w:val="auto"/>
          <w:szCs w:val="21"/>
          <w:highlight w:val="none"/>
        </w:rPr>
        <w:t>下载招标文件（操作路径：登录</w:t>
      </w:r>
      <w:r>
        <w:rPr>
          <w:rFonts w:hint="eastAsia" w:ascii="宋体" w:hAnsi="宋体" w:cs="宋体"/>
          <w:color w:val="auto"/>
          <w:szCs w:val="21"/>
          <w:highlight w:val="none"/>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rPr>
        <w:t>广西政府采购云平台</w:t>
      </w:r>
      <w:r>
        <w:rPr>
          <w:rFonts w:hint="eastAsia" w:ascii="宋体" w:hAnsi="宋体"/>
          <w:color w:val="auto"/>
          <w:szCs w:val="21"/>
          <w:highlight w:val="none"/>
        </w:rPr>
        <w:t>获取的招标文件编制。</w:t>
      </w:r>
      <w:bookmarkEnd w:id="57"/>
    </w:p>
    <w:p>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售价：</w:t>
      </w:r>
      <w:r>
        <w:rPr>
          <w:rFonts w:hint="eastAsia" w:ascii="宋体" w:hAnsi="宋体" w:cs="宋体"/>
          <w:color w:val="auto"/>
          <w:szCs w:val="21"/>
          <w:highlight w:val="none"/>
        </w:rPr>
        <w:t>人民币0元</w:t>
      </w:r>
    </w:p>
    <w:p>
      <w:pPr>
        <w:spacing w:line="360" w:lineRule="auto"/>
        <w:ind w:firstLine="482"/>
        <w:rPr>
          <w:rFonts w:hint="eastAsia"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52"/>
      <w:bookmarkEnd w:id="53"/>
      <w:r>
        <w:rPr>
          <w:rFonts w:hint="eastAsia" w:ascii="黑体" w:hAnsi="黑体" w:eastAsia="黑体"/>
          <w:b/>
          <w:bCs/>
          <w:color w:val="auto"/>
          <w:sz w:val="24"/>
          <w:highlight w:val="none"/>
        </w:rPr>
        <w:t>截止时间、开标时间和地点</w:t>
      </w:r>
      <w:bookmarkEnd w:id="54"/>
      <w:bookmarkEnd w:id="55"/>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提交投标文件截止时间：</w:t>
      </w:r>
      <w:r>
        <w:rPr>
          <w:rFonts w:hint="eastAsia" w:ascii="宋体" w:hAnsi="宋体" w:cs="宋体"/>
          <w:color w:val="auto"/>
          <w:szCs w:val="21"/>
          <w:highlight w:val="none"/>
          <w:u w:val="single"/>
        </w:rPr>
        <w:t>2025 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bCs/>
          <w:color w:val="auto"/>
          <w:szCs w:val="21"/>
          <w:highlight w:val="none"/>
        </w:rPr>
        <w:t xml:space="preserve"> 09:30:00（北京时间）</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投标地点（网址）：</w:t>
      </w:r>
      <w:bookmarkStart w:id="58" w:name="OLE_LINK53"/>
      <w:r>
        <w:rPr>
          <w:rFonts w:hint="eastAsia" w:ascii="宋体" w:hAnsi="宋体"/>
          <w:bCs/>
          <w:color w:val="auto"/>
          <w:szCs w:val="21"/>
          <w:highlight w:val="none"/>
        </w:rPr>
        <w:t>广西政府采购云平台（https://www.gcy.zfcg.gxzf.gov.cn/）</w:t>
      </w:r>
      <w:bookmarkEnd w:id="58"/>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cs="宋体"/>
          <w:color w:val="auto"/>
          <w:szCs w:val="21"/>
          <w:highlight w:val="none"/>
          <w:u w:val="single"/>
        </w:rPr>
        <w:t>2025 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bCs/>
          <w:color w:val="auto"/>
          <w:szCs w:val="21"/>
          <w:highlight w:val="none"/>
        </w:rPr>
        <w:t>09:30:00（北京时间）</w:t>
      </w:r>
    </w:p>
    <w:p>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开标地点：</w:t>
      </w:r>
      <w:bookmarkStart w:id="59" w:name="OLE_LINK54"/>
      <w:r>
        <w:rPr>
          <w:rFonts w:hint="eastAsia" w:ascii="宋体" w:hAnsi="宋体"/>
          <w:bCs/>
          <w:color w:val="auto"/>
          <w:szCs w:val="21"/>
          <w:highlight w:val="none"/>
        </w:rPr>
        <w:t>广西政府采购云平台电子开标大厅</w:t>
      </w:r>
      <w:bookmarkEnd w:id="59"/>
      <w:r>
        <w:rPr>
          <w:rFonts w:hint="eastAsia" w:ascii="宋体" w:hAnsi="宋体" w:cs="宋体"/>
          <w:color w:val="auto"/>
          <w:szCs w:val="21"/>
          <w:highlight w:val="none"/>
        </w:rPr>
        <w:t>：</w:t>
      </w:r>
    </w:p>
    <w:p>
      <w:pPr>
        <w:spacing w:line="360" w:lineRule="auto"/>
        <w:ind w:firstLine="482"/>
        <w:rPr>
          <w:rFonts w:hint="eastAsia" w:ascii="黑体" w:hAnsi="黑体" w:eastAsia="黑体"/>
          <w:b/>
          <w:bCs/>
          <w:color w:val="auto"/>
          <w:sz w:val="24"/>
          <w:highlight w:val="none"/>
        </w:rPr>
      </w:pPr>
      <w:bookmarkStart w:id="60" w:name="_Toc28359007"/>
      <w:bookmarkStart w:id="61" w:name="_Toc28359084"/>
      <w:bookmarkStart w:id="62" w:name="_Toc35393625"/>
      <w:bookmarkStart w:id="63" w:name="_Toc35393794"/>
      <w:r>
        <w:rPr>
          <w:rFonts w:hint="eastAsia" w:ascii="黑体" w:hAnsi="黑体" w:eastAsia="黑体"/>
          <w:b/>
          <w:bCs/>
          <w:color w:val="auto"/>
          <w:sz w:val="24"/>
          <w:highlight w:val="none"/>
        </w:rPr>
        <w:t>五、公告期限</w:t>
      </w:r>
      <w:bookmarkEnd w:id="60"/>
      <w:bookmarkEnd w:id="61"/>
      <w:bookmarkEnd w:id="62"/>
      <w:bookmarkEnd w:id="63"/>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ind w:firstLine="482"/>
        <w:rPr>
          <w:rFonts w:hint="eastAsia" w:ascii="黑体" w:hAnsi="黑体" w:eastAsia="黑体"/>
          <w:b/>
          <w:bCs/>
          <w:color w:val="auto"/>
          <w:sz w:val="24"/>
          <w:highlight w:val="none"/>
        </w:rPr>
      </w:pPr>
      <w:bookmarkStart w:id="64" w:name="_Toc35393795"/>
      <w:bookmarkStart w:id="65" w:name="_Toc35393626"/>
      <w:r>
        <w:rPr>
          <w:rFonts w:hint="eastAsia" w:ascii="黑体" w:hAnsi="黑体" w:eastAsia="黑体"/>
          <w:b/>
          <w:bCs/>
          <w:color w:val="auto"/>
          <w:sz w:val="24"/>
          <w:highlight w:val="none"/>
        </w:rPr>
        <w:t>六、其他补充事宜</w:t>
      </w:r>
      <w:bookmarkEnd w:id="64"/>
      <w:bookmarkEnd w:id="65"/>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投标保证金，相关要求：</w:t>
      </w:r>
    </w:p>
    <w:p>
      <w:pPr>
        <w:pStyle w:val="43"/>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rPr>
        <w:t>1分标：¥50000.00、2分标：¥50000.00、3分标：¥40000、4分标：¥40000.00、5分标：¥40000.00、6分标：¥6000.00、7分标：¥6000.00、8分标：¥3000.00.</w:t>
      </w:r>
    </w:p>
    <w:p>
      <w:pPr>
        <w:pStyle w:val="43"/>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的，在投标截止时间前交至采购代理机构指定账户并且到账。缴纳投标保证金指定账户的信息：</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开户银行：招商银行南宁市金浦路支行</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pStyle w:val="43"/>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p>
    <w:p>
      <w:pPr>
        <w:pStyle w:val="43"/>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1分标：7719011969103333000009120</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2分标：7719011969103333000009121</w:t>
      </w:r>
    </w:p>
    <w:p>
      <w:pPr>
        <w:spacing w:line="360" w:lineRule="auto"/>
        <w:ind w:left="0" w:leftChars="0"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3分标：7719011969103333000009122</w:t>
      </w:r>
    </w:p>
    <w:p>
      <w:pPr>
        <w:pStyle w:val="43"/>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4分标：7719011969103333000009123</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5分标：7719011969103333000009124</w:t>
      </w:r>
    </w:p>
    <w:p>
      <w:pPr>
        <w:pStyle w:val="43"/>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6分标：7719011969103333000009125</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7分标：7719011969103333000009126</w:t>
      </w:r>
    </w:p>
    <w:p>
      <w:pPr>
        <w:spacing w:line="360" w:lineRule="auto"/>
        <w:ind w:left="0" w:leftChars="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8分标：</w:t>
      </w:r>
      <w:bookmarkStart w:id="66" w:name="OLE_LINK55"/>
      <w:r>
        <w:rPr>
          <w:rFonts w:hint="eastAsia" w:ascii="宋体" w:hAnsi="宋体" w:cs="宋体"/>
          <w:color w:val="auto"/>
          <w:kern w:val="0"/>
          <w:szCs w:val="21"/>
          <w:highlight w:val="none"/>
        </w:rPr>
        <w:t>7719011969103333000009127</w:t>
      </w:r>
      <w:bookmarkEnd w:id="66"/>
    </w:p>
    <w:p>
      <w:pPr>
        <w:pStyle w:val="43"/>
        <w:spacing w:line="360" w:lineRule="auto"/>
        <w:ind w:left="0" w:leftChars="0" w:firstLine="420" w:firstLineChars="200"/>
        <w:rPr>
          <w:rFonts w:hint="eastAsia" w:ascii="宋体" w:hAnsi="宋体" w:cs="宋体"/>
          <w:color w:val="auto"/>
          <w:highlight w:val="none"/>
        </w:rPr>
      </w:pPr>
      <w:r>
        <w:rPr>
          <w:rFonts w:hint="eastAsia" w:ascii="宋体" w:hAnsi="宋体" w:cs="宋体"/>
          <w:color w:val="auto"/>
          <w:kern w:val="0"/>
          <w:szCs w:val="21"/>
          <w:highlight w:val="none"/>
        </w:rPr>
        <w:t>采用支票、汇票、本票或者保函等方式的，</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http://www.ccgp-guangxi.gov.cn/ (中国政府采购网广西分网)、http://ggzy.jgswj.gxzf.gov.cn/gxggzy/（全国公共资源交易平台（广西壮族自治区））</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line="360" w:lineRule="auto"/>
        <w:ind w:firstLine="316" w:firstLineChars="150"/>
        <w:rPr>
          <w:rFonts w:hint="eastAsia"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（1）投标文件提交方式：本项目为全流程电子化项目，通过</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实行在线电子投标，供应商应先安装</w:t>
      </w:r>
      <w:r>
        <w:rPr>
          <w:rFonts w:hint="eastAsia" w:ascii="宋体" w:hAnsi="宋体" w:cs="宋体"/>
          <w:color w:val="auto"/>
          <w:szCs w:val="21"/>
          <w:highlight w:val="none"/>
        </w:rPr>
        <w:t>广西政府采购云平台新版客户端（新版客户端下载路径：广西政府采购网（访问地址http://zfcg.gxzf.gov.cn/）—办事服务—下载专区）</w:t>
      </w:r>
      <w:r>
        <w:rPr>
          <w:rFonts w:hint="eastAsia" w:ascii="宋体" w:hAnsi="宋体"/>
          <w:color w:val="auto"/>
          <w:szCs w:val="21"/>
          <w:highlight w:val="none"/>
        </w:rPr>
        <w:t>，并按照本项目招标文件和</w:t>
      </w:r>
      <w:r>
        <w:rPr>
          <w:rFonts w:hint="eastAsia" w:ascii="宋体" w:hAnsi="宋体" w:cs="宋体"/>
          <w:color w:val="auto"/>
          <w:szCs w:val="21"/>
          <w:highlight w:val="none"/>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w:t>
      </w:r>
      <w:r>
        <w:rPr>
          <w:rFonts w:hint="eastAsia" w:ascii="宋体" w:hAnsi="宋体"/>
          <w:b/>
          <w:bCs/>
          <w:color w:val="auto"/>
          <w:szCs w:val="21"/>
          <w:highlight w:val="none"/>
        </w:rPr>
        <w:t>投标人在</w:t>
      </w:r>
      <w:r>
        <w:rPr>
          <w:rFonts w:hint="eastAsia" w:ascii="宋体" w:hAnsi="宋体" w:cs="宋体"/>
          <w:color w:val="auto"/>
          <w:szCs w:val="21"/>
          <w:highlight w:val="none"/>
        </w:rPr>
        <w:t>广西政府采购云平台</w:t>
      </w:r>
      <w:r>
        <w:rPr>
          <w:rFonts w:hint="eastAsia" w:ascii="宋体" w:hAnsi="宋体"/>
          <w:b/>
          <w:bCs/>
          <w:color w:val="auto"/>
          <w:szCs w:val="21"/>
          <w:highlight w:val="none"/>
        </w:rPr>
        <w:t>提交电子版投标文件时，请填写参加远程开标活动经办人联系方式</w:t>
      </w:r>
      <w:r>
        <w:rPr>
          <w:rFonts w:hint="eastAsia" w:ascii="宋体" w:hAnsi="宋体"/>
          <w:color w:val="auto"/>
          <w:szCs w:val="21"/>
          <w:highlight w:val="none"/>
        </w:rPr>
        <w:t>。</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szCs w:val="21"/>
          <w:highlight w:val="none"/>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服务热线95763获取热线服务帮助。</w:t>
      </w:r>
    </w:p>
    <w:p>
      <w:pPr>
        <w:spacing w:line="360" w:lineRule="auto"/>
        <w:ind w:firstLine="482"/>
        <w:rPr>
          <w:rFonts w:hint="eastAsia" w:ascii="黑体" w:hAnsi="黑体" w:eastAsia="黑体"/>
          <w:b/>
          <w:bCs/>
          <w:color w:val="auto"/>
          <w:sz w:val="24"/>
          <w:highlight w:val="none"/>
        </w:rPr>
      </w:pPr>
      <w:bookmarkStart w:id="67" w:name="_Toc28359008"/>
      <w:bookmarkStart w:id="68" w:name="_Toc35393627"/>
      <w:bookmarkStart w:id="69" w:name="_Toc35393796"/>
      <w:bookmarkStart w:id="70" w:name="_Toc28359085"/>
      <w:r>
        <w:rPr>
          <w:rFonts w:hint="eastAsia" w:ascii="黑体" w:hAnsi="黑体" w:eastAsia="黑体"/>
          <w:b/>
          <w:bCs/>
          <w:color w:val="auto"/>
          <w:sz w:val="24"/>
          <w:highlight w:val="none"/>
        </w:rPr>
        <w:t>七、对本次招标提出询问，请按以下方式联系。</w:t>
      </w:r>
      <w:bookmarkEnd w:id="67"/>
      <w:bookmarkEnd w:id="68"/>
      <w:bookmarkEnd w:id="69"/>
      <w:bookmarkEnd w:id="70"/>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bookmarkStart w:id="71" w:name="OLE_LINK1"/>
      <w:r>
        <w:rPr>
          <w:rFonts w:hint="eastAsia" w:ascii="宋体" w:hAnsi="宋体" w:cs="宋体"/>
          <w:color w:val="auto"/>
          <w:kern w:val="0"/>
          <w:szCs w:val="21"/>
          <w:highlight w:val="none"/>
        </w:rPr>
        <w:t>广西医科大学</w:t>
      </w:r>
      <w:bookmarkEnd w:id="71"/>
      <w:r>
        <w:rPr>
          <w:rFonts w:hint="eastAsia" w:ascii="宋体" w:hAnsi="宋体" w:cs="宋体"/>
          <w:color w:val="auto"/>
          <w:kern w:val="0"/>
          <w:szCs w:val="21"/>
          <w:highlight w:val="none"/>
        </w:rPr>
        <w:t xml:space="preserve">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bookmarkStart w:id="72" w:name="OLE_LINK58"/>
      <w:r>
        <w:rPr>
          <w:rFonts w:hint="eastAsia"/>
          <w:color w:val="auto"/>
          <w:highlight w:val="none"/>
        </w:rPr>
        <w:t>广西南宁市青秀区双拥路22</w:t>
      </w:r>
      <w:bookmarkEnd w:id="72"/>
      <w:r>
        <w:rPr>
          <w:rFonts w:hint="eastAsia"/>
          <w:color w:val="auto"/>
          <w:highlight w:val="none"/>
        </w:rPr>
        <w:t>号</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项目联系人：吴智辉</w:t>
      </w:r>
      <w:bookmarkStart w:id="528" w:name="_GoBack"/>
      <w:bookmarkEnd w:id="528"/>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项目联系方式：</w:t>
      </w:r>
      <w:bookmarkStart w:id="73" w:name="OLE_LINK57"/>
      <w:r>
        <w:rPr>
          <w:rFonts w:hint="eastAsia" w:ascii="宋体" w:hAnsi="宋体" w:cs="宋体"/>
          <w:color w:val="auto"/>
          <w:kern w:val="0"/>
          <w:szCs w:val="21"/>
          <w:highlight w:val="none"/>
        </w:rPr>
        <w:t>0771-5330800</w:t>
      </w:r>
      <w:bookmarkEnd w:id="73"/>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360" w:lineRule="auto"/>
        <w:ind w:firstLine="420" w:firstLineChars="200"/>
        <w:rPr>
          <w:rFonts w:hint="eastAsia" w:ascii="宋体" w:hAnsi="宋体" w:cs="宋体"/>
          <w:color w:val="auto"/>
          <w:kern w:val="0"/>
          <w:szCs w:val="21"/>
          <w:highlight w:val="none"/>
        </w:rPr>
      </w:pPr>
      <w:bookmarkStart w:id="74" w:name="OLE_LINK8"/>
      <w:r>
        <w:rPr>
          <w:rFonts w:hint="eastAsia" w:ascii="宋体" w:hAnsi="宋体" w:cs="宋体"/>
          <w:color w:val="auto"/>
          <w:kern w:val="0"/>
          <w:szCs w:val="21"/>
          <w:highlight w:val="none"/>
        </w:rPr>
        <w:t>名称：广西科联招标中心有限公司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地址：广西南宁市大学东路170号</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项目联系人：李燕虹</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项目联系方式：0771-3486517</w:t>
      </w:r>
    </w:p>
    <w:bookmarkEnd w:id="74"/>
    <w:p>
      <w:pPr>
        <w:widowControl/>
        <w:spacing w:line="360" w:lineRule="auto"/>
        <w:ind w:firstLine="480"/>
        <w:jc w:val="left"/>
        <w:rPr>
          <w:rFonts w:hint="eastAsia" w:ascii="宋体" w:hAnsi="宋体" w:cs="宋体"/>
          <w:color w:val="auto"/>
          <w:sz w:val="24"/>
          <w:highlight w:val="none"/>
          <w:lang w:val="zh-CN"/>
        </w:rPr>
        <w:sectPr>
          <w:footerReference r:id="rId4" w:type="first"/>
          <w:footerReference r:id="rId3" w:type="default"/>
          <w:pgSz w:w="11905" w:h="16838"/>
          <w:pgMar w:top="1134" w:right="1134" w:bottom="1134" w:left="1134" w:header="850" w:footer="850" w:gutter="0"/>
          <w:pgNumType w:start="1"/>
          <w:cols w:space="0" w:num="1"/>
          <w:titlePg/>
          <w:docGrid w:linePitch="331" w:charSpace="0"/>
        </w:sectPr>
      </w:pPr>
    </w:p>
    <w:p>
      <w:pPr>
        <w:pStyle w:val="14"/>
        <w:ind w:firstLine="723"/>
        <w:jc w:val="center"/>
        <w:outlineLvl w:val="0"/>
        <w:rPr>
          <w:rFonts w:ascii="Times New Roman" w:hAnsi="Times New Roman"/>
          <w:b/>
          <w:color w:val="auto"/>
          <w:sz w:val="36"/>
          <w:highlight w:val="none"/>
        </w:rPr>
      </w:pPr>
      <w:bookmarkStart w:id="75" w:name="_Toc532545042"/>
      <w:bookmarkStart w:id="76" w:name="_Toc22408"/>
      <w:bookmarkStart w:id="77" w:name="_Toc32573"/>
      <w:bookmarkStart w:id="78" w:name="_Toc7686"/>
      <w:bookmarkStart w:id="79" w:name="_Toc17621"/>
      <w:bookmarkStart w:id="80" w:name="_Toc24210"/>
      <w:bookmarkStart w:id="81" w:name="_Toc28689"/>
      <w:bookmarkStart w:id="82" w:name="_Toc7337"/>
      <w:bookmarkStart w:id="83" w:name="_Toc21081"/>
      <w:bookmarkStart w:id="84" w:name="_Toc13449"/>
      <w:bookmarkStart w:id="85" w:name="_Toc937"/>
      <w:bookmarkStart w:id="86" w:name="_Toc4483"/>
      <w:bookmarkStart w:id="87" w:name="_Toc2299"/>
      <w:bookmarkStart w:id="88" w:name="_Toc8382"/>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75"/>
      <w:r>
        <w:rPr>
          <w:rFonts w:hint="eastAsia" w:ascii="Times New Roman" w:hAnsi="Times New Roman"/>
          <w:b/>
          <w:color w:val="auto"/>
          <w:sz w:val="36"/>
          <w:highlight w:val="none"/>
        </w:rPr>
        <w:t>采购需求</w:t>
      </w:r>
      <w:bookmarkEnd w:id="76"/>
      <w:bookmarkEnd w:id="77"/>
      <w:bookmarkEnd w:id="78"/>
      <w:bookmarkEnd w:id="79"/>
      <w:bookmarkEnd w:id="80"/>
      <w:bookmarkEnd w:id="81"/>
      <w:bookmarkEnd w:id="82"/>
      <w:bookmarkEnd w:id="83"/>
      <w:bookmarkEnd w:id="84"/>
      <w:bookmarkEnd w:id="85"/>
      <w:bookmarkEnd w:id="86"/>
      <w:bookmarkEnd w:id="87"/>
      <w:bookmarkEnd w:id="88"/>
    </w:p>
    <w:p>
      <w:pPr>
        <w:adjustRightInd w:val="0"/>
        <w:spacing w:line="340" w:lineRule="exact"/>
        <w:rPr>
          <w:rFonts w:hint="eastAsia" w:hAnsi="宋体"/>
          <w:b/>
          <w:color w:val="auto"/>
          <w:szCs w:val="21"/>
          <w:highlight w:val="none"/>
        </w:rPr>
      </w:pPr>
    </w:p>
    <w:p>
      <w:pPr>
        <w:adjustRightInd w:val="0"/>
        <w:spacing w:line="340" w:lineRule="exact"/>
        <w:ind w:firstLine="643"/>
        <w:jc w:val="center"/>
        <w:rPr>
          <w:rFonts w:hint="eastAsia" w:hAnsi="宋体"/>
          <w:b/>
          <w:color w:val="auto"/>
          <w:sz w:val="32"/>
          <w:szCs w:val="32"/>
          <w:highlight w:val="none"/>
        </w:rPr>
      </w:pPr>
    </w:p>
    <w:p>
      <w:pPr>
        <w:adjustRightInd w:val="0"/>
        <w:spacing w:line="340" w:lineRule="exact"/>
        <w:rPr>
          <w:rFonts w:hint="eastAsia"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5.投标人应对投标内容所涉及的专利承担法律责任，并负责保护采购人的利益不受任何损害。一切由于文字、商标、技术和软件专利授权引起的法律裁决、诉讼和赔偿费用均由中标人负责。</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 本项目为服务采购项目。</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1分标、2分标、3分标、4分标、5分标采购标的对应的中小企业划分标准所属行业名称：建筑业；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6分标、7分标、8分标采购标的对应的中小企业划分标准所属行业名称：其他未列明行业。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428" w:lineRule="exact"/>
        <w:ind w:left="119"/>
        <w:rPr>
          <w:rFonts w:hint="eastAsia" w:ascii="宋体" w:hAnsi="宋体" w:cs="宋体"/>
          <w:b/>
          <w:bCs/>
          <w:color w:val="auto"/>
          <w:highlight w:val="none"/>
        </w:rPr>
      </w:pPr>
      <w:r>
        <w:rPr>
          <w:rFonts w:hint="eastAsia"/>
          <w:b/>
          <w:bCs/>
          <w:color w:val="auto"/>
          <w:highlight w:val="none"/>
        </w:rPr>
        <w:t>1分标</w:t>
      </w:r>
      <w:bookmarkStart w:id="89" w:name="_Toc254970631"/>
      <w:bookmarkStart w:id="90" w:name="_Toc254970490"/>
      <w:r>
        <w:rPr>
          <w:rFonts w:hint="eastAsia"/>
          <w:b/>
          <w:bCs/>
          <w:color w:val="auto"/>
          <w:highlight w:val="none"/>
        </w:rPr>
        <w:t>：教学、科研、基础设施修缮服务</w:t>
      </w:r>
    </w:p>
    <w:bookmarkEnd w:id="89"/>
    <w:bookmarkEnd w:id="90"/>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1分标：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bookmarkStart w:id="91" w:name="OLE_LINK23"/>
            <w:r>
              <w:rPr>
                <w:rFonts w:hint="eastAsia" w:ascii="宋体" w:hAnsi="宋体" w:cs="宋体"/>
                <w:b/>
                <w:bCs/>
                <w:color w:val="auto"/>
                <w:kern w:val="0"/>
                <w:sz w:val="20"/>
                <w:szCs w:val="21"/>
                <w:highlight w:val="none"/>
              </w:rPr>
              <w:t>▲</w:t>
            </w:r>
            <w:bookmarkStart w:id="92" w:name="OLE_LINK50"/>
            <w:r>
              <w:rPr>
                <w:rFonts w:hint="eastAsia" w:ascii="宋体" w:hAnsi="宋体" w:cs="宋体"/>
                <w:b/>
                <w:bCs/>
                <w:color w:val="auto"/>
                <w:kern w:val="0"/>
                <w:szCs w:val="21"/>
                <w:highlight w:val="none"/>
              </w:rPr>
              <w:t>服务内容</w:t>
            </w:r>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color w:val="auto"/>
                <w:szCs w:val="21"/>
                <w:highlight w:val="none"/>
              </w:rPr>
              <w:t>教学、科研、基础设施修缮服务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bookmarkStart w:id="93" w:name="OLE_LINK64"/>
            <w:r>
              <w:rPr>
                <w:rFonts w:hint="eastAsia" w:ascii="宋体" w:hAnsi="宋体" w:cs="宋体"/>
                <w:bCs/>
                <w:color w:val="auto"/>
                <w:szCs w:val="21"/>
                <w:highlight w:val="none"/>
                <w:lang w:eastAsia="zh-CN"/>
              </w:rPr>
              <w:t>项</w:t>
            </w:r>
            <w:bookmarkEnd w:id="93"/>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color w:val="auto"/>
                <w:szCs w:val="21"/>
                <w:highlight w:val="none"/>
              </w:rPr>
              <w:t>教学、科研、基础设施</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不单列专项设计费、制图费、编制费，由服务单位自行解决该项成本）。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color w:val="auto"/>
                <w:highlight w:val="none"/>
              </w:rPr>
              <w:t xml:space="preserve"> </w:t>
            </w:r>
            <w:r>
              <w:rPr>
                <w:rFonts w:hint="eastAsia" w:ascii="宋体" w:hAnsi="宋体" w:cs="宋体"/>
                <w:bCs/>
                <w:color w:val="auto"/>
                <w:szCs w:val="21"/>
                <w:highlight w:val="none"/>
              </w:rPr>
              <w:t>合同有效期：自采购合同签订之日起2年。合同有效期内，</w:t>
            </w:r>
            <w:r>
              <w:rPr>
                <w:rFonts w:hint="eastAsia" w:ascii="宋体" w:hAnsi="宋体" w:cs="宋体"/>
                <w:bCs/>
                <w:color w:val="auto"/>
                <w:szCs w:val="21"/>
                <w:highlight w:val="none"/>
                <w:lang w:eastAsia="zh-CN"/>
              </w:rPr>
              <w:t>若由中标人负责修缮的项目的工程预算/控制价（由采购人负责编制）金额累计达到本分标预算金额的，本合同自动提前终止</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对于在合同有效期内已立项、但截至合同终止之日（含到期终止与提前终止）仍未完成的修缮项目，中标人在该项目的任务委托书约定的修缮服务期限内应负责继续修缮直至该项目验收合格。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w:t>
            </w:r>
            <w:r>
              <w:rPr>
                <w:rFonts w:hint="eastAsia" w:ascii="宋体" w:hAnsi="宋体" w:cs="宋体"/>
                <w:bCs/>
                <w:color w:val="auto"/>
                <w:szCs w:val="21"/>
                <w:highlight w:val="none"/>
              </w:rPr>
              <w:t>材料</w:t>
            </w:r>
            <w:r>
              <w:rPr>
                <w:rFonts w:ascii="宋体" w:hAnsi="宋体" w:cs="宋体"/>
                <w:bCs/>
                <w:color w:val="auto"/>
                <w:szCs w:val="21"/>
                <w:highlight w:val="none"/>
              </w:rPr>
              <w:t>员1名</w:t>
            </w:r>
            <w:r>
              <w:rPr>
                <w:rFonts w:hint="eastAsia" w:ascii="宋体" w:hAnsi="宋体" w:cs="宋体"/>
                <w:bCs/>
                <w:color w:val="auto"/>
                <w:szCs w:val="21"/>
                <w:highlight w:val="none"/>
              </w:rPr>
              <w:t>，</w:t>
            </w:r>
            <w:r>
              <w:rPr>
                <w:rFonts w:ascii="宋体" w:hAnsi="宋体" w:cs="宋体"/>
                <w:color w:val="auto"/>
                <w:highlight w:val="none"/>
              </w:rPr>
              <w:t>均须具备有效的相应施工现场专业人员职业培训合格证书</w:t>
            </w:r>
            <w:r>
              <w:rPr>
                <w:rFonts w:hint="eastAsia" w:ascii="宋体" w:hAnsi="宋体" w:cs="宋体"/>
                <w:bCs/>
                <w:color w:val="auto"/>
                <w:szCs w:val="21"/>
                <w:highlight w:val="none"/>
              </w:rPr>
              <w:t>；</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预算</w:t>
            </w:r>
            <w:r>
              <w:rPr>
                <w:rFonts w:ascii="宋体" w:hAnsi="宋体" w:cs="宋体"/>
                <w:bCs/>
                <w:color w:val="auto"/>
                <w:szCs w:val="21"/>
                <w:highlight w:val="none"/>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w:t>
            </w:r>
            <w:bookmarkStart w:id="94" w:name="OLE_LINK27"/>
            <w:r>
              <w:rPr>
                <w:rFonts w:ascii="宋体" w:hAnsi="宋体" w:cs="宋体"/>
                <w:bCs/>
                <w:color w:val="auto"/>
                <w:szCs w:val="21"/>
                <w:highlight w:val="none"/>
              </w:rPr>
              <w:t>零星修缮服务单位中标人</w:t>
            </w:r>
            <w:bookmarkEnd w:id="94"/>
            <w:r>
              <w:rPr>
                <w:rFonts w:ascii="宋体" w:hAnsi="宋体" w:cs="宋体"/>
                <w:bCs/>
                <w:color w:val="auto"/>
                <w:szCs w:val="21"/>
                <w:highlight w:val="none"/>
              </w:rPr>
              <w:t>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w:t>
            </w:r>
            <w:bookmarkStart w:id="95" w:name="OLE_LINK21"/>
            <w:bookmarkStart w:id="96" w:name="OLE_LINK22"/>
            <w:r>
              <w:rPr>
                <w:rFonts w:hint="eastAsia" w:ascii="宋体" w:hAnsi="宋体" w:cs="宋体"/>
                <w:color w:val="auto"/>
                <w:highlight w:val="none"/>
              </w:rPr>
              <w:t>本行政区域</w:t>
            </w:r>
            <w:bookmarkEnd w:id="95"/>
            <w:bookmarkEnd w:id="96"/>
            <w:r>
              <w:rPr>
                <w:rFonts w:hint="eastAsia" w:ascii="宋体" w:hAnsi="宋体" w:cs="宋体"/>
                <w:color w:val="auto"/>
                <w:highlight w:val="none"/>
              </w:rPr>
              <w:t>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eastAsia="宋体" w:cs="宋体"/>
                <w:b/>
                <w:color w:val="auto"/>
                <w:szCs w:val="21"/>
                <w:highlight w:val="none"/>
                <w:lang w:eastAsia="zh-CN"/>
              </w:rPr>
            </w:pPr>
            <w:r>
              <w:rPr>
                <w:rFonts w:hint="eastAsia" w:ascii="宋体" w:hAnsi="宋体" w:cs="宋体"/>
                <w:b/>
                <w:bCs/>
                <w:color w:val="auto"/>
                <w:kern w:val="0"/>
                <w:sz w:val="20"/>
                <w:szCs w:val="21"/>
                <w:highlight w:val="none"/>
              </w:rPr>
              <w:t>▲</w:t>
            </w:r>
            <w:r>
              <w:rPr>
                <w:rFonts w:hint="eastAsia" w:ascii="宋体" w:hAnsi="宋体" w:cs="宋体"/>
                <w:b/>
                <w:bCs/>
                <w:color w:val="auto"/>
                <w:kern w:val="0"/>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6"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合同签订时间</w:t>
            </w:r>
          </w:p>
        </w:tc>
        <w:tc>
          <w:tcPr>
            <w:tcW w:w="8155"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3.本分标采购预算金额为520万元，采购人不承诺业务量，投标人自行考虑风险进行报价。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adjustRightInd w:val="0"/>
              <w:spacing w:line="360" w:lineRule="auto"/>
              <w:ind w:firstLine="404" w:firstLineChars="200"/>
              <w:jc w:val="both"/>
              <w:rPr>
                <w:color w:val="auto"/>
                <w:highlight w:val="none"/>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adjustRightInd w:val="0"/>
              <w:spacing w:line="360" w:lineRule="auto"/>
              <w:ind w:firstLine="404" w:firstLineChars="200"/>
              <w:jc w:val="both"/>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bookmarkStart w:id="97" w:name="OLE_LINK4" w:colFirst="0" w:colLast="1"/>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w:t>
            </w:r>
            <w:r>
              <w:rPr>
                <w:rFonts w:hint="eastAsia" w:ascii="宋体" w:hAnsi="宋体" w:cs="宋体"/>
                <w:b/>
                <w:bCs w:val="0"/>
                <w:color w:val="auto"/>
                <w:szCs w:val="21"/>
                <w:highlight w:val="none"/>
              </w:rPr>
              <w:t>校内全费用综合单价目录” （</w:t>
            </w:r>
            <w:r>
              <w:rPr>
                <w:rFonts w:hint="eastAsia" w:ascii="宋体" w:hAnsi="宋体" w:cs="宋体"/>
                <w:b/>
                <w:color w:val="auto"/>
                <w:szCs w:val="21"/>
                <w:highlight w:val="none"/>
              </w:rPr>
              <w:t>以下简</w:t>
            </w:r>
            <w:r>
              <w:rPr>
                <w:rFonts w:hint="eastAsia" w:ascii="宋体" w:hAnsi="宋体" w:cs="宋体"/>
                <w:b/>
                <w:bCs w:val="0"/>
                <w:color w:val="auto"/>
                <w:szCs w:val="21"/>
                <w:highlight w:val="none"/>
              </w:rPr>
              <w:t>称“</w:t>
            </w:r>
            <w:r>
              <w:rPr>
                <w:rFonts w:hint="eastAsia" w:ascii="宋体" w:hAnsi="宋体" w:cs="宋体"/>
                <w:b/>
                <w:color w:val="auto"/>
                <w:szCs w:val="21"/>
                <w:highlight w:val="none"/>
              </w:rPr>
              <w:t>甲定</w:t>
            </w:r>
            <w:r>
              <w:rPr>
                <w:rFonts w:hint="eastAsia" w:ascii="宋体" w:hAnsi="宋体" w:cs="宋体"/>
                <w:b/>
                <w:bCs w:val="0"/>
                <w:color w:val="auto"/>
                <w:szCs w:val="21"/>
                <w:highlight w:val="none"/>
              </w:rPr>
              <w:t>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bookmarkStart w:id="98" w:name="OLE_LINK5"/>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bookmarkEnd w:id="98"/>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4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bookmarkEnd w:id="9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3.中标人</w:t>
            </w:r>
            <w:r>
              <w:rPr>
                <w:rFonts w:hint="eastAsia" w:ascii="宋体" w:hAnsi="宋体" w:cs="宋体"/>
                <w:color w:val="auto"/>
                <w:szCs w:val="21"/>
                <w:highlight w:val="none"/>
                <w:lang w:val="zh-CN" w:bidi="zh-CN"/>
              </w:rPr>
              <w:t>需提供真实、有效、合法的正式发票，如提供虚假发票的，采购人有权解除合同，</w:t>
            </w:r>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除须向采购人补开合法发票外，还须向采购人支付与发票票面金额等额的违约金</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20"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w:t>
            </w:r>
            <w:bookmarkStart w:id="99" w:name="OLE_LINK41"/>
            <w:r>
              <w:rPr>
                <w:rFonts w:hint="eastAsia" w:ascii="宋体" w:hAnsi="宋体" w:cs="宋体"/>
                <w:b/>
                <w:color w:val="auto"/>
                <w:szCs w:val="21"/>
                <w:highlight w:val="none"/>
              </w:rPr>
              <w:t>目评标/中标顺序为</w:t>
            </w:r>
            <w:bookmarkEnd w:id="99"/>
            <w:r>
              <w:rPr>
                <w:rFonts w:hint="eastAsia" w:ascii="宋体" w:hAnsi="宋体" w:cs="宋体"/>
                <w:b/>
                <w:color w:val="auto"/>
                <w:szCs w:val="21"/>
                <w:highlight w:val="none"/>
              </w:rPr>
              <w:t>1分标→2分标→3分标→4分标→5分标→6分标→7分标→8分标（即首先确定标1分标的中标人，然后再确定2分标的中标人，然后再确定3分标的中标人，以此类推），各分标应为不同的中标人。</w:t>
            </w:r>
            <w:bookmarkStart w:id="100" w:name="OLE_LINK7"/>
            <w:r>
              <w:rPr>
                <w:rFonts w:hint="eastAsia" w:ascii="宋体" w:hAnsi="宋体" w:cs="宋体"/>
                <w:b/>
                <w:color w:val="auto"/>
                <w:szCs w:val="21"/>
                <w:highlight w:val="none"/>
              </w:rPr>
              <w:t>当某投标人在之前分标排名第一的，之后分标自动失去中标人推荐资格</w:t>
            </w:r>
            <w:bookmarkEnd w:id="100"/>
            <w:r>
              <w:rPr>
                <w:rFonts w:hint="eastAsia" w:ascii="宋体" w:hAnsi="宋体" w:cs="宋体"/>
                <w:b/>
                <w:color w:val="auto"/>
                <w:szCs w:val="21"/>
                <w:highlight w:val="none"/>
              </w:rPr>
              <w:t>。各分标应为不同的中标人，但按照以上评标/中标顺序确认中标人后，仍存在某分标的中标人相同的情形的，后评审的分标做废标处理。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2分标：学生、教工生活用房及校园环境修缮服务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2分标：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学生、教工生活用房及校园环境修缮服务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学生、教工生活用房及校园环境</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w:t>
            </w:r>
            <w:bookmarkStart w:id="101" w:name="OLE_LINK32"/>
            <w:r>
              <w:rPr>
                <w:rFonts w:ascii="宋体" w:hAnsi="宋体" w:cs="宋体"/>
                <w:bCs/>
                <w:color w:val="auto"/>
                <w:szCs w:val="21"/>
                <w:highlight w:val="none"/>
              </w:rPr>
              <w:t>由</w:t>
            </w:r>
            <w:bookmarkStart w:id="102" w:name="OLE_LINK31"/>
            <w:r>
              <w:rPr>
                <w:rFonts w:ascii="宋体" w:hAnsi="宋体" w:cs="宋体"/>
                <w:bCs/>
                <w:color w:val="auto"/>
                <w:szCs w:val="21"/>
                <w:highlight w:val="none"/>
              </w:rPr>
              <w:t>投标人</w:t>
            </w:r>
            <w:bookmarkEnd w:id="102"/>
            <w:r>
              <w:rPr>
                <w:rFonts w:ascii="宋体" w:hAnsi="宋体" w:cs="宋体"/>
                <w:bCs/>
                <w:color w:val="auto"/>
                <w:szCs w:val="21"/>
                <w:highlight w:val="none"/>
              </w:rPr>
              <w:t>自行解决该项成</w:t>
            </w:r>
            <w:bookmarkEnd w:id="101"/>
            <w:r>
              <w:rPr>
                <w:rFonts w:ascii="宋体" w:hAnsi="宋体" w:cs="宋体"/>
                <w:bCs/>
                <w:color w:val="auto"/>
                <w:szCs w:val="21"/>
                <w:highlight w:val="none"/>
              </w:rPr>
              <w:t>本</w:t>
            </w:r>
            <w:r>
              <w:rPr>
                <w:rFonts w:hint="eastAsia" w:ascii="宋体" w:hAnsi="宋体" w:cs="宋体"/>
                <w:bCs/>
                <w:color w:val="auto"/>
                <w:szCs w:val="21"/>
                <w:highlight w:val="none"/>
              </w:rPr>
              <w:t>）</w:t>
            </w:r>
            <w:r>
              <w:rPr>
                <w:rFonts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hAnsi="宋体" w:cs="宋体"/>
                <w:color w:val="auto"/>
                <w:spacing w:val="-4"/>
                <w:szCs w:val="21"/>
                <w:highlight w:val="none"/>
                <w:u w:val="single"/>
              </w:rPr>
              <w:t>合同有效期：</w:t>
            </w:r>
            <w:r>
              <w:rPr>
                <w:rFonts w:hint="eastAsia" w:ascii="宋体" w:hAnsi="宋体" w:cs="宋体"/>
                <w:bCs/>
                <w:color w:val="auto"/>
                <w:szCs w:val="21"/>
                <w:highlight w:val="none"/>
              </w:rPr>
              <w:t>自</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jc w:val="both"/>
              <w:rPr>
                <w:color w:val="auto"/>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lang w:eastAsia="zh-CN"/>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color w:val="auto"/>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color w:val="auto"/>
                <w:highlight w:val="none"/>
              </w:rPr>
              <w:t>并具备有效的安全生产考核合格证书（B类）</w:t>
            </w:r>
            <w:r>
              <w:rPr>
                <w:rFonts w:hint="eastAsia" w:ascii="宋体" w:hAnsi="宋体" w:cs="宋体"/>
                <w:bCs/>
                <w:color w:val="auto"/>
                <w:szCs w:val="21"/>
                <w:highlight w:val="none"/>
              </w:rPr>
              <w:t>，</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5"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6"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.报价时应考虑中标后承接各个项目所需的全部费用，中标后承接具体修缮项目的清单综合单价，指完成清单中一个规定计量子目所需的全部费用，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3.本分标采购预算金额为520万元，采购人不承诺业务量，投标人自行考虑风险进行报价。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采购人和中标人（以下简称“双方”）双方</w:t>
            </w:r>
            <w:r>
              <w:rPr>
                <w:rFonts w:ascii="宋体" w:hAnsi="宋体" w:cs="宋体"/>
                <w:bCs/>
                <w:color w:val="auto"/>
                <w:szCs w:val="21"/>
                <w:highlight w:val="none"/>
              </w:rPr>
              <w:t>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adjustRightInd w:val="0"/>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w:t>
            </w:r>
            <w:bookmarkStart w:id="103" w:name="_Hlk202280541"/>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需提供真实、有效、合法的正式发票，如提供虚假发票的，采购人有权解除合同，</w:t>
            </w:r>
            <w:r>
              <w:rPr>
                <w:rFonts w:hint="eastAsia" w:ascii="宋体" w:hAnsi="宋体" w:cs="宋体"/>
                <w:bCs/>
                <w:color w:val="auto"/>
                <w:szCs w:val="21"/>
                <w:highlight w:val="none"/>
              </w:rPr>
              <w:t>中标人</w:t>
            </w:r>
            <w:r>
              <w:rPr>
                <w:rFonts w:hint="eastAsia" w:ascii="宋体" w:hAnsi="宋体" w:cs="宋体"/>
                <w:color w:val="auto"/>
                <w:szCs w:val="21"/>
                <w:highlight w:val="none"/>
                <w:lang w:val="zh-CN" w:bidi="zh-CN"/>
              </w:rPr>
              <w:t>除须向采购人补开合法发票外，还须向采购人支付与发票票面金额等额的违约金。</w:t>
            </w:r>
            <w:bookmarkEnd w:id="10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3分标：行政办公、校园基础设施保障修缮服务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4"/>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3分标：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7"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行政办公、校园基础设施保障修缮服务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行政办公、校园基础设施保障</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olor w:val="auto"/>
                <w:szCs w:val="21"/>
                <w:highlight w:val="none"/>
              </w:rPr>
              <w:t xml:space="preserve"> 合同有效期：</w:t>
            </w:r>
            <w:r>
              <w:rPr>
                <w:rFonts w:hint="eastAsia" w:ascii="宋体" w:hAnsi="宋体" w:cs="宋体"/>
                <w:bCs/>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jc w:val="both"/>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1"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60"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本分标采购预算金额为</w:t>
            </w:r>
            <w:r>
              <w:rPr>
                <w:rFonts w:hint="eastAsia" w:ascii="宋体" w:hAnsi="宋体" w:cs="宋体"/>
                <w:bCs/>
                <w:color w:val="auto"/>
                <w:szCs w:val="21"/>
                <w:highlight w:val="none"/>
              </w:rPr>
              <w:t>48</w:t>
            </w:r>
            <w:r>
              <w:rPr>
                <w:rFonts w:ascii="宋体" w:hAnsi="宋体" w:cs="宋体"/>
                <w:bCs/>
                <w:color w:val="auto"/>
                <w:szCs w:val="21"/>
                <w:highlight w:val="none"/>
              </w:rPr>
              <w:t>0万元，采购人不承诺业务量，投标人自行考虑风险进行报价</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lang w:eastAsia="zh-CN"/>
              </w:rPr>
              <w:t>计价</w:t>
            </w:r>
            <w:r>
              <w:rPr>
                <w:rFonts w:hint="eastAsia" w:ascii="宋体" w:hAnsi="宋体" w:cs="宋体"/>
                <w:b/>
                <w:color w:val="auto"/>
                <w:szCs w:val="21"/>
                <w:highlight w:val="none"/>
              </w:rPr>
              <w:t>方式</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4分标：校园水、电、市政道路基础设施保障修缮服务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2"/>
        <w:gridCol w:w="669"/>
        <w:gridCol w:w="654"/>
        <w:gridCol w:w="6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4分标：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2"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69"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2"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2"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校园水、电、市政道路基础设施保障修缮服务</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2"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w:t>
            </w:r>
            <w:r>
              <w:rPr>
                <w:rFonts w:hint="eastAsia" w:ascii="宋体" w:hAnsi="宋体" w:cs="宋体"/>
                <w:bCs/>
                <w:color w:val="auto"/>
                <w:szCs w:val="21"/>
                <w:highlight w:val="none"/>
              </w:rPr>
              <w:t>校园水、电、市政道路基础设施保障</w:t>
            </w:r>
            <w:r>
              <w:rPr>
                <w:rFonts w:ascii="宋体" w:hAnsi="宋体" w:cs="宋体"/>
                <w:bCs/>
                <w:color w:val="auto"/>
                <w:szCs w:val="21"/>
                <w:highlight w:val="none"/>
              </w:rPr>
              <w:t>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hint="eastAsia" w:ascii="宋体" w:hAnsi="宋体"/>
                <w:color w:val="auto"/>
                <w:szCs w:val="21"/>
                <w:highlight w:val="none"/>
              </w:rPr>
              <w:t xml:space="preserve"> 合同有效期：</w:t>
            </w:r>
            <w:r>
              <w:rPr>
                <w:rFonts w:ascii="宋体" w:hAnsi="宋体" w:cs="宋体"/>
                <w:bCs/>
                <w:color w:val="auto"/>
                <w:szCs w:val="21"/>
                <w:highlight w:val="none"/>
              </w:rPr>
              <w:t>自采购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 xml:space="preserve">承担。 </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6"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5"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hint="eastAsia" w:ascii="宋体" w:hAnsi="宋体" w:cs="宋体"/>
                <w:color w:val="auto"/>
                <w:highlight w:val="none"/>
              </w:rPr>
              <w:t>中标后承接具体修缮项目的</w:t>
            </w:r>
            <w:r>
              <w:rPr>
                <w:rFonts w:hint="eastAsia" w:ascii="宋体" w:hAnsi="宋体" w:cs="宋体"/>
                <w:bCs/>
                <w:color w:val="auto"/>
                <w:szCs w:val="21"/>
                <w:highlight w:val="none"/>
              </w:rPr>
              <w:t>清单综合单价，指完成清单中一个规定计量子目所需的全部费用，</w:t>
            </w:r>
            <w:r>
              <w:rPr>
                <w:rFonts w:ascii="宋体" w:hAnsi="宋体" w:cs="宋体"/>
                <w:bCs/>
                <w:color w:val="auto"/>
                <w:szCs w:val="21"/>
                <w:highlight w:val="none"/>
              </w:rPr>
              <w:t>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3.本分标采购预算金额为440万元，采购人不承诺业务量，投标人自行考虑风险进行报价。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5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5分标：校园地下排污、排水基础设施保障修缮服务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4"/>
        <w:gridCol w:w="655"/>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5分标：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360" w:lineRule="auto"/>
              <w:jc w:val="center"/>
              <w:rPr>
                <w:rFonts w:hint="eastAsia" w:ascii="宋体" w:hAnsi="宋体" w:cs="宋体"/>
                <w:b/>
                <w:color w:val="auto"/>
                <w:szCs w:val="21"/>
                <w:highlight w:val="none"/>
              </w:rPr>
            </w:pPr>
          </w:p>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7"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4"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5"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校园地下排污、排水基础设施保障修缮服务</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主要负责校本部及武鸣校区的校园地下排污、排水基础设施保障零星修缮改造工程</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1.零星修缮服务内容：根据采购人要求，负责校本部及武鸣校区100万元以下零星修缮改造项目，包含编制维修方案、图纸绘制，包含平面图及效果图绘制和维修项目的预算清单编制（此项是配合</w:t>
            </w:r>
            <w:r>
              <w:rPr>
                <w:rFonts w:hint="eastAsia" w:ascii="宋体" w:hAnsi="宋体" w:cs="宋体"/>
                <w:bCs/>
                <w:color w:val="auto"/>
                <w:szCs w:val="21"/>
                <w:highlight w:val="none"/>
              </w:rPr>
              <w:t>采购人</w:t>
            </w:r>
            <w:r>
              <w:rPr>
                <w:rFonts w:ascii="宋体" w:hAnsi="宋体" w:cs="宋体"/>
                <w:bCs/>
                <w:color w:val="auto"/>
                <w:szCs w:val="21"/>
                <w:highlight w:val="none"/>
              </w:rPr>
              <w:t>提供项目前期立项必需材料，属于专业服务内容，</w:t>
            </w:r>
            <w:r>
              <w:rPr>
                <w:rFonts w:hint="eastAsia" w:ascii="宋体" w:hAnsi="宋体" w:cs="宋体"/>
                <w:bCs/>
                <w:color w:val="auto"/>
                <w:szCs w:val="21"/>
                <w:highlight w:val="none"/>
              </w:rPr>
              <w:t>采购人</w:t>
            </w:r>
            <w:r>
              <w:rPr>
                <w:rFonts w:ascii="宋体" w:hAnsi="宋体" w:cs="宋体"/>
                <w:bCs/>
                <w:color w:val="auto"/>
                <w:szCs w:val="21"/>
                <w:highlight w:val="none"/>
              </w:rPr>
              <w:t>不单列专项设计费、制图费、编制费，由</w:t>
            </w:r>
            <w:r>
              <w:rPr>
                <w:rFonts w:hint="eastAsia" w:ascii="宋体" w:hAnsi="宋体" w:cs="宋体"/>
                <w:bCs/>
                <w:color w:val="auto"/>
                <w:szCs w:val="21"/>
                <w:highlight w:val="none"/>
              </w:rPr>
              <w:t>服务单位</w:t>
            </w:r>
            <w:r>
              <w:rPr>
                <w:rFonts w:ascii="宋体" w:hAnsi="宋体" w:cs="宋体"/>
                <w:bCs/>
                <w:color w:val="auto"/>
                <w:szCs w:val="21"/>
                <w:highlight w:val="none"/>
              </w:rPr>
              <w:t>自行解决该项成本）。</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2.服务单位</w:t>
            </w:r>
            <w:r>
              <w:rPr>
                <w:rFonts w:ascii="宋体" w:hAnsi="宋体" w:cs="宋体"/>
                <w:bCs/>
                <w:color w:val="auto"/>
                <w:szCs w:val="21"/>
                <w:highlight w:val="none"/>
              </w:rPr>
              <w:t>除了负责各自标段的专业零星建设服务外，还必须配合</w:t>
            </w:r>
            <w:r>
              <w:rPr>
                <w:rFonts w:hint="eastAsia" w:ascii="宋体" w:hAnsi="宋体" w:cs="宋体"/>
                <w:bCs/>
                <w:color w:val="auto"/>
                <w:szCs w:val="21"/>
                <w:highlight w:val="none"/>
              </w:rPr>
              <w:t>采购人</w:t>
            </w:r>
            <w:r>
              <w:rPr>
                <w:rFonts w:ascii="宋体" w:hAnsi="宋体" w:cs="宋体"/>
                <w:bCs/>
                <w:color w:val="auto"/>
                <w:szCs w:val="21"/>
                <w:highlight w:val="none"/>
              </w:rPr>
              <w:t>完成其他专业零星建设服务。维修内容包括但不限于：拆墙、砌砖墙、批灰、木地板铺设、地砖铺设、石膏角线安装、吊顶装饰、扣板安装、柜体制作、焊接防盗、门窗安装、玻璃更换、腻子乳胶漆施工、线槽配线、塑料线管、管内穿线、道路施工、挖土方、照明灯具安装、开关插座安装、电力电缆、配电箱、配电柜安装、给水排水排污地下管网管线维修、卫生洁具安装、天面墙面地面防水工程、消防改造、暖通工程改造、园林绿化改造、学生宿舍热水器维修、机械门锁维修、教学行政宿舍的办公家具维修等。</w:t>
            </w:r>
          </w:p>
          <w:p>
            <w:pPr>
              <w:spacing w:line="360" w:lineRule="auto"/>
              <w:ind w:firstLine="420" w:firstLineChars="200"/>
              <w:rPr>
                <w:color w:val="auto"/>
                <w:szCs w:val="21"/>
                <w:highlight w:val="none"/>
              </w:rPr>
            </w:pPr>
            <w:r>
              <w:rPr>
                <w:rFonts w:hint="eastAsia" w:ascii="宋体" w:hAnsi="宋体" w:cs="宋体"/>
                <w:bCs/>
                <w:color w:val="auto"/>
                <w:szCs w:val="21"/>
                <w:highlight w:val="none"/>
              </w:rPr>
              <w:t>3.</w:t>
            </w:r>
            <w:r>
              <w:rPr>
                <w:rFonts w:hint="eastAsia" w:ascii="宋体" w:hAnsi="宋体"/>
                <w:color w:val="auto"/>
                <w:szCs w:val="21"/>
                <w:highlight w:val="none"/>
              </w:rPr>
              <w:t xml:space="preserve"> 合同有效期：</w:t>
            </w:r>
            <w:r>
              <w:rPr>
                <w:rFonts w:hint="eastAsia" w:ascii="宋体" w:hAnsi="宋体" w:cs="宋体"/>
                <w:bCs/>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highlight w:val="none"/>
                <w:lang w:eastAsia="zh-CN"/>
              </w:rPr>
              <w:t>若由中标人负责修缮的项目的工程预算/控制价（由采购人负责编制）金额累计达到本分标预算金额的，本合同自动提前终止</w:t>
            </w:r>
            <w:r>
              <w:rPr>
                <w:rFonts w:hint="eastAsia"/>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4.服务单位在人员、设备、资金等方面具备相应的施工能力。</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1.零星修缮服务单位需指定1名项目经理，项目经理须具有建筑工程二级及以上注册建造师执业资格</w:t>
            </w:r>
            <w:r>
              <w:rPr>
                <w:rFonts w:hint="eastAsia" w:ascii="宋体" w:hAnsi="宋体" w:cs="宋体"/>
                <w:bCs/>
                <w:color w:val="auto"/>
                <w:szCs w:val="21"/>
                <w:highlight w:val="none"/>
              </w:rPr>
              <w:t>，</w:t>
            </w:r>
            <w:r>
              <w:rPr>
                <w:rFonts w:hint="eastAsia"/>
                <w:color w:val="auto"/>
                <w:highlight w:val="none"/>
              </w:rPr>
              <w:t>并具备有效的安全生产考核合格证书（B类）</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（需在投标文件中提供拟投入本项目项目经理有效的证书复印件并加盖投标人公章）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零星修缮服务单位至少需配备施工员1名、质量员1名、材料员1名，</w:t>
            </w:r>
            <w:r>
              <w:rPr>
                <w:rFonts w:ascii="宋体" w:hAnsi="宋体" w:cs="宋体"/>
                <w:color w:val="auto"/>
                <w:highlight w:val="none"/>
              </w:rPr>
              <w:t>均须具备有效的相应施工现场专业人员职业培训合格证书</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olor w:val="auto"/>
                <w:highlight w:val="none"/>
              </w:rPr>
              <w:t>安全员</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ascii="宋体" w:hAnsi="宋体" w:cs="宋体"/>
                <w:bCs/>
                <w:color w:val="auto"/>
                <w:szCs w:val="21"/>
                <w:highlight w:val="none"/>
              </w:rPr>
              <w:t>。</w:t>
            </w:r>
            <w:r>
              <w:rPr>
                <w:rFonts w:hint="eastAsia"/>
                <w:color w:val="auto"/>
                <w:highlight w:val="none"/>
              </w:rPr>
              <w:t>（需在投标文件中提供以上拟投入人员有效的证书复印件并加盖投标人公章）</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1.采购人应急抢修项目，</w:t>
            </w:r>
            <w:r>
              <w:rPr>
                <w:rFonts w:hint="eastAsia" w:ascii="宋体" w:hAnsi="宋体" w:cs="宋体"/>
                <w:bCs/>
                <w:color w:val="auto"/>
                <w:szCs w:val="21"/>
                <w:highlight w:val="none"/>
              </w:rPr>
              <w:t>服务单位</w:t>
            </w:r>
            <w:r>
              <w:rPr>
                <w:rFonts w:ascii="宋体" w:hAnsi="宋体" w:cs="宋体"/>
                <w:bCs/>
                <w:color w:val="auto"/>
                <w:szCs w:val="21"/>
                <w:highlight w:val="none"/>
              </w:rPr>
              <w:t>不能无故拒绝维修，维修人员应在采购人通知后3小时内到达现场，其他维修项目，维修人员应在接到采购人通知后24小时到达现场。根据采购人的要求，在约定的时间内完成设计、主材品牌选样、编制预算清单、设计审核及修改工作，并向采购人提供相关合格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工程竣工结算资料（包括但不限于开工令、竣工验收记录、竣工图、结算书、工程联系单、签证单、隐蔽工程验收记录、施工日记、质保资料、施工现场影像材料等），经采购人催促后14天内仍未提供或没有明确答复，采购人有权根据已有资料进行审查，责任由零星修缮服务单位中标人自负。按《建设工程价款结算暂行办法》（财建[2004]369号）相关条款执行。</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3.定期回访维护，在质保期内对废旧、破损标识按需要进行及时更新。</w:t>
            </w:r>
            <w:r>
              <w:rPr>
                <w:rFonts w:hint="eastAsia" w:ascii="宋体" w:hAnsi="宋体" w:cs="宋体"/>
                <w:bCs/>
                <w:color w:val="auto"/>
                <w:szCs w:val="21"/>
                <w:highlight w:val="none"/>
              </w:rPr>
              <w:t>服务单位</w:t>
            </w:r>
            <w:r>
              <w:rPr>
                <w:rFonts w:ascii="宋体" w:hAnsi="宋体" w:cs="宋体"/>
                <w:bCs/>
                <w:color w:val="auto"/>
                <w:szCs w:val="21"/>
                <w:highlight w:val="none"/>
              </w:rPr>
              <w:t>需对暂不使用的过期、废旧标识进行回收，并根据后续采购人需要，重复利用，节省成本。</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符合国家质量及行业标准，满足采购单位对质量、规格和性能要求，对由于设计、工艺或材料的缺陷而产生的质量问题负责。如出现所供商品及服务不符合相关要求，采购人有权拒收或退货或者要求重新服务，由此产生的一切责任和后果由</w:t>
            </w:r>
            <w:r>
              <w:rPr>
                <w:rFonts w:hint="eastAsia" w:ascii="宋体" w:hAnsi="宋体" w:cs="宋体"/>
                <w:bCs/>
                <w:color w:val="auto"/>
                <w:szCs w:val="21"/>
                <w:highlight w:val="none"/>
              </w:rPr>
              <w:t>服务单位</w:t>
            </w:r>
            <w:r>
              <w:rPr>
                <w:rFonts w:ascii="宋体" w:hAnsi="宋体" w:cs="宋体"/>
                <w:bCs/>
                <w:color w:val="auto"/>
                <w:szCs w:val="21"/>
                <w:highlight w:val="none"/>
              </w:rPr>
              <w:t>承担。</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四、退出、处罚机制：</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1）评分退出机制（合同解除）：采购人统一制定标准，在中标人每完成一项单项施工后，根据完成情况，对中标人的工作进行评分，总分累计3次低于75分的，采购人有权按合同约定解除其委托服务合同（考核表附后）。</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（2）处罚机制：采购人有权根据校内制定的相关考核办法，在中标人每完成一项单项施工后，根据完成情况，对中标人的工作进行考核，中标人工作考核不合格的，每次扣罚5000元；</w:t>
            </w:r>
            <w:r>
              <w:rPr>
                <w:rFonts w:hint="eastAsia" w:ascii="宋体" w:hAnsi="宋体" w:cs="宋体"/>
                <w:color w:val="auto"/>
                <w:kern w:val="0"/>
                <w:szCs w:val="21"/>
                <w:highlight w:val="none"/>
                <w:lang w:bidi="ar"/>
              </w:rPr>
              <w:t>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ascii="宋体" w:hAnsi="宋体" w:cs="宋体"/>
                <w:color w:val="auto"/>
                <w:kern w:val="0"/>
                <w:szCs w:val="21"/>
                <w:highlight w:val="none"/>
                <w:lang w:bidi="ar"/>
              </w:rPr>
              <w:t>，每次扣罚200元</w:t>
            </w:r>
            <w:r>
              <w:rPr>
                <w:rFonts w:hint="eastAsia" w:ascii="宋体" w:hAnsi="宋体" w:cs="宋体"/>
                <w:color w:val="auto"/>
                <w:highlight w:val="none"/>
              </w:rPr>
              <w:t>(以上罚金从履约保证金中扣除，合同期满后扣除相应违约罚金后剩余部分一次性退回中标人指定银行账户)。</w:t>
            </w:r>
          </w:p>
          <w:p>
            <w:pPr>
              <w:wordWrap w:val="0"/>
              <w:topLinePunct/>
              <w:snapToGrid w:val="0"/>
              <w:spacing w:line="400" w:lineRule="exact"/>
              <w:ind w:firstLine="42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有以下情形之一的，</w:t>
            </w:r>
            <w:r>
              <w:rPr>
                <w:rFonts w:hint="eastAsia" w:ascii="宋体" w:hAnsi="宋体" w:cs="宋体"/>
                <w:color w:val="auto"/>
                <w:highlight w:val="none"/>
              </w:rPr>
              <w:t>采购人</w:t>
            </w:r>
            <w:r>
              <w:rPr>
                <w:rFonts w:hint="eastAsia" w:ascii="宋体" w:hAnsi="宋体" w:cs="宋体"/>
                <w:color w:val="auto"/>
                <w:highlight w:val="none"/>
                <w:lang w:val="zh-CN"/>
              </w:rPr>
              <w:t>有权解除委托服务合同，并追究</w:t>
            </w:r>
            <w:r>
              <w:rPr>
                <w:rFonts w:hint="eastAsia" w:ascii="宋体" w:hAnsi="宋体" w:cs="宋体"/>
                <w:color w:val="auto"/>
                <w:highlight w:val="none"/>
              </w:rPr>
              <w:t>中标人</w:t>
            </w:r>
            <w:r>
              <w:rPr>
                <w:rFonts w:hint="eastAsia" w:ascii="宋体" w:hAnsi="宋体" w:cs="宋体"/>
                <w:color w:val="auto"/>
                <w:highlight w:val="none"/>
                <w:lang w:val="zh-CN"/>
              </w:rPr>
              <w:t>相关责任：</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（1）财产被接管或违反法律法规在查封状态、基本账户被冻结等情形的；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（2）有骗取中标或严重违约或工程质量安全问题，在本行政区域正处在停业整顿或暂停投标期间的；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（3）被责令停业的；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（4）施工期间因自身原因造成工程较大（及以上）安全事故的；</w:t>
            </w:r>
          </w:p>
          <w:p>
            <w:pPr>
              <w:wordWrap w:val="0"/>
              <w:topLinePunct/>
              <w:snapToGrid w:val="0"/>
              <w:spacing w:line="400" w:lineRule="exact"/>
              <w:ind w:firstLine="420"/>
              <w:rPr>
                <w:rFonts w:hint="eastAsia" w:ascii="宋体" w:hAnsi="宋体" w:cs="宋体"/>
                <w:color w:val="auto"/>
                <w:highlight w:val="none"/>
              </w:rPr>
            </w:pPr>
            <w:r>
              <w:rPr>
                <w:rFonts w:hint="eastAsia" w:ascii="宋体" w:hAnsi="宋体" w:cs="宋体"/>
                <w:color w:val="auto"/>
                <w:highlight w:val="none"/>
              </w:rPr>
              <w:t>（5）中标人将其承包的全部工程转包给他人或者肢解以后以分包的名义分别转包给他人，采购人有权解除合同；</w:t>
            </w:r>
          </w:p>
          <w:p>
            <w:pPr>
              <w:adjustRightInd w:val="0"/>
              <w:spacing w:line="420" w:lineRule="exact"/>
              <w:ind w:firstLine="420"/>
              <w:jc w:val="left"/>
              <w:rPr>
                <w:rFonts w:hint="eastAsia" w:ascii="宋体" w:hAnsi="宋体" w:cs="宋体"/>
                <w:bCs/>
                <w:color w:val="auto"/>
                <w:szCs w:val="21"/>
                <w:highlight w:val="none"/>
              </w:rPr>
            </w:pPr>
            <w:r>
              <w:rPr>
                <w:rFonts w:hint="eastAsia" w:ascii="宋体" w:hAnsi="宋体" w:cs="宋体"/>
                <w:color w:val="auto"/>
                <w:highlight w:val="none"/>
              </w:rPr>
              <w:t>（6）因不可抗力致使合同无法履行，采购人中标人可以解除合同。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1"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60"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报价方式：按价格优惠率报价（保留小数点后2位），0%＜投标报价价格优惠率≤100%。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（1）本项目采用价格优惠率报价，即结算价=各个具体工程按计费标准得出的造价×（1-价格优惠率），例如：某零星修缮的造价为100万，结算价=100万×（1-价格优惠率10%）=90万元。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ascii="宋体" w:hAnsi="宋体" w:cs="宋体"/>
                <w:bCs/>
                <w:color w:val="auto"/>
                <w:szCs w:val="21"/>
                <w:highlight w:val="none"/>
              </w:rPr>
              <w:t>，</w:t>
            </w:r>
            <w:r>
              <w:rPr>
                <w:rFonts w:hint="eastAsia"/>
                <w:color w:val="auto"/>
                <w:highlight w:val="none"/>
              </w:rPr>
              <w:t>中标后承接具体修缮项目的</w:t>
            </w:r>
            <w:r>
              <w:rPr>
                <w:rFonts w:ascii="宋体" w:hAnsi="宋体" w:cs="宋体"/>
                <w:bCs/>
                <w:color w:val="auto"/>
                <w:szCs w:val="21"/>
                <w:highlight w:val="none"/>
              </w:rPr>
              <w:t>清单综合单价，指完成清单中一个规定计量子目所需的全部费用，包括但不限于人工费及政策性人工费调整、材料费（材料损耗）、机械使用费、非标产品模具加工费、包装运输费、赶工补偿费、样品费、调试费、综合管理费、合理利润、</w:t>
            </w:r>
            <w:r>
              <w:rPr>
                <w:rFonts w:hint="eastAsia" w:ascii="宋体" w:hAnsi="宋体" w:cs="宋体"/>
                <w:bCs/>
                <w:color w:val="auto"/>
                <w:szCs w:val="21"/>
                <w:highlight w:val="none"/>
              </w:rPr>
              <w:t>各项</w:t>
            </w:r>
            <w:r>
              <w:rPr>
                <w:rFonts w:ascii="宋体" w:hAnsi="宋体" w:cs="宋体"/>
                <w:bCs/>
                <w:color w:val="auto"/>
                <w:szCs w:val="21"/>
                <w:highlight w:val="none"/>
              </w:rPr>
              <w:t>税金、水电费、清洁卫生费、垃圾清运费、保险费、总包单位管理费以及投标人认为可能发生的风险费等直至完成工程交付标准所需的一切费用以及维保期间（养护期间）的全部费用。</w:t>
            </w:r>
          </w:p>
          <w:p>
            <w:pPr>
              <w:spacing w:line="420" w:lineRule="exact"/>
              <w:ind w:firstLine="420"/>
              <w:jc w:val="left"/>
              <w:rPr>
                <w:rFonts w:hint="eastAsia"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本分标采购预算金额为</w:t>
            </w:r>
            <w:r>
              <w:rPr>
                <w:rFonts w:hint="eastAsia" w:ascii="宋体" w:hAnsi="宋体" w:cs="宋体"/>
                <w:bCs/>
                <w:color w:val="auto"/>
                <w:szCs w:val="21"/>
                <w:highlight w:val="none"/>
              </w:rPr>
              <w:t>44</w:t>
            </w:r>
            <w:r>
              <w:rPr>
                <w:rFonts w:ascii="宋体" w:hAnsi="宋体" w:cs="宋体"/>
                <w:bCs/>
                <w:color w:val="auto"/>
                <w:szCs w:val="21"/>
                <w:highlight w:val="none"/>
              </w:rPr>
              <w:t>0万元，采购人不承诺业务量，投标人自行考虑风险进行报价</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验收标准</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ascii="宋体" w:hAnsi="宋体" w:eastAsia="宋体" w:cs="宋体"/>
                <w:color w:val="auto"/>
                <w:spacing w:val="-4"/>
                <w:kern w:val="2"/>
                <w:sz w:val="21"/>
                <w:szCs w:val="21"/>
                <w:highlight w:val="none"/>
                <w:lang w:val="en-US" w:eastAsia="zh-CN" w:bidi="ar-SA"/>
              </w:rPr>
              <w:t>1</w:t>
            </w:r>
            <w:r>
              <w:rPr>
                <w:rFonts w:hint="eastAsia" w:ascii="宋体" w:hAnsi="宋体" w:eastAsia="宋体" w:cs="宋体"/>
                <w:color w:val="auto"/>
                <w:spacing w:val="-4"/>
                <w:kern w:val="2"/>
                <w:sz w:val="21"/>
                <w:szCs w:val="21"/>
                <w:highlight w:val="none"/>
                <w:lang w:val="en-US" w:eastAsia="zh-CN" w:bidi="ar-SA"/>
              </w:rPr>
              <w:t>.</w:t>
            </w:r>
            <w:r>
              <w:rPr>
                <w:rFonts w:ascii="宋体" w:hAnsi="宋体" w:eastAsia="宋体" w:cs="宋体"/>
                <w:color w:val="auto"/>
                <w:spacing w:val="-4"/>
                <w:kern w:val="2"/>
                <w:sz w:val="21"/>
                <w:szCs w:val="21"/>
                <w:highlight w:val="none"/>
                <w:lang w:val="en-US" w:eastAsia="zh-CN" w:bidi="ar-SA"/>
              </w:rPr>
              <w:t xml:space="preserve"> </w:t>
            </w:r>
            <w:r>
              <w:rPr>
                <w:rFonts w:hint="eastAsia" w:ascii="宋体" w:hAnsi="宋体" w:eastAsia="宋体" w:cs="宋体"/>
                <w:color w:val="auto"/>
                <w:spacing w:val="-4"/>
                <w:kern w:val="2"/>
                <w:sz w:val="21"/>
                <w:szCs w:val="21"/>
                <w:highlight w:val="none"/>
                <w:lang w:val="en-US" w:eastAsia="zh-CN" w:bidi="ar-SA"/>
              </w:rPr>
              <w:t>验收标准</w:t>
            </w:r>
          </w:p>
          <w:p>
            <w:pPr>
              <w:widowControl w:val="0"/>
              <w:adjustRightInd w:val="0"/>
              <w:spacing w:line="360" w:lineRule="auto"/>
              <w:ind w:firstLine="404" w:firstLineChars="200"/>
              <w:jc w:val="both"/>
              <w:rPr>
                <w:rFonts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每项具体工程项目的竣工验收以施工图、图纸会审记录、国家颁发的现行施工及验收规范和质量检验标准为依据。</w:t>
            </w:r>
          </w:p>
          <w:p>
            <w:pPr>
              <w:widowControl w:val="0"/>
              <w:adjustRightInd w:val="0"/>
              <w:spacing w:line="360" w:lineRule="auto"/>
              <w:ind w:firstLine="420"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eastAsia="宋体" w:cs="宋体"/>
                <w:b/>
                <w:color w:val="auto"/>
                <w:spacing w:val="-4"/>
                <w:kern w:val="2"/>
                <w:sz w:val="21"/>
                <w:szCs w:val="21"/>
                <w:highlight w:val="none"/>
                <w:lang w:val="en-US" w:eastAsia="zh-CN" w:bidi="ar-SA"/>
              </w:rPr>
              <w:t>竣工验收条件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每项具体工程项目具备以下条件的，中标人可以申请竣工验收：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2.2.1除采购人同意的甩项工作和缺陷修补工作外，合同范围内的全部工程以及有关工作，包括合同要求的试验、试运行以及检验均已完成，并符合合同要求；</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2.2已按合同约定编制了甩项工作和缺陷修补工作清单以及相应的施工计划；</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2.3已按合同约定的内容和份数备齐竣工资料。</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3.竣工验收程序</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3.1工程具备竣工验收条件后，中标人向采购人报送竣工验收申请报告，采购人应在收到竣工验收申请报告后 14天内完成审查。采购人审查后认为尚不具备验收条件的，应通知中标人在竣工验收前中标人还需完成的工作内容，中标人应在完成采购人要求的全部工作内容后再次提交竣工验收申请报告。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中标人应向监理单位报送竣工验收申请报告，监理单位应在收到竣工验收申请报告后14日内完成审查并报送采购人。监理单位审查后认为尚不具备验收条件的，应通知中标人在竣工验收前中标人还需完成的工作内容，中标人应在完成监理单位通知的全部工作内容后，再次提交竣工验收申请报告。</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3.2采购人经审查后确认已具备竣工验收条件的，应书面通知中标人并在通知之日起14日内与中标人共同进行竣工验收。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对于采购人委托监理的工程，监理单位审查后认为已具备竣工验收条件的，应将竣工验收申请报告提交采购人，采购人应在收到经监理单位审核的竣工验收申请报告后 28天内审批完毕并组织中标人、监理单位进行竣工验收。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对于采购人委托设计的工程，设计单位应参与竣工验收。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 xml:space="preserve">3.3 工程竣工验收合格的，采购人应在验收合格后 14 天内向中标人签发工程合格确认文件。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3.4 工程竣工验收不合格的，采购人（或监理单位，如有）有权要求中标人对不合格工程返工、 修复或采取其他补救措施，由此导致的费用增加及/或工期延误的责任由中标人承担。中标人完成不合格工程的返工、修复或采取其他补救措施后应重新提交竣工验收申请报告，并按本条约定的程序重新进行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3.5 采购人擅自使用未经验收或验收不合格的工程的，视为工程验收合格。</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4.竣工日期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4.1 工程竣工验收合格的，以中标人提交竣工验收申请报告之日为实际竣工日期，并在工程合格确认文件中载明。若因验收不合格而重新进行竣工验收的，实际竣工日期以确认合格之前一份提交最近一份竣工验收申请报告之日为准。</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4.2 因采购人原因未在收到中标人提交的竣工验收申请报告之日起42天内组织竣工验收，或虽已组织竣工验收但在验收结果为合格的情况下未签发工程合格确认文件的，以中标人提交竣工验收申请报告之日起的第43日为实际竣工日期。</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4.3 采购人擅自使用未经验收或验收不合格的工程的，以开始使用之日为实际竣工日期。</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5.拒绝接收全部或部分工程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竣工验收不合格的工程，中标人完成整改后应当重新进行竣工验收，经重新组织验收仍不合格的且无法采取措施补救的，采购人有权拒绝接收；因不合格工程导致其他工程不能正常使用的，中标人应采取措施确保相关工程的正常使用，由此导致的费用增加及/或工期延误的责任由中标人承担。</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6.移交、接收全部与部分工程</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对于须办理移交手续的工程，采购人、中标人双方应当在采购人签发工程合格确认文件之日起7日内完成工程的移交。采购人无正当理由不接收工程的，采购人自应当接收工程之日起承担工程照管、成品保护、保管等与工程有关的各项费用，但采购人不须因此向中标人支付任何费用；中标人无正当理由不移交工程的，中标人应承担工程照管、成品保护、保管等与工程有关的各项费用。</w:t>
            </w:r>
          </w:p>
          <w:p>
            <w:pPr>
              <w:widowControl w:val="0"/>
              <w:adjustRightInd w:val="0"/>
              <w:spacing w:line="360" w:lineRule="auto"/>
              <w:ind w:firstLine="406" w:firstLineChars="200"/>
              <w:jc w:val="both"/>
              <w:rPr>
                <w:rFonts w:hint="eastAsia" w:ascii="宋体" w:hAnsi="宋体" w:eastAsia="宋体" w:cs="宋体"/>
                <w:b/>
                <w:color w:val="auto"/>
                <w:spacing w:val="-4"/>
                <w:kern w:val="2"/>
                <w:sz w:val="21"/>
                <w:szCs w:val="21"/>
                <w:highlight w:val="none"/>
                <w:lang w:val="en-US" w:eastAsia="zh-CN" w:bidi="ar-SA"/>
              </w:rPr>
            </w:pPr>
            <w:r>
              <w:rPr>
                <w:rFonts w:hint="eastAsia" w:ascii="宋体" w:hAnsi="宋体" w:eastAsia="宋体" w:cs="宋体"/>
                <w:b/>
                <w:color w:val="auto"/>
                <w:spacing w:val="-4"/>
                <w:kern w:val="2"/>
                <w:sz w:val="21"/>
                <w:szCs w:val="21"/>
                <w:highlight w:val="none"/>
                <w:lang w:val="en-US" w:eastAsia="zh-CN" w:bidi="ar-SA"/>
              </w:rPr>
              <w:t>7.隐蔽工程验收。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7.1 隐蔽工程在隐蔽前2天，由中标人准备好验收前的测试记录、图纸和照片并通知采购人到场验收。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7.2 因施工图与现场不符的或其它因素无法按图施工而须变更施工图的，经采购人同意后，中标人应在不须按图施工的隐蔽工程部分隐蔽前2天备妥验收前的测试记录及依照变更后的、与现场相符的施工图和照片并通知采购人到场验收。</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若中标人未提供变更后的、与现场相符的施工图的，采购人有权以不具备隐蔽工程验收条件为由不予验收并责令中标人立即整改，中标人应在两日内整改完毕。中标人仍未及时整改致使工程无法按期竣工、工程质量、工程款结算（包括由此引起的结算依据不足）等不利后果由中标人承担。</w:t>
            </w:r>
          </w:p>
          <w:p>
            <w:pPr>
              <w:spacing w:line="420" w:lineRule="exact"/>
              <w:ind w:firstLine="420"/>
              <w:jc w:val="left"/>
              <w:rPr>
                <w:rFonts w:hint="eastAsia" w:ascii="宋体" w:hAnsi="宋体" w:cs="宋体"/>
                <w:bCs/>
                <w:color w:val="auto"/>
                <w:szCs w:val="21"/>
                <w:highlight w:val="none"/>
              </w:rPr>
            </w:pPr>
            <w:r>
              <w:rPr>
                <w:rFonts w:hint="eastAsia" w:ascii="宋体" w:hAnsi="宋体" w:eastAsia="宋体" w:cs="宋体"/>
                <w:color w:val="auto"/>
                <w:spacing w:val="-4"/>
                <w:kern w:val="2"/>
                <w:sz w:val="21"/>
                <w:szCs w:val="21"/>
                <w:highlight w:val="none"/>
                <w:lang w:val="en-US" w:eastAsia="zh-CN" w:bidi="ar-SA"/>
              </w:rPr>
              <w:t>7.3 采购人未按时到场验收的，中标人应先行催告采购人并给予采购人合理的到场时间。采购人经催告后仍未按时到场的，中标人另行可自检后隐蔽并如实填写隐蔽记录，该等记录具有作为工程结算依据的效力</w:t>
            </w:r>
            <w:r>
              <w:rPr>
                <w:rFonts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计价方式</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1、采购人可在合同签订后按照以下定价原则制定并发布“校内全费用综合单价目录” （以下简称“甲定单价目录”）</w:t>
            </w:r>
            <w:r>
              <w:rPr>
                <w:rFonts w:hint="eastAsia" w:ascii="宋体" w:hAnsi="宋体" w:cs="宋体"/>
                <w:bCs/>
                <w:color w:val="auto"/>
                <w:szCs w:val="21"/>
                <w:highlight w:val="none"/>
              </w:rPr>
              <w:t>：</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hint="eastAsia" w:ascii="宋体" w:hAnsi="宋体" w:cs="宋体"/>
                <w:b/>
                <w:color w:val="auto"/>
                <w:szCs w:val="21"/>
                <w:highlight w:val="none"/>
              </w:rPr>
              <w:t>“甲定单价目录”</w:t>
            </w:r>
            <w:r>
              <w:rPr>
                <w:rFonts w:hint="eastAsia" w:ascii="宋体" w:hAnsi="宋体" w:cs="宋体"/>
                <w:bCs/>
                <w:color w:val="auto"/>
                <w:szCs w:val="21"/>
                <w:highlight w:val="none"/>
              </w:rPr>
              <w:t>内单价×经审核确认的实际工程量×（1-价格优惠率）</w:t>
            </w:r>
            <w:r>
              <w:rPr>
                <w:rFonts w:ascii="宋体" w:hAnsi="宋体" w:cs="宋体"/>
                <w:bCs/>
                <w:color w:val="auto"/>
                <w:szCs w:val="21"/>
                <w:highlight w:val="none"/>
              </w:rPr>
              <w:t>。</w:t>
            </w:r>
          </w:p>
          <w:p>
            <w:pPr>
              <w:spacing w:line="420" w:lineRule="exact"/>
              <w:ind w:firstLine="422" w:firstLineChars="200"/>
              <w:jc w:val="left"/>
              <w:rPr>
                <w:rFonts w:hint="eastAsia" w:ascii="宋体" w:hAnsi="宋体" w:cs="宋体"/>
                <w:bCs/>
                <w:color w:val="auto"/>
                <w:szCs w:val="21"/>
                <w:highlight w:val="none"/>
              </w:rPr>
            </w:pPr>
            <w:r>
              <w:rPr>
                <w:rFonts w:hint="eastAsia" w:ascii="宋体" w:hAnsi="宋体" w:cs="宋体"/>
                <w:b/>
                <w:color w:val="auto"/>
                <w:szCs w:val="21"/>
                <w:highlight w:val="none"/>
              </w:rPr>
              <w:t>2、在“甲定单价目录” 发布并通知中标人之前已申请立项的项目，按照“政府定额目录”计价。“政府定额目录”系指：</w:t>
            </w:r>
            <w:r>
              <w:rPr>
                <w:rFonts w:ascii="宋体" w:hAnsi="宋体" w:cs="宋体"/>
                <w:bCs/>
                <w:color w:val="auto"/>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某项工程的造价=</w:t>
            </w:r>
            <w:r>
              <w:rPr>
                <w:rFonts w:ascii="宋体" w:hAnsi="宋体" w:cs="宋体"/>
                <w:bCs/>
                <w:color w:val="auto"/>
                <w:szCs w:val="21"/>
                <w:highlight w:val="none"/>
              </w:rPr>
              <w:t>以上文件所组工程造价×（1-价格优惠率）。</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w:t>
            </w:r>
            <w:r>
              <w:rPr>
                <w:rFonts w:hint="eastAsia" w:ascii="宋体" w:hAnsi="宋体" w:cs="宋体"/>
                <w:b/>
                <w:bCs w:val="0"/>
                <w:color w:val="auto"/>
                <w:szCs w:val="21"/>
                <w:highlight w:val="none"/>
              </w:rPr>
              <w:t>清单项目</w:t>
            </w:r>
            <w:r>
              <w:rPr>
                <w:rFonts w:hint="eastAsia" w:ascii="宋体" w:hAnsi="宋体" w:cs="宋体"/>
                <w:b/>
                <w:color w:val="auto"/>
                <w:szCs w:val="21"/>
                <w:highlight w:val="none"/>
              </w:rPr>
              <w:t>则按照“政府定额目录”计价。</w:t>
            </w:r>
          </w:p>
          <w:p>
            <w:pPr>
              <w:spacing w:line="42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若中标人不接受以“甲定单价目录”为准计价的，则应书面通知采购人，在“甲定单价目录”发布之后申请立项的项目仍按照“政府定额目录”计价。</w:t>
            </w:r>
          </w:p>
          <w:p>
            <w:pPr>
              <w:spacing w:line="420" w:lineRule="exact"/>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spacing w:line="42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单个项目立项申请时 </w:t>
            </w:r>
            <w:r>
              <w:rPr>
                <w:rFonts w:hint="eastAsia" w:ascii="宋体" w:hAnsi="宋体" w:cs="宋体"/>
                <w:b/>
                <w:color w:val="auto"/>
                <w:szCs w:val="21"/>
                <w:highlight w:val="none"/>
              </w:rPr>
              <w:t>“甲定单价目录”</w:t>
            </w:r>
            <w:r>
              <w:rPr>
                <w:rFonts w:ascii="宋体" w:hAnsi="宋体" w:cs="宋体"/>
                <w:b/>
                <w:color w:val="auto"/>
                <w:szCs w:val="21"/>
                <w:highlight w:val="none"/>
              </w:rPr>
              <w:t>未发布</w:t>
            </w:r>
            <w:r>
              <w:rPr>
                <w:rFonts w:hint="eastAsia" w:ascii="宋体" w:hAnsi="宋体" w:cs="宋体"/>
                <w:b/>
                <w:color w:val="auto"/>
                <w:szCs w:val="21"/>
                <w:highlight w:val="none"/>
              </w:rPr>
              <w:t>的</w:t>
            </w:r>
            <w:r>
              <w:rPr>
                <w:rFonts w:ascii="宋体" w:hAnsi="宋体" w:cs="宋体"/>
                <w:b/>
                <w:color w:val="auto"/>
                <w:szCs w:val="21"/>
                <w:highlight w:val="none"/>
              </w:rPr>
              <w:t>，则该项目</w:t>
            </w:r>
            <w:r>
              <w:rPr>
                <w:rFonts w:hint="eastAsia" w:ascii="宋体" w:hAnsi="宋体" w:cs="宋体"/>
                <w:b/>
                <w:color w:val="auto"/>
                <w:szCs w:val="21"/>
                <w:highlight w:val="none"/>
              </w:rPr>
              <w:t>按照“政府定额目录”定价</w:t>
            </w:r>
            <w:r>
              <w:rPr>
                <w:rFonts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根据每项具体工程项目实际情况及工程预算金额，经</w:t>
            </w:r>
            <w:r>
              <w:rPr>
                <w:rFonts w:hint="eastAsia" w:ascii="宋体" w:hAnsi="宋体" w:cs="宋体"/>
                <w:bCs/>
                <w:color w:val="auto"/>
                <w:szCs w:val="21"/>
                <w:highlight w:val="none"/>
              </w:rPr>
              <w:t>采购人及中标人（以下简称“双方”）</w:t>
            </w:r>
            <w:r>
              <w:rPr>
                <w:rFonts w:ascii="宋体" w:hAnsi="宋体" w:cs="宋体"/>
                <w:bCs/>
                <w:color w:val="auto"/>
                <w:szCs w:val="21"/>
                <w:highlight w:val="none"/>
              </w:rPr>
              <w:t>双方协商是否支付预付款。</w:t>
            </w:r>
            <w:r>
              <w:rPr>
                <w:rFonts w:hint="eastAsia" w:ascii="宋体" w:hAnsi="宋体" w:cs="宋体"/>
                <w:bCs/>
                <w:color w:val="auto"/>
                <w:szCs w:val="21"/>
                <w:highlight w:val="none"/>
              </w:rPr>
              <w:t>如需支付预付款，</w:t>
            </w:r>
            <w:r>
              <w:rPr>
                <w:rFonts w:ascii="宋体" w:hAnsi="宋体" w:cs="宋体"/>
                <w:bCs/>
                <w:color w:val="auto"/>
                <w:szCs w:val="21"/>
                <w:highlight w:val="none"/>
              </w:rPr>
              <w:t>采购人委托有资质的造价咨询公司审定预算控制价并出具成果文件后10天内，采购人支付预算控制价的30%给中标人作为施工备料款。预付款在具体工程项目的第一期工程进度款中一次性抵扣，若预付款超过第一期工程进度款的，在此后应付工程进度款中继续抵扣直至抵扣完毕。</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双方约定的工程款（进度款）支付的方式和时间：</w:t>
            </w:r>
            <w:r>
              <w:rPr>
                <w:rFonts w:hint="eastAsia" w:ascii="宋体" w:hAnsi="宋体" w:cs="宋体"/>
                <w:bCs/>
                <w:color w:val="auto"/>
                <w:szCs w:val="21"/>
                <w:highlight w:val="none"/>
              </w:rPr>
              <w:t>单个施工项目合同</w:t>
            </w:r>
            <w:r>
              <w:rPr>
                <w:rFonts w:ascii="宋体" w:hAnsi="宋体" w:cs="宋体"/>
                <w:bCs/>
                <w:color w:val="auto"/>
                <w:szCs w:val="21"/>
                <w:highlight w:val="none"/>
              </w:rPr>
              <w:t>内工程进度款按实际完成工程量价款×（1-价格优惠率）的80%支付；</w:t>
            </w:r>
            <w:r>
              <w:rPr>
                <w:rFonts w:hint="eastAsia" w:ascii="宋体" w:hAnsi="宋体" w:cs="宋体"/>
                <w:bCs/>
                <w:color w:val="auto"/>
                <w:szCs w:val="21"/>
                <w:highlight w:val="none"/>
              </w:rPr>
              <w:t>单个施工项目合同</w:t>
            </w:r>
            <w:r>
              <w:rPr>
                <w:rFonts w:ascii="宋体" w:hAnsi="宋体" w:cs="宋体"/>
                <w:bCs/>
                <w:color w:val="auto"/>
                <w:szCs w:val="21"/>
                <w:highlight w:val="none"/>
              </w:rPr>
              <w:t>外新增工程量按实际完成工程量价款×（1-价格优惠率）的60%支付进度款。工程竣工验收合格，工程结算经采购人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审定后7个工作日内支付至结算总价的97%，扣除结算总价的3%作为质量保证金。保修期满，7个工作日内无息退还保证金给中标人。</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 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质保期</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质量保修期从工程实际竣工验收通过之日算起。分单项竣工验收的工程，按单项工程分别计算质量保修期。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双方根据《建设工程质量管理条例》及有关规定，约定工程的质量保修期如下：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1.地基基础工程和主体结构工程为设计文件规定的该工程合理使用年限；</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2.土建工程为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3.房屋防水工程、有防水要求的卫生间、房间和外墙的防渗为 5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4.电气管线、给排水管道、设备安装[含电气（器）、通风、照明、消防、防雷等设备]工程为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5.装修工程为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6.供热及供冷系统为 2 个供暖期及供冷期；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7.住宅小区内的给排水设施、道路等配套工程为 2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8.绿化工程为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9.市政工程为 1 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 xml:space="preserve">10.其他项目保修期限在没有明文规定下，参照建设工程质量保修条例，双方协商为设计文件规定的该工程的合理使用年限内保修。              </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11.</w:t>
            </w:r>
            <w:r>
              <w:rPr>
                <w:rFonts w:ascii="宋体" w:hAnsi="宋体" w:cs="宋体"/>
                <w:bCs/>
                <w:color w:val="auto"/>
                <w:szCs w:val="21"/>
                <w:highlight w:val="none"/>
              </w:rPr>
              <w:t>在质保期内零星修缮服务单位中标人应安排相关人员随时处理质量或故障问题。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pacing w:val="-4"/>
                <w:kern w:val="2"/>
                <w:sz w:val="21"/>
                <w:szCs w:val="21"/>
                <w:highlight w:val="none"/>
                <w:lang w:val="en-US" w:eastAsia="zh-CN" w:bidi="ar-SA"/>
              </w:rPr>
              <w:t>提供履约担保时间：中标人在收到中标通知书后，须在 10 日内向采购人提交履约担保。</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2.乙方提供履约担保的形式、金额、期限及退回：</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2.1形式：</w:t>
            </w:r>
            <w:r>
              <w:rPr>
                <w:rFonts w:hint="eastAsia" w:ascii="宋体" w:hAnsi="宋体" w:eastAsia="宋体" w:cs="宋体"/>
                <w:color w:val="auto"/>
                <w:spacing w:val="-4"/>
                <w:kern w:val="2"/>
                <w:sz w:val="21"/>
                <w:szCs w:val="21"/>
                <w:highlight w:val="none"/>
                <w:lang w:val="zh-CN" w:eastAsia="zh-CN" w:bidi="ar-SA"/>
              </w:rPr>
              <w:t>银行转账、支票、汇票、本票或者金融、担保机构出具的保函等非现金方式</w:t>
            </w:r>
            <w:r>
              <w:rPr>
                <w:rFonts w:hint="eastAsia" w:ascii="宋体" w:hAnsi="宋体" w:eastAsia="宋体" w:cs="宋体"/>
                <w:color w:val="auto"/>
                <w:spacing w:val="-4"/>
                <w:kern w:val="2"/>
                <w:sz w:val="21"/>
                <w:szCs w:val="21"/>
                <w:highlight w:val="none"/>
                <w:lang w:val="en-US" w:eastAsia="zh-CN" w:bidi="ar-SA"/>
              </w:rPr>
              <w:t xml:space="preserve"> 。</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2.2金额：</w:t>
            </w:r>
            <w:r>
              <w:rPr>
                <w:rFonts w:hint="eastAsia" w:ascii="宋体" w:hAnsi="宋体" w:eastAsia="宋体" w:cs="宋体"/>
                <w:color w:val="auto"/>
                <w:spacing w:val="-4"/>
                <w:kern w:val="2"/>
                <w:sz w:val="21"/>
                <w:szCs w:val="21"/>
                <w:highlight w:val="none"/>
                <w:u w:val="single"/>
                <w:lang w:val="en-US" w:eastAsia="zh-CN" w:bidi="ar-SA"/>
              </w:rPr>
              <w:t>履约担保金额为招标文件中规定的对应分标预算金额的</w:t>
            </w:r>
            <w:r>
              <w:rPr>
                <w:rFonts w:ascii="宋体" w:hAnsi="宋体" w:eastAsia="宋体" w:cs="宋体"/>
                <w:color w:val="auto"/>
                <w:spacing w:val="-4"/>
                <w:kern w:val="2"/>
                <w:sz w:val="21"/>
                <w:szCs w:val="21"/>
                <w:highlight w:val="none"/>
                <w:u w:val="single"/>
                <w:lang w:val="en-US" w:eastAsia="zh-CN" w:bidi="ar-SA"/>
              </w:rPr>
              <w:t>2%。</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kern w:val="2"/>
                <w:sz w:val="21"/>
                <w:szCs w:val="21"/>
                <w:highlight w:val="none"/>
                <w:lang w:val="en-US" w:eastAsia="zh-CN" w:bidi="ar-SA"/>
              </w:rPr>
              <w:t>2.3</w:t>
            </w:r>
            <w:r>
              <w:rPr>
                <w:rFonts w:hint="eastAsia" w:ascii="宋体" w:hAnsi="宋体" w:eastAsia="宋体" w:cs="宋体"/>
                <w:color w:val="auto"/>
                <w:spacing w:val="-4"/>
                <w:kern w:val="2"/>
                <w:sz w:val="21"/>
                <w:szCs w:val="21"/>
                <w:highlight w:val="none"/>
                <w:lang w:val="zh-CN" w:eastAsia="zh-CN" w:bidi="ar-SA"/>
              </w:rPr>
              <w:t>履约保证金退还时间：合同期满且</w:t>
            </w:r>
            <w:r>
              <w:rPr>
                <w:rFonts w:hint="eastAsia" w:ascii="宋体" w:hAnsi="宋体" w:eastAsia="宋体" w:cs="宋体"/>
                <w:color w:val="auto"/>
                <w:spacing w:val="-4"/>
                <w:kern w:val="2"/>
                <w:sz w:val="21"/>
                <w:szCs w:val="21"/>
                <w:highlight w:val="none"/>
                <w:lang w:val="en-US" w:eastAsia="zh-CN" w:bidi="ar-SA"/>
              </w:rPr>
              <w:t>乙方</w:t>
            </w:r>
            <w:r>
              <w:rPr>
                <w:rFonts w:hint="eastAsia" w:ascii="宋体" w:hAnsi="宋体" w:eastAsia="宋体" w:cs="宋体"/>
                <w:color w:val="auto"/>
                <w:spacing w:val="-4"/>
                <w:kern w:val="2"/>
                <w:sz w:val="21"/>
                <w:szCs w:val="21"/>
                <w:highlight w:val="none"/>
                <w:lang w:val="zh-CN" w:eastAsia="zh-CN" w:bidi="ar-SA"/>
              </w:rPr>
              <w:t>在服务期间无违约情况下；履约保证金由</w:t>
            </w:r>
            <w:r>
              <w:rPr>
                <w:rFonts w:hint="eastAsia" w:ascii="宋体" w:hAnsi="宋体" w:eastAsia="宋体" w:cs="宋体"/>
                <w:color w:val="auto"/>
                <w:spacing w:val="-4"/>
                <w:kern w:val="2"/>
                <w:sz w:val="21"/>
                <w:szCs w:val="21"/>
                <w:highlight w:val="none"/>
                <w:lang w:val="en-US" w:eastAsia="zh-CN" w:bidi="ar-SA"/>
              </w:rPr>
              <w:t>采购人</w:t>
            </w:r>
            <w:r>
              <w:rPr>
                <w:rFonts w:hint="eastAsia" w:ascii="宋体" w:hAnsi="宋体" w:eastAsia="宋体" w:cs="宋体"/>
                <w:color w:val="auto"/>
                <w:spacing w:val="-4"/>
                <w:kern w:val="2"/>
                <w:sz w:val="21"/>
                <w:szCs w:val="21"/>
                <w:highlight w:val="none"/>
                <w:lang w:val="zh-CN" w:eastAsia="zh-CN" w:bidi="ar-SA"/>
              </w:rPr>
              <w:t>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指定银行账户。如</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不按双方签订的合同规定履约的，则扣除相应的罚金后剩余部分一次性退回</w:t>
            </w:r>
            <w:r>
              <w:rPr>
                <w:rFonts w:hint="eastAsia" w:ascii="宋体" w:hAnsi="宋体" w:eastAsia="宋体" w:cs="宋体"/>
                <w:color w:val="auto"/>
                <w:spacing w:val="-4"/>
                <w:kern w:val="2"/>
                <w:sz w:val="21"/>
                <w:szCs w:val="21"/>
                <w:highlight w:val="none"/>
                <w:lang w:val="en-US" w:eastAsia="zh-CN" w:bidi="ar-SA"/>
              </w:rPr>
              <w:t>中标人</w:t>
            </w:r>
            <w:r>
              <w:rPr>
                <w:rFonts w:hint="eastAsia" w:ascii="宋体" w:hAnsi="宋体" w:eastAsia="宋体" w:cs="宋体"/>
                <w:color w:val="auto"/>
                <w:spacing w:val="-4"/>
                <w:kern w:val="2"/>
                <w:sz w:val="21"/>
                <w:szCs w:val="21"/>
                <w:highlight w:val="none"/>
                <w:lang w:val="zh-CN" w:eastAsia="zh-CN" w:bidi="ar-SA"/>
              </w:rPr>
              <w:t>指定银行账户。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lang w:val="zh-CN" w:eastAsia="zh-CN" w:bidi="ar-SA"/>
              </w:rPr>
            </w:pPr>
            <w:r>
              <w:rPr>
                <w:rFonts w:hint="eastAsia" w:ascii="宋体" w:hAnsi="宋体" w:eastAsia="宋体" w:cs="宋体"/>
                <w:color w:val="auto"/>
                <w:spacing w:val="-4"/>
                <w:kern w:val="2"/>
                <w:sz w:val="21"/>
                <w:szCs w:val="21"/>
                <w:highlight w:val="none"/>
                <w:lang w:val="en-US" w:eastAsia="zh-CN" w:bidi="ar-SA"/>
              </w:rPr>
              <w:t>2.4</w:t>
            </w:r>
            <w:r>
              <w:rPr>
                <w:rFonts w:hint="eastAsia" w:ascii="宋体" w:hAnsi="宋体" w:eastAsia="宋体" w:cs="宋体"/>
                <w:color w:val="auto"/>
                <w:spacing w:val="-4"/>
                <w:kern w:val="2"/>
                <w:sz w:val="21"/>
                <w:szCs w:val="21"/>
                <w:highlight w:val="none"/>
                <w:lang w:val="zh-CN" w:eastAsia="zh-CN" w:bidi="ar-SA"/>
              </w:rPr>
              <w:t>履约保证金指定账户：</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户名：广西医科大学</w:t>
            </w:r>
          </w:p>
          <w:p>
            <w:pPr>
              <w:widowControl w:val="0"/>
              <w:adjustRightInd w:val="0"/>
              <w:spacing w:line="360" w:lineRule="auto"/>
              <w:ind w:firstLine="404" w:firstLineChars="200"/>
              <w:jc w:val="both"/>
              <w:rPr>
                <w:rFonts w:hint="eastAsia" w:ascii="宋体" w:hAnsi="宋体" w:eastAsia="宋体" w:cs="宋体"/>
                <w:color w:val="auto"/>
                <w:spacing w:val="-4"/>
                <w:kern w:val="2"/>
                <w:sz w:val="21"/>
                <w:szCs w:val="21"/>
                <w:highlight w:val="none"/>
                <w:u w:val="single"/>
                <w:lang w:val="zh-CN" w:eastAsia="zh-CN" w:bidi="ar-SA"/>
              </w:rPr>
            </w:pPr>
            <w:r>
              <w:rPr>
                <w:rFonts w:hint="eastAsia" w:ascii="宋体" w:hAnsi="宋体" w:eastAsia="宋体" w:cs="宋体"/>
                <w:color w:val="auto"/>
                <w:spacing w:val="-4"/>
                <w:kern w:val="2"/>
                <w:sz w:val="21"/>
                <w:szCs w:val="21"/>
                <w:highlight w:val="none"/>
                <w:u w:val="single"/>
                <w:lang w:val="zh-CN" w:eastAsia="zh-CN" w:bidi="ar-SA"/>
              </w:rPr>
              <w:t>账号：</w:t>
            </w:r>
            <w:r>
              <w:rPr>
                <w:rFonts w:ascii="宋体" w:hAnsi="宋体" w:eastAsia="宋体" w:cs="宋体"/>
                <w:color w:val="auto"/>
                <w:spacing w:val="-4"/>
                <w:kern w:val="2"/>
                <w:sz w:val="21"/>
                <w:szCs w:val="21"/>
                <w:highlight w:val="none"/>
                <w:u w:val="single"/>
                <w:lang w:val="zh-CN" w:eastAsia="zh-CN" w:bidi="ar-SA"/>
              </w:rPr>
              <w:t>622357485287</w:t>
            </w:r>
          </w:p>
          <w:p>
            <w:pPr>
              <w:spacing w:line="380" w:lineRule="exact"/>
              <w:ind w:firstLine="420"/>
              <w:jc w:val="left"/>
              <w:rPr>
                <w:rFonts w:hint="eastAsia" w:ascii="宋体" w:hAnsi="宋体" w:cs="宋体"/>
                <w:color w:val="auto"/>
                <w:szCs w:val="21"/>
                <w:highlight w:val="none"/>
              </w:rPr>
            </w:pPr>
            <w:r>
              <w:rPr>
                <w:rFonts w:hint="eastAsia" w:ascii="宋体" w:hAnsi="宋体" w:eastAsia="宋体" w:cs="宋体"/>
                <w:color w:val="auto"/>
                <w:spacing w:val="-4"/>
                <w:kern w:val="2"/>
                <w:sz w:val="21"/>
                <w:szCs w:val="21"/>
                <w:highlight w:val="none"/>
                <w:u w:val="single"/>
                <w:lang w:val="zh-CN" w:eastAsia="zh-CN" w:bidi="ar-SA"/>
              </w:rPr>
              <w:t>开户银行：中行南宁市医科大支行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hAnsi="宋体" w:cs="宋体"/>
                <w:bCs/>
                <w:color w:val="auto"/>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hAnsi="宋体" w:cs="宋体"/>
                <w:b/>
                <w:color w:val="auto"/>
                <w:szCs w:val="21"/>
                <w:highlight w:val="none"/>
              </w:rPr>
              <w:t>其他</w:t>
            </w:r>
          </w:p>
        </w:tc>
        <w:tc>
          <w:tcPr>
            <w:tcW w:w="8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tbl>
      <w:tblPr>
        <w:tblStyle w:val="23"/>
        <w:tblW w:w="15104" w:type="dxa"/>
        <w:jc w:val="center"/>
        <w:tblLayout w:type="fixed"/>
        <w:tblCellMar>
          <w:top w:w="0" w:type="dxa"/>
          <w:left w:w="108" w:type="dxa"/>
          <w:bottom w:w="0" w:type="dxa"/>
          <w:right w:w="108" w:type="dxa"/>
        </w:tblCellMar>
      </w:tblPr>
      <w:tblGrid>
        <w:gridCol w:w="1005"/>
        <w:gridCol w:w="2205"/>
        <w:gridCol w:w="2638"/>
        <w:gridCol w:w="705"/>
        <w:gridCol w:w="3645"/>
        <w:gridCol w:w="645"/>
        <w:gridCol w:w="3571"/>
        <w:gridCol w:w="690"/>
      </w:tblGrid>
      <w:tr>
        <w:tblPrEx>
          <w:tblCellMar>
            <w:top w:w="0" w:type="dxa"/>
            <w:left w:w="108" w:type="dxa"/>
            <w:bottom w:w="0" w:type="dxa"/>
            <w:right w:w="108" w:type="dxa"/>
          </w:tblCellMar>
        </w:tblPrEx>
        <w:trPr>
          <w:trHeight w:val="38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广西医科大学零星修缮项目施工单位考核表</w:t>
            </w:r>
          </w:p>
        </w:tc>
      </w:tr>
      <w:tr>
        <w:tblPrEx>
          <w:tblCellMar>
            <w:top w:w="0" w:type="dxa"/>
            <w:left w:w="108" w:type="dxa"/>
            <w:bottom w:w="0" w:type="dxa"/>
            <w:right w:w="108" w:type="dxa"/>
          </w:tblCellMar>
        </w:tblPrEx>
        <w:trPr>
          <w:trHeight w:val="275" w:hRule="atLeast"/>
          <w:jc w:val="center"/>
        </w:trPr>
        <w:tc>
          <w:tcPr>
            <w:tcW w:w="5848"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施工单位： </w:t>
            </w:r>
          </w:p>
        </w:tc>
        <w:tc>
          <w:tcPr>
            <w:tcW w:w="9256"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项目名称： </w:t>
            </w:r>
          </w:p>
        </w:tc>
      </w:tr>
      <w:tr>
        <w:tblPrEx>
          <w:tblCellMar>
            <w:top w:w="0" w:type="dxa"/>
            <w:left w:w="108" w:type="dxa"/>
            <w:bottom w:w="0" w:type="dxa"/>
            <w:right w:w="108" w:type="dxa"/>
          </w:tblCellMar>
        </w:tblPrEx>
        <w:trPr>
          <w:trHeight w:val="275"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考核最终评分：</w:t>
            </w:r>
          </w:p>
        </w:tc>
      </w:tr>
      <w:tr>
        <w:tblPrEx>
          <w:tblCellMar>
            <w:top w:w="0" w:type="dxa"/>
            <w:left w:w="108" w:type="dxa"/>
            <w:bottom w:w="0" w:type="dxa"/>
            <w:right w:w="108" w:type="dxa"/>
          </w:tblCellMar>
        </w:tblPrEx>
        <w:trPr>
          <w:trHeight w:val="47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项目前期（满分20分）</w:t>
            </w:r>
          </w:p>
        </w:tc>
      </w:tr>
      <w:tr>
        <w:tblPrEx>
          <w:tblCellMar>
            <w:top w:w="0" w:type="dxa"/>
            <w:left w:w="108" w:type="dxa"/>
            <w:bottom w:w="0" w:type="dxa"/>
            <w:right w:w="108" w:type="dxa"/>
          </w:tblCellMar>
        </w:tblPrEx>
        <w:trPr>
          <w:trHeight w:val="45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25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★编制修缮方案及预算</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748"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★图纸方案、预算专业性</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方案清晰、图纸准确、预算无缺漏、预算金额准确</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方案图纸不准确、预算不清晰</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无方案、无图纸、无预算</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4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项目中期（满分40分）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紧急项目进场时间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56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★工程组织管理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管理人员到场情况、施工队组协调安排、安全文明施工</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管理人员遥控指挥、施工人员少</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无管理人员</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施工人员散漫</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1032"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★工程质量</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施工工艺按规范施工，设备材料按预算约定品牌参数供货</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施工工艺随意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未按规范施工</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56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★工程进度</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按期完成</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超总工期30%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1229"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组织协调情况</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能与建设各方积极主动进行沟通与协调，现场出现的各种问题都能够得到及时有效的解决</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ind w:firstLine="42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与建设各方能进行沟通与协调，个别问题因非监理方的责任不能及时解决，但未对工程实施造成影响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不能与建设各方形成有效沟通与协调，个别问题因非监理方的责任不能解决，给工程实施造成一定影响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412"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项目后期（满分25分）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4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★结算材料递交时间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竣工后5天内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竣工后7天内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竣工后10天内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3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项目结算书准确性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送审不超合同金额</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ind w:firstLine="42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送审超出合同金额3%以内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送审超出合同金额10%以内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项目竣工材料完整性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齐全、完整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3天内完成补充更改</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5天内完成补充更改</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55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★项目结算对数</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2天答复结算审计意见、积极、配合补充相应材料</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5天答复结算审计意见，补充相应材料</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7天答复结算审计意见，补充相应材料</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r>
      <w:tr>
        <w:tblPrEx>
          <w:tblCellMar>
            <w:top w:w="0" w:type="dxa"/>
            <w:left w:w="108" w:type="dxa"/>
            <w:bottom w:w="0" w:type="dxa"/>
            <w:right w:w="108" w:type="dxa"/>
          </w:tblCellMar>
        </w:tblPrEx>
        <w:trPr>
          <w:trHeight w:val="170"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使用部门满意程度（15分）</w:t>
            </w:r>
          </w:p>
        </w:tc>
      </w:tr>
      <w:tr>
        <w:tblPrEx>
          <w:tblCellMar>
            <w:top w:w="0" w:type="dxa"/>
            <w:left w:w="108" w:type="dxa"/>
            <w:bottom w:w="0" w:type="dxa"/>
            <w:right w:w="108" w:type="dxa"/>
          </w:tblCellMar>
        </w:tblPrEx>
        <w:trPr>
          <w:trHeight w:val="272"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pStyle w:val="22"/>
              <w:ind w:firstLine="0" w:firstLineChars="0"/>
              <w:jc w:val="center"/>
              <w:rPr>
                <w:color w:val="auto"/>
                <w:highlight w:val="none"/>
              </w:rPr>
            </w:pPr>
            <w:r>
              <w:rPr>
                <w:rFonts w:hint="eastAsia" w:hAnsi="宋体" w:cs="宋体"/>
                <w:b/>
                <w:bCs/>
                <w:color w:val="auto"/>
                <w:sz w:val="21"/>
                <w:szCs w:val="21"/>
                <w:highlight w:val="none"/>
                <w:lang w:bidi="ar"/>
              </w:rPr>
              <w:t>考核标准</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400"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使用部门满意程度</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ind w:firstLine="420"/>
              <w:jc w:val="center"/>
              <w:rPr>
                <w:color w:val="auto"/>
                <w:highlight w:val="none"/>
              </w:rPr>
            </w:pPr>
            <w:r>
              <w:rPr>
                <w:rFonts w:hint="eastAsia"/>
                <w:color w:val="auto"/>
                <w:highlight w:val="none"/>
              </w:rPr>
              <w:t>优（10.1-15分）</w:t>
            </w:r>
          </w:p>
          <w:p>
            <w:pPr>
              <w:pStyle w:val="22"/>
              <w:spacing w:line="240" w:lineRule="auto"/>
              <w:ind w:firstLine="0" w:firstLineChars="0"/>
              <w:rPr>
                <w:rFonts w:hint="eastAsia" w:hAnsi="宋体" w:cs="宋体"/>
                <w:color w:val="auto"/>
                <w:sz w:val="21"/>
                <w:szCs w:val="21"/>
                <w:highlight w:val="none"/>
                <w:lang w:bidi="ar"/>
              </w:rPr>
            </w:pPr>
            <w:r>
              <w:rPr>
                <w:rFonts w:hint="eastAsia" w:hAnsi="宋体" w:cs="宋体"/>
                <w:color w:val="auto"/>
                <w:sz w:val="21"/>
                <w:szCs w:val="21"/>
                <w:highlight w:val="none"/>
                <w:lang w:bidi="ar"/>
              </w:rPr>
              <w:t>主要根据对项目日常工作对接和配合度，服务的及时性、项目管理的规范性、完工后的售后质保服务等方面进行评价，服务质量投诉1次</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良（5.1-10分）</w:t>
            </w:r>
          </w:p>
          <w:p>
            <w:pPr>
              <w:pStyle w:val="22"/>
              <w:spacing w:line="240" w:lineRule="auto"/>
              <w:ind w:firstLine="0" w:firstLineChars="0"/>
              <w:rPr>
                <w:color w:val="auto"/>
                <w:sz w:val="24"/>
                <w:highlight w:val="none"/>
                <w:lang w:bidi="ar"/>
              </w:rPr>
            </w:pPr>
            <w:r>
              <w:rPr>
                <w:rFonts w:hint="eastAsia" w:hAnsi="宋体" w:cs="宋体"/>
                <w:color w:val="auto"/>
                <w:sz w:val="21"/>
                <w:szCs w:val="21"/>
                <w:highlight w:val="none"/>
                <w:lang w:bidi="ar"/>
              </w:rPr>
              <w:t>主要根据对项目日常工作对接和配合度，服务的及时性、项目管理的规范性、完工后的售后质保服务等方面进行评价，服务质量投诉2次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差（0-5分）</w:t>
            </w:r>
          </w:p>
          <w:p>
            <w:pPr>
              <w:widowControl/>
              <w:ind w:firstLine="420"/>
              <w:jc w:val="center"/>
              <w:textAlignment w:val="center"/>
              <w:rPr>
                <w:rFonts w:ascii="宋体"/>
                <w:color w:val="auto"/>
                <w:kern w:val="0"/>
                <w:sz w:val="24"/>
                <w:szCs w:val="20"/>
                <w:highlight w:val="none"/>
                <w:lang w:bidi="ar"/>
              </w:rPr>
            </w:pPr>
            <w:r>
              <w:rPr>
                <w:rFonts w:hint="eastAsia" w:ascii="宋体" w:hAnsi="宋体" w:cs="宋体"/>
                <w:color w:val="auto"/>
                <w:kern w:val="0"/>
                <w:szCs w:val="21"/>
                <w:highlight w:val="none"/>
                <w:lang w:bidi="ar"/>
              </w:rPr>
              <w:t>主要根据对项目日常工作对接和配合度，服务的及时性、项目管理的规范性、完工后的售后质保服务等方面进行评价，服务质量投诉2次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r>
    </w:tbl>
    <w:p>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6分标：校本部设计服务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3"/>
        <w:gridCol w:w="658"/>
        <w:gridCol w:w="6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color w:val="auto"/>
                <w:szCs w:val="21"/>
                <w:highlight w:val="none"/>
              </w:rPr>
              <w:t>6分标：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360" w:lineRule="auto"/>
              <w:jc w:val="center"/>
              <w:rPr>
                <w:rFonts w:hint="eastAsia" w:ascii="宋体" w:hAnsi="宋体" w:cs="宋体"/>
                <w:b/>
                <w:color w:val="auto"/>
                <w:szCs w:val="21"/>
                <w:highlight w:val="none"/>
              </w:rPr>
            </w:pPr>
          </w:p>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8"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3"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校本部设计服务</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3" w:type="dxa"/>
            <w:vAlign w:val="center"/>
          </w:tcPr>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服务范围：广西医科大学校本部等范围内的零星修缮建设项目</w:t>
            </w:r>
          </w:p>
          <w:p>
            <w:pPr>
              <w:spacing w:line="360" w:lineRule="auto"/>
              <w:ind w:firstLine="420" w:firstLineChars="200"/>
              <w:rPr>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w:t>
            </w:r>
            <w:r>
              <w:rPr>
                <w:rFonts w:hint="eastAsia" w:ascii="宋体" w:hAnsi="宋体"/>
                <w:color w:val="auto"/>
                <w:szCs w:val="21"/>
                <w:highlight w:val="none"/>
              </w:rPr>
              <w:t xml:space="preserve"> 合同有效期</w:t>
            </w:r>
            <w:r>
              <w:rPr>
                <w:rFonts w:ascii="宋体" w:hAnsi="宋体" w:cs="宋体"/>
                <w:bCs/>
                <w:color w:val="auto"/>
                <w:szCs w:val="21"/>
                <w:highlight w:val="none"/>
              </w:rPr>
              <w:t>：</w:t>
            </w:r>
            <w:r>
              <w:rPr>
                <w:rFonts w:hint="eastAsia" w:ascii="宋体" w:hAnsi="宋体"/>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jc w:val="both"/>
              <w:rPr>
                <w:rFonts w:hint="eastAsia" w:ascii="宋体" w:hAnsi="宋体" w:cs="宋体"/>
                <w:bCs/>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具体服务内容：设计咨询服务具体内容与工作开始时间由采购人视项目具体情况另行明确；具体实施项目以采购人的职能部门下发的任务委托书为准。包括但不限于</w:t>
            </w:r>
          </w:p>
          <w:p>
            <w:pPr>
              <w:ind w:firstLine="420"/>
              <w:jc w:val="left"/>
              <w:rPr>
                <w:rFonts w:hint="eastAsia" w:ascii="宋体" w:hAnsi="宋体" w:cs="宋体"/>
                <w:bCs/>
                <w:color w:val="auto"/>
                <w:szCs w:val="21"/>
                <w:highlight w:val="none"/>
              </w:rPr>
            </w:pPr>
            <w:r>
              <w:rPr>
                <w:rFonts w:ascii="宋体" w:hAnsi="宋体" w:cs="宋体"/>
                <w:bCs/>
                <w:color w:val="auto"/>
                <w:szCs w:val="21"/>
                <w:highlight w:val="none"/>
              </w:rPr>
              <w:t>（1）编制和评估项目建议书、编制和评估可行性研究报告，以及其他与建设项目前期工作有关的咨询服务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根据采购人的委托，提供编制本校零星修缮建设项目方案设计文件、初步设计文件、设计概算、施工图设计文件（包含平面图及效果图）、施工图预算文件、竣工图文件</w:t>
            </w:r>
            <w:r>
              <w:rPr>
                <w:rFonts w:hint="eastAsia" w:ascii="宋体" w:hAnsi="宋体" w:cs="宋体"/>
                <w:bCs/>
                <w:color w:val="auto"/>
                <w:szCs w:val="21"/>
                <w:highlight w:val="none"/>
              </w:rPr>
              <w:t>（</w:t>
            </w:r>
            <w:r>
              <w:rPr>
                <w:rFonts w:ascii="宋体" w:hAnsi="宋体" w:cs="宋体"/>
                <w:bCs/>
                <w:color w:val="auto"/>
                <w:szCs w:val="21"/>
                <w:highlight w:val="none"/>
              </w:rPr>
              <w:t>包括：建筑、结构、装饰装修、暖通、水电、消防、智能化等专业的</w:t>
            </w:r>
            <w:r>
              <w:rPr>
                <w:rFonts w:hint="eastAsia" w:ascii="宋体" w:hAnsi="宋体" w:cs="宋体"/>
                <w:bCs/>
                <w:color w:val="auto"/>
                <w:szCs w:val="21"/>
                <w:highlight w:val="none"/>
              </w:rPr>
              <w:t>施工图纸、竣工</w:t>
            </w:r>
            <w:r>
              <w:rPr>
                <w:rFonts w:ascii="宋体" w:hAnsi="宋体" w:cs="宋体"/>
                <w:bCs/>
                <w:color w:val="auto"/>
                <w:szCs w:val="21"/>
                <w:highlight w:val="none"/>
              </w:rPr>
              <w:t>图纸设计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相应提供设计技术交底、解决施工中的设计技术问题、参加试车考核和竣工验收等服务。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涉及安全、结构变动消防等施工内容，还须出具设计变更文件。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（5）其他与项目相关的要求。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.项目负责人须具备二级及以上注册建筑师执业资格，且有副高级工程师（含以上级）职称证书。</w:t>
            </w:r>
            <w:r>
              <w:rPr>
                <w:rFonts w:hint="eastAsia"/>
                <w:color w:val="auto"/>
                <w:highlight w:val="none"/>
              </w:rPr>
              <w:t>（需在投标文件中提供</w:t>
            </w:r>
            <w:r>
              <w:rPr>
                <w:rFonts w:hint="eastAsia" w:ascii="Times New Roman" w:hAnsi="Times New Roman" w:eastAsia="宋体" w:cs="Times New Roman"/>
                <w:color w:val="auto"/>
                <w:kern w:val="2"/>
                <w:sz w:val="21"/>
                <w:szCs w:val="24"/>
                <w:highlight w:val="none"/>
                <w:lang w:val="en-US" w:eastAsia="zh-CN" w:bidi="ar-SA"/>
              </w:rPr>
              <w:t>拟投入</w:t>
            </w:r>
            <w:r>
              <w:rPr>
                <w:rFonts w:hint="eastAsia"/>
                <w:color w:val="auto"/>
                <w:highlight w:val="none"/>
                <w:lang w:eastAsia="zh-CN"/>
              </w:rPr>
              <w:t>本项目项目负责人</w:t>
            </w:r>
            <w:r>
              <w:rPr>
                <w:rFonts w:hint="eastAsia"/>
                <w:color w:val="auto"/>
                <w:highlight w:val="none"/>
              </w:rPr>
              <w:t>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三、设计主要职责范围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1.方案设计阶段：本阶段中，</w:t>
            </w:r>
            <w:r>
              <w:rPr>
                <w:rFonts w:hint="eastAsia" w:ascii="宋体" w:hAnsi="宋体" w:cs="宋体"/>
                <w:bCs/>
                <w:color w:val="auto"/>
                <w:szCs w:val="21"/>
                <w:highlight w:val="none"/>
              </w:rPr>
              <w:t>服务单位</w:t>
            </w:r>
            <w:r>
              <w:rPr>
                <w:rFonts w:ascii="宋体" w:hAnsi="宋体" w:cs="宋体"/>
                <w:bCs/>
                <w:color w:val="auto"/>
                <w:szCs w:val="21"/>
                <w:highlight w:val="none"/>
              </w:rPr>
              <w:t>根据采购人提供的设计任务书及现场勘察情况，平面布局初步意向方案及对概念设计的意见，在合理情况下规划设计区域内的平面功能定位，形成各区域的平面布置图，提供装饰饰面材料的意向配搭并通过空间手绘草图或电脑彩色效果图等主要空间进行设计概念表达。在征求采购人对平面布局方案及对概念设计的意见后，</w:t>
            </w:r>
            <w:r>
              <w:rPr>
                <w:rFonts w:hint="eastAsia" w:ascii="宋体" w:hAnsi="宋体" w:cs="宋体"/>
                <w:bCs/>
                <w:color w:val="auto"/>
                <w:szCs w:val="21"/>
                <w:highlight w:val="none"/>
              </w:rPr>
              <w:t>服务单位</w:t>
            </w:r>
            <w:r>
              <w:rPr>
                <w:rFonts w:ascii="宋体" w:hAnsi="宋体" w:cs="宋体"/>
                <w:bCs/>
                <w:color w:val="auto"/>
                <w:szCs w:val="21"/>
                <w:highlight w:val="none"/>
              </w:rPr>
              <w:t>提供完整的平面布置图、主要空间电脑彩色效果图、主要空间剖立面图、重点区域节点图。</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2.初步设计阶段</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1）负责完成并制作建筑、结构、给排水、暖通空调、电气、初设概算编制等专业的初步设计文件，设计内容和深度应满足政府相关规定；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2）制作报相关部门进行初步设计审查的设计图纸，配合采购人进行各相关部门的报审工作，提供相关的工程参数，并负责有关解释和修改。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施工图设计阶段：包括但不限于施工图深度的总平面布置图、结施、建施、水施、电施、立面图、剖面图、重要施工节点详图、局部剖面详图等。设计内容应满足国家、广西、南宁市现行有关法规、规范、技术管理规定要求的设计内容，并提供施工图预算。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将根据采购人对于方案设计的意见，进行制作最终的全套施工图文件。设计范围内所有区域的整套施工图纸。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4.施工阶段配合：包括但不限于负责设计交底、施工过程中出现的问题，并提供解决方案，根据工程要求，提交设计变更以指导现场施工。在本阶段中，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将对整套施工图进行技术交底并审核实施过程中产生的任何的变更图纸，对项目施工现场进行全程技术支持，复核并调整设计与现场的误差，并配合采购人审核竣工图纸。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5.竣工验收阶段配合：编制合格的竣工图文件，参加竣工验收。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6.服务周期：前述</w:t>
            </w:r>
            <w:r>
              <w:rPr>
                <w:rFonts w:hint="eastAsia" w:ascii="宋体" w:hAnsi="宋体" w:cs="宋体"/>
                <w:bCs/>
                <w:color w:val="auto"/>
                <w:szCs w:val="21"/>
                <w:highlight w:val="none"/>
              </w:rPr>
              <w:t>第1</w:t>
            </w:r>
            <w:r>
              <w:rPr>
                <w:rFonts w:ascii="宋体" w:hAnsi="宋体" w:cs="宋体"/>
                <w:bCs/>
                <w:color w:val="auto"/>
                <w:szCs w:val="21"/>
                <w:highlight w:val="none"/>
              </w:rPr>
              <w:t>、</w:t>
            </w:r>
            <w:r>
              <w:rPr>
                <w:rFonts w:hint="eastAsia" w:ascii="宋体" w:hAnsi="宋体" w:cs="宋体"/>
                <w:bCs/>
                <w:color w:val="auto"/>
                <w:szCs w:val="21"/>
                <w:highlight w:val="none"/>
              </w:rPr>
              <w:t>第</w:t>
            </w:r>
            <w:r>
              <w:rPr>
                <w:rFonts w:ascii="宋体" w:hAnsi="宋体" w:cs="宋体"/>
                <w:bCs/>
                <w:color w:val="auto"/>
                <w:szCs w:val="21"/>
                <w:highlight w:val="none"/>
              </w:rPr>
              <w:t>2阶段应在10个日历日完成，</w:t>
            </w:r>
            <w:r>
              <w:rPr>
                <w:rFonts w:hint="eastAsia" w:ascii="宋体" w:hAnsi="宋体" w:cs="宋体"/>
                <w:bCs/>
                <w:color w:val="auto"/>
                <w:szCs w:val="21"/>
                <w:highlight w:val="none"/>
              </w:rPr>
              <w:t>第3</w:t>
            </w:r>
            <w:r>
              <w:rPr>
                <w:rFonts w:ascii="宋体" w:hAnsi="宋体" w:cs="宋体"/>
                <w:bCs/>
                <w:color w:val="auto"/>
                <w:szCs w:val="21"/>
                <w:highlight w:val="none"/>
              </w:rPr>
              <w:t xml:space="preserve">阶段应持续到施工验收结束。具体设计范围、服务周期以采购人发出的设计任务书为准。     </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四、工程设计内容及深度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1.设计原则：严格执行国家、行业现行的技术规范、标准、规程进行工程设计，且能够全面满足采购人的需求，按合同规定的进度要求提交质量合格的设计资料，并对其负责。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2.设计深度：达到国家、广西及南宁市有关建设工程设计管理法规规范、设计标准、设计管理规定的要求的深度。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3.设计合理使用年限为现行国家标准、规范规定的年限。</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五、服务要求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服务单位</w:t>
            </w:r>
            <w:r>
              <w:rPr>
                <w:rFonts w:ascii="宋体" w:hAnsi="宋体" w:cs="宋体"/>
                <w:bCs/>
                <w:color w:val="auto"/>
                <w:szCs w:val="21"/>
                <w:highlight w:val="none"/>
              </w:rPr>
              <w:t>应保护</w:t>
            </w:r>
            <w:r>
              <w:rPr>
                <w:rFonts w:hint="eastAsia" w:ascii="宋体" w:hAnsi="宋体" w:cs="宋体"/>
                <w:bCs/>
                <w:color w:val="auto"/>
                <w:szCs w:val="21"/>
                <w:highlight w:val="none"/>
              </w:rPr>
              <w:t>采购人</w:t>
            </w:r>
            <w:r>
              <w:rPr>
                <w:rFonts w:ascii="宋体" w:hAnsi="宋体" w:cs="宋体"/>
                <w:bCs/>
                <w:color w:val="auto"/>
                <w:szCs w:val="21"/>
                <w:highlight w:val="none"/>
              </w:rPr>
              <w:t>的知识产权，不得向第三人泄露、转让采购人提交的产品图纸等技术经济资料。如发生以上情况并给采购人造成经济损失，采购人有权向</w:t>
            </w:r>
            <w:r>
              <w:rPr>
                <w:rFonts w:hint="eastAsia" w:ascii="宋体" w:hAnsi="宋体" w:cs="宋体"/>
                <w:bCs/>
                <w:color w:val="auto"/>
                <w:szCs w:val="21"/>
                <w:highlight w:val="none"/>
              </w:rPr>
              <w:t>服务单位</w:t>
            </w:r>
            <w:r>
              <w:rPr>
                <w:rFonts w:ascii="宋体" w:hAnsi="宋体" w:cs="宋体"/>
                <w:bCs/>
                <w:color w:val="auto"/>
                <w:szCs w:val="21"/>
                <w:highlight w:val="none"/>
              </w:rPr>
              <w:t>索赔。</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2.严格遵守职业道德，不徇私舞弊，不接受贿赂，不接受吃请，积极维护采购人权益，优质完成采购人所委托的设计业务，严格按合同对工程进行设计服务。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.拟投入工程设计人员具有独立相似的工程建设项目设计服务业绩；具有良好的职业道德和较强的协调沟通能力</w:t>
            </w:r>
            <w:r>
              <w:rPr>
                <w:rFonts w:hint="eastAsia" w:ascii="宋体" w:hAnsi="宋体" w:cs="宋体"/>
                <w:bCs/>
                <w:color w:val="auto"/>
                <w:szCs w:val="21"/>
                <w:highlight w:val="none"/>
              </w:rPr>
              <w:t>；</w:t>
            </w:r>
            <w:r>
              <w:rPr>
                <w:rFonts w:ascii="宋体" w:hAnsi="宋体" w:cs="宋体"/>
                <w:bCs/>
                <w:color w:val="auto"/>
                <w:szCs w:val="21"/>
                <w:highlight w:val="none"/>
              </w:rPr>
              <w:t>具有较强的工作责任感和敬业精神</w:t>
            </w:r>
            <w:r>
              <w:rPr>
                <w:rFonts w:hint="eastAsia" w:ascii="宋体" w:hAnsi="宋体" w:cs="宋体"/>
                <w:bCs/>
                <w:color w:val="auto"/>
                <w:szCs w:val="21"/>
                <w:highlight w:val="none"/>
              </w:rPr>
              <w:t>；</w:t>
            </w:r>
            <w:r>
              <w:rPr>
                <w:rFonts w:ascii="宋体" w:hAnsi="宋体" w:cs="宋体"/>
                <w:bCs/>
                <w:color w:val="auto"/>
                <w:szCs w:val="21"/>
                <w:highlight w:val="none"/>
              </w:rPr>
              <w:t>未经采购人同意不得变更设计人员。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不得无故拒绝采购人的项目委托。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.按采购人要求、按时、按质完成采购人委派的相关服务内容，及时解决服务过程中发生的各项问题，保证服务内容能够按时按质按量完成，并保证提供的服务成果能够满足通过有关部门的评审或备案。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.因工作需要，需现场考察、勘察的，</w:t>
            </w:r>
            <w:r>
              <w:rPr>
                <w:rFonts w:hint="eastAsia" w:ascii="宋体" w:hAnsi="宋体" w:cs="宋体"/>
                <w:bCs/>
                <w:color w:val="auto"/>
                <w:szCs w:val="21"/>
                <w:highlight w:val="none"/>
              </w:rPr>
              <w:t>服务单位</w:t>
            </w:r>
            <w:r>
              <w:rPr>
                <w:rFonts w:ascii="宋体" w:hAnsi="宋体" w:cs="宋体"/>
                <w:bCs/>
                <w:color w:val="auto"/>
                <w:szCs w:val="21"/>
                <w:highlight w:val="none"/>
              </w:rPr>
              <w:t>应积极配合，不得拒绝。</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7</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应积极响应采购人提出的疑问，尽快做出答复。</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.成果文件提供的数量满足采购人的要求。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9</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在施工过程中需根据</w:t>
            </w:r>
            <w:r>
              <w:rPr>
                <w:rFonts w:hint="eastAsia" w:ascii="宋体" w:hAnsi="宋体" w:cs="宋体"/>
                <w:bCs/>
                <w:color w:val="auto"/>
                <w:szCs w:val="21"/>
                <w:highlight w:val="none"/>
              </w:rPr>
              <w:t>采购人</w:t>
            </w:r>
            <w:r>
              <w:rPr>
                <w:rFonts w:ascii="宋体" w:hAnsi="宋体" w:cs="宋体"/>
                <w:bCs/>
                <w:color w:val="auto"/>
                <w:szCs w:val="21"/>
                <w:highlight w:val="none"/>
              </w:rPr>
              <w:t>提出要求及实际情况进行跟踪服务，完善成果文件直至项目竣工验收合格。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10</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不得将设计服务转包第三方。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两次不响应采购人委派任务的，列为不合格供应商。</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12.服务单位被</w:t>
            </w:r>
            <w:r>
              <w:rPr>
                <w:rFonts w:ascii="宋体" w:hAnsi="宋体" w:cs="宋体"/>
                <w:bCs/>
                <w:color w:val="auto"/>
                <w:szCs w:val="21"/>
                <w:highlight w:val="none"/>
              </w:rPr>
              <w:t>列为不合格供应商的</w:t>
            </w:r>
            <w:r>
              <w:rPr>
                <w:rFonts w:hint="eastAsia" w:ascii="宋体" w:hAnsi="宋体" w:cs="宋体"/>
                <w:bCs/>
                <w:color w:val="auto"/>
                <w:szCs w:val="21"/>
                <w:highlight w:val="none"/>
              </w:rPr>
              <w:t>，</w:t>
            </w:r>
            <w:r>
              <w:rPr>
                <w:rFonts w:ascii="宋体" w:hAnsi="宋体" w:cs="宋体"/>
                <w:bCs/>
                <w:color w:val="auto"/>
                <w:szCs w:val="21"/>
                <w:highlight w:val="none"/>
              </w:rPr>
              <w:t>不能再参与采购人项目。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如未在规定时间内提供完整的设计成果文件及咨询资料成果文件，经采购人催促后</w:t>
            </w:r>
            <w:r>
              <w:rPr>
                <w:rFonts w:hint="eastAsia" w:ascii="宋体" w:hAnsi="宋体" w:cs="宋体"/>
                <w:bCs/>
                <w:color w:val="auto"/>
                <w:szCs w:val="21"/>
                <w:highlight w:val="none"/>
              </w:rPr>
              <w:t>7</w:t>
            </w:r>
            <w:r>
              <w:rPr>
                <w:rFonts w:ascii="宋体" w:hAnsi="宋体" w:cs="宋体"/>
                <w:bCs/>
                <w:color w:val="auto"/>
                <w:szCs w:val="21"/>
                <w:highlight w:val="none"/>
              </w:rPr>
              <w:t>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责任由服务单位自负。</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14.其他：服务范围包括</w:t>
            </w:r>
            <w:r>
              <w:rPr>
                <w:rFonts w:hint="eastAsia" w:ascii="宋体" w:hAnsi="宋体" w:cs="宋体"/>
                <w:bCs/>
                <w:color w:val="auto"/>
                <w:szCs w:val="21"/>
                <w:highlight w:val="none"/>
              </w:rPr>
              <w:t>采购</w:t>
            </w:r>
            <w:r>
              <w:rPr>
                <w:rFonts w:ascii="宋体" w:hAnsi="宋体" w:cs="宋体"/>
                <w:bCs/>
                <w:color w:val="auto"/>
                <w:szCs w:val="21"/>
                <w:highlight w:val="none"/>
              </w:rPr>
              <w:t>人指定的校本部在内的广西医科大学所有范围内实施的项目，并根据</w:t>
            </w:r>
            <w:r>
              <w:rPr>
                <w:rFonts w:hint="eastAsia" w:ascii="宋体" w:hAnsi="宋体" w:cs="宋体"/>
                <w:bCs/>
                <w:color w:val="auto"/>
                <w:szCs w:val="21"/>
                <w:highlight w:val="none"/>
              </w:rPr>
              <w:t>采购</w:t>
            </w:r>
            <w:r>
              <w:rPr>
                <w:rFonts w:ascii="宋体" w:hAnsi="宋体" w:cs="宋体"/>
                <w:bCs/>
                <w:color w:val="auto"/>
                <w:szCs w:val="21"/>
                <w:highlight w:val="none"/>
              </w:rPr>
              <w:t>人需要完成其他类型建设项目设计服务。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9"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报价方式：按价格优惠率报价（保留小数点后2位），20%＜投标报价价格优惠率≤100%。（1）本项目采用价格优惠率报价，即设计服务费结算价=各个具体工程项目按计费标准参照《广西壮族自治区工程建设其他费用定额》（桂建标〔2018〕37号）得出的设计费×（1-价格优惠率），例如：某具体工程项目按计费标准参照《广西壮族自治区工程建设其他费用定额》（桂建标〔2018〕37号）得出的设计费为100万，结算价=100万×（1-价格优惠率50%）=50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服务期限内中标人的价格优惠率按投标时承诺的不变。</w:t>
            </w:r>
          </w:p>
          <w:p>
            <w:pPr>
              <w:spacing w:line="420" w:lineRule="exact"/>
              <w:ind w:firstLine="420"/>
              <w:jc w:val="left"/>
              <w:rPr>
                <w:color w:val="auto"/>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报价时应考虑中标后承诺各个项目所需的全部费用，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设计服务的价格应综合考虑完成具体工程项目设计工作的所有费用（含</w:t>
            </w:r>
            <w:r>
              <w:rPr>
                <w:rFonts w:hint="eastAsia" w:ascii="宋体" w:hAnsi="宋体" w:cs="宋体"/>
                <w:bCs/>
                <w:color w:val="auto"/>
                <w:szCs w:val="21"/>
                <w:highlight w:val="none"/>
              </w:rPr>
              <w:t>项目咨询及设计工作</w:t>
            </w:r>
            <w:r>
              <w:rPr>
                <w:rFonts w:ascii="宋体" w:hAnsi="宋体" w:cs="宋体"/>
                <w:bCs/>
                <w:color w:val="auto"/>
                <w:szCs w:val="21"/>
                <w:highlight w:val="none"/>
              </w:rPr>
              <w:t>劳务</w:t>
            </w:r>
            <w:r>
              <w:rPr>
                <w:rFonts w:hint="eastAsia" w:ascii="宋体" w:hAnsi="宋体" w:cs="宋体"/>
                <w:bCs/>
                <w:color w:val="auto"/>
                <w:szCs w:val="21"/>
                <w:highlight w:val="none"/>
              </w:rPr>
              <w:t>费、技术服务费、车辆往返施工现场的交通费、通讯费、办公场地费</w:t>
            </w:r>
            <w:r>
              <w:rPr>
                <w:rFonts w:ascii="宋体" w:hAnsi="宋体" w:cs="宋体"/>
                <w:bCs/>
                <w:color w:val="auto"/>
                <w:szCs w:val="21"/>
                <w:highlight w:val="none"/>
              </w:rPr>
              <w:t>、管理</w:t>
            </w:r>
            <w:r>
              <w:rPr>
                <w:rFonts w:hint="eastAsia" w:ascii="宋体" w:hAnsi="宋体" w:cs="宋体"/>
                <w:bCs/>
                <w:color w:val="auto"/>
                <w:szCs w:val="21"/>
                <w:highlight w:val="none"/>
              </w:rPr>
              <w:t>费</w:t>
            </w:r>
            <w:r>
              <w:rPr>
                <w:rFonts w:ascii="宋体" w:hAnsi="宋体" w:cs="宋体"/>
                <w:bCs/>
                <w:color w:val="auto"/>
                <w:szCs w:val="21"/>
                <w:highlight w:val="none"/>
              </w:rPr>
              <w:t>、图纸资料、保险</w:t>
            </w:r>
            <w:r>
              <w:rPr>
                <w:rFonts w:hint="eastAsia" w:ascii="宋体" w:hAnsi="宋体" w:cs="宋体"/>
                <w:bCs/>
                <w:color w:val="auto"/>
                <w:szCs w:val="21"/>
                <w:highlight w:val="none"/>
              </w:rPr>
              <w:t>费</w:t>
            </w:r>
            <w:r>
              <w:rPr>
                <w:rFonts w:ascii="宋体" w:hAnsi="宋体" w:cs="宋体"/>
                <w:bCs/>
                <w:color w:val="auto"/>
                <w:szCs w:val="21"/>
                <w:highlight w:val="none"/>
              </w:rPr>
              <w:t>、利润、</w:t>
            </w:r>
            <w:r>
              <w:rPr>
                <w:rFonts w:hint="eastAsia" w:ascii="宋体" w:hAnsi="宋体" w:cs="宋体"/>
                <w:bCs/>
                <w:color w:val="auto"/>
                <w:szCs w:val="21"/>
                <w:highlight w:val="none"/>
              </w:rPr>
              <w:t>各项</w:t>
            </w:r>
            <w:r>
              <w:rPr>
                <w:rFonts w:ascii="宋体" w:hAnsi="宋体" w:cs="宋体"/>
                <w:bCs/>
                <w:color w:val="auto"/>
                <w:szCs w:val="21"/>
                <w:highlight w:val="none"/>
              </w:rPr>
              <w:t>税金、政策性文件规定费用及合同包含的</w:t>
            </w:r>
            <w:r>
              <w:rPr>
                <w:rFonts w:hint="eastAsia" w:ascii="宋体" w:hAnsi="宋体" w:cs="宋体"/>
                <w:bCs/>
                <w:color w:val="auto"/>
                <w:szCs w:val="21"/>
                <w:highlight w:val="none"/>
              </w:rPr>
              <w:t>所</w:t>
            </w:r>
            <w:r>
              <w:rPr>
                <w:rFonts w:ascii="宋体" w:hAnsi="宋体" w:cs="宋体"/>
                <w:bCs/>
                <w:color w:val="auto"/>
                <w:szCs w:val="21"/>
                <w:highlight w:val="none"/>
              </w:rPr>
              <w:t>有风险、责任等各项</w:t>
            </w:r>
            <w:r>
              <w:rPr>
                <w:rFonts w:hint="eastAsia" w:ascii="宋体" w:hAnsi="宋体" w:cs="宋体"/>
                <w:bCs/>
                <w:color w:val="auto"/>
                <w:szCs w:val="21"/>
                <w:highlight w:val="none"/>
              </w:rPr>
              <w:t>相关</w:t>
            </w:r>
            <w:r>
              <w:rPr>
                <w:rFonts w:ascii="宋体" w:hAnsi="宋体" w:cs="宋体"/>
                <w:bCs/>
                <w:color w:val="auto"/>
                <w:szCs w:val="21"/>
                <w:highlight w:val="none"/>
              </w:rPr>
              <w:t>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3.本分标预算金额为</w:t>
            </w:r>
            <w:r>
              <w:rPr>
                <w:rFonts w:hint="eastAsia" w:ascii="宋体" w:hAnsi="宋体" w:cs="宋体"/>
                <w:bCs/>
                <w:color w:val="auto"/>
                <w:szCs w:val="21"/>
                <w:highlight w:val="none"/>
              </w:rPr>
              <w:t>60</w:t>
            </w:r>
            <w:r>
              <w:rPr>
                <w:rFonts w:ascii="宋体" w:hAnsi="宋体" w:cs="宋体"/>
                <w:bCs/>
                <w:color w:val="auto"/>
                <w:szCs w:val="21"/>
                <w:highlight w:val="none"/>
              </w:rPr>
              <w:t>万元</w:t>
            </w:r>
            <w:r>
              <w:rPr>
                <w:rFonts w:hint="eastAsia" w:ascii="宋体" w:hAnsi="宋体" w:cs="宋体"/>
                <w:bCs/>
                <w:color w:val="auto"/>
                <w:szCs w:val="21"/>
                <w:highlight w:val="none"/>
              </w:rPr>
              <w:t>，</w:t>
            </w:r>
            <w:r>
              <w:rPr>
                <w:rFonts w:ascii="宋体" w:hAnsi="宋体" w:cs="宋体"/>
                <w:bCs/>
                <w:color w:val="auto"/>
                <w:szCs w:val="21"/>
                <w:highlight w:val="none"/>
              </w:rPr>
              <w:t>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1.分阶段提供设计服务的情况：</w:t>
            </w:r>
          </w:p>
          <w:p>
            <w:pPr>
              <w:spacing w:line="420" w:lineRule="exact"/>
              <w:ind w:firstLine="2940" w:firstLineChars="1400"/>
              <w:jc w:val="left"/>
              <w:rPr>
                <w:rFonts w:hint="eastAsia" w:ascii="宋体" w:hAnsi="宋体" w:cs="宋体"/>
                <w:bCs/>
                <w:color w:val="auto"/>
                <w:szCs w:val="21"/>
                <w:highlight w:val="none"/>
              </w:rPr>
            </w:pPr>
            <w:r>
              <w:rPr>
                <w:rFonts w:ascii="宋体" w:hAnsi="宋体" w:cs="宋体"/>
                <w:bCs/>
                <w:color w:val="auto"/>
                <w:szCs w:val="21"/>
                <w:highlight w:val="none"/>
              </w:rPr>
              <w:t>建筑工程设计各阶段服务费比例表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98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项目阶段</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方案设计</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初步设计</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工作量比例</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70%</w:t>
                  </w:r>
                </w:p>
              </w:tc>
            </w:tr>
          </w:tbl>
          <w:p>
            <w:pPr>
              <w:ind w:firstLine="420"/>
              <w:rPr>
                <w:color w:val="auto"/>
                <w:highlight w:val="none"/>
              </w:rPr>
            </w:pPr>
          </w:p>
          <w:p>
            <w:pPr>
              <w:spacing w:line="420" w:lineRule="exact"/>
              <w:ind w:firstLine="420" w:firstLineChars="20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根据实际业务发生情况，按单个项目据实设计服务阶段比例计取设计服务费。</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分阶段提供设计服务的</w:t>
            </w:r>
            <w:r>
              <w:rPr>
                <w:rFonts w:ascii="宋体" w:hAnsi="宋体" w:cs="宋体"/>
                <w:bCs/>
                <w:color w:val="auto"/>
                <w:szCs w:val="21"/>
                <w:highlight w:val="none"/>
              </w:rPr>
              <w:t>设计费按具体工程项目最后完成设计阶段（方案设计、初步设计或施工设计）对应的工程费用为计费基数进行计算，即设计服务费结算价=各个具体工程项目按计费标准参照《广西壮族自治区工程建设其他费用定额》（桂建标〔2018〕37号）得出的设计费×（1-价格优惠率）×工作量比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由采购人以银行转账的方式，在以下条件满足后的10个工作日内向中标人支付具体工程项目实际结算设计费的100%：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（1）中标人完成设计服务工作并出具成果文件，经采购人有关部门审查或备案合格；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2.全过程提供设计服务的情况：</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设计费按具体工程项目的最终审定的工程预算控制价（采购人委托有资质的造价咨询公司审定）为计费基数进行计算。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即设计服务费结算价=各个具体工程项目按计费标准参照《广西壮族自治区工程建设其他费用定额》（桂建标〔2018〕37号）得出的设计费×（1-价格优惠率）。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3.结算总金额不超过本分标的采购预算。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由采购人以银行转账的方式支付服务费：</w:t>
            </w:r>
          </w:p>
          <w:p>
            <w:pPr>
              <w:spacing w:line="420" w:lineRule="exact"/>
              <w:ind w:firstLine="420"/>
              <w:jc w:val="left"/>
              <w:rPr>
                <w:rFonts w:ascii="宋体" w:hAnsi="宋体" w:cs="宋体"/>
                <w:bCs/>
                <w:color w:val="auto"/>
                <w:szCs w:val="21"/>
                <w:highlight w:val="none"/>
              </w:rPr>
            </w:pPr>
            <w:r>
              <w:rPr>
                <w:rFonts w:hint="eastAsia" w:ascii="宋体" w:hAnsi="宋体" w:cs="宋体"/>
                <w:bCs/>
                <w:color w:val="auto"/>
                <w:szCs w:val="21"/>
                <w:highlight w:val="none"/>
              </w:rPr>
              <w:t>1.分阶段提供设计服务的情况：中标人完成设计服务工作并出具成果文件，经采购人有关部门审查或备案合格，中标人开具了足额的发票后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100%</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2.全过程提供设计服务的情况：中标人完成设计服务工作并出具施工图成果文件，经采购人有关部门审查或备案合格，中标人开具了足额的发票后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60%</w:t>
            </w:r>
            <w:r>
              <w:rPr>
                <w:rFonts w:hint="eastAsia" w:ascii="宋体" w:hAnsi="宋体" w:cs="宋体"/>
                <w:bCs/>
                <w:color w:val="auto"/>
                <w:szCs w:val="21"/>
                <w:highlight w:val="none"/>
              </w:rPr>
              <w:t>；工程竣工验收合格后，中标人开具了足额的发票后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个工作日内，由采购人按程序向中标人付清具体工程项目实际结算设计费的余款。</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3.中标人需提供真实、有效、合法的正式发票，如提供虚假发票的，采购人有权解除合同，中标人除须向采购人补开合法发票外，还须向采购人支付与发票票面金额等额的违约金。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提供履约担保</w:t>
            </w:r>
            <w:r>
              <w:rPr>
                <w:rFonts w:hint="eastAsia" w:ascii="宋体" w:hAnsi="宋体" w:cs="宋体"/>
                <w:color w:val="auto"/>
                <w:kern w:val="0"/>
                <w:szCs w:val="21"/>
                <w:highlight w:val="none"/>
                <w:lang w:eastAsia="zh-CN"/>
              </w:rPr>
              <w:t>时间</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在收到中标通知书后，须在 10 日内向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提交履约担保。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提供履约担保的形式、金额、期限及退回：</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2.1</w:t>
            </w:r>
            <w:r>
              <w:rPr>
                <w:rFonts w:hint="eastAsia" w:ascii="宋体" w:hAnsi="宋体"/>
                <w:color w:val="auto"/>
                <w:highlight w:val="none"/>
              </w:rPr>
              <w:t>形式：</w:t>
            </w:r>
            <w:r>
              <w:rPr>
                <w:rFonts w:hint="eastAsia" w:ascii="宋体" w:hAnsi="宋体"/>
                <w:color w:val="auto"/>
                <w:highlight w:val="none"/>
                <w:u w:val="single"/>
              </w:rPr>
              <w:t xml:space="preserve">  </w:t>
            </w:r>
            <w:r>
              <w:rPr>
                <w:rFonts w:hint="eastAsia" w:ascii="宋体" w:hAnsi="宋体"/>
                <w:color w:val="auto"/>
                <w:highlight w:val="none"/>
                <w:u w:val="single"/>
                <w:lang w:val="zh-CN" w:bidi="zh-CN"/>
              </w:rPr>
              <w:t>银行转账、支票、汇票、本票等</w:t>
            </w:r>
            <w:r>
              <w:rPr>
                <w:rFonts w:hint="eastAsia" w:ascii="宋体" w:hAnsi="宋体"/>
                <w:color w:val="auto"/>
                <w:highlight w:val="none"/>
                <w:u w:val="single"/>
              </w:rPr>
              <w:t xml:space="preserve"> </w:t>
            </w:r>
            <w:r>
              <w:rPr>
                <w:rFonts w:hint="eastAsia" w:ascii="宋体" w:hAnsi="宋体"/>
                <w:color w:val="auto"/>
                <w:highlight w:val="none"/>
              </w:rPr>
              <w:t>。</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2.2</w:t>
            </w:r>
            <w:r>
              <w:rPr>
                <w:rFonts w:hint="eastAsia" w:ascii="宋体" w:hAnsi="宋体"/>
                <w:color w:val="auto"/>
                <w:highlight w:val="none"/>
              </w:rPr>
              <w:t>金额：</w:t>
            </w:r>
            <w:r>
              <w:rPr>
                <w:rFonts w:hint="eastAsia" w:ascii="宋体" w:hAnsi="宋体"/>
                <w:color w:val="auto"/>
                <w:highlight w:val="none"/>
                <w:u w:val="single"/>
              </w:rPr>
              <w:t>履约担保金额为招标文件中规定的对应分标预算金额的</w:t>
            </w:r>
            <w:r>
              <w:rPr>
                <w:rFonts w:ascii="宋体" w:hAnsi="宋体"/>
                <w:color w:val="auto"/>
                <w:highlight w:val="none"/>
                <w:u w:val="single"/>
              </w:rPr>
              <w:t>2%。</w:t>
            </w:r>
            <w:r>
              <w:rPr>
                <w:rFonts w:hint="eastAsia" w:ascii="宋体" w:hAnsi="宋体"/>
                <w:color w:val="auto"/>
                <w:highlight w:val="none"/>
              </w:rPr>
              <w:t>。</w:t>
            </w:r>
          </w:p>
          <w:p>
            <w:pPr>
              <w:widowControl/>
              <w:spacing w:line="360" w:lineRule="auto"/>
              <w:ind w:firstLine="420" w:firstLineChars="200"/>
              <w:jc w:val="left"/>
              <w:rPr>
                <w:rFonts w:hint="eastAsia" w:ascii="宋体" w:hAnsi="宋体" w:cs="宋体"/>
                <w:color w:val="auto"/>
                <w:szCs w:val="21"/>
                <w:highlight w:val="none"/>
                <w:u w:val="single"/>
                <w:lang w:bidi="zh-CN"/>
              </w:rPr>
            </w:pPr>
            <w:r>
              <w:rPr>
                <w:rFonts w:hint="eastAsia" w:ascii="宋体" w:hAnsi="宋体" w:cs="宋体"/>
                <w:color w:val="auto"/>
                <w:szCs w:val="21"/>
                <w:highlight w:val="none"/>
                <w:u w:val="single"/>
                <w:lang w:val="en-US" w:bidi="zh-CN"/>
              </w:rPr>
              <w:t>2.3</w:t>
            </w:r>
            <w:r>
              <w:rPr>
                <w:rFonts w:hint="eastAsia" w:ascii="宋体" w:hAnsi="宋体" w:cs="宋体"/>
                <w:color w:val="auto"/>
                <w:szCs w:val="21"/>
                <w:highlight w:val="none"/>
                <w:u w:val="single"/>
                <w:lang w:val="zh-CN" w:bidi="zh-CN"/>
              </w:rPr>
              <w:t>履约保证金退还时间：合同期满且</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在服务期间无违约情况下；履约保证金由</w:t>
            </w:r>
            <w:r>
              <w:rPr>
                <w:rFonts w:hint="eastAsia" w:ascii="宋体" w:hAnsi="宋体" w:cs="宋体"/>
                <w:color w:val="auto"/>
                <w:szCs w:val="21"/>
                <w:highlight w:val="none"/>
                <w:u w:val="single"/>
                <w:lang w:bidi="zh-CN"/>
              </w:rPr>
              <w:t>采购人</w:t>
            </w:r>
            <w:r>
              <w:rPr>
                <w:rFonts w:hint="eastAsia" w:ascii="宋体" w:hAnsi="宋体" w:cs="宋体"/>
                <w:color w:val="auto"/>
                <w:szCs w:val="21"/>
                <w:highlight w:val="none"/>
                <w:u w:val="single"/>
                <w:lang w:val="zh-CN" w:bidi="zh-CN"/>
              </w:rPr>
              <w:t>一次性退回成交供应商指定银行账户。如</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不按双方签订的合同规定履约的，则扣除相应的罚金后剩余部分一次性退回</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指定银行账户。</w:t>
            </w:r>
          </w:p>
          <w:p>
            <w:pPr>
              <w:spacing w:line="360" w:lineRule="auto"/>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2.4</w:t>
            </w:r>
            <w:r>
              <w:rPr>
                <w:rFonts w:hint="eastAsia" w:ascii="宋体" w:hAnsi="宋体" w:cs="宋体"/>
                <w:color w:val="auto"/>
                <w:szCs w:val="21"/>
                <w:highlight w:val="none"/>
                <w:lang w:val="zh-CN" w:bidi="zh-CN"/>
              </w:rPr>
              <w:t>履约保证金指定账户：</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户名：</w:t>
            </w:r>
            <w:r>
              <w:rPr>
                <w:rFonts w:hint="eastAsia" w:ascii="宋体" w:hAnsi="宋体" w:cs="宋体"/>
                <w:color w:val="auto"/>
                <w:szCs w:val="21"/>
                <w:highlight w:val="none"/>
                <w:u w:val="single"/>
                <w:lang w:val="zh-CN" w:bidi="zh-CN"/>
              </w:rPr>
              <w:t>广西医科大学</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账号：</w:t>
            </w:r>
            <w:r>
              <w:rPr>
                <w:rFonts w:hint="eastAsia" w:ascii="宋体" w:hAnsi="宋体" w:cs="宋体"/>
                <w:color w:val="auto"/>
                <w:szCs w:val="21"/>
                <w:highlight w:val="none"/>
                <w:u w:val="single"/>
                <w:lang w:val="zh-CN" w:bidi="zh-CN"/>
              </w:rPr>
              <w:t>622357485287</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zh-CN" w:bidi="zh-CN"/>
              </w:rPr>
              <w:t>开户银行：</w:t>
            </w:r>
            <w:r>
              <w:rPr>
                <w:rFonts w:hint="eastAsia" w:ascii="宋体" w:hAnsi="宋体" w:cs="宋体"/>
                <w:color w:val="auto"/>
                <w:szCs w:val="21"/>
                <w:highlight w:val="none"/>
                <w:u w:val="single"/>
                <w:lang w:val="zh-CN" w:bidi="zh-CN"/>
              </w:rPr>
              <w:t>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center"/>
              <w:rPr>
                <w:rFonts w:hint="eastAsia" w:ascii="宋体" w:hAnsi="宋体" w:cs="宋体"/>
                <w:b/>
                <w:color w:val="auto"/>
                <w:szCs w:val="21"/>
                <w:highlight w:val="none"/>
              </w:rPr>
            </w:pPr>
            <w:r>
              <w:rPr>
                <w:rFonts w:hint="eastAsia" w:ascii="宋体" w:hAnsi="宋体" w:cs="宋体"/>
                <w:color w:val="auto"/>
                <w:szCs w:val="21"/>
                <w:highlight w:val="none"/>
              </w:rPr>
              <w:t>其他</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7分标：武鸣校区设计服务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897"/>
        <w:gridCol w:w="673"/>
        <w:gridCol w:w="658"/>
        <w:gridCol w:w="6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jc w:val="left"/>
              <w:rPr>
                <w:rFonts w:hint="eastAsia" w:ascii="宋体" w:hAnsi="宋体" w:cs="宋体"/>
                <w:color w:val="auto"/>
                <w:szCs w:val="21"/>
                <w:highlight w:val="none"/>
              </w:rPr>
            </w:pPr>
            <w:r>
              <w:rPr>
                <w:rFonts w:hint="eastAsia" w:ascii="宋体" w:hAnsi="宋体" w:cs="宋体"/>
                <w:b/>
                <w:bCs/>
                <w:color w:val="auto"/>
                <w:highlight w:val="none"/>
              </w:rPr>
              <w:t>7分标：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9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3"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8"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3"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9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武鸣校区设计服务</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3" w:type="dxa"/>
            <w:vAlign w:val="center"/>
          </w:tcPr>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w:t>
            </w:r>
            <w:r>
              <w:rPr>
                <w:rFonts w:ascii="宋体" w:hAnsi="宋体" w:cs="宋体"/>
                <w:bCs/>
                <w:color w:val="auto"/>
                <w:szCs w:val="21"/>
                <w:highlight w:val="none"/>
              </w:rPr>
              <w:t>服务范围：广西医科大学</w:t>
            </w:r>
            <w:r>
              <w:rPr>
                <w:rFonts w:hint="eastAsia" w:ascii="宋体" w:hAnsi="宋体" w:cs="宋体"/>
                <w:bCs/>
                <w:color w:val="auto"/>
                <w:szCs w:val="21"/>
                <w:highlight w:val="none"/>
              </w:rPr>
              <w:t>武鸣校区</w:t>
            </w:r>
            <w:r>
              <w:rPr>
                <w:rFonts w:ascii="宋体" w:hAnsi="宋体" w:cs="宋体"/>
                <w:bCs/>
                <w:color w:val="auto"/>
                <w:szCs w:val="21"/>
                <w:highlight w:val="none"/>
              </w:rPr>
              <w:t>等范围内的零星修缮建设项目</w:t>
            </w:r>
          </w:p>
          <w:p>
            <w:pPr>
              <w:spacing w:line="360" w:lineRule="auto"/>
              <w:ind w:firstLine="420" w:firstLineChars="200"/>
              <w:rPr>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w:t>
            </w:r>
            <w:r>
              <w:rPr>
                <w:rFonts w:hint="eastAsia" w:ascii="宋体" w:hAnsi="宋体"/>
                <w:color w:val="auto"/>
                <w:szCs w:val="21"/>
                <w:highlight w:val="none"/>
              </w:rPr>
              <w:t>合同有效期</w:t>
            </w:r>
            <w:r>
              <w:rPr>
                <w:rFonts w:ascii="宋体" w:hAnsi="宋体" w:cs="宋体"/>
                <w:bCs/>
                <w:color w:val="auto"/>
                <w:szCs w:val="21"/>
                <w:highlight w:val="none"/>
              </w:rPr>
              <w:t>：</w:t>
            </w:r>
            <w:r>
              <w:rPr>
                <w:rFonts w:hint="eastAsia" w:ascii="宋体" w:hAnsi="宋体"/>
                <w:color w:val="auto"/>
                <w:szCs w:val="21"/>
                <w:highlight w:val="none"/>
              </w:rPr>
              <w:t>自</w:t>
            </w:r>
            <w:r>
              <w:rPr>
                <w:rFonts w:ascii="宋体" w:hAnsi="宋体" w:cs="宋体"/>
                <w:bCs/>
                <w:color w:val="auto"/>
                <w:szCs w:val="21"/>
                <w:highlight w:val="none"/>
              </w:rPr>
              <w:t>采购</w:t>
            </w:r>
            <w:r>
              <w:rPr>
                <w:rFonts w:hint="eastAsia" w:ascii="宋体" w:hAnsi="宋体" w:cs="宋体"/>
                <w:bCs/>
                <w:color w:val="auto"/>
                <w:szCs w:val="21"/>
                <w:highlight w:val="none"/>
              </w:rPr>
              <w:t>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合同有效期内，若采购人应向</w:t>
            </w:r>
            <w:r>
              <w:rPr>
                <w:rFonts w:hint="eastAsia"/>
                <w:color w:val="auto"/>
                <w:szCs w:val="21"/>
                <w:highlight w:val="none"/>
              </w:rPr>
              <w:t>中标人支付</w:t>
            </w:r>
            <w:r>
              <w:rPr>
                <w:rFonts w:hint="eastAsia" w:ascii="宋体" w:hAnsi="宋体" w:cs="宋体"/>
                <w:bCs/>
                <w:color w:val="auto"/>
                <w:szCs w:val="21"/>
                <w:highlight w:val="none"/>
              </w:rPr>
              <w:t>的</w:t>
            </w:r>
            <w:r>
              <w:rPr>
                <w:rFonts w:hint="eastAsia"/>
                <w:color w:val="auto"/>
                <w:szCs w:val="21"/>
                <w:highlight w:val="none"/>
              </w:rPr>
              <w:t>设计费（含未达到支付条件的设计费）金额累计达到本分标预算金额的，合同自动提前终止。</w:t>
            </w:r>
          </w:p>
          <w:p>
            <w:pPr>
              <w:spacing w:line="360" w:lineRule="auto"/>
              <w:ind w:firstLine="420" w:firstLineChars="200"/>
              <w:jc w:val="both"/>
              <w:rPr>
                <w:rFonts w:hint="eastAsia" w:ascii="宋体" w:hAnsi="宋体" w:cs="宋体"/>
                <w:bCs/>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ascii="宋体" w:hAnsi="宋体" w:cs="宋体"/>
                <w:bCs/>
                <w:color w:val="auto"/>
                <w:szCs w:val="21"/>
                <w:highlight w:val="none"/>
              </w:rPr>
              <w:t>中标人</w:t>
            </w:r>
            <w:r>
              <w:rPr>
                <w:rFonts w:ascii="宋体" w:hAnsi="宋体" w:cs="宋体"/>
                <w:bCs/>
                <w:color w:val="auto"/>
                <w:szCs w:val="21"/>
                <w:highlight w:val="none"/>
              </w:rPr>
              <w:t>在该项目的任务委托书约定的服务期限内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具体服务内容：设计咨询服务具体内容与工作开始时间由采购人视项目具体情况另行明确；具体实施项目以采购人的职能部门下发的任务委托书为准。包括但不限于</w:t>
            </w:r>
          </w:p>
          <w:p>
            <w:pPr>
              <w:ind w:firstLine="420"/>
              <w:jc w:val="left"/>
              <w:rPr>
                <w:rFonts w:hint="eastAsia" w:ascii="宋体" w:hAnsi="宋体" w:cs="宋体"/>
                <w:bCs/>
                <w:color w:val="auto"/>
                <w:szCs w:val="21"/>
                <w:highlight w:val="none"/>
              </w:rPr>
            </w:pPr>
            <w:r>
              <w:rPr>
                <w:rFonts w:ascii="宋体" w:hAnsi="宋体" w:cs="宋体"/>
                <w:bCs/>
                <w:color w:val="auto"/>
                <w:szCs w:val="21"/>
                <w:highlight w:val="none"/>
              </w:rPr>
              <w:t>（1）编制和评估项目建议书、编制和评估可行性研究报告，以及其他与建设项目前期工作有关的咨询服务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根据采购人的委托，提供编制本校零星修缮建设项目方案设计文件、初步设计文件、设计概算、施工图设计文件（包含平面图及效果图）、施工图预算文件、竣工图文件</w:t>
            </w:r>
            <w:r>
              <w:rPr>
                <w:rFonts w:hint="eastAsia" w:ascii="宋体" w:hAnsi="宋体" w:cs="宋体"/>
                <w:bCs/>
                <w:color w:val="auto"/>
                <w:szCs w:val="21"/>
                <w:highlight w:val="none"/>
              </w:rPr>
              <w:t>（</w:t>
            </w:r>
            <w:r>
              <w:rPr>
                <w:rFonts w:ascii="宋体" w:hAnsi="宋体" w:cs="宋体"/>
                <w:bCs/>
                <w:color w:val="auto"/>
                <w:szCs w:val="21"/>
                <w:highlight w:val="none"/>
              </w:rPr>
              <w:t>包括：建筑、结构、装饰装修、暖通、水电、消防、智能化等专业的</w:t>
            </w:r>
            <w:r>
              <w:rPr>
                <w:rFonts w:hint="eastAsia" w:ascii="宋体" w:hAnsi="宋体" w:cs="宋体"/>
                <w:bCs/>
                <w:color w:val="auto"/>
                <w:szCs w:val="21"/>
                <w:highlight w:val="none"/>
              </w:rPr>
              <w:t>施工图纸、竣工</w:t>
            </w:r>
            <w:r>
              <w:rPr>
                <w:rFonts w:ascii="宋体" w:hAnsi="宋体" w:cs="宋体"/>
                <w:bCs/>
                <w:color w:val="auto"/>
                <w:szCs w:val="21"/>
                <w:highlight w:val="none"/>
              </w:rPr>
              <w:t>图纸设计</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相应提供设计技术交底、解决施工中的设计技术问题、参加试车考核和竣工验收等服务。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涉及安全、结构变动消防等施工内容，还须出具设计变更文件。</w:t>
            </w:r>
          </w:p>
          <w:p>
            <w:pPr>
              <w:spacing w:line="420" w:lineRule="exact"/>
              <w:ind w:firstLine="420"/>
              <w:jc w:val="left"/>
              <w:rPr>
                <w:rFonts w:hint="eastAsia" w:ascii="宋体" w:hAnsi="宋体" w:cs="宋体"/>
                <w:bCs/>
                <w:strike/>
                <w:color w:val="auto"/>
                <w:szCs w:val="21"/>
                <w:highlight w:val="none"/>
              </w:rPr>
            </w:pPr>
            <w:r>
              <w:rPr>
                <w:rFonts w:ascii="宋体" w:hAnsi="宋体" w:cs="宋体"/>
                <w:bCs/>
                <w:color w:val="auto"/>
                <w:szCs w:val="21"/>
                <w:highlight w:val="none"/>
              </w:rPr>
              <w:t>（5）其他与项目相关的要求。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.项目负责人须具备二级及以上注册建筑师执业资格，且有副高级工程师（含以上级）职称证书。</w:t>
            </w:r>
            <w:r>
              <w:rPr>
                <w:rFonts w:hint="eastAsia" w:ascii="宋体" w:hAnsi="宋体" w:cs="宋体"/>
                <w:bCs/>
                <w:color w:val="auto"/>
                <w:szCs w:val="21"/>
                <w:highlight w:val="none"/>
              </w:rPr>
              <w:t>（</w:t>
            </w:r>
            <w:r>
              <w:rPr>
                <w:rFonts w:hint="eastAsia"/>
                <w:color w:val="auto"/>
                <w:highlight w:val="none"/>
              </w:rPr>
              <w:t>需在投标文件中提供拟投入本项目项目负责人的证书复印件并加盖投标人公章</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三、设计主要职责范围</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1.方案设计阶段：本阶段中，</w:t>
            </w:r>
            <w:r>
              <w:rPr>
                <w:rFonts w:hint="eastAsia" w:ascii="宋体" w:hAnsi="宋体" w:cs="宋体"/>
                <w:bCs/>
                <w:color w:val="auto"/>
                <w:szCs w:val="21"/>
                <w:highlight w:val="none"/>
              </w:rPr>
              <w:t>服务单位</w:t>
            </w:r>
            <w:r>
              <w:rPr>
                <w:rFonts w:ascii="宋体" w:hAnsi="宋体" w:cs="宋体"/>
                <w:bCs/>
                <w:color w:val="auto"/>
                <w:szCs w:val="21"/>
                <w:highlight w:val="none"/>
              </w:rPr>
              <w:t>根据采购人提供的设计任务书及现场勘察情况，平面布局初步意向方案及对概念设计的意见，在合理情况下规划设计区域内的平面功能定位，形成各区域的平面布置图，提供装饰饰面材料的意向配搭并通过空间手绘草图或电脑彩色效果图等主要空间进行设计概念表达。在征求采购人对平面布局方案及对概念设计的意见后，</w:t>
            </w:r>
            <w:r>
              <w:rPr>
                <w:rFonts w:hint="eastAsia" w:ascii="宋体" w:hAnsi="宋体" w:cs="宋体"/>
                <w:bCs/>
                <w:color w:val="auto"/>
                <w:szCs w:val="21"/>
                <w:highlight w:val="none"/>
              </w:rPr>
              <w:t>服务单位</w:t>
            </w:r>
            <w:r>
              <w:rPr>
                <w:rFonts w:ascii="宋体" w:hAnsi="宋体" w:cs="宋体"/>
                <w:bCs/>
                <w:color w:val="auto"/>
                <w:szCs w:val="21"/>
                <w:highlight w:val="none"/>
              </w:rPr>
              <w:t>提供完整的平面布置图、主要空间电脑彩色效果图、主要空间剖立面图、重点区域节点图。</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2.初步设计阶段</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1）负责完成并制作建筑、结构、给排水、暖通空调、电气、初设概算编制等专业的初步设计文件，设计内容和深度应满足政府相关规定；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2）制作报相关部门进行初步设计审查的设计图纸，配合采购人进行各相关部门的报审工作，提供相关的工程参数，并负责有关解释和修改。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施工图设计阶段：包括但不限于施工图深度的总平面布置图、结施、建施、水施、电施、立面图、剖面图、重要施工节点详图、局部剖面详图等。设计内容应满足国家、广西、南宁市现行有关法规、规范、技术管理规定要求的设计内容，并提供施工图预算。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将根据采购人对于方案设计的意见，进行制作最终的全套施工图文件。设计范围内所有区域的整套施工图纸。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4.施工阶段配合：包括但不限于负责设计交底、施工过程中出现的问题，并提供解决方案，根据工程要求，提交设计变更以指导现场施工。在本阶段中，</w:t>
            </w:r>
            <w:r>
              <w:rPr>
                <w:rFonts w:hint="eastAsia" w:ascii="宋体" w:hAnsi="宋体" w:cs="宋体"/>
                <w:bCs/>
                <w:color w:val="auto"/>
                <w:szCs w:val="21"/>
                <w:highlight w:val="none"/>
              </w:rPr>
              <w:t>服务单位</w:t>
            </w:r>
            <w:r>
              <w:rPr>
                <w:rFonts w:ascii="宋体" w:hAnsi="宋体" w:cs="宋体"/>
                <w:bCs/>
                <w:color w:val="auto"/>
                <w:szCs w:val="21"/>
                <w:highlight w:val="none"/>
              </w:rPr>
              <w:t>将对整套施工图进行技术交底并审核实施过程中产生的任何的变更图纸，对项目施工现场进行全程技术支持，复核并调整设计与现场的误差，并配合采购人审核竣工图纸。</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5.竣工验收阶段配合：编制合格的竣工图文件，参加竣工验收。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6.服务周期：前述</w:t>
            </w:r>
            <w:r>
              <w:rPr>
                <w:rFonts w:hint="eastAsia" w:ascii="宋体" w:hAnsi="宋体" w:cs="宋体"/>
                <w:bCs/>
                <w:color w:val="auto"/>
                <w:szCs w:val="21"/>
                <w:highlight w:val="none"/>
              </w:rPr>
              <w:t>第1</w:t>
            </w:r>
            <w:r>
              <w:rPr>
                <w:rFonts w:ascii="宋体" w:hAnsi="宋体" w:cs="宋体"/>
                <w:bCs/>
                <w:color w:val="auto"/>
                <w:szCs w:val="21"/>
                <w:highlight w:val="none"/>
              </w:rPr>
              <w:t>、</w:t>
            </w:r>
            <w:r>
              <w:rPr>
                <w:rFonts w:hint="eastAsia" w:ascii="宋体" w:hAnsi="宋体" w:cs="宋体"/>
                <w:bCs/>
                <w:color w:val="auto"/>
                <w:szCs w:val="21"/>
                <w:highlight w:val="none"/>
              </w:rPr>
              <w:t>第</w:t>
            </w:r>
            <w:r>
              <w:rPr>
                <w:rFonts w:ascii="宋体" w:hAnsi="宋体" w:cs="宋体"/>
                <w:bCs/>
                <w:color w:val="auto"/>
                <w:szCs w:val="21"/>
                <w:highlight w:val="none"/>
              </w:rPr>
              <w:t>2阶段应在10个日历日完成，</w:t>
            </w:r>
            <w:r>
              <w:rPr>
                <w:rFonts w:hint="eastAsia" w:ascii="宋体" w:hAnsi="宋体" w:cs="宋体"/>
                <w:bCs/>
                <w:color w:val="auto"/>
                <w:szCs w:val="21"/>
                <w:highlight w:val="none"/>
              </w:rPr>
              <w:t>第3</w:t>
            </w:r>
            <w:r>
              <w:rPr>
                <w:rFonts w:ascii="宋体" w:hAnsi="宋体" w:cs="宋体"/>
                <w:bCs/>
                <w:color w:val="auto"/>
                <w:szCs w:val="21"/>
                <w:highlight w:val="none"/>
              </w:rPr>
              <w:t xml:space="preserve">阶段应持续到施工验收结束。具体设计范围、服务周期以采购人发出的设计任务书为准。     </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四、工程设计内容及深度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1.设计原则：严格执行国家、行业现行的技术规范、标准、规程进行工程设计，且能够全面满足采购人的需求，按合同规定的进度要求提交质量合格的设计资料，并对其负责。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2.设计深度：达到国家、广西及南宁市有关建设工程设计管理法规规范、设计标准、设计管理规定的要求的深度。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3.设计合理使用年限为现行国家标准、规范规定的年限。</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五、服务要求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服务单位</w:t>
            </w:r>
            <w:r>
              <w:rPr>
                <w:rFonts w:ascii="宋体" w:hAnsi="宋体" w:cs="宋体"/>
                <w:bCs/>
                <w:color w:val="auto"/>
                <w:szCs w:val="21"/>
                <w:highlight w:val="none"/>
              </w:rPr>
              <w:t>应保护</w:t>
            </w:r>
            <w:r>
              <w:rPr>
                <w:rFonts w:hint="eastAsia" w:ascii="宋体" w:hAnsi="宋体" w:cs="宋体"/>
                <w:bCs/>
                <w:color w:val="auto"/>
                <w:szCs w:val="21"/>
                <w:highlight w:val="none"/>
              </w:rPr>
              <w:t>采购人</w:t>
            </w:r>
            <w:r>
              <w:rPr>
                <w:rFonts w:ascii="宋体" w:hAnsi="宋体" w:cs="宋体"/>
                <w:bCs/>
                <w:color w:val="auto"/>
                <w:szCs w:val="21"/>
                <w:highlight w:val="none"/>
              </w:rPr>
              <w:t>的知识产权，不得向第三人泄露、转让采购人提交的产品图纸等技术经济资料。如发生以上情况并给采购人造成经济损失，采购人有权向</w:t>
            </w:r>
            <w:r>
              <w:rPr>
                <w:rFonts w:hint="eastAsia" w:ascii="宋体" w:hAnsi="宋体" w:cs="宋体"/>
                <w:bCs/>
                <w:color w:val="auto"/>
                <w:szCs w:val="21"/>
                <w:highlight w:val="none"/>
              </w:rPr>
              <w:t>服务单位</w:t>
            </w:r>
            <w:r>
              <w:rPr>
                <w:rFonts w:ascii="宋体" w:hAnsi="宋体" w:cs="宋体"/>
                <w:bCs/>
                <w:color w:val="auto"/>
                <w:szCs w:val="21"/>
                <w:highlight w:val="none"/>
              </w:rPr>
              <w:t>索赔。</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2.严格遵守职业道德，不徇私舞弊，不接受贿赂，不接受吃请，积极维护采购人权益，优质完成采购人所委托的设计业务，严格按合同对工程进行设计服务。</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.拟投入工程设计人员具有独立相似的工程建设项目设计服务业绩；具有良好的职业道德和较强的协调沟通能力</w:t>
            </w:r>
            <w:r>
              <w:rPr>
                <w:rFonts w:hint="eastAsia" w:ascii="宋体" w:hAnsi="宋体" w:cs="宋体"/>
                <w:bCs/>
                <w:color w:val="auto"/>
                <w:szCs w:val="21"/>
                <w:highlight w:val="none"/>
              </w:rPr>
              <w:t>；</w:t>
            </w:r>
            <w:r>
              <w:rPr>
                <w:rFonts w:ascii="宋体" w:hAnsi="宋体" w:cs="宋体"/>
                <w:bCs/>
                <w:color w:val="auto"/>
                <w:szCs w:val="21"/>
                <w:highlight w:val="none"/>
              </w:rPr>
              <w:t>具有较强的工作责任感和敬业精神</w:t>
            </w:r>
            <w:r>
              <w:rPr>
                <w:rFonts w:hint="eastAsia" w:ascii="宋体" w:hAnsi="宋体" w:cs="宋体"/>
                <w:bCs/>
                <w:color w:val="auto"/>
                <w:szCs w:val="21"/>
                <w:highlight w:val="none"/>
              </w:rPr>
              <w:t>；</w:t>
            </w:r>
            <w:r>
              <w:rPr>
                <w:rFonts w:ascii="宋体" w:hAnsi="宋体" w:cs="宋体"/>
                <w:bCs/>
                <w:color w:val="auto"/>
                <w:szCs w:val="21"/>
                <w:highlight w:val="none"/>
              </w:rPr>
              <w:t>未经采购人同意不得变更设计人员。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不得无故拒绝采购人的项目委托。</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.按采购人要求、按时、按质完成采购人委派的相关服务内容，及时解决服务过程中发生的各项问题，保证服务内容能够按时按质按量完成，并保证提供的服务成果能够满足通过有关部门的评审或备案。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6</w:t>
            </w:r>
            <w:r>
              <w:rPr>
                <w:rFonts w:ascii="宋体" w:hAnsi="宋体" w:cs="宋体"/>
                <w:bCs/>
                <w:color w:val="auto"/>
                <w:szCs w:val="21"/>
                <w:highlight w:val="none"/>
              </w:rPr>
              <w:t>.因工作需要，需现场考察、勘察的，</w:t>
            </w:r>
            <w:r>
              <w:rPr>
                <w:rFonts w:hint="eastAsia" w:ascii="宋体" w:hAnsi="宋体" w:cs="宋体"/>
                <w:bCs/>
                <w:color w:val="auto"/>
                <w:szCs w:val="21"/>
                <w:highlight w:val="none"/>
              </w:rPr>
              <w:t>服务单位</w:t>
            </w:r>
            <w:r>
              <w:rPr>
                <w:rFonts w:ascii="宋体" w:hAnsi="宋体" w:cs="宋体"/>
                <w:bCs/>
                <w:color w:val="auto"/>
                <w:szCs w:val="21"/>
                <w:highlight w:val="none"/>
              </w:rPr>
              <w:t>应积极配合，不得拒绝。</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7</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应积极响应采购人提出的疑问，尽快做出答复。</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.成果文件提供的数量满足采购人的要求。</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9</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在施工过程中需根据</w:t>
            </w:r>
            <w:r>
              <w:rPr>
                <w:rFonts w:hint="eastAsia" w:ascii="宋体" w:hAnsi="宋体" w:cs="宋体"/>
                <w:bCs/>
                <w:color w:val="auto"/>
                <w:szCs w:val="21"/>
                <w:highlight w:val="none"/>
              </w:rPr>
              <w:t>采购人</w:t>
            </w:r>
            <w:r>
              <w:rPr>
                <w:rFonts w:ascii="宋体" w:hAnsi="宋体" w:cs="宋体"/>
                <w:bCs/>
                <w:color w:val="auto"/>
                <w:szCs w:val="21"/>
                <w:highlight w:val="none"/>
              </w:rPr>
              <w:t>提出要求及实际情况进行跟踪服务，完善成果文件直至项目竣工验收合格。</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10</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不得将设计服务转包第三方。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两次不响应采购人委派任务的，列为不合格供应商。</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12.服务单位被</w:t>
            </w:r>
            <w:r>
              <w:rPr>
                <w:rFonts w:ascii="宋体" w:hAnsi="宋体" w:cs="宋体"/>
                <w:bCs/>
                <w:color w:val="auto"/>
                <w:szCs w:val="21"/>
                <w:highlight w:val="none"/>
              </w:rPr>
              <w:t>列为不合格供应商的</w:t>
            </w:r>
            <w:r>
              <w:rPr>
                <w:rFonts w:hint="eastAsia" w:ascii="宋体" w:hAnsi="宋体" w:cs="宋体"/>
                <w:bCs/>
                <w:color w:val="auto"/>
                <w:szCs w:val="21"/>
                <w:highlight w:val="none"/>
              </w:rPr>
              <w:t>，</w:t>
            </w:r>
            <w:r>
              <w:rPr>
                <w:rFonts w:ascii="宋体" w:hAnsi="宋体" w:cs="宋体"/>
                <w:bCs/>
                <w:color w:val="auto"/>
                <w:szCs w:val="21"/>
                <w:highlight w:val="none"/>
              </w:rPr>
              <w:t>不能再参与采购人项目。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3</w:t>
            </w:r>
            <w:r>
              <w:rPr>
                <w:rFonts w:ascii="宋体" w:hAnsi="宋体" w:cs="宋体"/>
                <w:bCs/>
                <w:color w:val="auto"/>
                <w:szCs w:val="21"/>
                <w:highlight w:val="none"/>
              </w:rPr>
              <w:t>.</w:t>
            </w:r>
            <w:r>
              <w:rPr>
                <w:rFonts w:hint="eastAsia" w:ascii="宋体" w:hAnsi="宋体" w:cs="宋体"/>
                <w:bCs/>
                <w:color w:val="auto"/>
                <w:szCs w:val="21"/>
                <w:highlight w:val="none"/>
              </w:rPr>
              <w:t>服务单位</w:t>
            </w:r>
            <w:r>
              <w:rPr>
                <w:rFonts w:ascii="宋体" w:hAnsi="宋体" w:cs="宋体"/>
                <w:bCs/>
                <w:color w:val="auto"/>
                <w:szCs w:val="21"/>
                <w:highlight w:val="none"/>
              </w:rPr>
              <w:t>如未在规定时间内提供完整的设计成果文件及咨询资料成果文件，经采购人催促后</w:t>
            </w:r>
            <w:r>
              <w:rPr>
                <w:rFonts w:hint="eastAsia" w:ascii="宋体" w:hAnsi="宋体" w:cs="宋体"/>
                <w:bCs/>
                <w:color w:val="auto"/>
                <w:szCs w:val="21"/>
                <w:highlight w:val="none"/>
              </w:rPr>
              <w:t>7</w:t>
            </w:r>
            <w:r>
              <w:rPr>
                <w:rFonts w:ascii="宋体" w:hAnsi="宋体" w:cs="宋体"/>
                <w:bCs/>
                <w:color w:val="auto"/>
                <w:szCs w:val="21"/>
                <w:highlight w:val="none"/>
              </w:rPr>
              <w:t>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责任由服务单位自负。</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14.其他：服务范围包括</w:t>
            </w:r>
            <w:r>
              <w:rPr>
                <w:rFonts w:hint="eastAsia" w:ascii="宋体" w:hAnsi="宋体" w:cs="宋体"/>
                <w:bCs/>
                <w:color w:val="auto"/>
                <w:szCs w:val="21"/>
                <w:highlight w:val="none"/>
              </w:rPr>
              <w:t>采购</w:t>
            </w:r>
            <w:r>
              <w:rPr>
                <w:rFonts w:ascii="宋体" w:hAnsi="宋体" w:cs="宋体"/>
                <w:bCs/>
                <w:color w:val="auto"/>
                <w:szCs w:val="21"/>
                <w:highlight w:val="none"/>
              </w:rPr>
              <w:t>人指定的</w:t>
            </w:r>
            <w:r>
              <w:rPr>
                <w:rFonts w:hint="eastAsia" w:ascii="宋体" w:hAnsi="宋体" w:cs="宋体"/>
                <w:bCs/>
                <w:color w:val="auto"/>
                <w:szCs w:val="21"/>
                <w:highlight w:val="none"/>
              </w:rPr>
              <w:t>武鸣校区</w:t>
            </w:r>
            <w:r>
              <w:rPr>
                <w:rFonts w:ascii="宋体" w:hAnsi="宋体" w:cs="宋体"/>
                <w:bCs/>
                <w:color w:val="auto"/>
                <w:szCs w:val="21"/>
                <w:highlight w:val="none"/>
              </w:rPr>
              <w:t>在内的广西医科大学所有范围内实施的项目，并根据</w:t>
            </w:r>
            <w:r>
              <w:rPr>
                <w:rFonts w:hint="eastAsia" w:ascii="宋体" w:hAnsi="宋体" w:cs="宋体"/>
                <w:bCs/>
                <w:color w:val="auto"/>
                <w:szCs w:val="21"/>
                <w:highlight w:val="none"/>
              </w:rPr>
              <w:t>采购</w:t>
            </w:r>
            <w:r>
              <w:rPr>
                <w:rFonts w:ascii="宋体" w:hAnsi="宋体" w:cs="宋体"/>
                <w:bCs/>
                <w:color w:val="auto"/>
                <w:szCs w:val="21"/>
                <w:highlight w:val="none"/>
              </w:rPr>
              <w:t>人需要完成其他类型建设项目设计服务。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9"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报价方式：按价格优惠率报价（保留小数点后2位），20%＜投标报价价格优惠率≤100%。（1）本项目采用价格优惠率报价，即设计服务费结算价=各个具体工程项目按计费标准参照《广西壮族自治区工程建设其他费用定额》（桂建标〔2018〕37号）得出的设计费×（1-价格优惠率），例如：某具体工程项目按计费标准参照《广西壮族自治区工程建设其他费用定额》（桂建标〔2018〕37号）得出的设计费为100万，结算价=100万×（1-价格优惠率50%）=50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（2）投标报价超过列出的价格优惠率有效范围的投标无效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w:t>
            </w:r>
            <w:r>
              <w:rPr>
                <w:rFonts w:ascii="宋体" w:hAnsi="宋体" w:cs="宋体"/>
                <w:bCs/>
                <w:color w:val="auto"/>
                <w:szCs w:val="21"/>
                <w:highlight w:val="none"/>
              </w:rPr>
              <w:t>服务期限内中标人的价格优惠率按投标时承诺的不变。</w:t>
            </w:r>
          </w:p>
          <w:p>
            <w:pPr>
              <w:spacing w:line="420" w:lineRule="exact"/>
              <w:ind w:firstLine="420"/>
              <w:jc w:val="left"/>
              <w:rPr>
                <w:color w:val="auto"/>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报价时应考虑中标后承诺各个项目所需的全部费用，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设计服务的价格应综合考虑完成具体工程项目设计工作的所有费用（含</w:t>
            </w:r>
            <w:r>
              <w:rPr>
                <w:rFonts w:hint="eastAsia" w:ascii="宋体" w:hAnsi="宋体" w:cs="宋体"/>
                <w:bCs/>
                <w:color w:val="auto"/>
                <w:szCs w:val="21"/>
                <w:highlight w:val="none"/>
              </w:rPr>
              <w:t>项目咨询及设计工作</w:t>
            </w:r>
            <w:r>
              <w:rPr>
                <w:rFonts w:ascii="宋体" w:hAnsi="宋体" w:cs="宋体"/>
                <w:bCs/>
                <w:color w:val="auto"/>
                <w:szCs w:val="21"/>
                <w:highlight w:val="none"/>
              </w:rPr>
              <w:t>劳务</w:t>
            </w:r>
            <w:r>
              <w:rPr>
                <w:rFonts w:hint="eastAsia" w:ascii="宋体" w:hAnsi="宋体" w:cs="宋体"/>
                <w:bCs/>
                <w:color w:val="auto"/>
                <w:szCs w:val="21"/>
                <w:highlight w:val="none"/>
              </w:rPr>
              <w:t>费、技术服务费、车辆往返施工现场的交通费、通讯费、办公场地费</w:t>
            </w:r>
            <w:r>
              <w:rPr>
                <w:rFonts w:ascii="宋体" w:hAnsi="宋体" w:cs="宋体"/>
                <w:bCs/>
                <w:color w:val="auto"/>
                <w:szCs w:val="21"/>
                <w:highlight w:val="none"/>
              </w:rPr>
              <w:t>、管理</w:t>
            </w:r>
            <w:r>
              <w:rPr>
                <w:rFonts w:hint="eastAsia" w:ascii="宋体" w:hAnsi="宋体" w:cs="宋体"/>
                <w:bCs/>
                <w:color w:val="auto"/>
                <w:szCs w:val="21"/>
                <w:highlight w:val="none"/>
              </w:rPr>
              <w:t>费</w:t>
            </w:r>
            <w:r>
              <w:rPr>
                <w:rFonts w:ascii="宋体" w:hAnsi="宋体" w:cs="宋体"/>
                <w:bCs/>
                <w:color w:val="auto"/>
                <w:szCs w:val="21"/>
                <w:highlight w:val="none"/>
              </w:rPr>
              <w:t>、图纸资料、保险</w:t>
            </w:r>
            <w:r>
              <w:rPr>
                <w:rFonts w:hint="eastAsia" w:ascii="宋体" w:hAnsi="宋体" w:cs="宋体"/>
                <w:bCs/>
                <w:color w:val="auto"/>
                <w:szCs w:val="21"/>
                <w:highlight w:val="none"/>
              </w:rPr>
              <w:t>费</w:t>
            </w:r>
            <w:r>
              <w:rPr>
                <w:rFonts w:ascii="宋体" w:hAnsi="宋体" w:cs="宋体"/>
                <w:bCs/>
                <w:color w:val="auto"/>
                <w:szCs w:val="21"/>
                <w:highlight w:val="none"/>
              </w:rPr>
              <w:t>、利润、</w:t>
            </w:r>
            <w:r>
              <w:rPr>
                <w:rFonts w:hint="eastAsia" w:ascii="宋体" w:hAnsi="宋体" w:cs="宋体"/>
                <w:bCs/>
                <w:color w:val="auto"/>
                <w:szCs w:val="21"/>
                <w:highlight w:val="none"/>
              </w:rPr>
              <w:t>各项</w:t>
            </w:r>
            <w:r>
              <w:rPr>
                <w:rFonts w:ascii="宋体" w:hAnsi="宋体" w:cs="宋体"/>
                <w:bCs/>
                <w:color w:val="auto"/>
                <w:szCs w:val="21"/>
                <w:highlight w:val="none"/>
              </w:rPr>
              <w:t>税金、政策性文件规定费用及合同包含的</w:t>
            </w:r>
            <w:r>
              <w:rPr>
                <w:rFonts w:hint="eastAsia" w:ascii="宋体" w:hAnsi="宋体" w:cs="宋体"/>
                <w:bCs/>
                <w:color w:val="auto"/>
                <w:szCs w:val="21"/>
                <w:highlight w:val="none"/>
              </w:rPr>
              <w:t>所</w:t>
            </w:r>
            <w:r>
              <w:rPr>
                <w:rFonts w:ascii="宋体" w:hAnsi="宋体" w:cs="宋体"/>
                <w:bCs/>
                <w:color w:val="auto"/>
                <w:szCs w:val="21"/>
                <w:highlight w:val="none"/>
              </w:rPr>
              <w:t>有风险、责任等各项</w:t>
            </w:r>
            <w:r>
              <w:rPr>
                <w:rFonts w:hint="eastAsia" w:ascii="宋体" w:hAnsi="宋体" w:cs="宋体"/>
                <w:bCs/>
                <w:color w:val="auto"/>
                <w:szCs w:val="21"/>
                <w:highlight w:val="none"/>
              </w:rPr>
              <w:t>相关</w:t>
            </w:r>
            <w:r>
              <w:rPr>
                <w:rFonts w:ascii="宋体" w:hAnsi="宋体" w:cs="宋体"/>
                <w:bCs/>
                <w:color w:val="auto"/>
                <w:szCs w:val="21"/>
                <w:highlight w:val="none"/>
              </w:rPr>
              <w:t>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3.本分标预算金额为</w:t>
            </w:r>
            <w:r>
              <w:rPr>
                <w:rFonts w:hint="eastAsia" w:ascii="宋体" w:hAnsi="宋体" w:cs="宋体"/>
                <w:bCs/>
                <w:color w:val="auto"/>
                <w:szCs w:val="21"/>
                <w:highlight w:val="none"/>
              </w:rPr>
              <w:t>60</w:t>
            </w:r>
            <w:r>
              <w:rPr>
                <w:rFonts w:ascii="宋体" w:hAnsi="宋体" w:cs="宋体"/>
                <w:bCs/>
                <w:color w:val="auto"/>
                <w:szCs w:val="21"/>
                <w:highlight w:val="none"/>
              </w:rPr>
              <w:t>万元</w:t>
            </w:r>
            <w:r>
              <w:rPr>
                <w:rFonts w:hint="eastAsia" w:ascii="宋体" w:hAnsi="宋体" w:cs="宋体"/>
                <w:bCs/>
                <w:color w:val="auto"/>
                <w:szCs w:val="21"/>
                <w:highlight w:val="none"/>
              </w:rPr>
              <w:t>，</w:t>
            </w:r>
            <w:r>
              <w:rPr>
                <w:rFonts w:ascii="宋体" w:hAnsi="宋体" w:cs="宋体"/>
                <w:bCs/>
                <w:color w:val="auto"/>
                <w:szCs w:val="21"/>
                <w:highlight w:val="none"/>
              </w:rPr>
              <w:t>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1.分阶段提供设计服务的情况：</w:t>
            </w:r>
          </w:p>
          <w:p>
            <w:pPr>
              <w:spacing w:line="420" w:lineRule="exact"/>
              <w:ind w:firstLine="2940" w:firstLineChars="1400"/>
              <w:jc w:val="left"/>
              <w:rPr>
                <w:rFonts w:hint="eastAsia" w:ascii="宋体" w:hAnsi="宋体" w:cs="宋体"/>
                <w:bCs/>
                <w:color w:val="auto"/>
                <w:szCs w:val="21"/>
                <w:highlight w:val="none"/>
              </w:rPr>
            </w:pPr>
            <w:r>
              <w:rPr>
                <w:rFonts w:ascii="宋体" w:hAnsi="宋体" w:cs="宋体"/>
                <w:bCs/>
                <w:color w:val="auto"/>
                <w:szCs w:val="21"/>
                <w:highlight w:val="none"/>
              </w:rPr>
              <w:t>建筑工程设计各阶段服务费比例表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198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项目阶段</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方案设计</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初步设计</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工作量比例</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0"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15%</w:t>
                  </w:r>
                </w:p>
              </w:tc>
              <w:tc>
                <w:tcPr>
                  <w:tcW w:w="2031" w:type="dxa"/>
                </w:tcPr>
                <w:p>
                  <w:pPr>
                    <w:spacing w:line="420" w:lineRule="exact"/>
                    <w:ind w:firstLine="420"/>
                    <w:jc w:val="center"/>
                    <w:rPr>
                      <w:rFonts w:hint="eastAsia" w:ascii="宋体" w:hAnsi="宋体" w:cs="宋体"/>
                      <w:bCs/>
                      <w:color w:val="auto"/>
                      <w:szCs w:val="21"/>
                      <w:highlight w:val="none"/>
                    </w:rPr>
                  </w:pPr>
                  <w:r>
                    <w:rPr>
                      <w:rFonts w:ascii="宋体" w:hAnsi="宋体" w:cs="宋体"/>
                      <w:bCs/>
                      <w:color w:val="auto"/>
                      <w:szCs w:val="21"/>
                      <w:highlight w:val="none"/>
                    </w:rPr>
                    <w:t>70%</w:t>
                  </w:r>
                </w:p>
              </w:tc>
            </w:tr>
          </w:tbl>
          <w:p>
            <w:pPr>
              <w:ind w:firstLine="420"/>
              <w:rPr>
                <w:color w:val="auto"/>
                <w:highlight w:val="none"/>
              </w:rPr>
            </w:pPr>
          </w:p>
          <w:p>
            <w:pPr>
              <w:spacing w:line="420" w:lineRule="exact"/>
              <w:ind w:firstLine="420" w:firstLineChars="20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根据实际业务发生情况，按单个项目据实设计服务阶段比例计取设计服务费。</w:t>
            </w:r>
          </w:p>
          <w:p>
            <w:pPr>
              <w:spacing w:line="42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eastAsia="zh-CN"/>
              </w:rPr>
              <w:t>分阶段提供设计服务的</w:t>
            </w:r>
            <w:r>
              <w:rPr>
                <w:rFonts w:ascii="宋体" w:hAnsi="宋体" w:cs="宋体"/>
                <w:bCs/>
                <w:color w:val="auto"/>
                <w:szCs w:val="21"/>
                <w:highlight w:val="none"/>
              </w:rPr>
              <w:t>设计费按具体工程项目最后完成设计阶段（方案设计、初步设计或施工设计）对应的工程费用为计费基数进行计算，即设计服务费结算价=各个具体工程项目按计费标准参照《广西壮族自治区工程建设其他费用定额》（桂建标〔2018〕37号）得出的设计费×（1-价格优惠率）×工作量比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由采购人以银行转账的方式，在以下条件满足后的10个工作日内向中标人支付具体工程项目实际结算设计费的100%：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（1）中标人完成设计服务工作并出具成果文件，经采购人有关部门审查或备案合格；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2.全过程提供设计服务的情况：</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设计费按具体工程项目的最终审定的工程预算控制价（采购人委托有资质的造价咨询公司审定）为计费基数进行计算。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即设计服务费结算价=各个具体工程项目按计费标准参照《广西壮族自治区工程建设其他费用定额》（桂建标〔2018〕37号）得出的设计费×（1-价格优惠率）。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3.结算总金额不超过本分标的采购预算金额。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由采购人以银行转账的方式支付服务费：</w:t>
            </w:r>
          </w:p>
          <w:p>
            <w:pPr>
              <w:spacing w:line="420" w:lineRule="exact"/>
              <w:ind w:firstLine="420"/>
              <w:jc w:val="left"/>
              <w:rPr>
                <w:rFonts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分阶段提供设计服务的情况：中标人完成设计服务工作并出具成果文件，经采购人有关部门审查或备案合格，中标人开具了足额的发票后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100%</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全过程提供设计服务的情况：中标人完成设计服务工作并出具施工图成果文件，经采购人有关部门审查或备案合格，中标人开具了足额的发票后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个工作日内向中标人支付具体工程项目实际结算设计费的</w:t>
            </w:r>
            <w:r>
              <w:rPr>
                <w:rFonts w:ascii="宋体" w:hAnsi="宋体" w:cs="宋体"/>
                <w:bCs/>
                <w:color w:val="auto"/>
                <w:szCs w:val="21"/>
                <w:highlight w:val="none"/>
              </w:rPr>
              <w:t>60%</w:t>
            </w:r>
            <w:r>
              <w:rPr>
                <w:rFonts w:hint="eastAsia" w:ascii="宋体" w:hAnsi="宋体" w:cs="宋体"/>
                <w:bCs/>
                <w:color w:val="auto"/>
                <w:szCs w:val="21"/>
                <w:highlight w:val="none"/>
              </w:rPr>
              <w:t>；工程竣工验收合格后，中标人开具了足额的发票后</w:t>
            </w:r>
            <w:r>
              <w:rPr>
                <w:rFonts w:ascii="宋体" w:hAnsi="宋体" w:cs="宋体"/>
                <w:bCs/>
                <w:color w:val="auto"/>
                <w:szCs w:val="21"/>
                <w:highlight w:val="none"/>
              </w:rPr>
              <w:t>10</w:t>
            </w:r>
            <w:r>
              <w:rPr>
                <w:rFonts w:hint="eastAsia" w:ascii="宋体" w:hAnsi="宋体" w:cs="宋体"/>
                <w:bCs/>
                <w:color w:val="auto"/>
                <w:szCs w:val="21"/>
                <w:highlight w:val="none"/>
              </w:rPr>
              <w:t>个工作日内，由采购人按程序向中标人付清具体工程项目实际结算设计费的余款。</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提供履约担保</w:t>
            </w:r>
            <w:r>
              <w:rPr>
                <w:rFonts w:hint="eastAsia" w:ascii="宋体" w:hAnsi="宋体" w:cs="宋体"/>
                <w:color w:val="auto"/>
                <w:kern w:val="0"/>
                <w:szCs w:val="21"/>
                <w:highlight w:val="none"/>
                <w:lang w:eastAsia="zh-CN"/>
              </w:rPr>
              <w:t>时间</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在收到中标通知书后，须在 10 日内向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提交履约担保。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提供履约担保的形式、金额、期限及退回：</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2.1</w:t>
            </w:r>
            <w:r>
              <w:rPr>
                <w:rFonts w:hint="eastAsia" w:ascii="宋体" w:hAnsi="宋体"/>
                <w:color w:val="auto"/>
                <w:highlight w:val="none"/>
              </w:rPr>
              <w:t>形式：</w:t>
            </w:r>
            <w:r>
              <w:rPr>
                <w:rFonts w:hint="eastAsia" w:ascii="宋体" w:hAnsi="宋体"/>
                <w:color w:val="auto"/>
                <w:highlight w:val="none"/>
                <w:u w:val="single"/>
              </w:rPr>
              <w:t xml:space="preserve">  </w:t>
            </w:r>
            <w:r>
              <w:rPr>
                <w:rFonts w:hint="eastAsia" w:ascii="宋体" w:hAnsi="宋体"/>
                <w:color w:val="auto"/>
                <w:highlight w:val="none"/>
                <w:u w:val="single"/>
                <w:lang w:val="zh-CN" w:bidi="zh-CN"/>
              </w:rPr>
              <w:t>银行转账、支票、汇票、本票等</w:t>
            </w:r>
            <w:r>
              <w:rPr>
                <w:rFonts w:hint="eastAsia" w:ascii="宋体" w:hAnsi="宋体"/>
                <w:color w:val="auto"/>
                <w:highlight w:val="none"/>
                <w:u w:val="single"/>
              </w:rPr>
              <w:t xml:space="preserve"> </w:t>
            </w:r>
            <w:r>
              <w:rPr>
                <w:rFonts w:hint="eastAsia" w:ascii="宋体" w:hAnsi="宋体"/>
                <w:color w:val="auto"/>
                <w:highlight w:val="none"/>
              </w:rPr>
              <w:t>。</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2.2</w:t>
            </w:r>
            <w:r>
              <w:rPr>
                <w:rFonts w:hint="eastAsia" w:ascii="宋体" w:hAnsi="宋体"/>
                <w:color w:val="auto"/>
                <w:highlight w:val="none"/>
              </w:rPr>
              <w:t>金额：</w:t>
            </w:r>
            <w:r>
              <w:rPr>
                <w:rFonts w:hint="eastAsia" w:ascii="宋体" w:hAnsi="宋体"/>
                <w:color w:val="auto"/>
                <w:highlight w:val="none"/>
                <w:u w:val="single"/>
              </w:rPr>
              <w:t>履约担保金额为招标文件中规定的对应分标预算金额的</w:t>
            </w:r>
            <w:r>
              <w:rPr>
                <w:rFonts w:ascii="宋体" w:hAnsi="宋体"/>
                <w:color w:val="auto"/>
                <w:highlight w:val="none"/>
                <w:u w:val="single"/>
              </w:rPr>
              <w:t>2%。</w:t>
            </w:r>
            <w:r>
              <w:rPr>
                <w:rFonts w:hint="eastAsia" w:ascii="宋体" w:hAnsi="宋体"/>
                <w:color w:val="auto"/>
                <w:highlight w:val="none"/>
              </w:rPr>
              <w:t>。</w:t>
            </w:r>
          </w:p>
          <w:p>
            <w:pPr>
              <w:widowControl/>
              <w:spacing w:line="360" w:lineRule="auto"/>
              <w:ind w:firstLine="420" w:firstLineChars="200"/>
              <w:jc w:val="left"/>
              <w:rPr>
                <w:rFonts w:hint="eastAsia" w:ascii="宋体" w:hAnsi="宋体" w:cs="宋体"/>
                <w:color w:val="auto"/>
                <w:szCs w:val="21"/>
                <w:highlight w:val="none"/>
                <w:u w:val="single"/>
                <w:lang w:bidi="zh-CN"/>
              </w:rPr>
            </w:pPr>
            <w:r>
              <w:rPr>
                <w:rFonts w:hint="eastAsia" w:ascii="宋体" w:hAnsi="宋体" w:cs="宋体"/>
                <w:color w:val="auto"/>
                <w:szCs w:val="21"/>
                <w:highlight w:val="none"/>
                <w:u w:val="single"/>
                <w:lang w:val="en-US" w:bidi="zh-CN"/>
              </w:rPr>
              <w:t>2.3</w:t>
            </w:r>
            <w:r>
              <w:rPr>
                <w:rFonts w:hint="eastAsia" w:ascii="宋体" w:hAnsi="宋体" w:cs="宋体"/>
                <w:color w:val="auto"/>
                <w:szCs w:val="21"/>
                <w:highlight w:val="none"/>
                <w:u w:val="single"/>
                <w:lang w:val="zh-CN" w:bidi="zh-CN"/>
              </w:rPr>
              <w:t>履约保证金退还时间：合同期满且</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在服务期间无违约情况下；履约保证金由</w:t>
            </w:r>
            <w:r>
              <w:rPr>
                <w:rFonts w:hint="eastAsia" w:ascii="宋体" w:hAnsi="宋体" w:cs="宋体"/>
                <w:color w:val="auto"/>
                <w:szCs w:val="21"/>
                <w:highlight w:val="none"/>
                <w:u w:val="single"/>
                <w:lang w:bidi="zh-CN"/>
              </w:rPr>
              <w:t>采购人</w:t>
            </w:r>
            <w:r>
              <w:rPr>
                <w:rFonts w:hint="eastAsia" w:ascii="宋体" w:hAnsi="宋体" w:cs="宋体"/>
                <w:color w:val="auto"/>
                <w:szCs w:val="21"/>
                <w:highlight w:val="none"/>
                <w:u w:val="single"/>
                <w:lang w:val="zh-CN" w:bidi="zh-CN"/>
              </w:rPr>
              <w:t>一次性退回成交供应商指定银行账户。如</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不按双方签订的合同规定履约的，则扣除相应的罚金后剩余部分一次性退回</w:t>
            </w:r>
            <w:r>
              <w:rPr>
                <w:rFonts w:hint="eastAsia" w:ascii="宋体" w:hAnsi="宋体" w:cs="宋体"/>
                <w:color w:val="auto"/>
                <w:szCs w:val="21"/>
                <w:highlight w:val="none"/>
                <w:u w:val="single"/>
                <w:lang w:bidi="zh-CN"/>
              </w:rPr>
              <w:t>中标人</w:t>
            </w:r>
            <w:r>
              <w:rPr>
                <w:rFonts w:hint="eastAsia" w:ascii="宋体" w:hAnsi="宋体" w:cs="宋体"/>
                <w:color w:val="auto"/>
                <w:szCs w:val="21"/>
                <w:highlight w:val="none"/>
                <w:u w:val="single"/>
                <w:lang w:val="zh-CN" w:bidi="zh-CN"/>
              </w:rPr>
              <w:t>指定银行账户。</w:t>
            </w:r>
          </w:p>
          <w:p>
            <w:pPr>
              <w:spacing w:line="360" w:lineRule="auto"/>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en-US" w:bidi="zh-CN"/>
              </w:rPr>
              <w:t>2.4</w:t>
            </w:r>
            <w:r>
              <w:rPr>
                <w:rFonts w:hint="eastAsia" w:ascii="宋体" w:hAnsi="宋体" w:cs="宋体"/>
                <w:color w:val="auto"/>
                <w:szCs w:val="21"/>
                <w:highlight w:val="none"/>
                <w:lang w:val="zh-CN" w:bidi="zh-CN"/>
              </w:rPr>
              <w:t>履约保证金指定账户：</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户名：</w:t>
            </w:r>
            <w:r>
              <w:rPr>
                <w:rFonts w:hint="eastAsia" w:ascii="宋体" w:hAnsi="宋体" w:cs="宋体"/>
                <w:color w:val="auto"/>
                <w:szCs w:val="21"/>
                <w:highlight w:val="none"/>
                <w:u w:val="single"/>
                <w:lang w:val="zh-CN" w:bidi="zh-CN"/>
              </w:rPr>
              <w:t>广西医科大学</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账号：</w:t>
            </w:r>
            <w:r>
              <w:rPr>
                <w:rFonts w:hint="eastAsia" w:ascii="宋体" w:hAnsi="宋体" w:cs="宋体"/>
                <w:color w:val="auto"/>
                <w:szCs w:val="21"/>
                <w:highlight w:val="none"/>
                <w:u w:val="single"/>
                <w:lang w:val="zh-CN" w:bidi="zh-CN"/>
              </w:rPr>
              <w:t>622357485287</w:t>
            </w:r>
          </w:p>
          <w:p>
            <w:pPr>
              <w:spacing w:line="24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zh-CN" w:bidi="zh-CN"/>
              </w:rPr>
              <w:t>开户银行：</w:t>
            </w:r>
            <w:r>
              <w:rPr>
                <w:rFonts w:hint="eastAsia" w:ascii="宋体" w:hAnsi="宋体" w:cs="宋体"/>
                <w:color w:val="auto"/>
                <w:szCs w:val="21"/>
                <w:highlight w:val="none"/>
                <w:u w:val="single"/>
                <w:lang w:val="zh-CN" w:bidi="zh-CN"/>
              </w:rPr>
              <w:t>中行南宁市医科大支行</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ascii="宋体" w:hAnsi="宋体" w:cs="宋体"/>
                <w:b/>
                <w:color w:val="auto"/>
                <w:szCs w:val="21"/>
                <w:highlight w:val="none"/>
              </w:rPr>
              <w:t>其他</w:t>
            </w:r>
          </w:p>
        </w:tc>
        <w:tc>
          <w:tcPr>
            <w:tcW w:w="816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tbl>
      <w:tblPr>
        <w:tblStyle w:val="23"/>
        <w:tblpPr w:leftFromText="180" w:rightFromText="180" w:vertAnchor="text" w:horzAnchor="page" w:tblpX="806" w:tblpY="328"/>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94"/>
        <w:gridCol w:w="3616"/>
        <w:gridCol w:w="933"/>
        <w:gridCol w:w="483"/>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广西医科大学零星修缮项目设计单位考核表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服务单位：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94"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考核内容</w:t>
            </w:r>
          </w:p>
        </w:tc>
        <w:tc>
          <w:tcPr>
            <w:tcW w:w="3616"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考核项目</w:t>
            </w:r>
          </w:p>
        </w:tc>
        <w:tc>
          <w:tcPr>
            <w:tcW w:w="93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48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3641"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94"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设计、方案论证成果文件(0-60分)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成果文件符合相关国家、地方、行业法律法规和标准规范以及公司相关技术规定的要求</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违反相关国家、地方、行业法律法规和标准规范以及公司相关技术规定，出现一次均不得分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794" w:type="dxa"/>
            <w:vMerge w:val="continue"/>
            <w:noWrap/>
            <w:vAlign w:val="center"/>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成果文件组成内容及深度符合相关设计文件编制规定，能实现建设单位所要求的功能需求</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成果文件设计深度不够，设计变更较多，出现一次扣5分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结合业主现有建筑物实际情况、原始图纸及现场出现问题，对建筑结构安全进行评估，并给出合理处理意见</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1)成果文件参考现行标准规范编制，评估准确（10分）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2)未按最新现行标准规范进行评估（3分）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3)不具备评估出具成果文件的能力（0分）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在保证项目安全、质量的前提下，对项目进行优化设计，为业主提供最优的项目方案建议及项目投资建议</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1)提供多个方案、投资估算供业主选择，有论证小组会议材料，投资估算准确（10分）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2)提供多个方案、投资估算供业主选择，投资估算不准确（5分）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3）只提供方案，不具备投资估算能力（0分）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成果文件参数选用合理，仪表、设备选型合理，各专业接口协调一致，图面清晰、表达合理准确，图集选用合理</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参数选用不合理扣2分，仪表、设备选型不合理扣2分；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各专业间出现一次相矛盾之处扣2分；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出现一次图面错误扣1分；图集选用不合理扣1分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794" w:type="dxa"/>
            <w:vMerge w:val="continue"/>
            <w:noWrap/>
          </w:tcPr>
          <w:p>
            <w:pPr>
              <w:keepNext w:val="0"/>
              <w:keepLines w:val="0"/>
              <w:pageBreakBefore w:val="0"/>
              <w:widowControl/>
              <w:tabs>
                <w:tab w:val="left" w:pos="2730"/>
              </w:tabs>
              <w:kinsoku/>
              <w:wordWrap/>
              <w:overflowPunct/>
              <w:topLinePunct w:val="0"/>
              <w:autoSpaceDE/>
              <w:autoSpaceDN/>
              <w:bidi w:val="0"/>
              <w:adjustRightInd/>
              <w:snapToGrid/>
              <w:ind w:right="13" w:rightChars="6" w:firstLine="0"/>
              <w:jc w:val="left"/>
              <w:textAlignment w:val="auto"/>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无指定或变相指定设备生产商的现象</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出现一次不得分，记一次黑名单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794" w:type="dxa"/>
            <w:vMerge w:val="restart"/>
            <w:noWrap/>
            <w:vAlign w:val="center"/>
          </w:tcPr>
          <w:p>
            <w:pPr>
              <w:keepNext w:val="0"/>
              <w:keepLines w:val="0"/>
              <w:pageBreakBefore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服务质量(0-40分)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按建设单位要求，及时踏勘现场</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响应时间在12小时内（5分），24小时内（3分），48小时内（0分）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按合同或委托书的约定及时收集、编撰、整合成果文件</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提交时间在3天内（15分），5天内（10分），7天内（5分），10天内（2分）），超过10天（0分）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进行设计技术交底，及时解决施工现场存在的设计方面的问题</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技术交底、解决问题不及时，出现一次扣2分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成果文件变更及时、合理、经济</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未及时出具合理变更文件，出现一次扣2分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成果文件的管理情况</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过程文件管理是否有序，是否建立有文件管理档案，收发记录是否齐全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业主交办的设计配合工作和其它事项，并及时反馈信息或提出处理建议</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配合不积极，</w:t>
            </w:r>
            <w:r>
              <w:rPr>
                <w:rFonts w:hint="eastAsia" w:ascii="宋体" w:hAnsi="宋体" w:cs="宋体"/>
                <w:color w:val="auto"/>
                <w:kern w:val="0"/>
                <w:szCs w:val="21"/>
                <w:highlight w:val="none"/>
                <w:lang w:bidi="ar"/>
              </w:rPr>
              <w:t>出现一次扣1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无有责投诉发生</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14</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服务态度到位</w:t>
            </w:r>
          </w:p>
        </w:tc>
        <w:tc>
          <w:tcPr>
            <w:tcW w:w="933"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服务态度不到位，出现一次扣1分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3" w:type="dxa"/>
            <w:gridSpan w:val="2"/>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673" w:type="dxa"/>
            <w:gridSpan w:val="4"/>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p>
        </w:tc>
      </w:tr>
    </w:tbl>
    <w:p>
      <w:pPr>
        <w:ind w:firstLine="420"/>
        <w:rPr>
          <w:color w:val="auto"/>
          <w:highlight w:val="none"/>
        </w:rPr>
        <w:sectPr>
          <w:pgSz w:w="11906" w:h="16838"/>
          <w:pgMar w:top="1440" w:right="1800" w:bottom="1440" w:left="1800" w:header="851" w:footer="992" w:gutter="0"/>
          <w:cols w:space="720" w:num="1"/>
          <w:docGrid w:type="lines" w:linePitch="312" w:charSpace="0"/>
        </w:sectPr>
      </w:pPr>
    </w:p>
    <w:p>
      <w:pPr>
        <w:rPr>
          <w:rFonts w:hint="eastAsia" w:ascii="宋体" w:hAnsi="宋体" w:cs="宋体"/>
          <w:b/>
          <w:bCs/>
          <w:color w:val="auto"/>
          <w:highlight w:val="none"/>
        </w:rPr>
      </w:pPr>
      <w:r>
        <w:rPr>
          <w:rFonts w:hint="eastAsia" w:ascii="宋体" w:hAnsi="宋体" w:cs="宋体"/>
          <w:b/>
          <w:bCs/>
          <w:color w:val="auto"/>
          <w:highlight w:val="none"/>
        </w:rPr>
        <w:t>8分标：监理服务</w:t>
      </w:r>
    </w:p>
    <w:tbl>
      <w:tblPr>
        <w:tblStyle w:val="2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427"/>
        <w:gridCol w:w="900"/>
        <w:gridCol w:w="670"/>
        <w:gridCol w:w="656"/>
        <w:gridCol w:w="6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11" w:type="dxa"/>
            <w:gridSpan w:val="6"/>
            <w:vAlign w:val="center"/>
          </w:tcPr>
          <w:p>
            <w:pPr>
              <w:spacing w:line="420" w:lineRule="exact"/>
              <w:ind w:firstLine="420"/>
              <w:jc w:val="left"/>
              <w:rPr>
                <w:rFonts w:hint="eastAsia" w:ascii="宋体" w:hAnsi="宋体" w:cs="宋体"/>
                <w:b/>
                <w:color w:val="auto"/>
                <w:szCs w:val="21"/>
                <w:highlight w:val="none"/>
              </w:rPr>
            </w:pPr>
            <w:r>
              <w:rPr>
                <w:rFonts w:hint="eastAsia" w:ascii="宋体" w:hAnsi="宋体" w:cs="宋体"/>
                <w:bCs/>
                <w:color w:val="auto"/>
                <w:szCs w:val="21"/>
                <w:highlight w:val="none"/>
              </w:rPr>
              <w:t>8分标：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 w:type="dxa"/>
            <w:vMerge w:val="restart"/>
            <w:tcBorders>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服务要求</w:t>
            </w:r>
          </w:p>
        </w:tc>
        <w:tc>
          <w:tcPr>
            <w:tcW w:w="427" w:type="dxa"/>
            <w:tcBorders>
              <w:lef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00"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标的的名称</w:t>
            </w:r>
          </w:p>
        </w:tc>
        <w:tc>
          <w:tcPr>
            <w:tcW w:w="670"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56" w:type="dxa"/>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831" w:type="dxa"/>
            <w:vAlign w:val="center"/>
          </w:tcPr>
          <w:p>
            <w:pPr>
              <w:spacing w:line="420" w:lineRule="exact"/>
              <w:ind w:firstLine="402"/>
              <w:jc w:val="center"/>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jc w:val="center"/>
        </w:trPr>
        <w:tc>
          <w:tcPr>
            <w:tcW w:w="427" w:type="dxa"/>
            <w:vMerge w:val="continue"/>
            <w:tcBorders>
              <w:right w:val="single" w:color="auto" w:sz="4" w:space="0"/>
            </w:tcBorders>
            <w:vAlign w:val="center"/>
          </w:tcPr>
          <w:p>
            <w:pPr>
              <w:spacing w:line="420" w:lineRule="exact"/>
              <w:ind w:firstLine="420"/>
              <w:jc w:val="center"/>
              <w:rPr>
                <w:rFonts w:hint="eastAsia" w:ascii="宋体" w:hAnsi="宋体" w:cs="宋体"/>
                <w:bCs/>
                <w:color w:val="auto"/>
                <w:szCs w:val="21"/>
                <w:highlight w:val="none"/>
              </w:rPr>
            </w:pPr>
          </w:p>
        </w:tc>
        <w:tc>
          <w:tcPr>
            <w:tcW w:w="42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监理服务</w:t>
            </w:r>
          </w:p>
        </w:tc>
        <w:tc>
          <w:tcPr>
            <w:tcW w:w="67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56"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eastAsia="zh-CN"/>
              </w:rPr>
              <w:t>项</w:t>
            </w:r>
          </w:p>
        </w:tc>
        <w:tc>
          <w:tcPr>
            <w:tcW w:w="6831" w:type="dxa"/>
            <w:vAlign w:val="center"/>
          </w:tcPr>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主要负责校本部及武鸣校区各类用房、学生宿舍、校园环境、基础设施、水、电等修缮改造项目的监理工作</w:t>
            </w:r>
            <w:r>
              <w:rPr>
                <w:rFonts w:hint="eastAsia" w:ascii="宋体" w:hAnsi="宋体" w:cs="宋体"/>
                <w:bCs/>
                <w:color w:val="auto"/>
                <w:szCs w:val="21"/>
                <w:highlight w:val="none"/>
              </w:rPr>
              <w:t>。</w:t>
            </w:r>
          </w:p>
          <w:p>
            <w:pPr>
              <w:spacing w:line="420" w:lineRule="exact"/>
              <w:jc w:val="left"/>
              <w:rPr>
                <w:rFonts w:hint="eastAsia" w:ascii="宋体" w:hAnsi="宋体" w:cs="宋体"/>
                <w:bCs/>
                <w:color w:val="auto"/>
                <w:szCs w:val="21"/>
                <w:highlight w:val="none"/>
              </w:rPr>
            </w:pPr>
            <w:r>
              <w:rPr>
                <w:rFonts w:ascii="宋体" w:hAnsi="宋体" w:cs="宋体"/>
                <w:b/>
                <w:color w:val="auto"/>
                <w:szCs w:val="21"/>
                <w:highlight w:val="none"/>
              </w:rPr>
              <w:t>一、项目需求内容及说明</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负责校本部及武鸣校区各类用房、校园道路环境、基础设施、水电、消防、暖通、智能化等修缮项目的监理工作；内容包括：质量控制、进度控制、投资控制、合同管理、信息管理、安全生产管理及现场组织协调</w:t>
            </w:r>
            <w:r>
              <w:rPr>
                <w:rFonts w:ascii="宋体" w:hAnsi="宋体" w:cs="宋体"/>
                <w:bCs/>
                <w:strike/>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w:t>
            </w:r>
            <w:r>
              <w:rPr>
                <w:rFonts w:hint="eastAsia" w:ascii="宋体" w:hAnsi="宋体" w:cs="宋体"/>
                <w:bCs/>
                <w:color w:val="auto"/>
                <w:szCs w:val="21"/>
                <w:highlight w:val="none"/>
              </w:rPr>
              <w:t>服务</w:t>
            </w:r>
            <w:r>
              <w:rPr>
                <w:rFonts w:ascii="宋体" w:hAnsi="宋体" w:cs="宋体"/>
                <w:bCs/>
                <w:color w:val="auto"/>
                <w:szCs w:val="21"/>
                <w:highlight w:val="none"/>
              </w:rPr>
              <w:t>有效期：自</w:t>
            </w:r>
            <w:r>
              <w:rPr>
                <w:rFonts w:hint="eastAsia" w:ascii="宋体" w:hAnsi="宋体" w:cs="宋体"/>
                <w:bCs/>
                <w:color w:val="auto"/>
                <w:szCs w:val="21"/>
                <w:highlight w:val="none"/>
              </w:rPr>
              <w:t>采购合同签订之日起2年。合同有效期内，若采购人应向中标人支付的监理费（含未达到支付条件的监理费）金额累计达到本分标预算金额的，合同自动提前终止。</w:t>
            </w:r>
          </w:p>
          <w:p>
            <w:pPr>
              <w:spacing w:line="420" w:lineRule="exact"/>
              <w:ind w:firstLine="420"/>
              <w:jc w:val="left"/>
              <w:rPr>
                <w:color w:val="auto"/>
                <w:highlight w:val="none"/>
              </w:rPr>
            </w:pPr>
            <w:r>
              <w:rPr>
                <w:rFonts w:hint="eastAsia" w:ascii="宋体" w:hAnsi="宋体" w:cs="宋体"/>
                <w:bCs/>
                <w:color w:val="auto"/>
                <w:szCs w:val="21"/>
                <w:highlight w:val="none"/>
              </w:rPr>
              <w:t>对于在合同有效期内已立项、但截至合同终止之日（含到期终止与提前终止）仍未完成的项目，中标人在该项目的任务委托书约定的服务期限内应继续提供监理服务直至该项目验收合格</w:t>
            </w:r>
            <w:r>
              <w:rPr>
                <w:rFonts w:ascii="宋体" w:hAnsi="宋体" w:cs="宋体"/>
                <w:bCs/>
                <w:color w:val="auto"/>
                <w:szCs w:val="21"/>
                <w:highlight w:val="none"/>
              </w:rPr>
              <w:t>。</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二、</w:t>
            </w:r>
            <w:r>
              <w:rPr>
                <w:rFonts w:hint="eastAsia" w:ascii="宋体" w:hAnsi="宋体" w:cs="宋体"/>
                <w:b/>
                <w:color w:val="auto"/>
                <w:szCs w:val="21"/>
                <w:highlight w:val="none"/>
              </w:rPr>
              <w:t>人员</w:t>
            </w:r>
            <w:r>
              <w:rPr>
                <w:rFonts w:ascii="宋体" w:hAnsi="宋体" w:cs="宋体"/>
                <w:b/>
                <w:color w:val="auto"/>
                <w:szCs w:val="21"/>
                <w:highlight w:val="none"/>
              </w:rPr>
              <w:t>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服务单位需成立项目监理部，指定派驻1名项目总监理工程师，项目总监理工程师应同时具备房屋建筑工程和市政公用工程或同时具备房屋建筑工程和机电安装工程专业的国家注册监理工程师执业资格证，同时应派驻房屋建筑和机电安装工程专业监理工程师各</w:t>
            </w:r>
            <w:r>
              <w:rPr>
                <w:rFonts w:hint="eastAsia" w:ascii="宋体" w:hAnsi="宋体" w:cs="宋体"/>
                <w:bCs/>
                <w:color w:val="auto"/>
                <w:szCs w:val="21"/>
                <w:highlight w:val="none"/>
              </w:rPr>
              <w:t>1</w:t>
            </w:r>
            <w:r>
              <w:rPr>
                <w:rFonts w:ascii="宋体" w:hAnsi="宋体" w:cs="宋体"/>
                <w:bCs/>
                <w:color w:val="auto"/>
                <w:szCs w:val="21"/>
                <w:highlight w:val="none"/>
              </w:rPr>
              <w:t>名</w:t>
            </w:r>
            <w:r>
              <w:rPr>
                <w:rFonts w:hint="eastAsia" w:ascii="宋体" w:hAnsi="宋体" w:cs="宋体"/>
                <w:color w:val="auto"/>
                <w:kern w:val="0"/>
                <w:szCs w:val="21"/>
                <w:highlight w:val="none"/>
              </w:rPr>
              <w:t>，</w:t>
            </w:r>
            <w:r>
              <w:rPr>
                <w:rFonts w:ascii="宋体" w:hAnsi="宋体" w:cs="宋体"/>
                <w:color w:val="auto"/>
                <w:highlight w:val="none"/>
              </w:rPr>
              <w:t>专业监理工程师须持有国家建设部颁发的《注册监理工程师注册执业证书》或广西建设监理工程师证书或广西壮族自治区住建厅颁发的监理员岗位证书</w:t>
            </w:r>
            <w:r>
              <w:rPr>
                <w:rFonts w:hint="eastAsia" w:ascii="宋体" w:hAnsi="宋体" w:cs="宋体"/>
                <w:color w:val="auto"/>
                <w:highlight w:val="none"/>
              </w:rPr>
              <w:t>，</w:t>
            </w:r>
            <w:r>
              <w:rPr>
                <w:rFonts w:ascii="宋体" w:hAnsi="宋体" w:cs="宋体"/>
                <w:bCs/>
                <w:color w:val="auto"/>
                <w:szCs w:val="21"/>
                <w:highlight w:val="none"/>
              </w:rPr>
              <w:t>且不得随意变更，若变更需书面提出请求，经采购人同意后方可更换。</w:t>
            </w:r>
            <w:r>
              <w:rPr>
                <w:rFonts w:hint="eastAsia"/>
                <w:color w:val="auto"/>
                <w:highlight w:val="none"/>
              </w:rPr>
              <w:t>（需在投标文件中提供以上拟投入人员的证书复印件并加盖投标人公章）</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拟派驻人员应常驻南宁市。</w:t>
            </w:r>
          </w:p>
          <w:p>
            <w:pPr>
              <w:spacing w:line="420" w:lineRule="exact"/>
              <w:jc w:val="left"/>
              <w:rPr>
                <w:rFonts w:hint="eastAsia" w:ascii="宋体" w:hAnsi="宋体" w:cs="宋体"/>
                <w:b/>
                <w:color w:val="auto"/>
                <w:szCs w:val="21"/>
                <w:highlight w:val="none"/>
              </w:rPr>
            </w:pPr>
            <w:r>
              <w:rPr>
                <w:rFonts w:ascii="宋体" w:hAnsi="宋体" w:cs="宋体"/>
                <w:b/>
                <w:color w:val="auto"/>
                <w:szCs w:val="21"/>
                <w:highlight w:val="none"/>
              </w:rPr>
              <w:t>三、服务要求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1.监理范围包括：本项目所有建设内容的施工全过程阶段的监理（含质量控制、进度控制、投资控制、合同管理、信息管理、安全生产管理及现场组织协调）。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2.监理工作内容还包括：在业主授权范围内，对整个工程实施质量、进度、投资及施工安全的控制，并且协调各方关系。</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（1）审查承包人编制的施工组织设计、施工方案及施工进度计划并监督检查其实施。</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（2）审查承包人或采购人提供的材料和设备清单及所列的规格与质量。</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督促检查承包人严格执行合同和严格按国家技术规范、标准、地方建筑安装规程以及设计图纸文件的要求进行施工和施工验收签证，控制工程质量。对于包括土方工程及其它重点工程施工，要求监理工程师必须 24 小时现场旁站监理，确保测量数据与收方工程量的真实性并做好旁站监理记录，原始地形、换填及合同外工程量及时通知</w:t>
            </w:r>
            <w:r>
              <w:rPr>
                <w:rFonts w:hint="eastAsia" w:ascii="宋体" w:hAnsi="宋体" w:cs="宋体"/>
                <w:bCs/>
                <w:color w:val="auto"/>
                <w:szCs w:val="21"/>
                <w:highlight w:val="none"/>
              </w:rPr>
              <w:t>采购人</w:t>
            </w:r>
            <w:r>
              <w:rPr>
                <w:rFonts w:ascii="宋体" w:hAnsi="宋体" w:cs="宋体"/>
                <w:bCs/>
                <w:color w:val="auto"/>
                <w:szCs w:val="21"/>
                <w:highlight w:val="none"/>
              </w:rPr>
              <w:t>进行现场确认。</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（4）对用于工程的主要材料、构件的出厂合格证、材质试验单等进行核定，如发现不实之处，有权责成承包人（并指定试验单位）对材质进行再化验，防止不优良的材料、构件等用于工程上。</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（5）检查工程使用的主要设备及关键材料是否符合设计文件或标书所规定的厂家、型号、规格及质量标准。在订货前，根据需要</w:t>
            </w:r>
            <w:r>
              <w:rPr>
                <w:rFonts w:hint="eastAsia" w:ascii="宋体" w:hAnsi="宋体" w:cs="宋体"/>
                <w:bCs/>
                <w:color w:val="auto"/>
                <w:szCs w:val="21"/>
                <w:highlight w:val="none"/>
              </w:rPr>
              <w:t>可</w:t>
            </w:r>
            <w:r>
              <w:rPr>
                <w:rFonts w:ascii="宋体" w:hAnsi="宋体" w:cs="宋体"/>
                <w:bCs/>
                <w:color w:val="auto"/>
                <w:szCs w:val="21"/>
                <w:highlight w:val="none"/>
              </w:rPr>
              <w:t>以对生产厂家进行了解考察，所发生的差旅费用由订货单位负担。</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（6）根据《建筑安装工程承包合同》的规定，核验承包人所作的工程进度计划，签收检查承包人填报的旬、月、季度等报表，随时提出监理意见，控制工程进度计划。</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（7）对重大的设计修改和技术咨询，除提出监理意见之外，应征得采购人的意见，在可行的情况下，原则上应由原设计单位进行修改。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（8）根据合同付款规定，以及专业监理工程师对工程质量、数量的核实，签发工程款付款凭证。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（9）监督检查工程的文明施工及安全防护措施。</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（10）做好各阶段、部位、环节及系统的分段工程检验、验收，负责组织初验，签署由承包人提出的竣工验收报告，参加采购人组织的最终验收。</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（11）督促检查承包人完成各阶段及全套竣工图的绘制和整理各种必须归档的资料，交采购人归档。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（12）协助主持、审理工程出现的质量、安全事故的处理，提出处理意见。所发生的费用由责任方负责。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（13）负责检查工程状况，鉴定质量问题责任，督促保修。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（14）完成采购人委托的编制工程预算、审核工程结算及核定工程价款工作。</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（15）按时组织工地例会，并将例会情况及时整理成文，以纪要形式报送采购人。</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（16）为工程建设“四控三管一协调”：质量控制、进度控制、投资控制、安全文明控制、合同管理、信息管理、职业健康安全与环境管理、现场全面组织协调。实现向采购人提出合理化建议。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17）信息管理：做好施工现场记录与信息反馈；按照监理合同附件的要求编制监理月、年报；按期整编工程资料和工程档案，做好文、录、表、单的日常管理，并在期限届满时移交采购人，移交后方可进行监理费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（18）从事与项目监理工作有关的其他工作。</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（19）项目竣工后，监理</w:t>
            </w:r>
            <w:r>
              <w:rPr>
                <w:rFonts w:hint="eastAsia" w:ascii="宋体" w:hAnsi="宋体" w:cs="宋体"/>
                <w:bCs/>
                <w:color w:val="auto"/>
                <w:szCs w:val="21"/>
                <w:highlight w:val="none"/>
              </w:rPr>
              <w:t>服务单位</w:t>
            </w:r>
            <w:r>
              <w:rPr>
                <w:rFonts w:ascii="宋体" w:hAnsi="宋体" w:cs="宋体"/>
                <w:bCs/>
                <w:color w:val="auto"/>
                <w:szCs w:val="21"/>
                <w:highlight w:val="none"/>
              </w:rPr>
              <w:t>应根据采购人的要求提交监理存档资料。如监理档案资料未能及时提交或未能通过验收的，则结算余款不予支付，由此所产生的后果由监理</w:t>
            </w:r>
            <w:r>
              <w:rPr>
                <w:rFonts w:hint="eastAsia" w:ascii="宋体" w:hAnsi="宋体" w:cs="宋体"/>
                <w:bCs/>
                <w:color w:val="auto"/>
                <w:szCs w:val="21"/>
                <w:highlight w:val="none"/>
              </w:rPr>
              <w:t>服务单位</w:t>
            </w:r>
            <w:r>
              <w:rPr>
                <w:rFonts w:ascii="宋体" w:hAnsi="宋体" w:cs="宋体"/>
                <w:bCs/>
                <w:color w:val="auto"/>
                <w:szCs w:val="21"/>
                <w:highlight w:val="none"/>
              </w:rPr>
              <w:t>负责。</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（20）严格按照委托人的授权履行职务，未经委托人同意、授权，擅自签证或超范围签证的，采购人有权追究监理</w:t>
            </w:r>
            <w:r>
              <w:rPr>
                <w:rFonts w:hint="eastAsia" w:ascii="宋体" w:hAnsi="宋体" w:cs="宋体"/>
                <w:bCs/>
                <w:color w:val="auto"/>
                <w:szCs w:val="21"/>
                <w:highlight w:val="none"/>
              </w:rPr>
              <w:t>服务单位</w:t>
            </w:r>
            <w:r>
              <w:rPr>
                <w:rFonts w:ascii="宋体" w:hAnsi="宋体" w:cs="宋体"/>
                <w:bCs/>
                <w:color w:val="auto"/>
                <w:szCs w:val="21"/>
                <w:highlight w:val="none"/>
              </w:rPr>
              <w:t>的违约责任，造成采购人损失的，采购人有权向监理</w:t>
            </w:r>
            <w:r>
              <w:rPr>
                <w:rFonts w:hint="eastAsia" w:ascii="宋体" w:hAnsi="宋体" w:cs="宋体"/>
                <w:bCs/>
                <w:color w:val="auto"/>
                <w:szCs w:val="21"/>
                <w:highlight w:val="none"/>
              </w:rPr>
              <w:t>服务单位</w:t>
            </w:r>
            <w:r>
              <w:rPr>
                <w:rFonts w:ascii="宋体" w:hAnsi="宋体" w:cs="宋体"/>
                <w:bCs/>
                <w:color w:val="auto"/>
                <w:szCs w:val="21"/>
                <w:highlight w:val="none"/>
              </w:rPr>
              <w:t>进行追偿。</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3.监理与相关服务依据</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3.1监理依据包括：国家有关建设的政策、法律和法规及项目审批文件；广西壮族自治区政府有关文件；建设主管部门及业主的有关文件（含招标、投标文件、施工合同、报建、报监手续）；批准的设计图纸及变更通知；建设工程委托监理合同和建设工程施工合同；有关的规程、规范和评定标准；本工程的监理规划；国标《建设工程监理规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3.2提交监理报告一式三份，在工程开工前提交，监理月报在次月10日前提交。监理</w:t>
            </w:r>
            <w:r>
              <w:rPr>
                <w:rFonts w:hint="eastAsia" w:ascii="宋体" w:hAnsi="宋体" w:cs="宋体"/>
                <w:bCs/>
                <w:color w:val="auto"/>
                <w:szCs w:val="21"/>
                <w:highlight w:val="none"/>
              </w:rPr>
              <w:t>服务单位</w:t>
            </w:r>
            <w:r>
              <w:rPr>
                <w:rFonts w:ascii="宋体" w:hAnsi="宋体" w:cs="宋体"/>
                <w:bCs/>
                <w:color w:val="auto"/>
                <w:szCs w:val="21"/>
                <w:highlight w:val="none"/>
              </w:rPr>
              <w:t>应提交报告的种类如下：</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(1)监理规划、监理实施细则；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(2)设计交底和图纸会审会议纪要；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(3)总监理工程师任命书，工程开工令、暂停令、复工令等资料；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(4)工程材料，构配件，设备报验文件资料；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(5)见证取样文件资料；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(6)工程质量检验报验资料及工程有关验收资料；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(7)工程变更、费用索赔及工程延期文件资料；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(8)工程计量、工程款支付文件资料；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(9)监理通知单、工程联系单与监理报告；</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(10)监理整改意见书；</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(11)工地会议，监理例会、专题会议等会议纪要；</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(12)监理月报、监理日志、旁站记录；</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(13)工程质量或安全生产事故处理文件资料；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(14)工程质量评估报告及竣工验收监理文件资料；</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(15)监理工作总结。                                                                            4.</w:t>
            </w:r>
            <w:r>
              <w:rPr>
                <w:rFonts w:hint="eastAsia" w:ascii="宋体" w:hAnsi="宋体" w:cs="宋体"/>
                <w:bCs/>
                <w:color w:val="auto"/>
                <w:szCs w:val="21"/>
                <w:highlight w:val="none"/>
              </w:rPr>
              <w:t>监理服务单位</w:t>
            </w:r>
            <w:r>
              <w:rPr>
                <w:rFonts w:ascii="宋体" w:hAnsi="宋体" w:cs="宋体"/>
                <w:bCs/>
                <w:color w:val="auto"/>
                <w:szCs w:val="21"/>
                <w:highlight w:val="none"/>
              </w:rPr>
              <w:t>如未在规定时间内提供完整的监理成果文件，经采购人催促后14天内仍未提供或没有明确答复，采购人有权根据已有资料进行审查，</w:t>
            </w:r>
            <w:r>
              <w:rPr>
                <w:rFonts w:hint="eastAsia" w:ascii="宋体" w:hAnsi="宋体" w:cs="宋体"/>
                <w:bCs/>
                <w:color w:val="auto"/>
                <w:szCs w:val="21"/>
                <w:highlight w:val="none"/>
              </w:rPr>
              <w:t>相关</w:t>
            </w:r>
            <w:r>
              <w:rPr>
                <w:rFonts w:ascii="宋体" w:hAnsi="宋体" w:cs="宋体"/>
                <w:bCs/>
                <w:color w:val="auto"/>
                <w:szCs w:val="21"/>
                <w:highlight w:val="none"/>
              </w:rPr>
              <w:t>责任由</w:t>
            </w:r>
            <w:r>
              <w:rPr>
                <w:rFonts w:hint="eastAsia" w:ascii="宋体" w:hAnsi="宋体" w:cs="宋体"/>
                <w:bCs/>
                <w:color w:val="auto"/>
                <w:szCs w:val="21"/>
                <w:highlight w:val="none"/>
              </w:rPr>
              <w:t>监理服务单位</w:t>
            </w:r>
            <w:r>
              <w:rPr>
                <w:rFonts w:ascii="宋体" w:hAnsi="宋体" w:cs="宋体"/>
                <w:bCs/>
                <w:color w:val="auto"/>
                <w:szCs w:val="21"/>
                <w:highlight w:val="none"/>
              </w:rPr>
              <w:t>自负。</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w:t>
            </w:r>
            <w:r>
              <w:rPr>
                <w:rFonts w:ascii="宋体" w:hAnsi="宋体" w:cs="宋体"/>
                <w:bCs/>
                <w:color w:val="auto"/>
                <w:szCs w:val="21"/>
                <w:highlight w:val="none"/>
              </w:rPr>
              <w:t>其他要求：</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监理服务单位</w:t>
            </w:r>
            <w:r>
              <w:rPr>
                <w:rFonts w:ascii="宋体" w:hAnsi="宋体" w:cs="宋体"/>
                <w:bCs/>
                <w:color w:val="auto"/>
                <w:szCs w:val="21"/>
                <w:highlight w:val="none"/>
              </w:rPr>
              <w:t>不得无故拒绝项目委托。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监理服务单位</w:t>
            </w:r>
            <w:r>
              <w:rPr>
                <w:rFonts w:ascii="宋体" w:hAnsi="宋体" w:cs="宋体"/>
                <w:bCs/>
                <w:color w:val="auto"/>
                <w:szCs w:val="21"/>
                <w:highlight w:val="none"/>
              </w:rPr>
              <w:t>不得将合同段内内容转包第三方。</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（3）能及时按采购人的进度要求完成相关服务内容，及时解决服务过程中发生的各项问题，保证服务内容能够按时按质按量完成，并保证提供的服务成果能够满足通过有关部门的评审或备案。</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（4）成果文件须严格执行国家、广西区、南宁市现行和行业最新的相关技术规范与标准。</w:t>
            </w:r>
          </w:p>
          <w:p>
            <w:pPr>
              <w:adjustRightInd w:val="0"/>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（5）成果文件提供的数量满足采购人的要求</w:t>
            </w:r>
            <w:r>
              <w:rPr>
                <w:rFonts w:hint="eastAsia" w:ascii="宋体" w:hAnsi="宋体" w:cs="宋体"/>
                <w:bCs/>
                <w:color w:val="auto"/>
                <w:szCs w:val="21"/>
                <w:highlight w:val="none"/>
              </w:rPr>
              <w:t>，</w:t>
            </w:r>
            <w:r>
              <w:rPr>
                <w:rFonts w:ascii="宋体" w:hAnsi="宋体" w:cs="宋体"/>
                <w:bCs/>
                <w:color w:val="auto"/>
                <w:szCs w:val="21"/>
                <w:highlight w:val="none"/>
              </w:rPr>
              <w:t>每个项目提交完整的监理资料</w:t>
            </w:r>
            <w:r>
              <w:rPr>
                <w:rFonts w:hint="eastAsia" w:ascii="宋体" w:hAnsi="宋体" w:cs="宋体"/>
                <w:bCs/>
                <w:color w:val="auto"/>
                <w:szCs w:val="21"/>
                <w:highlight w:val="none"/>
              </w:rPr>
              <w:t>4</w:t>
            </w:r>
            <w:r>
              <w:rPr>
                <w:rFonts w:ascii="宋体" w:hAnsi="宋体" w:cs="宋体"/>
                <w:bCs/>
                <w:color w:val="auto"/>
                <w:szCs w:val="21"/>
                <w:highlight w:val="none"/>
              </w:rPr>
              <w:t>份</w:t>
            </w:r>
            <w:r>
              <w:rPr>
                <w:rFonts w:hint="eastAsia" w:ascii="宋体" w:hAnsi="宋体" w:cs="宋体"/>
                <w:bCs/>
                <w:color w:val="auto"/>
                <w:szCs w:val="21"/>
                <w:highlight w:val="none"/>
              </w:rPr>
              <w:t>，</w:t>
            </w:r>
            <w:r>
              <w:rPr>
                <w:rFonts w:ascii="宋体" w:hAnsi="宋体" w:cs="宋体"/>
                <w:bCs/>
                <w:color w:val="auto"/>
                <w:szCs w:val="21"/>
                <w:highlight w:val="none"/>
              </w:rPr>
              <w:t>按采购人要求时间完成。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tcPr>
          <w:p>
            <w:pPr>
              <w:spacing w:line="420" w:lineRule="exact"/>
              <w:ind w:firstLine="402"/>
              <w:jc w:val="left"/>
              <w:rPr>
                <w:rFonts w:hint="eastAsia" w:ascii="宋体" w:hAnsi="宋体" w:cs="宋体"/>
                <w:b/>
                <w:color w:val="auto"/>
                <w:szCs w:val="21"/>
                <w:highlight w:val="none"/>
              </w:rPr>
            </w:pPr>
            <w:r>
              <w:rPr>
                <w:rFonts w:hint="eastAsia" w:ascii="宋体" w:hAnsi="宋体" w:cs="宋体"/>
                <w:b/>
                <w:bCs/>
                <w:color w:val="auto"/>
                <w:kern w:val="0"/>
                <w:sz w:val="20"/>
                <w:szCs w:val="21"/>
                <w:highlight w:val="none"/>
              </w:rPr>
              <w:t>▲</w:t>
            </w:r>
            <w:r>
              <w:rPr>
                <w:rFonts w:hint="eastAsia" w:ascii="宋体" w:hAnsi="宋体" w:cs="宋体"/>
                <w:b/>
                <w:color w:val="auto"/>
                <w:szCs w:val="21"/>
                <w:highlight w:val="none"/>
              </w:rPr>
              <w:t>商务</w:t>
            </w:r>
            <w:r>
              <w:rPr>
                <w:rFonts w:hint="eastAsia" w:ascii="宋体" w:hAnsi="宋体" w:cs="宋体"/>
                <w:b/>
                <w:bCs/>
                <w:color w:val="auto"/>
                <w:kern w:val="0"/>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4" w:type="dxa"/>
            <w:gridSpan w:val="3"/>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cs="宋体"/>
                <w:b/>
                <w:bCs/>
                <w:color w:val="auto"/>
                <w:kern w:val="0"/>
                <w:sz w:val="20"/>
                <w:szCs w:val="21"/>
                <w:highlight w:val="none"/>
              </w:rPr>
            </w:pPr>
            <w:r>
              <w:rPr>
                <w:rFonts w:hint="eastAsia" w:ascii="宋体" w:hAnsi="宋体" w:cs="宋体"/>
                <w:b/>
                <w:color w:val="auto"/>
                <w:szCs w:val="21"/>
                <w:highlight w:val="none"/>
              </w:rPr>
              <w:t>合同签订时间</w:t>
            </w:r>
          </w:p>
        </w:tc>
        <w:tc>
          <w:tcPr>
            <w:tcW w:w="8157"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jc w:val="left"/>
              <w:rPr>
                <w:rFonts w:hint="eastAsia" w:ascii="宋体" w:hAnsi="宋体" w:cs="宋体"/>
                <w:b/>
                <w:bCs/>
                <w:color w:val="auto"/>
                <w:kern w:val="0"/>
                <w:sz w:val="2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u w:val="single"/>
              </w:rPr>
              <w:t xml:space="preserve">   25 　</w:t>
            </w:r>
            <w:r>
              <w:rPr>
                <w:rFonts w:hint="eastAsia" w:ascii="宋体" w:hAnsi="宋体" w:cs="宋体"/>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报价方式：按价格优惠率报价（保留小数点后2位），20%＜投标报价价格优惠率≤100%。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本项目采用价格优惠率报价，即结算价=各个具体工程项目按计费标准参照《广西壮族自治区工程建设其他费用定额》（桂建标〔2018〕37号）得出的监理费×（1-价格优惠率），例如：某具体工程项目按计费标准参照《广西壮族自治区工程建设其他费用定额》（桂建标〔2018〕37号）得出的监理费为100万，结算价=100万×（1-价格优惠率10%）=90万元。</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（2）投标报价超过价格优惠率有效范围的投标无效</w:t>
            </w:r>
            <w:r>
              <w:rPr>
                <w:rFonts w:hint="eastAsia" w:ascii="宋体" w:hAnsi="宋体" w:cs="宋体"/>
                <w:bCs/>
                <w:color w:val="auto"/>
                <w:szCs w:val="21"/>
                <w:highlight w:val="none"/>
              </w:rPr>
              <w:t>。</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（3）服务期限内中标人的价格优惠率按投标时承诺的不变。</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.报价时应考虑中标后承接各个项目所需的全部费用，</w:t>
            </w:r>
            <w:r>
              <w:rPr>
                <w:rFonts w:ascii="宋体" w:hAnsi="宋体" w:cs="宋体"/>
                <w:bCs/>
                <w:color w:val="auto"/>
                <w:szCs w:val="21"/>
                <w:highlight w:val="none"/>
              </w:rPr>
              <w:t>监理服务的价格应综合考虑完成具体工程项目监理工作的所有费用（含劳务成本、管理、保险、利润、税金、政策性文件规定费用及合同包含的应有风险、责任等各项费用）。</w:t>
            </w:r>
          </w:p>
          <w:p>
            <w:pPr>
              <w:spacing w:line="420" w:lineRule="exact"/>
              <w:ind w:firstLine="420"/>
              <w:jc w:val="left"/>
              <w:rPr>
                <w:rFonts w:hint="eastAsia" w:hAns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ascii="宋体" w:hAnsi="宋体" w:cs="宋体"/>
                <w:bCs/>
                <w:color w:val="auto"/>
                <w:szCs w:val="21"/>
                <w:highlight w:val="none"/>
              </w:rPr>
              <w:t>本分标</w:t>
            </w:r>
            <w:r>
              <w:rPr>
                <w:rFonts w:hint="eastAsia" w:ascii="宋体" w:hAnsi="宋体" w:cs="宋体"/>
                <w:bCs/>
                <w:color w:val="auto"/>
                <w:szCs w:val="21"/>
                <w:highlight w:val="none"/>
              </w:rPr>
              <w:t>采购</w:t>
            </w:r>
            <w:r>
              <w:rPr>
                <w:rFonts w:ascii="宋体" w:hAnsi="宋体" w:cs="宋体"/>
                <w:bCs/>
                <w:color w:val="auto"/>
                <w:szCs w:val="21"/>
                <w:highlight w:val="none"/>
              </w:rPr>
              <w:t>预算金额为3</w:t>
            </w:r>
            <w:r>
              <w:rPr>
                <w:rFonts w:hint="eastAsia" w:ascii="宋体" w:hAnsi="宋体" w:cs="宋体"/>
                <w:bCs/>
                <w:color w:val="auto"/>
                <w:szCs w:val="21"/>
                <w:highlight w:val="none"/>
              </w:rPr>
              <w:t>0</w:t>
            </w:r>
            <w:r>
              <w:rPr>
                <w:rFonts w:ascii="宋体" w:hAnsi="宋体" w:cs="宋体"/>
                <w:bCs/>
                <w:color w:val="auto"/>
                <w:szCs w:val="21"/>
                <w:highlight w:val="none"/>
              </w:rPr>
              <w:t>万元，采购人不承诺业务量，投标人自行考虑风险进行报价。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结算方式</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1.根据实际业务发生情况，按单个项目据实结算。</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单个项目监理费的计算基数按各个具体工程项目最终审定的竣工结算价（审计部门或采购人委托有资质的造价咨询公司审定）确定。</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3.单个项目监理费结算价=各个具体工程项目参照《广西壮族自治区工程建设其他费用定额》(桂建标(2018)37号)计算得出的监理费×(1-价格优惠率)。</w:t>
            </w:r>
          </w:p>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4.结算支付总金额不超过本分标的采购预算金额。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付款条件</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jc w:val="left"/>
              <w:rPr>
                <w:rFonts w:hint="eastAsia" w:ascii="宋体" w:hAnsi="宋体" w:cs="宋体"/>
                <w:bCs/>
                <w:color w:val="auto"/>
                <w:szCs w:val="21"/>
                <w:highlight w:val="none"/>
              </w:rPr>
            </w:pPr>
            <w:r>
              <w:rPr>
                <w:rFonts w:hint="eastAsia" w:ascii="宋体" w:hAnsi="宋体" w:cs="宋体"/>
                <w:bCs/>
                <w:color w:val="auto"/>
                <w:szCs w:val="21"/>
                <w:highlight w:val="none"/>
              </w:rPr>
              <w:t>1.采购人及中标人</w:t>
            </w:r>
            <w:r>
              <w:rPr>
                <w:rFonts w:ascii="宋体" w:hAnsi="宋体" w:cs="宋体"/>
                <w:bCs/>
                <w:color w:val="auto"/>
                <w:szCs w:val="21"/>
                <w:highlight w:val="none"/>
              </w:rPr>
              <w:t>双方约定的工程款（进度款）支付的方式和时间：根据实际业务发生情况，按单个项目据实结算。单个项目结算具体为：监理费按具体工程项目的最终审定的竣工结算（审计部门或采购人委托有资质的造价咨询公司审定）为计费基数进行计算，由采购人以银行转账的方式，在以下条件满足后的10个工作日内向中标人支付具体工程项目实际结算监理费的100%。</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1）工程竣工验收合格；</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2）双方根据约定的结算方法进行了监理费结算，并经双方确认；</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3）中标人开具了足额的发票。</w:t>
            </w:r>
          </w:p>
          <w:p>
            <w:pPr>
              <w:spacing w:line="420" w:lineRule="exact"/>
              <w:ind w:firstLine="420"/>
              <w:jc w:val="left"/>
              <w:rPr>
                <w:rFonts w:hint="eastAsia" w:ascii="宋体" w:hAnsi="宋体" w:cs="宋体"/>
                <w:bCs/>
                <w:color w:val="auto"/>
                <w:szCs w:val="21"/>
                <w:highlight w:val="none"/>
              </w:rPr>
            </w:pPr>
            <w:r>
              <w:rPr>
                <w:rFonts w:ascii="宋体" w:hAnsi="宋体" w:cs="宋体"/>
                <w:bCs/>
                <w:color w:val="auto"/>
                <w:szCs w:val="21"/>
                <w:highlight w:val="none"/>
              </w:rPr>
              <w:t>某项目监理费=《广西壮族自治区工程建设其他费用定额》（桂建标〔2018〕37号）得出的</w:t>
            </w:r>
            <w:r>
              <w:rPr>
                <w:rFonts w:hint="eastAsia" w:ascii="宋体" w:hAnsi="宋体" w:cs="宋体"/>
                <w:bCs/>
                <w:color w:val="auto"/>
                <w:szCs w:val="21"/>
                <w:highlight w:val="none"/>
              </w:rPr>
              <w:t>监理</w:t>
            </w:r>
            <w:r>
              <w:rPr>
                <w:rFonts w:ascii="宋体" w:hAnsi="宋体" w:cs="宋体"/>
                <w:bCs/>
                <w:color w:val="auto"/>
                <w:szCs w:val="21"/>
                <w:highlight w:val="none"/>
              </w:rPr>
              <w:t>费×（1-价格优惠率）</w:t>
            </w:r>
            <w:r>
              <w:rPr>
                <w:rFonts w:hint="eastAsia" w:ascii="宋体" w:hAnsi="宋体" w:cs="宋体"/>
                <w:bCs/>
                <w:color w:val="auto"/>
                <w:szCs w:val="21"/>
                <w:highlight w:val="none"/>
              </w:rPr>
              <w:t>。</w:t>
            </w:r>
          </w:p>
          <w:p>
            <w:pPr>
              <w:spacing w:line="360" w:lineRule="auto"/>
              <w:ind w:firstLine="420" w:firstLineChars="200"/>
              <w:jc w:val="both"/>
              <w:rPr>
                <w:rFonts w:hint="eastAsia" w:ascii="宋体" w:hAnsi="宋体" w:cs="宋体"/>
                <w:bCs/>
                <w:color w:val="auto"/>
                <w:szCs w:val="21"/>
                <w:highlight w:val="none"/>
              </w:rPr>
            </w:pPr>
            <w:r>
              <w:rPr>
                <w:rFonts w:hint="eastAsia" w:ascii="宋体" w:hAnsi="宋体" w:cs="宋体"/>
                <w:bCs/>
                <w:color w:val="auto"/>
                <w:szCs w:val="21"/>
                <w:highlight w:val="none"/>
              </w:rPr>
              <w:t>2.中标人需提供真实、有效、合法的正式发票，如提供虚假发票的，采购人有权解除合同，中标人除须向采购人补开合法发票外，还须向采购人支付与发票票面金额等额的违约金。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Cs/>
                <w:color w:val="auto"/>
                <w:szCs w:val="21"/>
                <w:highlight w:val="none"/>
              </w:rPr>
            </w:pPr>
            <w:r>
              <w:rPr>
                <w:rFonts w:ascii="宋体" w:hAnsi="宋体" w:cs="宋体"/>
                <w:b/>
                <w:color w:val="auto"/>
                <w:szCs w:val="21"/>
                <w:highlight w:val="none"/>
              </w:rPr>
              <w:t>履约保证金</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提供履约担保</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在收到中标通知书后，须在 10 日内向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提交履约担保。</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提供履约担保的形式、金额、期限及退回：</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zh-CN"/>
              </w:rPr>
              <w:t>银行转账、支票、汇票、本票等</w:t>
            </w:r>
            <w:r>
              <w:rPr>
                <w:rFonts w:hint="eastAsia" w:ascii="宋体" w:hAnsi="宋体" w:eastAsia="宋体" w:cs="宋体"/>
                <w:color w:val="auto"/>
                <w:szCs w:val="21"/>
                <w:highlight w:val="none"/>
              </w:rPr>
              <w:t>。</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u w:val="single"/>
              </w:rPr>
              <w:t>履约担保金额为招标文件中规定的对应分标预算金额的</w:t>
            </w:r>
            <w:r>
              <w:rPr>
                <w:rFonts w:ascii="宋体" w:hAnsi="宋体" w:eastAsia="宋体" w:cs="宋体"/>
                <w:color w:val="auto"/>
                <w:szCs w:val="21"/>
                <w:highlight w:val="none"/>
                <w:u w:val="single"/>
              </w:rPr>
              <w:t>2%</w:t>
            </w:r>
            <w:r>
              <w:rPr>
                <w:rFonts w:hint="eastAsia" w:ascii="宋体" w:hAnsi="宋体" w:eastAsia="宋体" w:cs="宋体"/>
                <w:color w:val="auto"/>
                <w:szCs w:val="21"/>
                <w:highlight w:val="none"/>
              </w:rPr>
              <w:t>。</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lang w:val="zh-CN"/>
              </w:rPr>
              <w:t>履约保证金退还时间：合同期满且</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在服务期间无违约情况下；履约保证金由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lang w:val="zh-CN"/>
              </w:rPr>
              <w:t>一次性退回成交供应商指定银行账户。如</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不按双方签订的合同规定履约的，则扣除相应的罚金后剩余部分一次性退回</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zh-CN"/>
              </w:rPr>
              <w:t>指定银行账户。</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val="zh-CN"/>
              </w:rPr>
              <w:t>履约保证金指定账户：</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户名：</w:t>
            </w:r>
            <w:r>
              <w:rPr>
                <w:rFonts w:hint="eastAsia" w:ascii="宋体" w:hAnsi="宋体" w:eastAsia="宋体" w:cs="宋体"/>
                <w:color w:val="auto"/>
                <w:szCs w:val="21"/>
                <w:highlight w:val="none"/>
                <w:u w:val="single"/>
                <w:lang w:val="zh-CN"/>
              </w:rPr>
              <w:t>广西医科大学</w:t>
            </w:r>
          </w:p>
          <w:p>
            <w:pPr>
              <w:spacing w:line="360" w:lineRule="auto"/>
              <w:ind w:firstLine="525" w:firstLine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账号：</w:t>
            </w:r>
            <w:r>
              <w:rPr>
                <w:rFonts w:hint="eastAsia" w:ascii="宋体" w:hAnsi="宋体" w:eastAsia="宋体" w:cs="宋体"/>
                <w:color w:val="auto"/>
                <w:szCs w:val="21"/>
                <w:highlight w:val="none"/>
                <w:u w:val="single"/>
                <w:lang w:val="zh-CN"/>
              </w:rPr>
              <w:t>622357485287</w:t>
            </w:r>
          </w:p>
          <w:p>
            <w:pPr>
              <w:spacing w:line="360" w:lineRule="auto"/>
              <w:ind w:firstLine="525" w:firstLineChars="250"/>
              <w:jc w:val="left"/>
              <w:rPr>
                <w:rFonts w:hint="eastAsia" w:ascii="宋体" w:hAnsi="宋体" w:cs="宋体"/>
                <w:color w:val="auto"/>
                <w:szCs w:val="21"/>
                <w:highlight w:val="none"/>
              </w:rPr>
            </w:pPr>
            <w:r>
              <w:rPr>
                <w:rFonts w:hint="eastAsia" w:ascii="宋体" w:hAnsi="宋体" w:eastAsia="宋体" w:cs="宋体"/>
                <w:color w:val="auto"/>
                <w:szCs w:val="21"/>
                <w:highlight w:val="none"/>
                <w:lang w:val="zh-CN"/>
              </w:rPr>
              <w:t>开户银行：</w:t>
            </w:r>
            <w:r>
              <w:rPr>
                <w:rFonts w:hint="eastAsia" w:ascii="宋体" w:hAnsi="宋体" w:eastAsia="宋体" w:cs="宋体"/>
                <w:color w:val="auto"/>
                <w:szCs w:val="21"/>
                <w:highlight w:val="none"/>
                <w:u w:val="single"/>
                <w:lang w:val="zh-CN"/>
              </w:rPr>
              <w:t>中行南宁市医科大支行</w:t>
            </w:r>
            <w:r>
              <w:rPr>
                <w:rFonts w:hint="eastAsia" w:ascii="宋体" w:hAnsi="宋体" w:cs="宋体"/>
                <w:color w:val="auto"/>
                <w:szCs w:val="21"/>
                <w:highlight w:val="none"/>
              </w:rPr>
              <w:t>；</w:t>
            </w:r>
          </w:p>
          <w:p>
            <w:pPr>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20" w:lineRule="exact"/>
              <w:jc w:val="left"/>
              <w:rPr>
                <w:rFonts w:hint="eastAsia" w:ascii="宋体" w:hAnsi="宋体" w:cs="宋体"/>
                <w:bCs/>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5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b/>
                <w:color w:val="auto"/>
                <w:szCs w:val="21"/>
                <w:highlight w:val="none"/>
              </w:rPr>
            </w:pPr>
            <w:r>
              <w:rPr>
                <w:rFonts w:ascii="宋体" w:hAnsi="宋体" w:cs="宋体"/>
                <w:b/>
                <w:color w:val="auto"/>
                <w:szCs w:val="21"/>
                <w:highlight w:val="none"/>
              </w:rPr>
              <w:t>其他</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tc>
      </w:tr>
    </w:tbl>
    <w:p>
      <w:pPr>
        <w:ind w:firstLine="420"/>
        <w:rPr>
          <w:color w:val="auto"/>
          <w:highlight w:val="none"/>
        </w:rPr>
      </w:pPr>
    </w:p>
    <w:p>
      <w:pPr>
        <w:pStyle w:val="10"/>
        <w:ind w:firstLine="420"/>
        <w:rPr>
          <w:color w:val="auto"/>
          <w:szCs w:val="21"/>
          <w:highlight w:val="none"/>
        </w:rPr>
        <w:sectPr>
          <w:footerReference r:id="rId5" w:type="default"/>
          <w:pgSz w:w="11905" w:h="16838"/>
          <w:pgMar w:top="1134" w:right="1134" w:bottom="1134" w:left="1134" w:header="850" w:footer="850" w:gutter="0"/>
          <w:cols w:space="0" w:num="1"/>
          <w:titlePg/>
          <w:docGrid w:linePitch="331" w:charSpace="0"/>
        </w:sectPr>
      </w:pPr>
    </w:p>
    <w:tbl>
      <w:tblPr>
        <w:tblStyle w:val="54"/>
        <w:tblW w:w="15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219"/>
        <w:gridCol w:w="3478"/>
        <w:gridCol w:w="650"/>
        <w:gridCol w:w="3648"/>
        <w:gridCol w:w="739"/>
        <w:gridCol w:w="3528"/>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660" w:type="dxa"/>
            <w:gridSpan w:val="8"/>
          </w:tcPr>
          <w:p>
            <w:pPr>
              <w:pStyle w:val="53"/>
              <w:spacing w:before="79" w:line="219" w:lineRule="auto"/>
              <w:ind w:left="5538" w:firstLine="410"/>
              <w:rPr>
                <w:rFonts w:eastAsia="Times New Roman"/>
                <w:color w:val="auto"/>
                <w:sz w:val="21"/>
                <w:szCs w:val="21"/>
                <w:highlight w:val="none"/>
                <w:lang w:eastAsia="zh-CN"/>
              </w:rPr>
            </w:pPr>
            <w:r>
              <w:rPr>
                <w:rFonts w:hint="eastAsia" w:eastAsia="Times New Roman"/>
                <w:b/>
                <w:bCs/>
                <w:color w:val="auto"/>
                <w:spacing w:val="-3"/>
                <w:sz w:val="21"/>
                <w:szCs w:val="21"/>
                <w:highlight w:val="none"/>
                <w:lang w:eastAsia="zh-CN"/>
              </w:rPr>
              <w:t>广西医科大学零星修缮项目监理单位考核表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411" w:type="dxa"/>
            <w:gridSpan w:val="3"/>
          </w:tcPr>
          <w:p>
            <w:pPr>
              <w:pStyle w:val="53"/>
              <w:spacing w:before="128" w:line="219" w:lineRule="auto"/>
              <w:ind w:left="95" w:firstLine="416"/>
              <w:rPr>
                <w:rFonts w:eastAsia="Times New Roman"/>
                <w:color w:val="auto"/>
                <w:sz w:val="21"/>
                <w:szCs w:val="21"/>
                <w:highlight w:val="none"/>
              </w:rPr>
            </w:pPr>
            <w:r>
              <w:rPr>
                <w:rFonts w:hint="eastAsia" w:eastAsia="Times New Roman"/>
                <w:color w:val="auto"/>
                <w:spacing w:val="-1"/>
                <w:sz w:val="21"/>
                <w:szCs w:val="21"/>
                <w:highlight w:val="none"/>
              </w:rPr>
              <w:t>服务单位：</w:t>
            </w:r>
          </w:p>
        </w:tc>
        <w:tc>
          <w:tcPr>
            <w:tcW w:w="9249" w:type="dxa"/>
            <w:gridSpan w:val="5"/>
          </w:tcPr>
          <w:p>
            <w:pPr>
              <w:pStyle w:val="53"/>
              <w:spacing w:before="129" w:line="220" w:lineRule="auto"/>
              <w:ind w:left="94" w:firstLine="500"/>
              <w:rPr>
                <w:rFonts w:eastAsia="Times New Roman"/>
                <w:color w:val="auto"/>
                <w:sz w:val="21"/>
                <w:szCs w:val="21"/>
                <w:highlight w:val="none"/>
              </w:rPr>
            </w:pPr>
            <w:r>
              <w:rPr>
                <w:rFonts w:hint="eastAsia" w:eastAsia="Times New Roman"/>
                <w:color w:val="auto"/>
                <w:spacing w:val="20"/>
                <w:sz w:val="21"/>
                <w:szCs w:val="21"/>
                <w:highlight w:val="none"/>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116" w:line="221" w:lineRule="auto"/>
              <w:ind w:left="138" w:firstLine="0"/>
              <w:textAlignment w:val="auto"/>
              <w:rPr>
                <w:rFonts w:eastAsia="Times New Roman"/>
                <w:color w:val="auto"/>
                <w:sz w:val="21"/>
                <w:szCs w:val="21"/>
                <w:highlight w:val="none"/>
              </w:rPr>
            </w:pPr>
            <w:r>
              <w:rPr>
                <w:rFonts w:hint="eastAsia" w:eastAsia="Times New Roman"/>
                <w:b/>
                <w:bCs/>
                <w:color w:val="auto"/>
                <w:spacing w:val="-5"/>
                <w:sz w:val="21"/>
                <w:szCs w:val="21"/>
                <w:highlight w:val="none"/>
              </w:rPr>
              <w:t>序号</w:t>
            </w:r>
          </w:p>
        </w:tc>
        <w:tc>
          <w:tcPr>
            <w:tcW w:w="2219"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684" w:firstLine="0"/>
              <w:textAlignment w:val="auto"/>
              <w:rPr>
                <w:rFonts w:eastAsia="Times New Roman"/>
                <w:color w:val="auto"/>
                <w:sz w:val="21"/>
                <w:szCs w:val="21"/>
                <w:highlight w:val="none"/>
              </w:rPr>
            </w:pPr>
            <w:r>
              <w:rPr>
                <w:rFonts w:hint="eastAsia" w:eastAsia="Times New Roman"/>
                <w:b/>
                <w:bCs/>
                <w:color w:val="auto"/>
                <w:spacing w:val="-4"/>
                <w:sz w:val="21"/>
                <w:szCs w:val="21"/>
                <w:highlight w:val="none"/>
              </w:rPr>
              <w:t>考核内容</w:t>
            </w:r>
          </w:p>
        </w:tc>
        <w:tc>
          <w:tcPr>
            <w:tcW w:w="3478"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045" w:firstLine="0"/>
              <w:textAlignment w:val="auto"/>
              <w:rPr>
                <w:rFonts w:eastAsia="Times New Roman"/>
                <w:color w:val="auto"/>
                <w:sz w:val="21"/>
                <w:szCs w:val="21"/>
                <w:highlight w:val="none"/>
              </w:rPr>
            </w:pPr>
            <w:r>
              <w:rPr>
                <w:rFonts w:hint="eastAsia" w:eastAsia="Times New Roman"/>
                <w:b/>
                <w:bCs/>
                <w:color w:val="auto"/>
                <w:spacing w:val="3"/>
                <w:sz w:val="21"/>
                <w:szCs w:val="21"/>
                <w:highlight w:val="none"/>
              </w:rPr>
              <w:t>考核标准(A级)</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07" w:firstLine="0"/>
              <w:textAlignment w:val="auto"/>
              <w:rPr>
                <w:rFonts w:eastAsia="Times New Roman"/>
                <w:color w:val="auto"/>
                <w:sz w:val="21"/>
                <w:szCs w:val="21"/>
                <w:highlight w:val="none"/>
              </w:rPr>
            </w:pPr>
            <w:r>
              <w:rPr>
                <w:rFonts w:hint="eastAsia" w:eastAsia="Times New Roman"/>
                <w:b/>
                <w:bCs/>
                <w:color w:val="auto"/>
                <w:spacing w:val="-5"/>
                <w:sz w:val="21"/>
                <w:szCs w:val="21"/>
                <w:highlight w:val="none"/>
              </w:rPr>
              <w:t>得分</w:t>
            </w:r>
          </w:p>
        </w:tc>
        <w:tc>
          <w:tcPr>
            <w:tcW w:w="3648"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137" w:firstLine="0"/>
              <w:textAlignment w:val="auto"/>
              <w:rPr>
                <w:rFonts w:eastAsia="Times New Roman"/>
                <w:color w:val="auto"/>
                <w:sz w:val="21"/>
                <w:szCs w:val="21"/>
                <w:highlight w:val="none"/>
              </w:rPr>
            </w:pPr>
            <w:r>
              <w:rPr>
                <w:rFonts w:hint="eastAsia" w:eastAsia="Times New Roman"/>
                <w:b/>
                <w:bCs/>
                <w:color w:val="auto"/>
                <w:spacing w:val="2"/>
                <w:sz w:val="21"/>
                <w:szCs w:val="21"/>
                <w:highlight w:val="none"/>
              </w:rPr>
              <w:t>考核标准(B级)</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59" w:firstLine="0"/>
              <w:textAlignment w:val="auto"/>
              <w:rPr>
                <w:rFonts w:eastAsia="Times New Roman"/>
                <w:color w:val="auto"/>
                <w:sz w:val="21"/>
                <w:szCs w:val="21"/>
                <w:highlight w:val="none"/>
              </w:rPr>
            </w:pPr>
            <w:r>
              <w:rPr>
                <w:rFonts w:hint="eastAsia" w:eastAsia="Times New Roman"/>
                <w:b/>
                <w:bCs/>
                <w:color w:val="auto"/>
                <w:spacing w:val="-5"/>
                <w:sz w:val="21"/>
                <w:szCs w:val="21"/>
                <w:highlight w:val="none"/>
              </w:rPr>
              <w:t>得分</w:t>
            </w:r>
          </w:p>
        </w:tc>
        <w:tc>
          <w:tcPr>
            <w:tcW w:w="3528"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080" w:firstLine="0"/>
              <w:textAlignment w:val="auto"/>
              <w:rPr>
                <w:rFonts w:eastAsia="Times New Roman"/>
                <w:color w:val="auto"/>
                <w:sz w:val="21"/>
                <w:szCs w:val="21"/>
                <w:highlight w:val="none"/>
              </w:rPr>
            </w:pPr>
            <w:r>
              <w:rPr>
                <w:rFonts w:hint="eastAsia" w:eastAsia="Times New Roman"/>
                <w:b/>
                <w:bCs/>
                <w:color w:val="auto"/>
                <w:spacing w:val="2"/>
                <w:sz w:val="21"/>
                <w:szCs w:val="21"/>
                <w:highlight w:val="none"/>
              </w:rPr>
              <w:t>考核标准(C级)</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115" w:line="219" w:lineRule="auto"/>
              <w:ind w:left="132" w:firstLine="0"/>
              <w:textAlignment w:val="auto"/>
              <w:rPr>
                <w:rFonts w:eastAsia="Times New Roman"/>
                <w:color w:val="auto"/>
                <w:sz w:val="21"/>
                <w:szCs w:val="21"/>
                <w:highlight w:val="none"/>
              </w:rPr>
            </w:pPr>
            <w:r>
              <w:rPr>
                <w:rFonts w:hint="eastAsia" w:eastAsia="Times New Roman"/>
                <w:b/>
                <w:bCs/>
                <w:color w:val="auto"/>
                <w:spacing w:val="-5"/>
                <w:sz w:val="21"/>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2" w:line="183" w:lineRule="auto"/>
              <w:ind w:left="295" w:firstLine="0"/>
              <w:textAlignment w:val="auto"/>
              <w:rPr>
                <w:rFonts w:hint="eastAsia" w:eastAsia="Times New Roman"/>
                <w:color w:val="auto"/>
                <w:sz w:val="21"/>
                <w:szCs w:val="21"/>
                <w:highlight w:val="none"/>
                <w:lang w:val="en-US" w:eastAsia="zh-CN"/>
              </w:rPr>
            </w:pPr>
            <w:r>
              <w:rPr>
                <w:rFonts w:hint="eastAsia" w:eastAsia="Times New Roman"/>
                <w:color w:val="auto"/>
                <w:sz w:val="21"/>
                <w:szCs w:val="21"/>
                <w:highlight w:val="none"/>
                <w:lang w:val="en-US" w:eastAsia="zh-CN"/>
              </w:rPr>
              <w:t>1</w:t>
            </w:r>
          </w:p>
        </w:tc>
        <w:tc>
          <w:tcPr>
            <w:tcW w:w="2219" w:type="dxa"/>
          </w:tcPr>
          <w:p>
            <w:pPr>
              <w:pStyle w:val="53"/>
              <w:spacing w:before="79" w:line="310" w:lineRule="exact"/>
              <w:rPr>
                <w:rFonts w:eastAsia="Times New Roman"/>
                <w:color w:val="auto"/>
                <w:sz w:val="21"/>
                <w:szCs w:val="21"/>
                <w:highlight w:val="none"/>
                <w:lang w:eastAsia="zh-CN"/>
              </w:rPr>
            </w:pPr>
            <w:r>
              <w:rPr>
                <w:rFonts w:hint="eastAsia" w:eastAsia="Times New Roman"/>
                <w:color w:val="auto"/>
                <w:spacing w:val="4"/>
                <w:position w:val="7"/>
                <w:sz w:val="21"/>
                <w:szCs w:val="21"/>
                <w:highlight w:val="none"/>
                <w:lang w:eastAsia="zh-CN"/>
              </w:rPr>
              <w:t>专业监理人员</w:t>
            </w:r>
            <w:r>
              <w:rPr>
                <w:rFonts w:hint="eastAsia" w:eastAsia="Times New Roman"/>
                <w:color w:val="auto"/>
                <w:spacing w:val="-2"/>
                <w:sz w:val="21"/>
                <w:szCs w:val="21"/>
                <w:highlight w:val="none"/>
                <w:lang w:eastAsia="zh-CN"/>
              </w:rPr>
              <w:t>配备情况</w:t>
            </w:r>
          </w:p>
        </w:tc>
        <w:tc>
          <w:tcPr>
            <w:tcW w:w="3478" w:type="dxa"/>
          </w:tcPr>
          <w:p>
            <w:pPr>
              <w:pStyle w:val="53"/>
              <w:spacing w:before="58" w:line="247" w:lineRule="auto"/>
              <w:ind w:left="121" w:right="177"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项目机构健全，人员人数落实到位</w:t>
            </w:r>
            <w:r>
              <w:rPr>
                <w:rFonts w:hint="eastAsia" w:eastAsia="Times New Roman"/>
                <w:color w:val="auto"/>
                <w:spacing w:val="2"/>
                <w:sz w:val="21"/>
                <w:szCs w:val="21"/>
                <w:highlight w:val="none"/>
                <w:lang w:eastAsia="zh-CN"/>
              </w:rPr>
              <w:t xml:space="preserve"> </w:t>
            </w:r>
            <w:r>
              <w:rPr>
                <w:rFonts w:hint="eastAsia" w:eastAsia="Times New Roman"/>
                <w:color w:val="auto"/>
                <w:spacing w:val="1"/>
                <w:sz w:val="21"/>
                <w:szCs w:val="21"/>
                <w:highlight w:val="none"/>
                <w:lang w:eastAsia="zh-CN"/>
              </w:rPr>
              <w:t>现场管理高效有序</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3" w:line="182" w:lineRule="auto"/>
              <w:ind w:left="264" w:firstLine="0"/>
              <w:textAlignment w:val="auto"/>
              <w:rPr>
                <w:rFonts w:eastAsia="Times New Roman"/>
                <w:color w:val="auto"/>
                <w:sz w:val="21"/>
                <w:szCs w:val="21"/>
                <w:highlight w:val="none"/>
              </w:rPr>
            </w:pPr>
            <w:r>
              <w:rPr>
                <w:rFonts w:hint="eastAsia" w:eastAsia="Times New Roman"/>
                <w:color w:val="auto"/>
                <w:sz w:val="21"/>
                <w:szCs w:val="21"/>
                <w:highlight w:val="none"/>
              </w:rPr>
              <w:t>7</w:t>
            </w:r>
          </w:p>
        </w:tc>
        <w:tc>
          <w:tcPr>
            <w:tcW w:w="3648" w:type="dxa"/>
          </w:tcPr>
          <w:p>
            <w:pPr>
              <w:pStyle w:val="53"/>
              <w:spacing w:before="46" w:line="252" w:lineRule="auto"/>
              <w:ind w:left="134" w:right="134"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项目机构基本健全，人员人数基本落</w:t>
            </w:r>
            <w:r>
              <w:rPr>
                <w:rFonts w:hint="eastAsia" w:eastAsia="Times New Roman"/>
                <w:color w:val="auto"/>
                <w:spacing w:val="8"/>
                <w:sz w:val="21"/>
                <w:szCs w:val="21"/>
                <w:highlight w:val="none"/>
                <w:lang w:eastAsia="zh-CN"/>
              </w:rPr>
              <w:t xml:space="preserve"> </w:t>
            </w:r>
            <w:r>
              <w:rPr>
                <w:rFonts w:hint="eastAsia" w:eastAsia="Times New Roman"/>
                <w:color w:val="auto"/>
                <w:sz w:val="21"/>
                <w:szCs w:val="21"/>
                <w:highlight w:val="none"/>
                <w:lang w:eastAsia="zh-CN"/>
              </w:rPr>
              <w:t>实到位，现场管理基本有序</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2" w:line="183"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c>
          <w:tcPr>
            <w:tcW w:w="3528" w:type="dxa"/>
          </w:tcPr>
          <w:p>
            <w:pPr>
              <w:pStyle w:val="53"/>
              <w:spacing w:before="46" w:line="252" w:lineRule="auto"/>
              <w:ind w:left="147" w:right="69"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项目机构不健全，人员人数不足，不</w:t>
            </w:r>
            <w:r>
              <w:rPr>
                <w:rFonts w:hint="eastAsia" w:eastAsia="Times New Roman"/>
                <w:color w:val="auto"/>
                <w:spacing w:val="10"/>
                <w:sz w:val="21"/>
                <w:szCs w:val="21"/>
                <w:highlight w:val="none"/>
                <w:lang w:eastAsia="zh-CN"/>
              </w:rPr>
              <w:t xml:space="preserve"> </w:t>
            </w:r>
            <w:r>
              <w:rPr>
                <w:rFonts w:hint="eastAsia" w:eastAsia="Times New Roman"/>
                <w:color w:val="auto"/>
                <w:spacing w:val="1"/>
                <w:sz w:val="21"/>
                <w:szCs w:val="21"/>
                <w:highlight w:val="none"/>
                <w:lang w:eastAsia="zh-CN"/>
              </w:rPr>
              <w:t>能满足现场管理需要</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1"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2" w:line="183" w:lineRule="auto"/>
              <w:ind w:left="295" w:firstLine="0"/>
              <w:textAlignment w:val="auto"/>
              <w:rPr>
                <w:rFonts w:hint="eastAsia" w:eastAsia="Times New Roman"/>
                <w:color w:val="auto"/>
                <w:sz w:val="21"/>
                <w:szCs w:val="21"/>
                <w:highlight w:val="none"/>
              </w:rPr>
            </w:pPr>
            <w:r>
              <w:rPr>
                <w:rFonts w:hint="eastAsia" w:eastAsia="Times New Roman"/>
                <w:color w:val="auto"/>
                <w:sz w:val="21"/>
                <w:szCs w:val="21"/>
                <w:highlight w:val="none"/>
              </w:rPr>
              <w:t>2</w:t>
            </w:r>
          </w:p>
        </w:tc>
        <w:tc>
          <w:tcPr>
            <w:tcW w:w="2219" w:type="dxa"/>
          </w:tcPr>
          <w:p>
            <w:pPr>
              <w:pStyle w:val="53"/>
              <w:spacing w:before="49" w:line="220" w:lineRule="auto"/>
              <w:ind w:left="361" w:firstLine="436"/>
              <w:rPr>
                <w:rFonts w:eastAsia="Times New Roman"/>
                <w:color w:val="auto"/>
                <w:sz w:val="21"/>
                <w:szCs w:val="21"/>
                <w:highlight w:val="none"/>
                <w:lang w:eastAsia="zh-CN"/>
              </w:rPr>
            </w:pPr>
            <w:r>
              <w:rPr>
                <w:rFonts w:hint="eastAsia" w:eastAsia="Times New Roman"/>
                <w:color w:val="auto"/>
                <w:spacing w:val="4"/>
                <w:sz w:val="21"/>
                <w:szCs w:val="21"/>
                <w:highlight w:val="none"/>
                <w:lang w:eastAsia="zh-CN"/>
              </w:rPr>
              <w:t>★项目监理人员</w:t>
            </w:r>
            <w:r>
              <w:rPr>
                <w:rFonts w:hint="eastAsia" w:eastAsia="Times New Roman"/>
                <w:color w:val="auto"/>
                <w:spacing w:val="1"/>
                <w:sz w:val="21"/>
                <w:szCs w:val="21"/>
                <w:highlight w:val="none"/>
                <w:lang w:eastAsia="zh-CN"/>
              </w:rPr>
              <w:t>到岗在岗情况</w:t>
            </w:r>
          </w:p>
        </w:tc>
        <w:tc>
          <w:tcPr>
            <w:tcW w:w="3478" w:type="dxa"/>
          </w:tcPr>
          <w:p>
            <w:pPr>
              <w:pStyle w:val="53"/>
              <w:spacing w:before="57" w:line="247" w:lineRule="auto"/>
              <w:ind w:right="62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 xml:space="preserve">项目出勤率达到85%以上 </w:t>
            </w:r>
            <w:r>
              <w:rPr>
                <w:rFonts w:hint="eastAsia" w:eastAsia="Times New Roman"/>
                <w:color w:val="auto"/>
                <w:spacing w:val="4"/>
                <w:sz w:val="21"/>
                <w:szCs w:val="21"/>
                <w:highlight w:val="none"/>
                <w:lang w:eastAsia="zh-CN"/>
              </w:rPr>
              <w:t>(以项目工期作为基数)</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3" w:line="182" w:lineRule="auto"/>
              <w:ind w:left="264" w:firstLine="0"/>
              <w:textAlignment w:val="auto"/>
              <w:rPr>
                <w:rFonts w:eastAsia="Times New Roman"/>
                <w:color w:val="auto"/>
                <w:sz w:val="21"/>
                <w:szCs w:val="21"/>
                <w:highlight w:val="none"/>
              </w:rPr>
            </w:pPr>
            <w:r>
              <w:rPr>
                <w:rFonts w:hint="eastAsia" w:eastAsia="Times New Roman"/>
                <w:color w:val="auto"/>
                <w:sz w:val="21"/>
                <w:szCs w:val="21"/>
                <w:highlight w:val="none"/>
              </w:rPr>
              <w:t>7</w:t>
            </w:r>
          </w:p>
        </w:tc>
        <w:tc>
          <w:tcPr>
            <w:tcW w:w="3648" w:type="dxa"/>
          </w:tcPr>
          <w:p>
            <w:pPr>
              <w:pStyle w:val="53"/>
              <w:spacing w:before="37" w:line="219" w:lineRule="auto"/>
              <w:ind w:left="84"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项目出勤率达到65%以上，监理人员遥</w:t>
            </w:r>
            <w:r>
              <w:rPr>
                <w:rFonts w:hint="eastAsia" w:eastAsia="Times New Roman"/>
                <w:color w:val="auto"/>
                <w:spacing w:val="3"/>
                <w:sz w:val="21"/>
                <w:szCs w:val="21"/>
                <w:highlight w:val="none"/>
                <w:lang w:eastAsia="zh-CN"/>
              </w:rPr>
              <w:t>控指挥(以项目工期作为基数)</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2" w:line="183"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c>
          <w:tcPr>
            <w:tcW w:w="3528" w:type="dxa"/>
          </w:tcPr>
          <w:p>
            <w:pPr>
              <w:pStyle w:val="53"/>
              <w:spacing w:before="67" w:line="219" w:lineRule="auto"/>
              <w:ind w:left="127" w:firstLine="424"/>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项目出勤率达到45%以上，监理人员</w:t>
            </w:r>
            <w:r>
              <w:rPr>
                <w:rFonts w:hint="eastAsia" w:eastAsia="Times New Roman"/>
                <w:color w:val="auto"/>
                <w:spacing w:val="3"/>
                <w:sz w:val="21"/>
                <w:szCs w:val="21"/>
                <w:highlight w:val="none"/>
                <w:lang w:eastAsia="zh-CN"/>
              </w:rPr>
              <w:t>散漫(以项目工期作为基数)</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1"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3" w:line="183"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3</w:t>
            </w:r>
          </w:p>
        </w:tc>
        <w:tc>
          <w:tcPr>
            <w:tcW w:w="2219" w:type="dxa"/>
          </w:tcPr>
          <w:p>
            <w:pPr>
              <w:pStyle w:val="53"/>
              <w:spacing w:before="210" w:line="220" w:lineRule="auto"/>
              <w:ind w:left="151" w:firstLine="420"/>
              <w:rPr>
                <w:rFonts w:eastAsia="Times New Roman"/>
                <w:color w:val="auto"/>
                <w:sz w:val="21"/>
                <w:szCs w:val="21"/>
                <w:highlight w:val="none"/>
              </w:rPr>
            </w:pPr>
            <w:r>
              <w:rPr>
                <w:rFonts w:hint="eastAsia" w:eastAsia="Times New Roman"/>
                <w:color w:val="auto"/>
                <w:sz w:val="21"/>
                <w:szCs w:val="21"/>
                <w:highlight w:val="none"/>
              </w:rPr>
              <w:t>★项目安全控制情况</w:t>
            </w:r>
          </w:p>
        </w:tc>
        <w:tc>
          <w:tcPr>
            <w:tcW w:w="3478" w:type="dxa"/>
          </w:tcPr>
          <w:p>
            <w:pPr>
              <w:pStyle w:val="53"/>
              <w:spacing w:before="40" w:line="250" w:lineRule="auto"/>
              <w:ind w:left="132" w:right="145" w:firstLine="424"/>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安全管理受控，安全隐患能及时消</w:t>
            </w:r>
            <w:r>
              <w:rPr>
                <w:rFonts w:hint="eastAsia" w:eastAsia="Times New Roman"/>
                <w:color w:val="auto"/>
                <w:spacing w:val="4"/>
                <w:sz w:val="21"/>
                <w:szCs w:val="21"/>
                <w:highlight w:val="none"/>
                <w:lang w:eastAsia="zh-CN"/>
              </w:rPr>
              <w:t xml:space="preserve"> </w:t>
            </w:r>
            <w:r>
              <w:rPr>
                <w:rFonts w:hint="eastAsia" w:eastAsia="Times New Roman"/>
                <w:color w:val="auto"/>
                <w:sz w:val="21"/>
                <w:szCs w:val="21"/>
                <w:highlight w:val="none"/>
                <w:lang w:eastAsia="zh-CN"/>
              </w:rPr>
              <w:t>除</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2"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10</w:t>
            </w:r>
          </w:p>
        </w:tc>
        <w:tc>
          <w:tcPr>
            <w:tcW w:w="3648" w:type="dxa"/>
          </w:tcPr>
          <w:p>
            <w:pPr>
              <w:pStyle w:val="53"/>
              <w:spacing w:before="48" w:line="242" w:lineRule="auto"/>
              <w:ind w:left="104" w:right="134"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安全管理基本受控，安全隐患基本</w:t>
            </w:r>
            <w:r>
              <w:rPr>
                <w:rFonts w:hint="eastAsia" w:eastAsia="Times New Roman"/>
                <w:color w:val="auto"/>
                <w:spacing w:val="3"/>
                <w:sz w:val="21"/>
                <w:szCs w:val="21"/>
                <w:highlight w:val="none"/>
                <w:lang w:eastAsia="zh-CN"/>
              </w:rPr>
              <w:t>能消除</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4" w:line="182"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5</w:t>
            </w:r>
          </w:p>
        </w:tc>
        <w:tc>
          <w:tcPr>
            <w:tcW w:w="3528" w:type="dxa"/>
          </w:tcPr>
          <w:p>
            <w:pPr>
              <w:pStyle w:val="53"/>
              <w:spacing w:before="59" w:line="238" w:lineRule="auto"/>
              <w:ind w:left="106" w:right="69"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安全管理混乱，无安全管理体系，不</w:t>
            </w:r>
            <w:r>
              <w:rPr>
                <w:rFonts w:hint="eastAsia" w:eastAsia="Times New Roman"/>
                <w:color w:val="auto"/>
                <w:spacing w:val="10"/>
                <w:sz w:val="21"/>
                <w:szCs w:val="21"/>
                <w:highlight w:val="none"/>
                <w:lang w:eastAsia="zh-CN"/>
              </w:rPr>
              <w:t xml:space="preserve"> </w:t>
            </w:r>
            <w:r>
              <w:rPr>
                <w:rFonts w:hint="eastAsia" w:eastAsia="Times New Roman"/>
                <w:color w:val="auto"/>
                <w:spacing w:val="1"/>
                <w:sz w:val="21"/>
                <w:szCs w:val="21"/>
                <w:highlight w:val="none"/>
                <w:lang w:eastAsia="zh-CN"/>
              </w:rPr>
              <w:t>能有效对现场安全进行控制</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2"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4" w:line="183"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c>
          <w:tcPr>
            <w:tcW w:w="2219" w:type="dxa"/>
          </w:tcPr>
          <w:p>
            <w:pPr>
              <w:pStyle w:val="53"/>
              <w:spacing w:before="211" w:line="220" w:lineRule="auto"/>
              <w:ind w:left="151" w:firstLine="420"/>
              <w:rPr>
                <w:rFonts w:eastAsia="Times New Roman"/>
                <w:color w:val="auto"/>
                <w:sz w:val="21"/>
                <w:szCs w:val="21"/>
                <w:highlight w:val="none"/>
              </w:rPr>
            </w:pPr>
            <w:r>
              <w:rPr>
                <w:rFonts w:hint="eastAsia" w:eastAsia="Times New Roman"/>
                <w:color w:val="auto"/>
                <w:sz w:val="21"/>
                <w:szCs w:val="21"/>
                <w:highlight w:val="none"/>
              </w:rPr>
              <w:t>★项目质量控制情况</w:t>
            </w:r>
          </w:p>
        </w:tc>
        <w:tc>
          <w:tcPr>
            <w:tcW w:w="3478" w:type="dxa"/>
          </w:tcPr>
          <w:p>
            <w:pPr>
              <w:pStyle w:val="53"/>
              <w:spacing w:before="31" w:line="255" w:lineRule="auto"/>
              <w:ind w:left="121" w:right="175"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质量控制体系运作有效，各分部分</w:t>
            </w:r>
            <w:r>
              <w:rPr>
                <w:rFonts w:hint="eastAsia" w:eastAsia="Times New Roman"/>
                <w:color w:val="auto"/>
                <w:spacing w:val="4"/>
                <w:sz w:val="21"/>
                <w:szCs w:val="21"/>
                <w:highlight w:val="none"/>
                <w:lang w:eastAsia="zh-CN"/>
              </w:rPr>
              <w:t xml:space="preserve"> </w:t>
            </w:r>
            <w:r>
              <w:rPr>
                <w:rFonts w:hint="eastAsia" w:eastAsia="Times New Roman"/>
                <w:color w:val="auto"/>
                <w:spacing w:val="1"/>
                <w:sz w:val="21"/>
                <w:szCs w:val="21"/>
                <w:highlight w:val="none"/>
                <w:lang w:eastAsia="zh-CN"/>
              </w:rPr>
              <w:t>项工程质量受控</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3"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12</w:t>
            </w:r>
          </w:p>
        </w:tc>
        <w:tc>
          <w:tcPr>
            <w:tcW w:w="3648" w:type="dxa"/>
          </w:tcPr>
          <w:p>
            <w:pPr>
              <w:pStyle w:val="53"/>
              <w:spacing w:before="38" w:line="246" w:lineRule="auto"/>
              <w:ind w:left="104" w:right="132"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质量控制体系运作基本有效，各分部</w:t>
            </w:r>
            <w:r>
              <w:rPr>
                <w:rFonts w:hint="eastAsia" w:eastAsia="Times New Roman"/>
                <w:color w:val="auto"/>
                <w:spacing w:val="10"/>
                <w:sz w:val="21"/>
                <w:szCs w:val="21"/>
                <w:highlight w:val="none"/>
                <w:lang w:eastAsia="zh-CN"/>
              </w:rPr>
              <w:t xml:space="preserve"> </w:t>
            </w:r>
            <w:r>
              <w:rPr>
                <w:rFonts w:hint="eastAsia" w:eastAsia="Times New Roman"/>
                <w:color w:val="auto"/>
                <w:spacing w:val="-1"/>
                <w:sz w:val="21"/>
                <w:szCs w:val="21"/>
                <w:highlight w:val="none"/>
                <w:lang w:eastAsia="zh-CN"/>
              </w:rPr>
              <w:t>分项工程质量基本受控</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4" w:line="183"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8</w:t>
            </w:r>
          </w:p>
        </w:tc>
        <w:tc>
          <w:tcPr>
            <w:tcW w:w="3528" w:type="dxa"/>
          </w:tcPr>
          <w:p>
            <w:pPr>
              <w:pStyle w:val="53"/>
              <w:spacing w:before="40" w:line="251" w:lineRule="auto"/>
              <w:ind w:left="106" w:right="69"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质量控制混乱，无质量管理体系，不</w:t>
            </w:r>
            <w:r>
              <w:rPr>
                <w:rFonts w:hint="eastAsia" w:eastAsia="Times New Roman"/>
                <w:color w:val="auto"/>
                <w:spacing w:val="10"/>
                <w:sz w:val="21"/>
                <w:szCs w:val="21"/>
                <w:highlight w:val="none"/>
                <w:lang w:eastAsia="zh-CN"/>
              </w:rPr>
              <w:t xml:space="preserve"> </w:t>
            </w:r>
            <w:r>
              <w:rPr>
                <w:rFonts w:hint="eastAsia" w:eastAsia="Times New Roman"/>
                <w:color w:val="auto"/>
                <w:spacing w:val="1"/>
                <w:sz w:val="21"/>
                <w:szCs w:val="21"/>
                <w:highlight w:val="none"/>
                <w:lang w:eastAsia="zh-CN"/>
              </w:rPr>
              <w:t>能有效对现场质量进行控制</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4" w:line="183"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6" w:line="182"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5</w:t>
            </w:r>
          </w:p>
        </w:tc>
        <w:tc>
          <w:tcPr>
            <w:tcW w:w="2219" w:type="dxa"/>
          </w:tcPr>
          <w:p>
            <w:pPr>
              <w:pStyle w:val="53"/>
              <w:spacing w:before="212" w:line="220" w:lineRule="auto"/>
              <w:ind w:left="151" w:firstLine="420"/>
              <w:rPr>
                <w:rFonts w:eastAsia="Times New Roman"/>
                <w:color w:val="auto"/>
                <w:sz w:val="21"/>
                <w:szCs w:val="21"/>
                <w:highlight w:val="none"/>
              </w:rPr>
            </w:pPr>
            <w:r>
              <w:rPr>
                <w:rFonts w:hint="eastAsia" w:eastAsia="Times New Roman"/>
                <w:color w:val="auto"/>
                <w:sz w:val="21"/>
                <w:szCs w:val="21"/>
                <w:highlight w:val="none"/>
              </w:rPr>
              <w:t>★项目进度控制情况</w:t>
            </w:r>
          </w:p>
        </w:tc>
        <w:tc>
          <w:tcPr>
            <w:tcW w:w="3478" w:type="dxa"/>
          </w:tcPr>
          <w:p>
            <w:pPr>
              <w:pStyle w:val="53"/>
              <w:spacing w:before="211" w:line="219" w:lineRule="auto"/>
              <w:ind w:left="1312" w:firstLine="412"/>
              <w:rPr>
                <w:rFonts w:eastAsia="Times New Roman"/>
                <w:color w:val="auto"/>
                <w:sz w:val="21"/>
                <w:szCs w:val="21"/>
                <w:highlight w:val="none"/>
              </w:rPr>
            </w:pPr>
            <w:r>
              <w:rPr>
                <w:rFonts w:hint="eastAsia" w:eastAsia="Times New Roman"/>
                <w:color w:val="auto"/>
                <w:spacing w:val="-2"/>
                <w:sz w:val="21"/>
                <w:szCs w:val="21"/>
                <w:highlight w:val="none"/>
              </w:rPr>
              <w:t>按期完成</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4"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12</w:t>
            </w:r>
          </w:p>
        </w:tc>
        <w:tc>
          <w:tcPr>
            <w:tcW w:w="3648" w:type="dxa"/>
          </w:tcPr>
          <w:p>
            <w:pPr>
              <w:pStyle w:val="53"/>
              <w:spacing w:before="212" w:line="220" w:lineRule="auto"/>
              <w:ind w:left="1234" w:firstLine="416"/>
              <w:rPr>
                <w:rFonts w:eastAsia="Times New Roman"/>
                <w:color w:val="auto"/>
                <w:sz w:val="21"/>
                <w:szCs w:val="21"/>
                <w:highlight w:val="none"/>
              </w:rPr>
            </w:pPr>
            <w:r>
              <w:rPr>
                <w:rFonts w:hint="eastAsia" w:eastAsia="Times New Roman"/>
                <w:color w:val="auto"/>
                <w:spacing w:val="-1"/>
                <w:sz w:val="21"/>
                <w:szCs w:val="21"/>
                <w:highlight w:val="none"/>
              </w:rPr>
              <w:t>超总工期30%</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5" w:line="183"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8</w:t>
            </w:r>
          </w:p>
        </w:tc>
        <w:tc>
          <w:tcPr>
            <w:tcW w:w="3528" w:type="dxa"/>
          </w:tcPr>
          <w:p>
            <w:pPr>
              <w:pStyle w:val="53"/>
              <w:spacing w:before="212" w:line="220" w:lineRule="auto"/>
              <w:ind w:left="1176" w:firstLine="416"/>
              <w:rPr>
                <w:rFonts w:eastAsia="Times New Roman"/>
                <w:color w:val="auto"/>
                <w:sz w:val="21"/>
                <w:szCs w:val="21"/>
                <w:highlight w:val="none"/>
              </w:rPr>
            </w:pPr>
            <w:r>
              <w:rPr>
                <w:rFonts w:hint="eastAsia" w:eastAsia="Times New Roman"/>
                <w:color w:val="auto"/>
                <w:spacing w:val="-1"/>
                <w:sz w:val="21"/>
                <w:szCs w:val="21"/>
                <w:highlight w:val="none"/>
              </w:rPr>
              <w:t>超总工期50%</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5" w:line="183"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714" w:type="dxa"/>
          </w:tcPr>
          <w:p>
            <w:pPr>
              <w:pStyle w:val="53"/>
              <w:keepNext w:val="0"/>
              <w:keepLines w:val="0"/>
              <w:pageBreakBefore w:val="0"/>
              <w:widowControl w:val="0"/>
              <w:kinsoku/>
              <w:wordWrap/>
              <w:overflowPunct/>
              <w:topLinePunct w:val="0"/>
              <w:autoSpaceDE/>
              <w:autoSpaceDN/>
              <w:bidi w:val="0"/>
              <w:adjustRightInd/>
              <w:snapToGrid/>
              <w:spacing w:before="266" w:line="183"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6</w:t>
            </w:r>
          </w:p>
        </w:tc>
        <w:tc>
          <w:tcPr>
            <w:tcW w:w="2219" w:type="dxa"/>
          </w:tcPr>
          <w:p>
            <w:pPr>
              <w:pStyle w:val="53"/>
              <w:spacing w:before="213" w:line="220" w:lineRule="auto"/>
              <w:ind w:left="261" w:firstLine="424"/>
              <w:rPr>
                <w:rFonts w:eastAsia="Times New Roman"/>
                <w:color w:val="auto"/>
                <w:sz w:val="21"/>
                <w:szCs w:val="21"/>
                <w:highlight w:val="none"/>
              </w:rPr>
            </w:pPr>
            <w:r>
              <w:rPr>
                <w:rFonts w:hint="eastAsia" w:eastAsia="Times New Roman"/>
                <w:color w:val="auto"/>
                <w:spacing w:val="1"/>
                <w:sz w:val="21"/>
                <w:szCs w:val="21"/>
                <w:highlight w:val="none"/>
              </w:rPr>
              <w:t>项目投资控制情况</w:t>
            </w:r>
          </w:p>
        </w:tc>
        <w:tc>
          <w:tcPr>
            <w:tcW w:w="3478" w:type="dxa"/>
          </w:tcPr>
          <w:p>
            <w:pPr>
              <w:pStyle w:val="53"/>
              <w:spacing w:before="212" w:line="219" w:lineRule="auto"/>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施工单位送审结算不超合同金额</w:t>
            </w:r>
          </w:p>
        </w:tc>
        <w:tc>
          <w:tcPr>
            <w:tcW w:w="650" w:type="dxa"/>
          </w:tcPr>
          <w:p>
            <w:pPr>
              <w:pStyle w:val="53"/>
              <w:keepNext w:val="0"/>
              <w:keepLines w:val="0"/>
              <w:pageBreakBefore w:val="0"/>
              <w:widowControl w:val="0"/>
              <w:kinsoku/>
              <w:wordWrap/>
              <w:overflowPunct/>
              <w:topLinePunct w:val="0"/>
              <w:autoSpaceDE/>
              <w:autoSpaceDN/>
              <w:bidi w:val="0"/>
              <w:adjustRightInd/>
              <w:snapToGrid/>
              <w:spacing w:before="265"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10</w:t>
            </w:r>
          </w:p>
        </w:tc>
        <w:tc>
          <w:tcPr>
            <w:tcW w:w="3648" w:type="dxa"/>
          </w:tcPr>
          <w:p>
            <w:pPr>
              <w:pStyle w:val="53"/>
              <w:spacing w:before="51" w:line="245" w:lineRule="auto"/>
              <w:ind w:right="125"/>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施工单位送审结算超出合同金额3%以</w:t>
            </w:r>
            <w:r>
              <w:rPr>
                <w:rFonts w:hint="eastAsia" w:eastAsia="Times New Roman"/>
                <w:color w:val="auto"/>
                <w:sz w:val="21"/>
                <w:szCs w:val="21"/>
                <w:highlight w:val="none"/>
                <w:lang w:eastAsia="zh-CN"/>
              </w:rPr>
              <w:t xml:space="preserve"> 内</w:t>
            </w:r>
          </w:p>
        </w:tc>
        <w:tc>
          <w:tcPr>
            <w:tcW w:w="739" w:type="dxa"/>
          </w:tcPr>
          <w:p>
            <w:pPr>
              <w:pStyle w:val="53"/>
              <w:keepNext w:val="0"/>
              <w:keepLines w:val="0"/>
              <w:pageBreakBefore w:val="0"/>
              <w:widowControl w:val="0"/>
              <w:kinsoku/>
              <w:wordWrap/>
              <w:overflowPunct/>
              <w:topLinePunct w:val="0"/>
              <w:autoSpaceDE/>
              <w:autoSpaceDN/>
              <w:bidi w:val="0"/>
              <w:adjustRightInd/>
              <w:snapToGrid/>
              <w:spacing w:before="268" w:line="182"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5</w:t>
            </w:r>
          </w:p>
        </w:tc>
        <w:tc>
          <w:tcPr>
            <w:tcW w:w="3528" w:type="dxa"/>
          </w:tcPr>
          <w:p>
            <w:pPr>
              <w:pStyle w:val="53"/>
              <w:spacing w:before="83" w:line="231" w:lineRule="auto"/>
              <w:ind w:right="143"/>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施工单位送审结算超出合同金额10%</w:t>
            </w:r>
            <w:r>
              <w:rPr>
                <w:rFonts w:hint="eastAsia" w:eastAsia="Times New Roman"/>
                <w:color w:val="auto"/>
                <w:spacing w:val="8"/>
                <w:sz w:val="21"/>
                <w:szCs w:val="21"/>
                <w:highlight w:val="none"/>
                <w:lang w:eastAsia="zh-CN"/>
              </w:rPr>
              <w:t xml:space="preserve"> </w:t>
            </w:r>
            <w:r>
              <w:rPr>
                <w:rFonts w:hint="eastAsia" w:eastAsia="Times New Roman"/>
                <w:color w:val="auto"/>
                <w:spacing w:val="31"/>
                <w:sz w:val="21"/>
                <w:szCs w:val="21"/>
                <w:highlight w:val="none"/>
                <w:lang w:eastAsia="zh-CN"/>
              </w:rPr>
              <w:t>以内</w:t>
            </w:r>
          </w:p>
        </w:tc>
        <w:tc>
          <w:tcPr>
            <w:tcW w:w="684" w:type="dxa"/>
          </w:tcPr>
          <w:p>
            <w:pPr>
              <w:pStyle w:val="53"/>
              <w:keepNext w:val="0"/>
              <w:keepLines w:val="0"/>
              <w:pageBreakBefore w:val="0"/>
              <w:widowControl w:val="0"/>
              <w:kinsoku/>
              <w:wordWrap/>
              <w:overflowPunct/>
              <w:topLinePunct w:val="0"/>
              <w:autoSpaceDE/>
              <w:autoSpaceDN/>
              <w:bidi w:val="0"/>
              <w:adjustRightInd/>
              <w:snapToGrid/>
              <w:spacing w:before="265"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9"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2"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7</w:t>
            </w:r>
          </w:p>
        </w:tc>
        <w:tc>
          <w:tcPr>
            <w:tcW w:w="2219" w:type="dxa"/>
          </w:tcPr>
          <w:p>
            <w:pPr>
              <w:spacing w:line="462" w:lineRule="auto"/>
              <w:ind w:firstLine="420"/>
              <w:rPr>
                <w:rFonts w:ascii="宋体" w:hAnsi="宋体" w:eastAsia="Times New Roman" w:cs="宋体"/>
                <w:color w:val="auto"/>
                <w:szCs w:val="21"/>
                <w:highlight w:val="none"/>
                <w:lang w:eastAsia="en-US"/>
              </w:rPr>
            </w:pPr>
          </w:p>
          <w:p>
            <w:pPr>
              <w:pStyle w:val="53"/>
              <w:spacing w:before="68" w:line="219" w:lineRule="auto"/>
              <w:ind w:left="151" w:firstLine="420"/>
              <w:rPr>
                <w:rFonts w:eastAsia="Times New Roman"/>
                <w:color w:val="auto"/>
                <w:sz w:val="21"/>
                <w:szCs w:val="21"/>
                <w:highlight w:val="none"/>
              </w:rPr>
            </w:pPr>
            <w:r>
              <w:rPr>
                <w:rFonts w:hint="eastAsia" w:eastAsia="Times New Roman"/>
                <w:color w:val="auto"/>
                <w:sz w:val="21"/>
                <w:szCs w:val="21"/>
                <w:highlight w:val="none"/>
              </w:rPr>
              <w:t>★项目资料管理情况</w:t>
            </w:r>
          </w:p>
        </w:tc>
        <w:tc>
          <w:tcPr>
            <w:tcW w:w="3478" w:type="dxa"/>
          </w:tcPr>
          <w:p>
            <w:pPr>
              <w:pStyle w:val="53"/>
              <w:spacing w:before="62" w:line="219" w:lineRule="auto"/>
              <w:ind w:firstLine="432"/>
              <w:jc w:val="both"/>
              <w:rPr>
                <w:rFonts w:eastAsia="Times New Roman"/>
                <w:color w:val="auto"/>
                <w:sz w:val="21"/>
                <w:szCs w:val="21"/>
                <w:highlight w:val="none"/>
                <w:lang w:eastAsia="zh-CN"/>
              </w:rPr>
            </w:pPr>
            <w:r>
              <w:rPr>
                <w:rFonts w:hint="eastAsia" w:eastAsia="Times New Roman"/>
                <w:color w:val="auto"/>
                <w:spacing w:val="3"/>
                <w:sz w:val="21"/>
                <w:szCs w:val="21"/>
                <w:highlight w:val="none"/>
                <w:lang w:eastAsia="zh-CN"/>
              </w:rPr>
              <w:t>项目现场踏勘工作记录、影像材料、</w:t>
            </w:r>
            <w:r>
              <w:rPr>
                <w:rFonts w:hint="eastAsia" w:eastAsia="Times New Roman"/>
                <w:color w:val="auto"/>
                <w:sz w:val="21"/>
                <w:szCs w:val="21"/>
                <w:highlight w:val="none"/>
                <w:lang w:eastAsia="zh-CN"/>
              </w:rPr>
              <w:t>监理资料真实、完整，且能及时按要求进行收集、编撰、整合归档，</w:t>
            </w:r>
            <w:r>
              <w:rPr>
                <w:rFonts w:hint="eastAsia" w:eastAsia="Times New Roman"/>
                <w:color w:val="auto"/>
                <w:spacing w:val="2"/>
                <w:sz w:val="21"/>
                <w:szCs w:val="21"/>
                <w:highlight w:val="none"/>
                <w:lang w:eastAsia="zh-CN"/>
              </w:rPr>
              <w:t>递交归档时间在半个月内</w:t>
            </w:r>
          </w:p>
        </w:tc>
        <w:tc>
          <w:tcPr>
            <w:tcW w:w="650" w:type="dxa"/>
          </w:tcPr>
          <w:p>
            <w:pPr>
              <w:keepNext w:val="0"/>
              <w:keepLines w:val="0"/>
              <w:pageBreakBefore w:val="0"/>
              <w:widowControl w:val="0"/>
              <w:kinsoku/>
              <w:wordWrap/>
              <w:overflowPunct/>
              <w:topLinePunct w:val="0"/>
              <w:autoSpaceDE/>
              <w:autoSpaceDN/>
              <w:bidi w:val="0"/>
              <w:adjustRightInd/>
              <w:snapToGrid/>
              <w:spacing w:line="257" w:lineRule="auto"/>
              <w:ind w:firstLine="0"/>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10</w:t>
            </w:r>
          </w:p>
        </w:tc>
        <w:tc>
          <w:tcPr>
            <w:tcW w:w="3648" w:type="dxa"/>
          </w:tcPr>
          <w:p>
            <w:pPr>
              <w:pStyle w:val="53"/>
              <w:spacing w:before="52" w:line="219" w:lineRule="auto"/>
              <w:rPr>
                <w:rFonts w:eastAsia="Times New Roman"/>
                <w:color w:val="auto"/>
                <w:sz w:val="21"/>
                <w:szCs w:val="21"/>
                <w:highlight w:val="none"/>
              </w:rPr>
            </w:pPr>
            <w:r>
              <w:rPr>
                <w:rFonts w:hint="eastAsia" w:eastAsia="Times New Roman"/>
                <w:color w:val="auto"/>
                <w:spacing w:val="6"/>
                <w:sz w:val="21"/>
                <w:szCs w:val="21"/>
                <w:highlight w:val="none"/>
                <w:lang w:eastAsia="zh-CN"/>
              </w:rPr>
              <w:t>项目现场踏勘工作记录、影像材料、</w:t>
            </w:r>
            <w:r>
              <w:rPr>
                <w:rFonts w:hint="eastAsia" w:eastAsia="Times New Roman"/>
                <w:color w:val="auto"/>
                <w:sz w:val="21"/>
                <w:szCs w:val="21"/>
                <w:highlight w:val="none"/>
                <w:lang w:eastAsia="zh-CN"/>
              </w:rPr>
              <w:t>监理资料真实、完整，且基本及时按</w:t>
            </w:r>
            <w:r>
              <w:rPr>
                <w:rFonts w:hint="eastAsia" w:eastAsia="Times New Roman"/>
                <w:color w:val="auto"/>
                <w:spacing w:val="-1"/>
                <w:sz w:val="21"/>
                <w:szCs w:val="21"/>
                <w:highlight w:val="none"/>
                <w:lang w:eastAsia="zh-CN"/>
              </w:rPr>
              <w:t>要求进行收集、编撰、整合归档，递</w:t>
            </w:r>
            <w:r>
              <w:rPr>
                <w:rFonts w:hint="eastAsia" w:eastAsia="Times New Roman"/>
                <w:color w:val="auto"/>
                <w:spacing w:val="3"/>
                <w:sz w:val="21"/>
                <w:szCs w:val="21"/>
                <w:highlight w:val="none"/>
              </w:rPr>
              <w:t>交归档时间在1个月内</w:t>
            </w:r>
          </w:p>
        </w:tc>
        <w:tc>
          <w:tcPr>
            <w:tcW w:w="739" w:type="dxa"/>
          </w:tcPr>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9"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2"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5</w:t>
            </w:r>
          </w:p>
        </w:tc>
        <w:tc>
          <w:tcPr>
            <w:tcW w:w="3528" w:type="dxa"/>
          </w:tcPr>
          <w:p>
            <w:pPr>
              <w:pStyle w:val="53"/>
              <w:spacing w:before="72" w:line="219" w:lineRule="auto"/>
              <w:jc w:val="both"/>
              <w:rPr>
                <w:rFonts w:eastAsia="Times New Roman"/>
                <w:color w:val="auto"/>
                <w:sz w:val="21"/>
                <w:szCs w:val="21"/>
                <w:highlight w:val="none"/>
              </w:rPr>
            </w:pPr>
            <w:r>
              <w:rPr>
                <w:rFonts w:hint="eastAsia" w:eastAsia="Times New Roman"/>
                <w:color w:val="auto"/>
                <w:spacing w:val="5"/>
                <w:sz w:val="21"/>
                <w:szCs w:val="21"/>
                <w:highlight w:val="none"/>
                <w:lang w:eastAsia="zh-CN"/>
              </w:rPr>
              <w:t>项目现场踏勘工作记录、影像材料、</w:t>
            </w:r>
            <w:r>
              <w:rPr>
                <w:rFonts w:hint="eastAsia" w:eastAsia="Times New Roman"/>
                <w:color w:val="auto"/>
                <w:sz w:val="21"/>
                <w:szCs w:val="21"/>
                <w:highlight w:val="none"/>
                <w:lang w:eastAsia="zh-CN"/>
              </w:rPr>
              <w:t>监理资料真实、完整，但不能及时按</w:t>
            </w:r>
            <w:r>
              <w:rPr>
                <w:rFonts w:hint="eastAsia" w:eastAsia="Times New Roman"/>
                <w:color w:val="auto"/>
                <w:spacing w:val="-1"/>
                <w:sz w:val="21"/>
                <w:szCs w:val="21"/>
                <w:highlight w:val="none"/>
                <w:lang w:eastAsia="zh-CN"/>
              </w:rPr>
              <w:t>要求进行收集、编撰、整合归档，递</w:t>
            </w:r>
            <w:r>
              <w:rPr>
                <w:rFonts w:hint="eastAsia" w:eastAsia="Times New Roman"/>
                <w:color w:val="auto"/>
                <w:spacing w:val="3"/>
                <w:sz w:val="21"/>
                <w:szCs w:val="21"/>
                <w:highlight w:val="none"/>
              </w:rPr>
              <w:t>交归档时间在3个月内</w:t>
            </w:r>
          </w:p>
        </w:tc>
        <w:tc>
          <w:tcPr>
            <w:tcW w:w="684" w:type="dxa"/>
          </w:tcPr>
          <w:p>
            <w:pPr>
              <w:keepNext w:val="0"/>
              <w:keepLines w:val="0"/>
              <w:pageBreakBefore w:val="0"/>
              <w:widowControl w:val="0"/>
              <w:kinsoku/>
              <w:wordWrap/>
              <w:overflowPunct/>
              <w:topLinePunct w:val="0"/>
              <w:autoSpaceDE/>
              <w:autoSpaceDN/>
              <w:bidi w:val="0"/>
              <w:adjustRightInd/>
              <w:snapToGrid/>
              <w:spacing w:line="257"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368"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3"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8</w:t>
            </w:r>
          </w:p>
        </w:tc>
        <w:tc>
          <w:tcPr>
            <w:tcW w:w="2219" w:type="dxa"/>
          </w:tcPr>
          <w:p>
            <w:pPr>
              <w:spacing w:line="314" w:lineRule="auto"/>
              <w:ind w:firstLine="420"/>
              <w:rPr>
                <w:rFonts w:ascii="宋体" w:hAnsi="宋体" w:eastAsia="Times New Roman" w:cs="宋体"/>
                <w:color w:val="auto"/>
                <w:szCs w:val="21"/>
                <w:highlight w:val="none"/>
                <w:lang w:eastAsia="en-US"/>
              </w:rPr>
            </w:pPr>
          </w:p>
          <w:p>
            <w:pPr>
              <w:pStyle w:val="53"/>
              <w:spacing w:before="68" w:line="219" w:lineRule="auto"/>
              <w:ind w:left="471" w:firstLine="412"/>
              <w:rPr>
                <w:rFonts w:eastAsia="Times New Roman"/>
                <w:color w:val="auto"/>
                <w:sz w:val="21"/>
                <w:szCs w:val="21"/>
                <w:highlight w:val="none"/>
              </w:rPr>
            </w:pPr>
            <w:r>
              <w:rPr>
                <w:rFonts w:hint="eastAsia" w:eastAsia="Times New Roman"/>
                <w:color w:val="auto"/>
                <w:spacing w:val="-2"/>
                <w:sz w:val="21"/>
                <w:szCs w:val="21"/>
                <w:highlight w:val="none"/>
              </w:rPr>
              <w:t>项目合同管理</w:t>
            </w:r>
          </w:p>
        </w:tc>
        <w:tc>
          <w:tcPr>
            <w:tcW w:w="3478" w:type="dxa"/>
          </w:tcPr>
          <w:p>
            <w:pPr>
              <w:pStyle w:val="53"/>
              <w:spacing w:before="215" w:line="255" w:lineRule="auto"/>
              <w:ind w:right="157"/>
              <w:rPr>
                <w:rFonts w:eastAsia="Times New Roman"/>
                <w:color w:val="auto"/>
                <w:sz w:val="21"/>
                <w:szCs w:val="21"/>
                <w:highlight w:val="none"/>
                <w:lang w:eastAsia="zh-CN"/>
              </w:rPr>
            </w:pPr>
            <w:r>
              <w:rPr>
                <w:rFonts w:hint="eastAsia" w:eastAsia="Times New Roman"/>
                <w:color w:val="auto"/>
                <w:sz w:val="21"/>
                <w:szCs w:val="21"/>
                <w:highlight w:val="none"/>
                <w:lang w:eastAsia="zh-CN"/>
              </w:rPr>
              <w:t>能有效协调合同的争议及款项拨付</w:t>
            </w:r>
            <w:r>
              <w:rPr>
                <w:rFonts w:hint="eastAsia" w:eastAsia="Times New Roman"/>
                <w:color w:val="auto"/>
                <w:spacing w:val="7"/>
                <w:sz w:val="21"/>
                <w:szCs w:val="21"/>
                <w:highlight w:val="none"/>
                <w:lang w:eastAsia="zh-CN"/>
              </w:rPr>
              <w:t xml:space="preserve"> </w:t>
            </w:r>
            <w:r>
              <w:rPr>
                <w:rFonts w:hint="eastAsia" w:eastAsia="Times New Roman"/>
                <w:color w:val="auto"/>
                <w:spacing w:val="4"/>
                <w:sz w:val="21"/>
                <w:szCs w:val="21"/>
                <w:highlight w:val="none"/>
                <w:lang w:eastAsia="zh-CN"/>
              </w:rPr>
              <w:t>的事宜</w:t>
            </w:r>
          </w:p>
        </w:tc>
        <w:tc>
          <w:tcPr>
            <w:tcW w:w="650" w:type="dxa"/>
          </w:tcPr>
          <w:p>
            <w:pPr>
              <w:keepNext w:val="0"/>
              <w:keepLines w:val="0"/>
              <w:pageBreakBefore w:val="0"/>
              <w:widowControl w:val="0"/>
              <w:kinsoku/>
              <w:wordWrap/>
              <w:overflowPunct/>
              <w:topLinePunct w:val="0"/>
              <w:autoSpaceDE/>
              <w:autoSpaceDN/>
              <w:bidi w:val="0"/>
              <w:adjustRightInd/>
              <w:snapToGrid/>
              <w:spacing w:line="369"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2" w:lineRule="auto"/>
              <w:ind w:left="264" w:firstLine="0"/>
              <w:textAlignment w:val="auto"/>
              <w:rPr>
                <w:rFonts w:eastAsia="Times New Roman"/>
                <w:color w:val="auto"/>
                <w:sz w:val="21"/>
                <w:szCs w:val="21"/>
                <w:highlight w:val="none"/>
              </w:rPr>
            </w:pPr>
            <w:r>
              <w:rPr>
                <w:rFonts w:hint="eastAsia" w:eastAsia="Times New Roman"/>
                <w:color w:val="auto"/>
                <w:sz w:val="21"/>
                <w:szCs w:val="21"/>
                <w:highlight w:val="none"/>
              </w:rPr>
              <w:t>7</w:t>
            </w:r>
          </w:p>
        </w:tc>
        <w:tc>
          <w:tcPr>
            <w:tcW w:w="3648" w:type="dxa"/>
          </w:tcPr>
          <w:p>
            <w:pPr>
              <w:pStyle w:val="53"/>
              <w:spacing w:before="223" w:line="247" w:lineRule="auto"/>
              <w:ind w:right="127"/>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基本能协调合同的争议及款项拨付的</w:t>
            </w:r>
            <w:r>
              <w:rPr>
                <w:rFonts w:hint="eastAsia" w:eastAsia="Times New Roman"/>
                <w:color w:val="auto"/>
                <w:sz w:val="21"/>
                <w:szCs w:val="21"/>
                <w:highlight w:val="none"/>
                <w:lang w:eastAsia="zh-CN"/>
              </w:rPr>
              <w:t xml:space="preserve"> </w:t>
            </w:r>
            <w:r>
              <w:rPr>
                <w:rFonts w:hint="eastAsia" w:eastAsia="Times New Roman"/>
                <w:color w:val="auto"/>
                <w:spacing w:val="6"/>
                <w:sz w:val="21"/>
                <w:szCs w:val="21"/>
                <w:highlight w:val="none"/>
                <w:lang w:eastAsia="zh-CN"/>
              </w:rPr>
              <w:t>事宜</w:t>
            </w:r>
          </w:p>
        </w:tc>
        <w:tc>
          <w:tcPr>
            <w:tcW w:w="739" w:type="dxa"/>
          </w:tcPr>
          <w:p>
            <w:pPr>
              <w:keepNext w:val="0"/>
              <w:keepLines w:val="0"/>
              <w:pageBreakBefore w:val="0"/>
              <w:widowControl w:val="0"/>
              <w:kinsoku/>
              <w:wordWrap/>
              <w:overflowPunct/>
              <w:topLinePunct w:val="0"/>
              <w:autoSpaceDE/>
              <w:autoSpaceDN/>
              <w:bidi w:val="0"/>
              <w:adjustRightInd/>
              <w:snapToGrid/>
              <w:spacing w:line="368"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3"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4</w:t>
            </w:r>
          </w:p>
        </w:tc>
        <w:tc>
          <w:tcPr>
            <w:tcW w:w="3528" w:type="dxa"/>
          </w:tcPr>
          <w:p>
            <w:pPr>
              <w:pStyle w:val="53"/>
              <w:spacing w:before="244" w:line="246" w:lineRule="auto"/>
              <w:ind w:right="171"/>
              <w:rPr>
                <w:rFonts w:eastAsia="Times New Roman"/>
                <w:color w:val="auto"/>
                <w:sz w:val="21"/>
                <w:szCs w:val="21"/>
                <w:highlight w:val="none"/>
                <w:lang w:eastAsia="zh-CN"/>
              </w:rPr>
            </w:pPr>
            <w:r>
              <w:rPr>
                <w:rFonts w:hint="eastAsia" w:eastAsia="Times New Roman"/>
                <w:color w:val="auto"/>
                <w:sz w:val="21"/>
                <w:szCs w:val="21"/>
                <w:highlight w:val="none"/>
                <w:lang w:eastAsia="zh-CN"/>
              </w:rPr>
              <w:t>不能有效协调合同的争议及款项拨</w:t>
            </w:r>
            <w:r>
              <w:rPr>
                <w:rFonts w:hint="eastAsia" w:eastAsia="Times New Roman"/>
                <w:color w:val="auto"/>
                <w:spacing w:val="8"/>
                <w:sz w:val="21"/>
                <w:szCs w:val="21"/>
                <w:highlight w:val="none"/>
                <w:lang w:eastAsia="zh-CN"/>
              </w:rPr>
              <w:t xml:space="preserve"> </w:t>
            </w:r>
            <w:r>
              <w:rPr>
                <w:rFonts w:hint="eastAsia" w:eastAsia="Times New Roman"/>
                <w:color w:val="auto"/>
                <w:spacing w:val="3"/>
                <w:sz w:val="21"/>
                <w:szCs w:val="21"/>
                <w:highlight w:val="none"/>
                <w:lang w:eastAsia="zh-CN"/>
              </w:rPr>
              <w:t>付的事宜</w:t>
            </w:r>
          </w:p>
        </w:tc>
        <w:tc>
          <w:tcPr>
            <w:tcW w:w="684" w:type="dxa"/>
          </w:tcPr>
          <w:p>
            <w:pPr>
              <w:keepNext w:val="0"/>
              <w:keepLines w:val="0"/>
              <w:pageBreakBefore w:val="0"/>
              <w:widowControl w:val="0"/>
              <w:kinsoku/>
              <w:wordWrap/>
              <w:overflowPunct/>
              <w:topLinePunct w:val="0"/>
              <w:autoSpaceDE/>
              <w:autoSpaceDN/>
              <w:bidi w:val="0"/>
              <w:adjustRightInd/>
              <w:snapToGrid/>
              <w:spacing w:line="367"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359"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3" w:lineRule="auto"/>
              <w:ind w:left="295" w:firstLine="0"/>
              <w:textAlignment w:val="auto"/>
              <w:rPr>
                <w:rFonts w:eastAsia="Times New Roman"/>
                <w:color w:val="auto"/>
                <w:sz w:val="21"/>
                <w:szCs w:val="21"/>
                <w:highlight w:val="none"/>
              </w:rPr>
            </w:pPr>
            <w:r>
              <w:rPr>
                <w:rFonts w:hint="eastAsia" w:eastAsia="Times New Roman"/>
                <w:color w:val="auto"/>
                <w:sz w:val="21"/>
                <w:szCs w:val="21"/>
                <w:highlight w:val="none"/>
              </w:rPr>
              <w:t>9</w:t>
            </w:r>
          </w:p>
        </w:tc>
        <w:tc>
          <w:tcPr>
            <w:tcW w:w="2219" w:type="dxa"/>
          </w:tcPr>
          <w:p>
            <w:pPr>
              <w:spacing w:line="306" w:lineRule="auto"/>
              <w:ind w:firstLine="420"/>
              <w:rPr>
                <w:rFonts w:ascii="宋体" w:hAnsi="宋体" w:eastAsia="Times New Roman" w:cs="宋体"/>
                <w:color w:val="auto"/>
                <w:szCs w:val="21"/>
                <w:highlight w:val="none"/>
                <w:lang w:eastAsia="en-US"/>
              </w:rPr>
            </w:pPr>
          </w:p>
          <w:p>
            <w:pPr>
              <w:pStyle w:val="53"/>
              <w:spacing w:before="68" w:line="220" w:lineRule="auto"/>
              <w:ind w:left="471" w:firstLine="412"/>
              <w:rPr>
                <w:rFonts w:eastAsia="Times New Roman"/>
                <w:color w:val="auto"/>
                <w:sz w:val="21"/>
                <w:szCs w:val="21"/>
                <w:highlight w:val="none"/>
              </w:rPr>
            </w:pPr>
            <w:r>
              <w:rPr>
                <w:rFonts w:hint="eastAsia" w:eastAsia="Times New Roman"/>
                <w:color w:val="auto"/>
                <w:spacing w:val="-2"/>
                <w:sz w:val="21"/>
                <w:szCs w:val="21"/>
                <w:highlight w:val="none"/>
              </w:rPr>
              <w:t>组织协调情况</w:t>
            </w:r>
          </w:p>
        </w:tc>
        <w:tc>
          <w:tcPr>
            <w:tcW w:w="3478" w:type="dxa"/>
          </w:tcPr>
          <w:p>
            <w:pPr>
              <w:pStyle w:val="53"/>
              <w:spacing w:before="66" w:line="220" w:lineRule="auto"/>
              <w:ind w:left="151" w:firstLine="424"/>
              <w:rPr>
                <w:rFonts w:eastAsia="Times New Roman"/>
                <w:color w:val="auto"/>
                <w:sz w:val="21"/>
                <w:szCs w:val="21"/>
                <w:highlight w:val="none"/>
              </w:rPr>
            </w:pPr>
            <w:r>
              <w:rPr>
                <w:rFonts w:hint="eastAsia" w:eastAsia="Times New Roman"/>
                <w:color w:val="auto"/>
                <w:spacing w:val="1"/>
                <w:sz w:val="21"/>
                <w:szCs w:val="21"/>
                <w:highlight w:val="none"/>
                <w:lang w:eastAsia="zh-CN"/>
              </w:rPr>
              <w:t>能与建设各方积极主动进行沟通与</w:t>
            </w:r>
            <w:r>
              <w:rPr>
                <w:rFonts w:hint="eastAsia" w:eastAsia="Times New Roman"/>
                <w:color w:val="auto"/>
                <w:sz w:val="21"/>
                <w:szCs w:val="21"/>
                <w:highlight w:val="none"/>
                <w:lang w:eastAsia="zh-CN"/>
              </w:rPr>
              <w:t>协调，现场出现的各种问题都能够</w:t>
            </w:r>
            <w:r>
              <w:rPr>
                <w:rFonts w:hint="eastAsia" w:eastAsia="Times New Roman"/>
                <w:color w:val="auto"/>
                <w:spacing w:val="-1"/>
                <w:sz w:val="21"/>
                <w:szCs w:val="21"/>
                <w:highlight w:val="none"/>
              </w:rPr>
              <w:t>得到及时有效的解决</w:t>
            </w:r>
          </w:p>
        </w:tc>
        <w:tc>
          <w:tcPr>
            <w:tcW w:w="650" w:type="dxa"/>
          </w:tcPr>
          <w:p>
            <w:pPr>
              <w:keepNext w:val="0"/>
              <w:keepLines w:val="0"/>
              <w:pageBreakBefore w:val="0"/>
              <w:widowControl w:val="0"/>
              <w:kinsoku/>
              <w:wordWrap/>
              <w:overflowPunct/>
              <w:topLinePunct w:val="0"/>
              <w:autoSpaceDE/>
              <w:autoSpaceDN/>
              <w:bidi w:val="0"/>
              <w:adjustRightInd/>
              <w:snapToGrid/>
              <w:spacing w:line="358"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8" w:line="184" w:lineRule="auto"/>
              <w:ind w:left="214"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10</w:t>
            </w:r>
          </w:p>
        </w:tc>
        <w:tc>
          <w:tcPr>
            <w:tcW w:w="3648" w:type="dxa"/>
          </w:tcPr>
          <w:p>
            <w:pPr>
              <w:pStyle w:val="53"/>
              <w:spacing w:before="75" w:line="219" w:lineRule="auto"/>
              <w:ind w:left="134" w:firstLine="424"/>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与建设各方能进行沟通与协调，个别</w:t>
            </w:r>
            <w:r>
              <w:rPr>
                <w:rFonts w:hint="eastAsia" w:eastAsia="Times New Roman"/>
                <w:color w:val="auto"/>
                <w:sz w:val="21"/>
                <w:szCs w:val="21"/>
                <w:highlight w:val="none"/>
                <w:lang w:eastAsia="zh-CN"/>
              </w:rPr>
              <w:t>问题因非监理方的责任不能及时解</w:t>
            </w:r>
            <w:r>
              <w:rPr>
                <w:rFonts w:hint="eastAsia" w:eastAsia="Times New Roman"/>
                <w:color w:val="auto"/>
                <w:spacing w:val="1"/>
                <w:sz w:val="21"/>
                <w:szCs w:val="21"/>
                <w:highlight w:val="none"/>
                <w:lang w:eastAsia="zh-CN"/>
              </w:rPr>
              <w:t>决，给工程实施造成一定影响</w:t>
            </w:r>
          </w:p>
        </w:tc>
        <w:tc>
          <w:tcPr>
            <w:tcW w:w="739" w:type="dxa"/>
          </w:tcPr>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2" w:lineRule="auto"/>
              <w:ind w:left="306" w:firstLine="0"/>
              <w:textAlignment w:val="auto"/>
              <w:rPr>
                <w:rFonts w:eastAsia="Times New Roman"/>
                <w:color w:val="auto"/>
                <w:sz w:val="21"/>
                <w:szCs w:val="21"/>
                <w:highlight w:val="none"/>
              </w:rPr>
            </w:pPr>
            <w:r>
              <w:rPr>
                <w:rFonts w:hint="eastAsia" w:eastAsia="Times New Roman"/>
                <w:color w:val="auto"/>
                <w:sz w:val="21"/>
                <w:szCs w:val="21"/>
                <w:highlight w:val="none"/>
              </w:rPr>
              <w:t>5</w:t>
            </w:r>
          </w:p>
        </w:tc>
        <w:tc>
          <w:tcPr>
            <w:tcW w:w="3528" w:type="dxa"/>
          </w:tcPr>
          <w:p>
            <w:pPr>
              <w:pStyle w:val="53"/>
              <w:spacing w:before="56" w:line="220" w:lineRule="auto"/>
              <w:ind w:left="186" w:firstLine="420"/>
              <w:rPr>
                <w:rFonts w:eastAsia="Times New Roman"/>
                <w:color w:val="auto"/>
                <w:sz w:val="21"/>
                <w:szCs w:val="21"/>
                <w:highlight w:val="none"/>
                <w:lang w:eastAsia="zh-CN"/>
              </w:rPr>
            </w:pPr>
            <w:r>
              <w:rPr>
                <w:rFonts w:hint="eastAsia" w:eastAsia="Times New Roman"/>
                <w:color w:val="auto"/>
                <w:sz w:val="21"/>
                <w:szCs w:val="21"/>
                <w:highlight w:val="none"/>
                <w:lang w:eastAsia="zh-CN"/>
              </w:rPr>
              <w:t>不能与建设各方形成有效沟通与协调，个别问题因非监理方的责任不能</w:t>
            </w:r>
            <w:r>
              <w:rPr>
                <w:rFonts w:hint="eastAsia" w:eastAsia="Times New Roman"/>
                <w:color w:val="auto"/>
                <w:spacing w:val="1"/>
                <w:sz w:val="21"/>
                <w:szCs w:val="21"/>
                <w:highlight w:val="none"/>
                <w:lang w:eastAsia="zh-CN"/>
              </w:rPr>
              <w:t>解决，给工程实施造成恶劣影响</w:t>
            </w:r>
          </w:p>
        </w:tc>
        <w:tc>
          <w:tcPr>
            <w:tcW w:w="684" w:type="dxa"/>
          </w:tcPr>
          <w:p>
            <w:pPr>
              <w:keepNext w:val="0"/>
              <w:keepLines w:val="0"/>
              <w:pageBreakBefore w:val="0"/>
              <w:widowControl w:val="0"/>
              <w:kinsoku/>
              <w:wordWrap/>
              <w:overflowPunct/>
              <w:topLinePunct w:val="0"/>
              <w:autoSpaceDE/>
              <w:autoSpaceDN/>
              <w:bidi w:val="0"/>
              <w:adjustRightInd/>
              <w:snapToGrid/>
              <w:spacing w:line="358" w:lineRule="auto"/>
              <w:ind w:firstLine="0"/>
              <w:textAlignment w:val="auto"/>
              <w:rPr>
                <w:rFonts w:ascii="宋体" w:hAnsi="宋体" w:eastAsia="Times New Roman" w:cs="宋体"/>
                <w:color w:val="auto"/>
                <w:szCs w:val="21"/>
                <w:highlight w:val="none"/>
                <w:lang w:eastAsia="zh-CN"/>
              </w:rPr>
            </w:pPr>
          </w:p>
          <w:p>
            <w:pPr>
              <w:pStyle w:val="53"/>
              <w:keepNext w:val="0"/>
              <w:keepLines w:val="0"/>
              <w:pageBreakBefore w:val="0"/>
              <w:widowControl w:val="0"/>
              <w:kinsoku/>
              <w:wordWrap/>
              <w:overflowPunct/>
              <w:topLinePunct w:val="0"/>
              <w:autoSpaceDE/>
              <w:autoSpaceDN/>
              <w:bidi w:val="0"/>
              <w:adjustRightInd/>
              <w:snapToGrid/>
              <w:spacing w:before="68" w:line="184" w:lineRule="auto"/>
              <w:ind w:left="279" w:firstLine="0"/>
              <w:textAlignment w:val="auto"/>
              <w:rPr>
                <w:rFonts w:eastAsia="Times New Roman"/>
                <w:color w:val="auto"/>
                <w:sz w:val="21"/>
                <w:szCs w:val="21"/>
                <w:highlight w:val="none"/>
              </w:rPr>
            </w:pPr>
            <w:r>
              <w:rPr>
                <w:rFonts w:hint="eastAsia" w:eastAsia="Times New Roman"/>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714" w:type="dxa"/>
          </w:tcPr>
          <w:p>
            <w:pPr>
              <w:keepNext w:val="0"/>
              <w:keepLines w:val="0"/>
              <w:pageBreakBefore w:val="0"/>
              <w:widowControl w:val="0"/>
              <w:kinsoku/>
              <w:wordWrap/>
              <w:overflowPunct/>
              <w:topLinePunct w:val="0"/>
              <w:autoSpaceDE/>
              <w:autoSpaceDN/>
              <w:bidi w:val="0"/>
              <w:adjustRightInd/>
              <w:snapToGrid/>
              <w:spacing w:line="245"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45"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46" w:lineRule="auto"/>
              <w:ind w:firstLine="0"/>
              <w:textAlignment w:val="auto"/>
              <w:rPr>
                <w:rFonts w:ascii="宋体" w:hAnsi="宋体" w:eastAsia="Times New Roman" w:cs="宋体"/>
                <w:color w:val="auto"/>
                <w:szCs w:val="21"/>
                <w:highlight w:val="none"/>
                <w:lang w:eastAsia="en-US"/>
              </w:rPr>
            </w:pPr>
          </w:p>
          <w:p>
            <w:pPr>
              <w:pStyle w:val="53"/>
              <w:keepNext w:val="0"/>
              <w:keepLines w:val="0"/>
              <w:pageBreakBefore w:val="0"/>
              <w:widowControl w:val="0"/>
              <w:kinsoku/>
              <w:wordWrap/>
              <w:overflowPunct/>
              <w:topLinePunct w:val="0"/>
              <w:autoSpaceDE/>
              <w:autoSpaceDN/>
              <w:bidi w:val="0"/>
              <w:adjustRightInd/>
              <w:snapToGrid/>
              <w:spacing w:before="69" w:line="184" w:lineRule="auto"/>
              <w:ind w:left="245" w:firstLine="0"/>
              <w:textAlignment w:val="auto"/>
              <w:rPr>
                <w:rFonts w:eastAsia="Times New Roman"/>
                <w:color w:val="auto"/>
                <w:sz w:val="21"/>
                <w:szCs w:val="21"/>
                <w:highlight w:val="none"/>
              </w:rPr>
            </w:pPr>
            <w:r>
              <w:rPr>
                <w:rFonts w:hint="eastAsia" w:eastAsia="Times New Roman"/>
                <w:color w:val="auto"/>
                <w:spacing w:val="-6"/>
                <w:sz w:val="21"/>
                <w:szCs w:val="21"/>
                <w:highlight w:val="none"/>
              </w:rPr>
              <w:t>10</w:t>
            </w:r>
          </w:p>
        </w:tc>
        <w:tc>
          <w:tcPr>
            <w:tcW w:w="2219" w:type="dxa"/>
          </w:tcPr>
          <w:p>
            <w:pPr>
              <w:spacing w:line="242" w:lineRule="auto"/>
              <w:ind w:firstLine="420"/>
              <w:rPr>
                <w:rFonts w:ascii="宋体" w:hAnsi="宋体" w:eastAsia="Times New Roman" w:cs="宋体"/>
                <w:color w:val="auto"/>
                <w:szCs w:val="21"/>
                <w:highlight w:val="none"/>
                <w:lang w:eastAsia="en-US"/>
              </w:rPr>
            </w:pPr>
          </w:p>
          <w:p>
            <w:pPr>
              <w:spacing w:line="243" w:lineRule="auto"/>
              <w:ind w:firstLine="420"/>
              <w:rPr>
                <w:rFonts w:ascii="宋体" w:hAnsi="宋体" w:eastAsia="Times New Roman" w:cs="宋体"/>
                <w:color w:val="auto"/>
                <w:szCs w:val="21"/>
                <w:highlight w:val="none"/>
                <w:lang w:eastAsia="en-US"/>
              </w:rPr>
            </w:pPr>
          </w:p>
          <w:p>
            <w:pPr>
              <w:pStyle w:val="53"/>
              <w:spacing w:before="68" w:line="219" w:lineRule="auto"/>
              <w:ind w:left="261" w:firstLine="424"/>
              <w:rPr>
                <w:rFonts w:eastAsia="Times New Roman"/>
                <w:color w:val="auto"/>
                <w:sz w:val="21"/>
                <w:szCs w:val="21"/>
                <w:highlight w:val="none"/>
              </w:rPr>
            </w:pPr>
            <w:r>
              <w:rPr>
                <w:rFonts w:hint="eastAsia" w:eastAsia="Times New Roman"/>
                <w:color w:val="auto"/>
                <w:spacing w:val="1"/>
                <w:sz w:val="21"/>
                <w:szCs w:val="21"/>
                <w:highlight w:val="none"/>
              </w:rPr>
              <w:t>使用部门满意程度</w:t>
            </w:r>
          </w:p>
        </w:tc>
        <w:tc>
          <w:tcPr>
            <w:tcW w:w="3478" w:type="dxa"/>
          </w:tcPr>
          <w:p>
            <w:pPr>
              <w:pStyle w:val="53"/>
              <w:spacing w:before="146" w:line="219" w:lineRule="auto"/>
              <w:ind w:left="1042" w:firstLine="436"/>
              <w:rPr>
                <w:rFonts w:eastAsia="Times New Roman"/>
                <w:color w:val="auto"/>
                <w:sz w:val="21"/>
                <w:szCs w:val="21"/>
                <w:highlight w:val="none"/>
                <w:lang w:eastAsia="zh-CN"/>
              </w:rPr>
            </w:pPr>
            <w:r>
              <w:rPr>
                <w:rFonts w:hint="eastAsia" w:eastAsia="Times New Roman"/>
                <w:color w:val="auto"/>
                <w:spacing w:val="4"/>
                <w:sz w:val="21"/>
                <w:szCs w:val="21"/>
                <w:highlight w:val="none"/>
                <w:lang w:eastAsia="zh-CN"/>
              </w:rPr>
              <w:t>优(10.1-15分)</w:t>
            </w:r>
          </w:p>
          <w:p>
            <w:pPr>
              <w:pStyle w:val="53"/>
              <w:spacing w:before="50" w:line="219" w:lineRule="auto"/>
              <w:ind w:left="151"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主要根据对项目日常工作对接和配</w:t>
            </w:r>
            <w:r>
              <w:rPr>
                <w:rFonts w:hint="eastAsia" w:eastAsia="Times New Roman"/>
                <w:color w:val="auto"/>
                <w:spacing w:val="1"/>
                <w:sz w:val="21"/>
                <w:szCs w:val="21"/>
                <w:highlight w:val="none"/>
                <w:lang w:eastAsia="zh-CN"/>
              </w:rPr>
              <w:t>合度，服务的及时性、项目管理的</w:t>
            </w:r>
            <w:r>
              <w:rPr>
                <w:rFonts w:hint="eastAsia" w:eastAsia="Times New Roman"/>
                <w:color w:val="auto"/>
                <w:spacing w:val="-1"/>
                <w:sz w:val="21"/>
                <w:szCs w:val="21"/>
                <w:highlight w:val="none"/>
                <w:lang w:eastAsia="zh-CN"/>
              </w:rPr>
              <w:t>规范性、完工后的售后质保服务等</w:t>
            </w:r>
            <w:r>
              <w:rPr>
                <w:rFonts w:hint="eastAsia" w:eastAsia="Times New Roman"/>
                <w:color w:val="auto"/>
                <w:sz w:val="21"/>
                <w:szCs w:val="21"/>
                <w:highlight w:val="none"/>
                <w:lang w:eastAsia="zh-CN"/>
              </w:rPr>
              <w:t>方面进行评价，服务质量投诉1次</w:t>
            </w:r>
          </w:p>
        </w:tc>
        <w:tc>
          <w:tcPr>
            <w:tcW w:w="650" w:type="dxa"/>
          </w:tcPr>
          <w:p>
            <w:pPr>
              <w:ind w:firstLine="420"/>
              <w:rPr>
                <w:rFonts w:ascii="宋体" w:hAnsi="宋体" w:eastAsia="Times New Roman" w:cs="宋体"/>
                <w:color w:val="auto"/>
                <w:szCs w:val="21"/>
                <w:highlight w:val="none"/>
                <w:lang w:eastAsia="zh-CN"/>
              </w:rPr>
            </w:pPr>
          </w:p>
        </w:tc>
        <w:tc>
          <w:tcPr>
            <w:tcW w:w="3648" w:type="dxa"/>
          </w:tcPr>
          <w:p>
            <w:pPr>
              <w:pStyle w:val="53"/>
              <w:spacing w:before="77" w:line="220" w:lineRule="auto"/>
              <w:ind w:left="1184" w:firstLine="436"/>
              <w:rPr>
                <w:rFonts w:eastAsia="Times New Roman"/>
                <w:color w:val="auto"/>
                <w:sz w:val="21"/>
                <w:szCs w:val="21"/>
                <w:highlight w:val="none"/>
                <w:lang w:eastAsia="zh-CN"/>
              </w:rPr>
            </w:pPr>
            <w:r>
              <w:rPr>
                <w:rFonts w:hint="eastAsia" w:eastAsia="Times New Roman"/>
                <w:color w:val="auto"/>
                <w:spacing w:val="4"/>
                <w:sz w:val="21"/>
                <w:szCs w:val="21"/>
                <w:highlight w:val="none"/>
                <w:lang w:eastAsia="zh-CN"/>
              </w:rPr>
              <w:t>良(5.1-10分)</w:t>
            </w:r>
          </w:p>
          <w:p>
            <w:pPr>
              <w:pStyle w:val="53"/>
              <w:spacing w:before="48" w:line="263" w:lineRule="auto"/>
              <w:ind w:left="134" w:right="151"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主要根据对项目日常工作对接和配合度，服务的及时性、项目管理的规范性、完工后的售后质保服务等方面进行评价，服务质量投诉2次</w:t>
            </w:r>
          </w:p>
        </w:tc>
        <w:tc>
          <w:tcPr>
            <w:tcW w:w="739" w:type="dxa"/>
          </w:tcPr>
          <w:p>
            <w:pPr>
              <w:ind w:firstLine="420"/>
              <w:rPr>
                <w:rFonts w:ascii="宋体" w:hAnsi="宋体" w:eastAsia="Times New Roman" w:cs="宋体"/>
                <w:color w:val="auto"/>
                <w:szCs w:val="21"/>
                <w:highlight w:val="none"/>
                <w:lang w:eastAsia="zh-CN"/>
              </w:rPr>
            </w:pPr>
          </w:p>
        </w:tc>
        <w:tc>
          <w:tcPr>
            <w:tcW w:w="3528" w:type="dxa"/>
          </w:tcPr>
          <w:p>
            <w:pPr>
              <w:pStyle w:val="53"/>
              <w:spacing w:before="67" w:line="220" w:lineRule="auto"/>
              <w:ind w:left="1287" w:firstLine="440"/>
              <w:rPr>
                <w:rFonts w:eastAsia="Times New Roman"/>
                <w:color w:val="auto"/>
                <w:sz w:val="21"/>
                <w:szCs w:val="21"/>
                <w:highlight w:val="none"/>
                <w:lang w:eastAsia="zh-CN"/>
              </w:rPr>
            </w:pPr>
            <w:r>
              <w:rPr>
                <w:rFonts w:hint="eastAsia" w:eastAsia="Times New Roman"/>
                <w:color w:val="auto"/>
                <w:spacing w:val="5"/>
                <w:sz w:val="21"/>
                <w:szCs w:val="21"/>
                <w:highlight w:val="none"/>
                <w:lang w:eastAsia="zh-CN"/>
              </w:rPr>
              <w:t>差(0-5分)</w:t>
            </w:r>
          </w:p>
          <w:p>
            <w:pPr>
              <w:pStyle w:val="53"/>
              <w:spacing w:before="89" w:line="219" w:lineRule="auto"/>
              <w:ind w:left="186" w:firstLine="416"/>
              <w:rPr>
                <w:rFonts w:eastAsia="Times New Roman"/>
                <w:color w:val="auto"/>
                <w:sz w:val="21"/>
                <w:szCs w:val="21"/>
                <w:highlight w:val="none"/>
                <w:lang w:eastAsia="zh-CN"/>
              </w:rPr>
            </w:pPr>
            <w:r>
              <w:rPr>
                <w:rFonts w:hint="eastAsia" w:eastAsia="Times New Roman"/>
                <w:color w:val="auto"/>
                <w:spacing w:val="-1"/>
                <w:sz w:val="21"/>
                <w:szCs w:val="21"/>
                <w:highlight w:val="none"/>
                <w:lang w:eastAsia="zh-CN"/>
              </w:rPr>
              <w:t>主要根据对项目日常工作对接和配合度，服务的及时性、项目管理的规</w:t>
            </w:r>
            <w:r>
              <w:rPr>
                <w:rFonts w:hint="eastAsia" w:eastAsia="Times New Roman"/>
                <w:color w:val="auto"/>
                <w:sz w:val="21"/>
                <w:szCs w:val="21"/>
                <w:highlight w:val="none"/>
                <w:lang w:eastAsia="zh-CN"/>
              </w:rPr>
              <w:t>范性、完工后的售后质保服务等方面进行评价，服务质量投诉3次及以上</w:t>
            </w:r>
          </w:p>
        </w:tc>
        <w:tc>
          <w:tcPr>
            <w:tcW w:w="684" w:type="dxa"/>
          </w:tcPr>
          <w:p>
            <w:pPr>
              <w:ind w:firstLine="420"/>
              <w:rPr>
                <w:rFonts w:ascii="宋体" w:hAnsi="宋体" w:eastAsia="Times New Roman" w:cs="宋体"/>
                <w:color w:val="auto"/>
                <w:szCs w:val="21"/>
                <w:highlight w:val="none"/>
                <w:lang w:eastAsia="zh-CN"/>
              </w:rPr>
            </w:pPr>
          </w:p>
        </w:tc>
      </w:tr>
    </w:tbl>
    <w:p>
      <w:pPr>
        <w:pStyle w:val="10"/>
        <w:ind w:firstLine="420"/>
        <w:rPr>
          <w:color w:val="auto"/>
          <w:szCs w:val="21"/>
          <w:highlight w:val="none"/>
        </w:rPr>
        <w:sectPr>
          <w:pgSz w:w="16838" w:h="11905" w:orient="landscape"/>
          <w:pgMar w:top="1134" w:right="1134" w:bottom="1134" w:left="1134" w:header="850" w:footer="850" w:gutter="0"/>
          <w:cols w:space="0" w:num="1"/>
          <w:titlePg/>
          <w:docGrid w:linePitch="331" w:charSpace="0"/>
        </w:sectPr>
      </w:pPr>
    </w:p>
    <w:p>
      <w:pPr>
        <w:spacing w:line="428" w:lineRule="exact"/>
        <w:ind w:left="119" w:firstLine="420"/>
        <w:rPr>
          <w:rFonts w:hint="eastAsia" w:ascii="宋体" w:hAnsi="宋体" w:cs="宋体"/>
          <w:color w:val="auto"/>
          <w:sz w:val="32"/>
          <w:szCs w:val="32"/>
          <w:highlight w:val="none"/>
        </w:rPr>
      </w:pPr>
      <w:r>
        <w:rPr>
          <w:rFonts w:hAnsi="宋体"/>
          <w:color w:val="auto"/>
          <w:highlight w:val="none"/>
        </w:rPr>
        <w:t xml:space="preserve"> </w:t>
      </w:r>
      <w:r>
        <w:rPr>
          <w:rFonts w:hint="eastAsia" w:ascii="宋体" w:hAnsi="宋体" w:cs="宋体"/>
          <w:color w:val="auto"/>
          <w:sz w:val="32"/>
          <w:szCs w:val="32"/>
          <w:highlight w:val="none"/>
        </w:rPr>
        <w:t>附件1：</w:t>
      </w:r>
    </w:p>
    <w:p>
      <w:pPr>
        <w:spacing w:before="7"/>
        <w:ind w:firstLine="340"/>
        <w:rPr>
          <w:rFonts w:hint="eastAsia" w:ascii="宋体" w:hAnsi="宋体" w:cs="宋体"/>
          <w:color w:val="auto"/>
          <w:sz w:val="17"/>
          <w:szCs w:val="17"/>
          <w:highlight w:val="none"/>
        </w:rPr>
      </w:pPr>
    </w:p>
    <w:p>
      <w:pPr>
        <w:pStyle w:val="14"/>
        <w:ind w:firstLine="640"/>
        <w:jc w:val="left"/>
        <w:rPr>
          <w:rFonts w:hint="eastAsia" w:hAnsi="宋体" w:cs="宋体"/>
          <w:color w:val="auto"/>
          <w:sz w:val="32"/>
          <w:szCs w:val="32"/>
          <w:highlight w:val="none"/>
        </w:rPr>
      </w:pPr>
    </w:p>
    <w:p>
      <w:pPr>
        <w:widowControl/>
        <w:spacing w:before="120" w:beforeLines="50" w:after="120" w:afterLines="50" w:line="280" w:lineRule="exact"/>
        <w:ind w:firstLine="602"/>
        <w:jc w:val="center"/>
        <w:rPr>
          <w:rFonts w:hint="eastAsia" w:ascii="宋体" w:hAnsi="宋体" w:cs="宋体"/>
          <w:b/>
          <w:bCs/>
          <w:color w:val="auto"/>
          <w:kern w:val="0"/>
          <w:sz w:val="30"/>
          <w:szCs w:val="30"/>
          <w:highlight w:val="none"/>
        </w:rPr>
      </w:pPr>
      <w:bookmarkStart w:id="104" w:name="_Toc28361_WPSOffice_Level2"/>
      <w:r>
        <w:rPr>
          <w:rFonts w:hint="eastAsia" w:ascii="宋体" w:hAnsi="宋体" w:cs="宋体"/>
          <w:b/>
          <w:bCs/>
          <w:color w:val="auto"/>
          <w:kern w:val="0"/>
          <w:sz w:val="30"/>
          <w:szCs w:val="30"/>
          <w:highlight w:val="none"/>
        </w:rPr>
        <w:t>统计上大中小微型企业划分标准</w:t>
      </w:r>
      <w:bookmarkEnd w:id="104"/>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left="-2" w:leftChars="-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spacing w:val="-12"/>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0" w:lineRule="exact"/>
              <w:ind w:left="-107" w:leftChars="-51"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ind w:firstLine="512"/>
        <w:rPr>
          <w:rFonts w:hint="eastAsia" w:ascii="宋体" w:hAnsi="宋体" w:cs="宋体"/>
          <w:color w:val="auto"/>
          <w:spacing w:val="8"/>
          <w:kern w:val="0"/>
          <w:sz w:val="24"/>
          <w:highlight w:val="none"/>
        </w:rPr>
      </w:pPr>
    </w:p>
    <w:p>
      <w:pPr>
        <w:widowControl/>
        <w:spacing w:line="360" w:lineRule="auto"/>
        <w:ind w:firstLine="452"/>
        <w:rPr>
          <w:rFonts w:hint="eastAsia" w:ascii="宋体" w:hAnsi="宋体" w:cs="宋体"/>
          <w:color w:val="auto"/>
          <w:spacing w:val="8"/>
          <w:kern w:val="0"/>
          <w:szCs w:val="21"/>
          <w:highlight w:val="none"/>
        </w:rPr>
      </w:pPr>
    </w:p>
    <w:p>
      <w:pPr>
        <w:widowControl/>
        <w:spacing w:line="360" w:lineRule="auto"/>
        <w:ind w:firstLine="452"/>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4"/>
        <w:adjustRightInd w:val="0"/>
        <w:spacing w:line="360" w:lineRule="auto"/>
        <w:ind w:firstLine="452" w:firstLineChars="200"/>
        <w:contextualSpacing/>
        <w:rPr>
          <w:rFonts w:hint="eastAsia"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4"/>
        <w:adjustRightInd w:val="0"/>
        <w:spacing w:line="360" w:lineRule="auto"/>
        <w:ind w:firstLine="452" w:firstLineChars="200"/>
        <w:contextualSpacing/>
        <w:rPr>
          <w:rFonts w:hint="eastAsia"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pacing w:line="360" w:lineRule="auto"/>
        <w:ind w:firstLine="452" w:firstLineChars="200"/>
        <w:rPr>
          <w:rFonts w:hint="eastAsia"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ind w:firstLine="723"/>
        <w:jc w:val="center"/>
        <w:outlineLvl w:val="0"/>
        <w:rPr>
          <w:b/>
          <w:color w:val="auto"/>
          <w:sz w:val="36"/>
          <w:highlight w:val="none"/>
        </w:rPr>
      </w:pPr>
      <w:bookmarkStart w:id="105" w:name="_Toc3325"/>
      <w:bookmarkStart w:id="106" w:name="_Toc28587"/>
      <w:bookmarkStart w:id="107" w:name="_Toc24489"/>
      <w:bookmarkStart w:id="108" w:name="_Toc9063"/>
      <w:bookmarkStart w:id="109" w:name="_Toc532545044"/>
      <w:bookmarkStart w:id="110" w:name="_Toc26039"/>
      <w:bookmarkStart w:id="111" w:name="_Toc496"/>
      <w:bookmarkStart w:id="112" w:name="_Toc6362"/>
      <w:bookmarkStart w:id="113" w:name="_Toc8975"/>
      <w:bookmarkStart w:id="114" w:name="_Toc29172"/>
      <w:r>
        <w:rPr>
          <w:rFonts w:hint="eastAsia"/>
          <w:b/>
          <w:color w:val="auto"/>
          <w:sz w:val="36"/>
          <w:highlight w:val="none"/>
        </w:rPr>
        <w:br w:type="page"/>
      </w:r>
    </w:p>
    <w:p>
      <w:pPr>
        <w:pStyle w:val="14"/>
        <w:ind w:firstLine="723"/>
        <w:jc w:val="center"/>
        <w:outlineLvl w:val="0"/>
        <w:rPr>
          <w:rFonts w:hint="eastAsia" w:hAnsi="宋体"/>
          <w:b/>
          <w:color w:val="auto"/>
          <w:sz w:val="36"/>
          <w:szCs w:val="36"/>
          <w:highlight w:val="none"/>
        </w:rPr>
      </w:pPr>
      <w:bookmarkStart w:id="115" w:name="_Toc20953"/>
      <w:bookmarkStart w:id="116" w:name="_Toc26044"/>
      <w:bookmarkStart w:id="117" w:name="_Toc15364"/>
      <w:bookmarkStart w:id="118" w:name="_Toc20085"/>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14"/>
        <w:spacing w:line="720" w:lineRule="auto"/>
        <w:ind w:firstLine="602"/>
        <w:jc w:val="center"/>
        <w:outlineLvl w:val="1"/>
        <w:rPr>
          <w:rFonts w:ascii="Times New Roman" w:hAnsi="Times New Roman"/>
          <w:b/>
          <w:color w:val="auto"/>
          <w:sz w:val="30"/>
          <w:szCs w:val="30"/>
          <w:highlight w:val="none"/>
        </w:rPr>
      </w:pPr>
      <w:bookmarkStart w:id="119" w:name="_Toc1597"/>
      <w:bookmarkStart w:id="120" w:name="_Toc24714"/>
      <w:bookmarkStart w:id="121" w:name="_Toc29809"/>
      <w:bookmarkStart w:id="122" w:name="_Toc11515"/>
      <w:bookmarkStart w:id="123" w:name="_Toc29813"/>
      <w:bookmarkStart w:id="124" w:name="_Toc16388"/>
      <w:bookmarkStart w:id="125" w:name="_Toc10039"/>
      <w:bookmarkStart w:id="126" w:name="_Toc8769"/>
      <w:bookmarkStart w:id="127" w:name="_Toc4562"/>
      <w:bookmarkStart w:id="128" w:name="_Toc32208"/>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119"/>
      <w:bookmarkEnd w:id="120"/>
      <w:bookmarkEnd w:id="121"/>
      <w:bookmarkEnd w:id="122"/>
      <w:bookmarkEnd w:id="123"/>
      <w:bookmarkEnd w:id="124"/>
      <w:bookmarkEnd w:id="125"/>
      <w:bookmarkEnd w:id="126"/>
      <w:bookmarkEnd w:id="127"/>
      <w:bookmarkEnd w:id="128"/>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29" w:name="_8.1"/>
            <w:bookmarkEnd w:id="129"/>
            <w:bookmarkStart w:id="130" w:name="_9.2"/>
            <w:bookmarkEnd w:id="130"/>
            <w:bookmarkStart w:id="131" w:name="_5"/>
            <w:bookmarkEnd w:id="131"/>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420"/>
              <w:rPr>
                <w:rFonts w:hint="eastAsia" w:ascii="宋体" w:hAnsi="宋体" w:cs="宋体"/>
                <w:color w:val="auto"/>
                <w:szCs w:val="21"/>
                <w:highlight w:val="none"/>
              </w:rPr>
            </w:pPr>
            <w:bookmarkStart w:id="132" w:name="PO_3000001866_PM007"/>
            <w:r>
              <w:rPr>
                <w:rFonts w:hint="eastAsia" w:ascii="宋体" w:hAnsi="宋体" w:cs="宋体"/>
                <w:color w:val="auto"/>
                <w:szCs w:val="21"/>
                <w:highlight w:val="none"/>
              </w:rPr>
              <w:t>详见招标公告。</w:t>
            </w:r>
            <w:bookmarkEnd w:id="13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420"/>
              <w:rPr>
                <w:rFonts w:hint="eastAsia" w:ascii="宋体" w:hAnsi="宋体" w:cs="宋体"/>
                <w:color w:val="auto"/>
                <w:szCs w:val="21"/>
                <w:highlight w:val="none"/>
              </w:rPr>
            </w:pPr>
            <w:bookmarkStart w:id="133" w:name="PO_3000001866_PM044"/>
            <w:r>
              <w:rPr>
                <w:rFonts w:hint="eastAsia" w:ascii="宋体" w:hAnsi="宋体" w:cs="宋体"/>
                <w:color w:val="auto"/>
                <w:szCs w:val="21"/>
                <w:highlight w:val="none"/>
              </w:rPr>
              <w:t>☑不允许分包</w:t>
            </w:r>
            <w:bookmarkEnd w:id="133"/>
          </w:p>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分，逾期后果自负。会议地点：</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left"/>
              <w:textAlignment w:val="auto"/>
              <w:rPr>
                <w:rFonts w:hint="eastAsia" w:ascii="宋体" w:hAnsi="宋体" w:cs="宋体"/>
                <w:color w:val="auto"/>
                <w:szCs w:val="21"/>
                <w:highlight w:val="none"/>
              </w:rPr>
            </w:pPr>
            <w:bookmarkStart w:id="134" w:name="_13.2"/>
            <w:bookmarkEnd w:id="134"/>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39"/>
                <w:rFonts w:hint="eastAsia"/>
                <w:color w:val="auto"/>
                <w:sz w:val="21"/>
                <w:szCs w:val="21"/>
                <w:highlight w:val="none"/>
              </w:rPr>
              <w:t>执业许可证</w:t>
            </w:r>
            <w:r>
              <w:rPr>
                <w:rFonts w:hint="eastAsia" w:ascii="宋体" w:hAnsi="宋体" w:cs="宋体"/>
                <w:color w:val="auto"/>
                <w:szCs w:val="21"/>
                <w:highlight w:val="none"/>
              </w:rPr>
              <w:t>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w:t>
            </w:r>
            <w:r>
              <w:rPr>
                <w:rFonts w:hint="eastAsia"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月至投标文件提交截止时间止的任意</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w:t>
            </w:r>
            <w:r>
              <w:rPr>
                <w:rFonts w:hint="eastAsia" w:ascii="宋体" w:hAnsi="宋体" w:cs="宋体"/>
                <w:color w:val="auto"/>
                <w:szCs w:val="21"/>
                <w:highlight w:val="none"/>
                <w:u w:val="single"/>
              </w:rPr>
              <w:t xml:space="preserve">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至投标文件提交截止时间止的任意</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4、投标人财务状况报告（提供</w:t>
            </w:r>
            <w:r>
              <w:rPr>
                <w:rFonts w:hint="eastAsia" w:ascii="宋体" w:hAnsi="宋体" w:cs="宋体"/>
                <w:color w:val="auto"/>
                <w:szCs w:val="21"/>
                <w:highlight w:val="none"/>
                <w:u w:val="single"/>
              </w:rPr>
              <w:t xml:space="preserve">  2024  </w:t>
            </w:r>
            <w:r>
              <w:rPr>
                <w:rFonts w:hint="eastAsia" w:ascii="宋体" w:hAnsi="宋体" w:cs="宋体"/>
                <w:color w:val="auto"/>
                <w:szCs w:val="21"/>
                <w:highlight w:val="none"/>
              </w:rPr>
              <w:t>年度经审计的财务报告复印件或者截标时间前半年内至少一个月能反映财务状况的报表或者投标人自拟的截标时间前半年内至少一个月的财务情况说明）。（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本项目的特定资格要求：1分标、2分标、3分标、4分标、5分标：</w:t>
            </w:r>
            <w:bookmarkStart w:id="135" w:name="OLE_LINK73"/>
            <w:r>
              <w:rPr>
                <w:rFonts w:hint="eastAsia" w:ascii="宋体" w:hAnsi="宋体"/>
                <w:color w:val="auto"/>
                <w:szCs w:val="21"/>
                <w:highlight w:val="none"/>
                <w:lang w:eastAsia="zh-CN"/>
              </w:rPr>
              <w:t>供应商</w:t>
            </w:r>
            <w:r>
              <w:rPr>
                <w:rFonts w:hint="eastAsia" w:ascii="宋体" w:hAnsi="宋体" w:cs="宋体"/>
                <w:color w:val="auto"/>
                <w:szCs w:val="21"/>
                <w:highlight w:val="none"/>
              </w:rPr>
              <w:t>具备建筑工程施工总承包三级及以上资质，具有省级及以上建设行政主管部门颁发的安全生产许可证</w:t>
            </w:r>
            <w:bookmarkEnd w:id="135"/>
            <w:r>
              <w:rPr>
                <w:rFonts w:hint="eastAsia" w:ascii="宋体" w:hAnsi="宋体" w:cs="宋体"/>
                <w:color w:val="auto"/>
                <w:szCs w:val="21"/>
                <w:highlight w:val="none"/>
              </w:rPr>
              <w:t>；</w:t>
            </w:r>
            <w:bookmarkStart w:id="136" w:name="OLE_LINK74"/>
            <w:r>
              <w:rPr>
                <w:rFonts w:hint="eastAsia" w:ascii="宋体" w:hAnsi="宋体" w:cs="宋体"/>
                <w:color w:val="auto"/>
                <w:szCs w:val="21"/>
                <w:highlight w:val="none"/>
              </w:rPr>
              <w:t>6分标、7分标：</w:t>
            </w:r>
            <w:r>
              <w:rPr>
                <w:rFonts w:hint="eastAsia" w:ascii="宋体" w:hAnsi="宋体"/>
                <w:color w:val="auto"/>
                <w:szCs w:val="21"/>
                <w:highlight w:val="none"/>
                <w:lang w:eastAsia="zh-CN"/>
              </w:rPr>
              <w:t>供应商</w:t>
            </w:r>
            <w:r>
              <w:rPr>
                <w:rFonts w:hint="eastAsia" w:ascii="宋体" w:hAnsi="宋体" w:cs="宋体"/>
                <w:color w:val="auto"/>
                <w:szCs w:val="21"/>
                <w:highlight w:val="none"/>
              </w:rPr>
              <w:t>具备工程设计建筑行业乙级及以上资质或工程设计建筑行业(建筑工程)专业乙级及以上资质或工程设计综合甲级资质；8分标：</w:t>
            </w:r>
            <w:r>
              <w:rPr>
                <w:rFonts w:hint="eastAsia" w:ascii="宋体" w:hAnsi="宋体"/>
                <w:color w:val="auto"/>
                <w:szCs w:val="21"/>
                <w:highlight w:val="none"/>
                <w:lang w:eastAsia="zh-CN"/>
              </w:rPr>
              <w:t>供应商</w:t>
            </w:r>
            <w:r>
              <w:rPr>
                <w:rFonts w:hint="eastAsia" w:ascii="宋体" w:hAnsi="宋体" w:cs="宋体"/>
                <w:color w:val="auto"/>
                <w:szCs w:val="21"/>
                <w:highlight w:val="none"/>
              </w:rPr>
              <w:t>具备工程监理综合资质或者房屋建筑工程监理乙级及以上资质</w:t>
            </w:r>
            <w:bookmarkEnd w:id="136"/>
            <w:r>
              <w:rPr>
                <w:rFonts w:hint="eastAsia" w:ascii="宋体" w:hAnsi="宋体" w:cs="宋体"/>
                <w:color w:val="auto"/>
                <w:szCs w:val="21"/>
                <w:highlight w:val="none"/>
              </w:rPr>
              <w:t>。提供资质证书复印件。</w:t>
            </w:r>
            <w:r>
              <w:rPr>
                <w:rFonts w:hint="eastAsia" w:ascii="宋体" w:hAnsi="宋体" w:cs="宋体"/>
                <w:b/>
                <w:bCs/>
                <w:color w:val="auto"/>
                <w:szCs w:val="21"/>
                <w:highlight w:val="none"/>
              </w:rPr>
              <w:t>（必须提供，否则作无效投标处理）</w:t>
            </w:r>
          </w:p>
          <w:p>
            <w:pPr>
              <w:pStyle w:val="15"/>
              <w:spacing w:line="360" w:lineRule="auto"/>
              <w:ind w:firstLine="420"/>
              <w:rPr>
                <w:rFonts w:hint="eastAsia" w:ascii="宋体" w:hAnsi="宋体" w:cs="宋体"/>
                <w:i/>
                <w:iCs/>
                <w:color w:val="auto"/>
                <w:sz w:val="21"/>
                <w:szCs w:val="21"/>
                <w:highlight w:val="none"/>
              </w:rPr>
            </w:pPr>
            <w:r>
              <w:rPr>
                <w:rFonts w:hint="eastAsia" w:ascii="宋体" w:hAnsi="宋体" w:cs="宋体"/>
                <w:color w:val="auto"/>
                <w:sz w:val="21"/>
                <w:szCs w:val="21"/>
                <w:highlight w:val="none"/>
              </w:rPr>
              <w:t>6、中小企业声明函或者残疾人福利性单位声明函（格式后附）或者供应商属于监狱企业的，提供由省级以上监狱管理局、戒毒管理局（含新疆生产建设兵团）出具的属于监狱企业的证明文件；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必须提供，否则作无效投标处理</w:t>
            </w:r>
            <w:r>
              <w:rPr>
                <w:rFonts w:hint="eastAsia" w:ascii="宋体" w:hAnsi="宋体" w:cs="宋体"/>
                <w:b/>
                <w:bCs/>
                <w:color w:val="auto"/>
                <w:sz w:val="21"/>
                <w:szCs w:val="21"/>
                <w:highlight w:val="none"/>
              </w:rPr>
              <w:t>）</w:t>
            </w:r>
          </w:p>
          <w:p>
            <w:pPr>
              <w:snapToGrid w:val="0"/>
              <w:spacing w:line="360" w:lineRule="auto"/>
              <w:ind w:firstLine="420"/>
              <w:jc w:val="left"/>
              <w:rPr>
                <w:rFonts w:hint="eastAsia" w:ascii="宋体" w:hAnsi="宋体" w:cs="宋体"/>
                <w:color w:val="auto"/>
                <w:szCs w:val="21"/>
                <w:highlight w:val="none"/>
              </w:rPr>
            </w:pPr>
            <w:bookmarkStart w:id="137" w:name="OLE_LINK59"/>
            <w:r>
              <w:rPr>
                <w:rFonts w:hint="eastAsia" w:ascii="宋体" w:hAnsi="宋体" w:cs="宋体"/>
                <w:color w:val="auto"/>
                <w:szCs w:val="21"/>
                <w:highlight w:val="none"/>
              </w:rPr>
              <w:t>7、声明函（格式后附）。</w:t>
            </w:r>
            <w:bookmarkEnd w:id="137"/>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b/>
                <w:bCs/>
                <w:color w:val="auto"/>
                <w:szCs w:val="21"/>
                <w:highlight w:val="none"/>
              </w:rPr>
            </w:pPr>
            <w:r>
              <w:rPr>
                <w:rFonts w:hint="eastAsia" w:ascii="宋体" w:hAnsi="宋体"/>
                <w:color w:val="auto"/>
                <w:szCs w:val="21"/>
                <w:highlight w:val="none"/>
              </w:rPr>
              <w:t>8、联合体投标协议书（格式后附）。</w:t>
            </w:r>
            <w:r>
              <w:rPr>
                <w:rFonts w:hint="eastAsia" w:ascii="宋体" w:hAnsi="宋体"/>
                <w:b/>
                <w:bCs/>
                <w:color w:val="auto"/>
                <w:szCs w:val="21"/>
                <w:highlight w:val="none"/>
              </w:rPr>
              <w:t>（联合体投标时必须提供，否则作无效投标处理）</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pPr>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left"/>
              <w:textAlignment w:val="auto"/>
              <w:rPr>
                <w:rFonts w:hint="eastAsia" w:ascii="宋体" w:hAnsi="宋体" w:cs="宋体"/>
                <w:color w:val="auto"/>
                <w:szCs w:val="21"/>
                <w:highlight w:val="none"/>
              </w:rPr>
            </w:pPr>
            <w:bookmarkStart w:id="138" w:name="_13.3"/>
            <w:bookmarkEnd w:id="138"/>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bookmarkStart w:id="139" w:name="OLE_LINK66"/>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bookmarkEnd w:id="139"/>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bookmarkStart w:id="140" w:name="OLE_LINK60"/>
            <w:r>
              <w:rPr>
                <w:rFonts w:hint="eastAsia" w:ascii="宋体" w:hAnsi="宋体" w:cs="宋体"/>
                <w:b/>
                <w:color w:val="auto"/>
                <w:szCs w:val="21"/>
                <w:highlight w:val="none"/>
              </w:rPr>
              <w:t>委托时必须提供，否则作无效投标处理</w:t>
            </w:r>
            <w:bookmarkEnd w:id="140"/>
            <w:r>
              <w:rPr>
                <w:rFonts w:hint="eastAsia" w:ascii="宋体" w:hAnsi="宋体" w:cs="宋体"/>
                <w:color w:val="auto"/>
                <w:szCs w:val="21"/>
                <w:highlight w:val="none"/>
              </w:rPr>
              <w:t>）</w:t>
            </w:r>
          </w:p>
          <w:p>
            <w:pPr>
              <w:pStyle w:val="15"/>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4、投标保证金提交凭证；</w:t>
            </w:r>
            <w:r>
              <w:rPr>
                <w:rFonts w:hint="eastAsia" w:ascii="宋体" w:hAnsi="宋体" w:cs="宋体"/>
                <w:b/>
                <w:bCs/>
                <w:color w:val="auto"/>
                <w:sz w:val="21"/>
                <w:szCs w:val="21"/>
                <w:highlight w:val="none"/>
              </w:rPr>
              <w:t>（必须提供，否则作无效投标处理）</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6、投标人情况介绍（格式自拟）；</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left"/>
              <w:textAlignment w:val="auto"/>
              <w:rPr>
                <w:rFonts w:hint="eastAsia" w:ascii="宋体" w:hAnsi="宋体" w:cs="宋体"/>
                <w:color w:val="auto"/>
                <w:szCs w:val="21"/>
                <w:highlight w:val="none"/>
              </w:rPr>
            </w:pPr>
            <w:bookmarkStart w:id="141" w:name="_13.4"/>
            <w:bookmarkEnd w:id="141"/>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2、服务实施方案（格式自拟）；</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3、售后服务方案（格式自拟）；</w:t>
            </w:r>
          </w:p>
          <w:p>
            <w:pPr>
              <w:snapToGrid w:val="0"/>
              <w:spacing w:line="360" w:lineRule="auto"/>
              <w:ind w:firstLine="420"/>
              <w:jc w:val="left"/>
              <w:rPr>
                <w:rFonts w:hint="eastAsia" w:ascii="宋体" w:hAnsi="宋体" w:cs="宋体"/>
                <w:bCs/>
                <w:color w:val="auto"/>
                <w:szCs w:val="21"/>
                <w:highlight w:val="none"/>
              </w:rPr>
            </w:pPr>
            <w:r>
              <w:rPr>
                <w:rFonts w:hint="eastAsia" w:ascii="宋体" w:hAnsi="宋体" w:cs="宋体"/>
                <w:color w:val="auto"/>
                <w:szCs w:val="21"/>
                <w:highlight w:val="none"/>
              </w:rPr>
              <w:t>4、除招标文件规定必须提供以外，投标人需要说明的其他文件和说明（格式自拟）。</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pPr>
              <w:tabs>
                <w:tab w:val="left" w:pos="459"/>
              </w:tabs>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tabs>
                <w:tab w:val="left" w:pos="459"/>
              </w:tabs>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2" w:name="_16.2"/>
            <w:bookmarkEnd w:id="142"/>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color w:val="auto"/>
                <w:highlight w:val="none"/>
              </w:rPr>
            </w:pPr>
            <w:r>
              <w:rPr>
                <w:rFonts w:hint="eastAsia"/>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pPr>
              <w:snapToGrid w:val="0"/>
              <w:spacing w:line="360" w:lineRule="auto"/>
              <w:rPr>
                <w:rFonts w:hint="eastAsia" w:ascii="宋体" w:hAnsi="宋体" w:cs="宋体"/>
                <w:b/>
                <w:color w:val="auto"/>
                <w:szCs w:val="21"/>
                <w:highlight w:val="none"/>
              </w:rPr>
            </w:pPr>
            <w:r>
              <w:rPr>
                <w:rFonts w:ascii="Segoe UI Symbol" w:hAnsi="Segoe UI Symbol" w:cs="Segoe UI Symbol"/>
                <w:b/>
                <w:color w:val="auto"/>
                <w:szCs w:val="21"/>
                <w:highlight w:val="none"/>
              </w:rPr>
              <w:t>☑</w:t>
            </w:r>
            <w:r>
              <w:rPr>
                <w:rFonts w:hint="eastAsia" w:ascii="宋体" w:hAnsi="宋体" w:cs="宋体"/>
                <w:b/>
                <w:color w:val="auto"/>
                <w:szCs w:val="21"/>
                <w:highlight w:val="none"/>
              </w:rPr>
              <w:t>投标报价包含验收费用</w:t>
            </w:r>
          </w:p>
          <w:p>
            <w:pPr>
              <w:pStyle w:val="15"/>
              <w:spacing w:line="360" w:lineRule="auto"/>
              <w:rPr>
                <w:color w:val="auto"/>
                <w:highlight w:val="none"/>
              </w:rPr>
            </w:pPr>
            <w:r>
              <w:rPr>
                <w:rFonts w:hint="eastAsia" w:ascii="宋体" w:hAnsi="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3" w:name="_17.1"/>
            <w:bookmarkEnd w:id="143"/>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4" w:name="_18"/>
            <w:bookmarkEnd w:id="14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□本项目不需要缴纳投标保证金。</w:t>
            </w:r>
          </w:p>
          <w:p>
            <w:pPr>
              <w:snapToGrid w:val="0"/>
              <w:spacing w:line="360" w:lineRule="auto"/>
              <w:rPr>
                <w:rFonts w:hint="eastAsia" w:ascii="宋体" w:hAnsi="宋体" w:cs="宋体"/>
                <w:b/>
                <w:bCs/>
                <w:color w:val="auto"/>
                <w:szCs w:val="21"/>
                <w:highlight w:val="none"/>
              </w:rPr>
            </w:pPr>
            <w:r>
              <w:rPr>
                <w:rFonts w:ascii="Segoe UI Symbol" w:hAnsi="Segoe UI Symbol" w:cs="Segoe UI Symbol"/>
                <w:b/>
                <w:bCs/>
                <w:color w:val="auto"/>
                <w:szCs w:val="21"/>
                <w:highlight w:val="none"/>
              </w:rPr>
              <w:t>☑</w:t>
            </w:r>
            <w:r>
              <w:rPr>
                <w:rFonts w:hint="eastAsia" w:ascii="宋体" w:hAnsi="宋体" w:cs="宋体"/>
                <w:b/>
                <w:bCs/>
                <w:color w:val="auto"/>
                <w:szCs w:val="21"/>
                <w:highlight w:val="none"/>
              </w:rPr>
              <w:t>本项目需要缴纳投标保证金，相关要求如下：</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2.投标保证金的金额：详见招标公告</w:t>
            </w:r>
          </w:p>
          <w:p>
            <w:pPr>
              <w:pStyle w:val="9"/>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20"/>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5" w:name="_21.1"/>
            <w:bookmarkEnd w:id="14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6" w:name="_23"/>
            <w:bookmarkEnd w:id="14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7" w:name="_25.3"/>
            <w:bookmarkEnd w:id="147"/>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48" w:name="_26"/>
            <w:bookmarkEnd w:id="148"/>
            <w:bookmarkStart w:id="149" w:name="_28.3"/>
            <w:bookmarkEnd w:id="14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20"/>
              <w:textAlignment w:val="bottom"/>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综合评分法</w:t>
            </w:r>
          </w:p>
          <w:p>
            <w:pPr>
              <w:autoSpaceDE w:val="0"/>
              <w:autoSpaceDN w:val="0"/>
              <w:snapToGrid w:val="0"/>
              <w:spacing w:line="360" w:lineRule="auto"/>
              <w:ind w:firstLine="420"/>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50" w:name="_29.2.2（2）"/>
            <w:bookmarkEnd w:id="150"/>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420"/>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auto"/>
              <w:ind w:firstLine="420"/>
              <w:textAlignment w:val="bottom"/>
              <w:rPr>
                <w:rFonts w:hint="eastAsia" w:ascii="宋体" w:hAnsi="宋体" w:cs="宋体"/>
                <w:i/>
                <w:iCs/>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技术分得分高的优先、履约能力分得分高的优先、</w:t>
            </w:r>
            <w:r>
              <w:rPr>
                <w:rFonts w:hint="eastAsia" w:ascii="宋体" w:hAnsi="宋体" w:cs="宋体"/>
                <w:bCs/>
                <w:color w:val="auto"/>
                <w:kern w:val="0"/>
                <w:szCs w:val="21"/>
                <w:highlight w:val="none"/>
              </w:rPr>
              <w:t>服务承诺分</w:t>
            </w:r>
            <w:r>
              <w:rPr>
                <w:rFonts w:hint="eastAsia" w:ascii="宋体" w:hAnsi="宋体" w:cs="宋体"/>
                <w:color w:val="auto"/>
                <w:szCs w:val="21"/>
                <w:highlight w:val="none"/>
              </w:rPr>
              <w:t>得分高的优先的顺序。</w:t>
            </w:r>
          </w:p>
          <w:p>
            <w:pPr>
              <w:pStyle w:val="9"/>
              <w:spacing w:line="360" w:lineRule="auto"/>
              <w:ind w:firstLine="420"/>
              <w:rPr>
                <w:rFonts w:hint="eastAsia"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highlight w:val="none"/>
              </w:rPr>
              <w:t>采取随机抽取的方式确定</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51" w:name="_39.1"/>
            <w:bookmarkEnd w:id="151"/>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autoSpaceDE w:val="0"/>
              <w:autoSpaceDN w:val="0"/>
              <w:snapToGrid w:val="0"/>
              <w:spacing w:line="360" w:lineRule="auto"/>
              <w:jc w:val="left"/>
              <w:textAlignment w:val="bottom"/>
              <w:rPr>
                <w:rFonts w:hint="eastAsia" w:ascii="宋体" w:hAnsi="宋体" w:cs="宋体"/>
                <w:color w:val="auto"/>
                <w:szCs w:val="21"/>
                <w:highlight w:val="none"/>
              </w:rPr>
            </w:pPr>
            <w:r>
              <w:rPr>
                <w:rFonts w:ascii="Segoe UI Symbol" w:hAnsi="Segoe UI Symbol" w:cs="Segoe UI Symbol"/>
                <w:b/>
                <w:bCs/>
                <w:color w:val="auto"/>
                <w:szCs w:val="21"/>
                <w:highlight w:val="none"/>
              </w:rPr>
              <w:t>☑</w:t>
            </w:r>
            <w:r>
              <w:rPr>
                <w:rFonts w:hint="eastAsia" w:ascii="宋体" w:hAnsi="宋体" w:cs="宋体"/>
                <w:b/>
                <w:bCs/>
                <w:color w:val="auto"/>
                <w:szCs w:val="21"/>
                <w:highlight w:val="none"/>
              </w:rPr>
              <w:t xml:space="preserve">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w:t>
            </w:r>
            <w:r>
              <w:rPr>
                <w:rFonts w:hint="eastAsia" w:ascii="宋体" w:hAnsi="宋体" w:cs="宋体"/>
                <w:b/>
                <w:color w:val="auto"/>
                <w:szCs w:val="21"/>
                <w:highlight w:val="none"/>
              </w:rPr>
              <w:t>详见各分标商务</w:t>
            </w:r>
            <w:r>
              <w:rPr>
                <w:rFonts w:hint="eastAsia" w:ascii="宋体" w:hAnsi="宋体" w:cs="宋体"/>
                <w:b/>
                <w:color w:val="auto"/>
                <w:szCs w:val="21"/>
                <w:highlight w:val="none"/>
                <w:lang w:eastAsia="zh-CN"/>
              </w:rPr>
              <w:t>条款</w:t>
            </w:r>
            <w:r>
              <w:rPr>
                <w:rFonts w:hint="eastAsia"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52" w:name="_40.1"/>
            <w:bookmarkEnd w:id="152"/>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20"/>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autoSpaceDE w:val="0"/>
              <w:autoSpaceDN w:val="0"/>
              <w:snapToGrid w:val="0"/>
              <w:spacing w:line="360" w:lineRule="auto"/>
              <w:ind w:firstLine="420"/>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名称：广西医科大学</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联系电话： 0771-5330800</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通讯地址： </w:t>
            </w:r>
            <w:r>
              <w:rPr>
                <w:rFonts w:hint="eastAsia"/>
                <w:color w:val="auto"/>
                <w:highlight w:val="none"/>
              </w:rPr>
              <w:t>广西南宁市青秀区中山街道双拥路22号</w:t>
            </w:r>
            <w:r>
              <w:rPr>
                <w:rFonts w:hint="eastAsia" w:ascii="宋体" w:hAnsi="宋体" w:cs="宋体"/>
                <w:color w:val="auto"/>
                <w:szCs w:val="21"/>
                <w:highlight w:val="none"/>
              </w:rPr>
              <w:t xml:space="preserve">   </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（2）名称：广西科联招标中心有限公司</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联系电话：广西南宁市大学东路170号广西科联招标中心有限公司103室</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通讯地址：0771-3486228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napToGrid w:val="0"/>
              <w:spacing w:line="360" w:lineRule="auto"/>
              <w:ind w:firstLine="420"/>
              <w:rPr>
                <w:rFonts w:hint="eastAsia" w:ascii="宋体" w:hAnsi="宋体" w:cs="宋体"/>
                <w:color w:val="auto"/>
                <w:highlight w:val="none"/>
              </w:rPr>
            </w:pPr>
            <w:r>
              <w:rPr>
                <w:rFonts w:hint="eastAsia" w:ascii="宋体" w:hAnsi="宋体" w:cs="宋体"/>
                <w:color w:val="auto"/>
                <w:szCs w:val="21"/>
                <w:highlight w:val="none"/>
              </w:rPr>
              <w:t>2、通讯</w:t>
            </w:r>
            <w:r>
              <w:rPr>
                <w:rFonts w:hint="eastAsia" w:ascii="宋体" w:hAnsi="宋体" w:cs="宋体"/>
                <w:color w:val="auto"/>
                <w:highlight w:val="none"/>
              </w:rPr>
              <w:t>方式</w:t>
            </w:r>
          </w:p>
          <w:p>
            <w:pPr>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名称：</w:t>
            </w:r>
            <w:bookmarkStart w:id="153" w:name="PO_3000001867_PM036"/>
            <w:r>
              <w:rPr>
                <w:rFonts w:hint="eastAsia" w:ascii="宋体" w:hAnsi="宋体" w:cs="宋体"/>
                <w:color w:val="auto"/>
                <w:szCs w:val="21"/>
                <w:highlight w:val="none"/>
              </w:rPr>
              <w:t xml:space="preserve">广西壮族自治区财政厅政府采购监督管理处 </w:t>
            </w:r>
            <w:bookmarkEnd w:id="153"/>
            <w:r>
              <w:rPr>
                <w:rFonts w:hint="eastAsia" w:ascii="宋体" w:hAnsi="宋体" w:cs="宋体"/>
                <w:color w:val="auto"/>
                <w:szCs w:val="21"/>
                <w:highlight w:val="none"/>
              </w:rPr>
              <w:t xml:space="preserve"> </w:t>
            </w:r>
          </w:p>
          <w:p>
            <w:pPr>
              <w:snapToGrid w:val="0"/>
              <w:spacing w:line="360" w:lineRule="auto"/>
              <w:ind w:firstLine="42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szCs w:val="21"/>
                <w:highlight w:val="none"/>
              </w:rPr>
              <w:t xml:space="preserve">南宁市桃源路69号广西财政大厦7楼 </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联系电话：0771-5331544</w:t>
            </w:r>
            <w:bookmarkStart w:id="154" w:name="PO_3000001867_PM038"/>
            <w:r>
              <w:rPr>
                <w:rFonts w:hint="eastAsia" w:ascii="宋体" w:hAnsi="宋体" w:cs="宋体"/>
                <w:color w:val="auto"/>
                <w:highlight w:val="none"/>
              </w:rPr>
              <w:t xml:space="preserve"> </w:t>
            </w:r>
            <w:bookmarkEnd w:id="1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bookmarkStart w:id="155" w:name="_41"/>
            <w:bookmarkEnd w:id="155"/>
            <w:bookmarkStart w:id="156" w:name="_42"/>
            <w:bookmarkEnd w:id="156"/>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ind w:firstLine="420"/>
              <w:rPr>
                <w:rFonts w:hint="eastAsia" w:hAnsi="宋体" w:cs="宋体"/>
                <w:color w:val="auto"/>
                <w:szCs w:val="21"/>
                <w:highlight w:val="none"/>
              </w:rPr>
            </w:pPr>
            <w:r>
              <w:rPr>
                <w:rFonts w:ascii="Segoe UI Symbol" w:hAnsi="Segoe UI Symbol" w:cs="Segoe UI Symbol"/>
                <w:color w:val="auto"/>
                <w:szCs w:val="21"/>
                <w:highlight w:val="none"/>
              </w:rPr>
              <w:t>☑</w:t>
            </w:r>
            <w:r>
              <w:rPr>
                <w:rFonts w:hint="eastAsia" w:hAnsi="宋体" w:cs="宋体"/>
                <w:color w:val="auto"/>
                <w:szCs w:val="21"/>
                <w:highlight w:val="none"/>
              </w:rPr>
              <w:t>本项目采购代理服务费由</w:t>
            </w:r>
            <w:r>
              <w:rPr>
                <w:rFonts w:hint="eastAsia" w:hAnsi="宋体" w:cs="宋体"/>
                <w:color w:val="auto"/>
                <w:szCs w:val="21"/>
                <w:highlight w:val="none"/>
                <w:u w:val="single"/>
              </w:rPr>
              <w:t>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□采购人支付</w:t>
            </w:r>
            <w:r>
              <w:rPr>
                <w:rFonts w:hint="eastAsia" w:hAnsi="宋体" w:cs="宋体"/>
                <w:color w:val="auto"/>
                <w:highlight w:val="none"/>
              </w:rPr>
              <w:t>：</w:t>
            </w:r>
          </w:p>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□本项目不收取采购代理服务费。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left"/>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0"/>
                <w:highlight w:val="none"/>
              </w:rPr>
            </w:pPr>
            <w:r>
              <w:rPr>
                <w:rFonts w:ascii="Segoe UI Symbol" w:hAnsi="Segoe UI Symbol" w:cs="Segoe UI Symbol"/>
                <w:color w:val="auto"/>
                <w:szCs w:val="20"/>
                <w:highlight w:val="none"/>
              </w:rPr>
              <w:t>☑</w:t>
            </w:r>
            <w:r>
              <w:rPr>
                <w:rFonts w:hint="eastAsia" w:ascii="宋体" w:hAnsi="宋体" w:cs="宋体"/>
                <w:color w:val="auto"/>
                <w:szCs w:val="20"/>
                <w:highlight w:val="none"/>
              </w:rPr>
              <w:t>以分标（□中标金额/☑采购预算/□暂定中标金额/□其他</w:t>
            </w:r>
            <w:r>
              <w:rPr>
                <w:rFonts w:hint="eastAsia" w:ascii="宋体" w:hAnsi="宋体" w:cs="宋体"/>
                <w:color w:val="auto"/>
                <w:szCs w:val="20"/>
                <w:highlight w:val="none"/>
                <w:u w:val="single"/>
              </w:rPr>
              <w:t xml:space="preserve"> </w:t>
            </w:r>
            <w:r>
              <w:rPr>
                <w:rFonts w:ascii="宋体" w:hAnsi="宋体" w:cs="宋体"/>
                <w:color w:val="auto"/>
                <w:szCs w:val="20"/>
                <w:highlight w:val="none"/>
                <w:u w:val="single"/>
              </w:rPr>
              <w:t xml:space="preserve">  </w:t>
            </w:r>
            <w:r>
              <w:rPr>
                <w:rFonts w:hint="eastAsia" w:ascii="宋体" w:hAnsi="宋体" w:cs="宋体"/>
                <w:color w:val="auto"/>
                <w:szCs w:val="20"/>
                <w:highlight w:val="none"/>
              </w:rPr>
              <w:t>）为计费额，按本须知正文第40.2条规定的收费计算标准（服务类）采用差额定率累进法计算出收费基准价格，采购代理收费以（☑收费基准价格/□收费基准价格下浮</w:t>
            </w:r>
            <w:r>
              <w:rPr>
                <w:rFonts w:hint="eastAsia" w:ascii="宋体" w:hAnsi="宋体" w:cs="宋体"/>
                <w:color w:val="auto"/>
                <w:szCs w:val="20"/>
                <w:highlight w:val="none"/>
                <w:u w:val="single"/>
              </w:rPr>
              <w:t xml:space="preserve"> </w:t>
            </w:r>
            <w:r>
              <w:rPr>
                <w:rFonts w:ascii="宋体" w:hAnsi="宋体" w:cs="宋体"/>
                <w:color w:val="auto"/>
                <w:szCs w:val="20"/>
                <w:highlight w:val="none"/>
                <w:u w:val="single"/>
              </w:rPr>
              <w:t xml:space="preserve"> </w:t>
            </w:r>
            <w:r>
              <w:rPr>
                <w:rFonts w:hint="eastAsia" w:ascii="宋体" w:hAnsi="宋体" w:cs="宋体"/>
                <w:color w:val="auto"/>
                <w:szCs w:val="20"/>
                <w:highlight w:val="none"/>
                <w:u w:val="single"/>
              </w:rPr>
              <w:t>%</w:t>
            </w:r>
            <w:r>
              <w:rPr>
                <w:rFonts w:ascii="宋体" w:hAnsi="宋体" w:cs="宋体"/>
                <w:color w:val="auto"/>
                <w:szCs w:val="20"/>
                <w:highlight w:val="none"/>
              </w:rPr>
              <w:t>/</w:t>
            </w:r>
            <w:r>
              <w:rPr>
                <w:rFonts w:hint="eastAsia" w:ascii="宋体" w:hAnsi="宋体" w:cs="宋体"/>
                <w:color w:val="auto"/>
                <w:szCs w:val="20"/>
                <w:highlight w:val="none"/>
              </w:rPr>
              <w:t>□收费基准价格上浮</w:t>
            </w:r>
            <w:r>
              <w:rPr>
                <w:rFonts w:hint="eastAsia" w:ascii="宋体" w:hAnsi="宋体" w:cs="宋体"/>
                <w:color w:val="auto"/>
                <w:szCs w:val="20"/>
                <w:highlight w:val="none"/>
                <w:u w:val="single"/>
              </w:rPr>
              <w:t xml:space="preserve"> </w:t>
            </w:r>
            <w:r>
              <w:rPr>
                <w:rFonts w:ascii="宋体" w:hAnsi="宋体" w:cs="宋体"/>
                <w:color w:val="auto"/>
                <w:szCs w:val="20"/>
                <w:highlight w:val="none"/>
                <w:u w:val="single"/>
              </w:rPr>
              <w:t xml:space="preserve">  </w:t>
            </w:r>
            <w:r>
              <w:rPr>
                <w:rFonts w:hint="eastAsia" w:ascii="宋体" w:hAnsi="宋体" w:cs="宋体"/>
                <w:color w:val="auto"/>
                <w:szCs w:val="20"/>
                <w:highlight w:val="none"/>
                <w:u w:val="single"/>
              </w:rPr>
              <w:t>%</w:t>
            </w:r>
            <w:r>
              <w:rPr>
                <w:rFonts w:hint="eastAsia" w:ascii="宋体" w:hAnsi="宋体" w:cs="宋体"/>
                <w:color w:val="auto"/>
                <w:szCs w:val="20"/>
                <w:highlight w:val="none"/>
              </w:rPr>
              <w:t>）收取。</w:t>
            </w:r>
          </w:p>
          <w:p>
            <w:pPr>
              <w:pStyle w:val="14"/>
              <w:snapToGrid w:val="0"/>
              <w:spacing w:line="360" w:lineRule="auto"/>
              <w:ind w:firstLine="420"/>
              <w:rPr>
                <w:rFonts w:hint="eastAsia" w:hAnsi="宋体" w:cs="宋体"/>
                <w:color w:val="auto"/>
                <w:szCs w:val="21"/>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ind w:firstLine="0"/>
              <w:jc w:val="left"/>
              <w:textAlignment w:val="auto"/>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开户名称：广西科联招标中心有限公司</w:t>
            </w:r>
          </w:p>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开户银行：中国工商银行南宁市高新科技支行</w:t>
            </w:r>
          </w:p>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银行账号：2102111229300032105</w:t>
            </w:r>
          </w:p>
          <w:p>
            <w:pPr>
              <w:pStyle w:val="14"/>
              <w:snapToGrid w:val="0"/>
              <w:spacing w:line="360" w:lineRule="auto"/>
              <w:ind w:firstLine="420"/>
              <w:rPr>
                <w:rFonts w:hint="eastAsia" w:hAnsi="宋体" w:cs="宋体"/>
                <w:color w:val="auto"/>
                <w:szCs w:val="21"/>
                <w:highlight w:val="none"/>
              </w:rPr>
            </w:pPr>
            <w:r>
              <w:rPr>
                <w:rFonts w:hint="eastAsia" w:hAnsi="宋体" w:cs="宋体"/>
                <w:color w:val="auto"/>
                <w:szCs w:val="21"/>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法律责任：</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ind w:firstLine="0"/>
              <w:textAlignment w:val="auto"/>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pPr>
        <w:widowControl/>
        <w:spacing w:line="412" w:lineRule="auto"/>
        <w:ind w:firstLine="643"/>
        <w:jc w:val="left"/>
        <w:rPr>
          <w:rFonts w:ascii="Arial" w:hAnsi="Arial" w:eastAsia="黑体"/>
          <w:b/>
          <w:bCs/>
          <w:color w:val="auto"/>
          <w:sz w:val="32"/>
          <w:szCs w:val="32"/>
          <w:highlight w:val="none"/>
        </w:rPr>
        <w:sectPr>
          <w:pgSz w:w="11905" w:h="16838"/>
          <w:pgMar w:top="1134" w:right="1134" w:bottom="1134" w:left="1134" w:header="850" w:footer="850" w:gutter="0"/>
          <w:cols w:space="0" w:num="1"/>
          <w:titlePg/>
          <w:docGrid w:linePitch="331" w:charSpace="0"/>
        </w:sectPr>
      </w:pPr>
    </w:p>
    <w:p>
      <w:pPr>
        <w:ind w:firstLine="420"/>
        <w:rPr>
          <w:color w:val="auto"/>
          <w:highlight w:val="none"/>
        </w:rPr>
      </w:pPr>
    </w:p>
    <w:p>
      <w:pPr>
        <w:pStyle w:val="3"/>
        <w:ind w:firstLine="643"/>
        <w:jc w:val="center"/>
        <w:rPr>
          <w:color w:val="auto"/>
          <w:highlight w:val="none"/>
        </w:rPr>
      </w:pPr>
      <w:bookmarkStart w:id="157" w:name="_Toc11336"/>
      <w:bookmarkStart w:id="158" w:name="_Toc24313"/>
      <w:bookmarkStart w:id="159" w:name="_Toc30841"/>
      <w:bookmarkStart w:id="160" w:name="_Toc7784"/>
      <w:bookmarkStart w:id="161" w:name="_Toc25117"/>
      <w:bookmarkStart w:id="162" w:name="_Toc29311"/>
      <w:bookmarkStart w:id="163" w:name="_Toc13813"/>
      <w:bookmarkStart w:id="164" w:name="_Toc1030"/>
      <w:bookmarkStart w:id="165" w:name="_Toc8807"/>
      <w:bookmarkStart w:id="166" w:name="_Toc453"/>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157"/>
      <w:bookmarkEnd w:id="158"/>
      <w:bookmarkEnd w:id="159"/>
      <w:bookmarkEnd w:id="160"/>
      <w:bookmarkEnd w:id="161"/>
      <w:bookmarkEnd w:id="162"/>
      <w:bookmarkEnd w:id="163"/>
      <w:bookmarkEnd w:id="164"/>
      <w:bookmarkEnd w:id="165"/>
      <w:bookmarkEnd w:id="166"/>
    </w:p>
    <w:p>
      <w:pPr>
        <w:pStyle w:val="4"/>
        <w:keepNext w:val="0"/>
        <w:keepLines w:val="0"/>
        <w:spacing w:line="400" w:lineRule="exact"/>
        <w:jc w:val="center"/>
        <w:rPr>
          <w:color w:val="auto"/>
          <w:highlight w:val="none"/>
        </w:rPr>
      </w:pPr>
      <w:bookmarkStart w:id="167" w:name="_Toc30794"/>
      <w:bookmarkStart w:id="168" w:name="_Toc28360"/>
      <w:bookmarkStart w:id="169" w:name="_Toc22266"/>
      <w:bookmarkStart w:id="170" w:name="_Toc19454"/>
      <w:bookmarkStart w:id="171" w:name="_Toc15523"/>
      <w:bookmarkStart w:id="172" w:name="_Toc6594"/>
      <w:bookmarkStart w:id="173" w:name="_Toc3607"/>
      <w:bookmarkStart w:id="174" w:name="_Toc18594"/>
      <w:bookmarkStart w:id="175" w:name="_Toc21176"/>
      <w:bookmarkStart w:id="176" w:name="_Toc3522"/>
      <w:r>
        <w:rPr>
          <w:rFonts w:hint="eastAsia"/>
          <w:color w:val="auto"/>
          <w:highlight w:val="none"/>
        </w:rPr>
        <w:t>一、总</w:t>
      </w:r>
      <w:r>
        <w:rPr>
          <w:color w:val="auto"/>
          <w:highlight w:val="none"/>
        </w:rPr>
        <w:t xml:space="preserve">  </w:t>
      </w:r>
      <w:r>
        <w:rPr>
          <w:rFonts w:hint="eastAsia"/>
          <w:color w:val="auto"/>
          <w:highlight w:val="none"/>
        </w:rPr>
        <w:t>则</w:t>
      </w:r>
      <w:bookmarkEnd w:id="167"/>
      <w:bookmarkEnd w:id="168"/>
      <w:bookmarkEnd w:id="169"/>
      <w:bookmarkEnd w:id="170"/>
      <w:bookmarkEnd w:id="171"/>
      <w:bookmarkEnd w:id="172"/>
      <w:bookmarkEnd w:id="173"/>
      <w:bookmarkEnd w:id="174"/>
      <w:bookmarkEnd w:id="175"/>
      <w:bookmarkEnd w:id="176"/>
    </w:p>
    <w:p>
      <w:pPr>
        <w:spacing w:line="360" w:lineRule="auto"/>
        <w:ind w:firstLine="480" w:firstLineChars="200"/>
        <w:rPr>
          <w:rFonts w:hint="eastAsia" w:ascii="黑体" w:hAnsi="黑体" w:eastAsia="黑体"/>
          <w:color w:val="auto"/>
          <w:sz w:val="24"/>
          <w:highlight w:val="none"/>
        </w:rPr>
      </w:pPr>
      <w:bookmarkStart w:id="177" w:name="_Toc254970668"/>
      <w:bookmarkStart w:id="178" w:name="_Toc254970527"/>
      <w:r>
        <w:rPr>
          <w:rFonts w:hint="eastAsia" w:ascii="黑体" w:hAnsi="黑体" w:eastAsia="黑体"/>
          <w:color w:val="auto"/>
          <w:sz w:val="24"/>
          <w:highlight w:val="none"/>
        </w:rPr>
        <w:t>1.适用范围</w:t>
      </w:r>
      <w:bookmarkEnd w:id="177"/>
      <w:bookmarkEnd w:id="17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olor w:val="auto"/>
          <w:sz w:val="24"/>
          <w:highlight w:val="none"/>
        </w:rPr>
      </w:pPr>
      <w:bookmarkStart w:id="179" w:name="_Toc254970669"/>
      <w:bookmarkStart w:id="180" w:name="_Toc254970528"/>
      <w:r>
        <w:rPr>
          <w:rFonts w:hint="eastAsia" w:ascii="黑体" w:hAnsi="黑体" w:eastAsia="黑体"/>
          <w:color w:val="auto"/>
          <w:sz w:val="24"/>
          <w:highlight w:val="none"/>
        </w:rPr>
        <w:t>2.定义</w:t>
      </w:r>
      <w:bookmarkEnd w:id="179"/>
      <w:bookmarkEnd w:id="180"/>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bookmarkStart w:id="181" w:name="_Toc254970670"/>
      <w:bookmarkStart w:id="182" w:name="_Toc254970529"/>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181"/>
      <w:bookmarkEnd w:id="182"/>
      <w:r>
        <w:rPr>
          <w:rFonts w:hint="eastAsia" w:ascii="黑体" w:hAnsi="黑体" w:eastAsia="黑体"/>
          <w:color w:val="auto"/>
          <w:sz w:val="24"/>
          <w:highlight w:val="none"/>
        </w:rPr>
        <w:t>投标人的资格要求</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pPr>
        <w:spacing w:line="360" w:lineRule="auto"/>
        <w:ind w:firstLine="480" w:firstLineChars="200"/>
        <w:rPr>
          <w:rFonts w:hint="eastAsia" w:ascii="黑体" w:hAnsi="黑体" w:eastAsia="黑体"/>
          <w:color w:val="auto"/>
          <w:sz w:val="24"/>
          <w:highlight w:val="none"/>
        </w:rPr>
      </w:pPr>
      <w:bookmarkStart w:id="183" w:name="_Toc254970530"/>
      <w:bookmarkStart w:id="184" w:name="_Toc254970671"/>
      <w:r>
        <w:rPr>
          <w:rFonts w:hint="eastAsia" w:ascii="黑体" w:hAnsi="黑体" w:eastAsia="黑体"/>
          <w:color w:val="auto"/>
          <w:sz w:val="24"/>
          <w:highlight w:val="none"/>
        </w:rPr>
        <w:t>4.投标委托</w:t>
      </w:r>
      <w:bookmarkEnd w:id="183"/>
      <w:bookmarkEnd w:id="18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hint="eastAsia" w:ascii="黑体" w:hAnsi="黑体" w:eastAsia="黑体"/>
          <w:color w:val="auto"/>
          <w:sz w:val="24"/>
          <w:highlight w:val="none"/>
        </w:rPr>
      </w:pPr>
      <w:bookmarkStart w:id="185" w:name="_5.投标费用"/>
      <w:bookmarkEnd w:id="185"/>
      <w:bookmarkStart w:id="186" w:name="_Toc254970531"/>
      <w:bookmarkStart w:id="187" w:name="_Toc254970672"/>
      <w:r>
        <w:rPr>
          <w:rFonts w:hint="eastAsia" w:ascii="黑体" w:hAnsi="黑体" w:eastAsia="黑体"/>
          <w:color w:val="auto"/>
          <w:sz w:val="24"/>
          <w:highlight w:val="none"/>
        </w:rPr>
        <w:t>5.投标费用</w:t>
      </w:r>
      <w:bookmarkEnd w:id="186"/>
      <w:bookmarkEnd w:id="187"/>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pacing w:line="360" w:lineRule="auto"/>
        <w:ind w:firstLine="420" w:firstLineChars="200"/>
        <w:rPr>
          <w:rFonts w:hint="eastAsia"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 本项目不允许转包。</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auto"/>
          <w:sz w:val="24"/>
          <w:highlight w:val="none"/>
        </w:rPr>
      </w:pPr>
      <w:bookmarkStart w:id="188" w:name="_Toc254970532"/>
      <w:bookmarkStart w:id="189" w:name="_Toc254970673"/>
      <w:r>
        <w:rPr>
          <w:rFonts w:hint="eastAsia" w:ascii="黑体" w:hAnsi="黑体" w:eastAsia="黑体"/>
          <w:color w:val="auto"/>
          <w:sz w:val="24"/>
          <w:highlight w:val="none"/>
        </w:rPr>
        <w:t>8.特别说明：</w:t>
      </w:r>
      <w:bookmarkEnd w:id="188"/>
      <w:bookmarkEnd w:id="189"/>
      <w:bookmarkStart w:id="190" w:name="_8.1提供相同品牌产品且通过资格审查、符合性审查的不同投标人参加同一合"/>
      <w:bookmarkEnd w:id="190"/>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8.1如果本招标文件要求投标人提供资格、信誉、荣誉、业绩与企业认证等材料的，则投标人所提供的以上材料必须为该投标人所拥有。</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（1）参加采购活动前3年内与供应商存在劳动关系；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（2）参加采购活动前3年内担任供应商的董事、监事；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pPr>
        <w:spacing w:line="360" w:lineRule="auto"/>
        <w:ind w:firstLine="420" w:firstLineChars="200"/>
        <w:rPr>
          <w:rFonts w:hint="eastAsia"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（2）不同投标人委托同一单位或者个人办理投标事宜；</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（5）不同投标人的投标文件相互混装；</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（3）供应商之间协商报价、技术方案等投标文件的实质性内容；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hint="eastAsia" w:hAnsi="宋体"/>
          <w:b/>
          <w:color w:val="auto"/>
          <w:highlight w:val="none"/>
        </w:rPr>
      </w:pPr>
    </w:p>
    <w:p>
      <w:pPr>
        <w:pStyle w:val="4"/>
        <w:keepNext w:val="0"/>
        <w:keepLines w:val="0"/>
        <w:spacing w:line="360" w:lineRule="auto"/>
        <w:jc w:val="center"/>
        <w:rPr>
          <w:color w:val="auto"/>
          <w:highlight w:val="none"/>
        </w:rPr>
      </w:pPr>
      <w:bookmarkStart w:id="191" w:name="_Toc254970534"/>
      <w:bookmarkStart w:id="192" w:name="_Toc25104"/>
      <w:bookmarkStart w:id="193" w:name="_Toc254970675"/>
      <w:bookmarkStart w:id="194" w:name="_Toc18580"/>
      <w:bookmarkStart w:id="195" w:name="_Toc9988"/>
      <w:bookmarkStart w:id="196" w:name="_Toc10320"/>
      <w:bookmarkStart w:id="197" w:name="_Toc22911"/>
      <w:bookmarkStart w:id="198" w:name="_Toc6920"/>
      <w:bookmarkStart w:id="199" w:name="_Toc128"/>
      <w:bookmarkStart w:id="200" w:name="_Toc17855"/>
      <w:bookmarkStart w:id="201" w:name="_Toc19016"/>
      <w:bookmarkStart w:id="202" w:name="_Toc11054"/>
      <w:r>
        <w:rPr>
          <w:rFonts w:hint="eastAsia"/>
          <w:color w:val="auto"/>
          <w:highlight w:val="none"/>
        </w:rPr>
        <w:t>二、招标文件</w:t>
      </w:r>
      <w:bookmarkEnd w:id="191"/>
      <w:bookmarkEnd w:id="192"/>
      <w:bookmarkEnd w:id="193"/>
      <w:bookmarkEnd w:id="194"/>
      <w:bookmarkEnd w:id="195"/>
      <w:bookmarkEnd w:id="196"/>
      <w:bookmarkEnd w:id="197"/>
      <w:bookmarkEnd w:id="198"/>
      <w:bookmarkEnd w:id="199"/>
      <w:bookmarkEnd w:id="200"/>
      <w:bookmarkEnd w:id="201"/>
      <w:bookmarkEnd w:id="202"/>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评标方法和评标标准；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pPr>
        <w:spacing w:line="360" w:lineRule="auto"/>
        <w:ind w:firstLine="420" w:firstLineChars="200"/>
        <w:rPr>
          <w:rFonts w:hint="eastAsia" w:hAnsi="宋体"/>
          <w:color w:val="auto"/>
          <w:highlight w:val="none"/>
        </w:rPr>
      </w:pPr>
      <w:r>
        <w:rPr>
          <w:rFonts w:hint="eastAsia" w:hAnsi="宋体"/>
          <w:color w:val="auto"/>
          <w:highlight w:val="none"/>
        </w:rPr>
        <w:t>根据本章</w:t>
      </w:r>
      <w:r>
        <w:rPr>
          <w:rFonts w:hint="eastAsia" w:ascii="宋体" w:hAnsi="宋体" w:cs="宋体"/>
          <w:color w:val="auto"/>
          <w:highlight w:val="none"/>
        </w:rPr>
        <w:t>第11.1</w:t>
      </w:r>
      <w:r>
        <w:rPr>
          <w:rFonts w:hint="eastAsia" w:hAnsi="宋体"/>
          <w:color w:val="auto"/>
          <w:highlight w:val="none"/>
        </w:rPr>
        <w:t>项的规定对招标文件所做的澄清、修改，构成招标文件的组成部分。当招标文件与招标文件的澄清和修改就同一内容的表述不一致时，</w:t>
      </w:r>
      <w:r>
        <w:rPr>
          <w:rFonts w:hint="eastAsia"/>
          <w:color w:val="auto"/>
          <w:highlight w:val="none"/>
        </w:rPr>
        <w:t>以最后澄清或修改公告为准。</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w:t>
      </w:r>
      <w:bookmarkStart w:id="203"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203"/>
    <w:p>
      <w:pPr>
        <w:pStyle w:val="4"/>
        <w:keepNext w:val="0"/>
        <w:keepLines w:val="0"/>
        <w:spacing w:line="360" w:lineRule="auto"/>
        <w:jc w:val="center"/>
        <w:rPr>
          <w:color w:val="auto"/>
          <w:highlight w:val="none"/>
        </w:rPr>
      </w:pPr>
      <w:bookmarkStart w:id="204" w:name="_Toc28419"/>
      <w:bookmarkStart w:id="205" w:name="_Toc32499"/>
      <w:bookmarkStart w:id="206" w:name="_Toc254970676"/>
      <w:bookmarkStart w:id="207" w:name="_Toc2635"/>
      <w:bookmarkStart w:id="208" w:name="_Toc12080"/>
      <w:bookmarkStart w:id="209" w:name="_Toc24872"/>
      <w:bookmarkStart w:id="210" w:name="_Toc27367"/>
      <w:bookmarkStart w:id="211" w:name="_Toc16623"/>
      <w:bookmarkStart w:id="212" w:name="_Toc20"/>
      <w:bookmarkStart w:id="213" w:name="_Toc32154"/>
      <w:bookmarkStart w:id="214" w:name="_Toc254970535"/>
      <w:bookmarkStart w:id="215" w:name="_Toc7841"/>
      <w:r>
        <w:rPr>
          <w:rFonts w:hint="eastAsia"/>
          <w:color w:val="auto"/>
          <w:highlight w:val="none"/>
        </w:rPr>
        <w:t>三、投标文件的编制</w:t>
      </w:r>
      <w:bookmarkEnd w:id="204"/>
      <w:bookmarkEnd w:id="205"/>
      <w:bookmarkEnd w:id="206"/>
      <w:bookmarkEnd w:id="207"/>
      <w:bookmarkEnd w:id="208"/>
      <w:bookmarkEnd w:id="209"/>
      <w:bookmarkEnd w:id="210"/>
      <w:bookmarkEnd w:id="211"/>
      <w:bookmarkEnd w:id="212"/>
      <w:bookmarkEnd w:id="213"/>
      <w:bookmarkEnd w:id="214"/>
      <w:bookmarkEnd w:id="215"/>
    </w:p>
    <w:p>
      <w:pPr>
        <w:spacing w:line="360" w:lineRule="auto"/>
        <w:ind w:firstLine="480" w:firstLineChars="200"/>
        <w:rPr>
          <w:rFonts w:hint="eastAsia" w:ascii="黑体" w:hAnsi="黑体" w:eastAsia="黑体"/>
          <w:color w:val="auto"/>
          <w:sz w:val="24"/>
          <w:highlight w:val="none"/>
        </w:rPr>
      </w:pPr>
      <w:bookmarkStart w:id="216" w:name="_Toc254970536"/>
      <w:bookmarkStart w:id="217" w:name="_Toc254970677"/>
      <w:r>
        <w:rPr>
          <w:rFonts w:hint="eastAsia" w:ascii="黑体" w:hAnsi="黑体" w:eastAsia="黑体"/>
          <w:color w:val="auto"/>
          <w:sz w:val="24"/>
          <w:highlight w:val="none"/>
        </w:rPr>
        <w:t>12.投标文件的编制原则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216"/>
      <w:bookmarkEnd w:id="21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pPr>
        <w:spacing w:line="360" w:lineRule="auto"/>
        <w:ind w:firstLine="420" w:firstLineChars="200"/>
        <w:rPr>
          <w:rFonts w:hint="eastAsia" w:ascii="宋体" w:hAnsi="宋体"/>
          <w:bCs/>
          <w:color w:val="auto"/>
          <w:szCs w:val="21"/>
          <w:highlight w:val="none"/>
        </w:rPr>
      </w:pPr>
      <w:bookmarkStart w:id="218" w:name="_13.2资格证明文件：具体材料见“投标人须知前附表”。"/>
      <w:bookmarkEnd w:id="218"/>
      <w:bookmarkStart w:id="219" w:name="_13.1报价文件:_具体材料见“投标人须知前附表”。"/>
      <w:bookmarkEnd w:id="219"/>
      <w:r>
        <w:rPr>
          <w:rFonts w:hint="eastAsia" w:ascii="宋体" w:hAnsi="宋体"/>
          <w:bCs/>
          <w:color w:val="auto"/>
          <w:szCs w:val="21"/>
          <w:highlight w:val="none"/>
        </w:rPr>
        <w:t>（1）资格证明文件：具体材料见“投标人须知前附表”。</w:t>
      </w:r>
    </w:p>
    <w:p>
      <w:pPr>
        <w:spacing w:line="360" w:lineRule="auto"/>
        <w:ind w:firstLine="420" w:firstLineChars="200"/>
        <w:rPr>
          <w:rFonts w:hint="eastAsia" w:ascii="宋体" w:hAnsi="宋体"/>
          <w:bCs/>
          <w:color w:val="auto"/>
          <w:szCs w:val="21"/>
          <w:highlight w:val="none"/>
        </w:rPr>
      </w:pPr>
      <w:bookmarkStart w:id="220" w:name="_13.3商务文件:_具体材料见“投标人须知前附表”。"/>
      <w:bookmarkEnd w:id="220"/>
      <w:r>
        <w:rPr>
          <w:rFonts w:hint="eastAsia" w:ascii="宋体" w:hAnsi="宋体"/>
          <w:bCs/>
          <w:color w:val="auto"/>
          <w:szCs w:val="21"/>
          <w:highlight w:val="none"/>
        </w:rPr>
        <w:t>（2）商务文件：具体材料见“投标人须知前附表”。</w:t>
      </w:r>
    </w:p>
    <w:p>
      <w:pPr>
        <w:spacing w:line="360" w:lineRule="auto"/>
        <w:ind w:firstLine="420" w:firstLineChars="200"/>
        <w:rPr>
          <w:rFonts w:hint="eastAsia" w:ascii="宋体" w:hAnsi="宋体"/>
          <w:bCs/>
          <w:color w:val="auto"/>
          <w:szCs w:val="21"/>
          <w:highlight w:val="none"/>
        </w:rPr>
      </w:pPr>
      <w:bookmarkStart w:id="221" w:name="_13.4技术文件：具体材料见“投标人须知前附表”。"/>
      <w:bookmarkEnd w:id="221"/>
      <w:r>
        <w:rPr>
          <w:rFonts w:hint="eastAsia" w:ascii="宋体" w:hAnsi="宋体"/>
          <w:bCs/>
          <w:color w:val="auto"/>
          <w:szCs w:val="21"/>
          <w:highlight w:val="none"/>
        </w:rPr>
        <w:t xml:space="preserve">（3）技术文件：具体材料见“投标人须知前附表”。 </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 具体材料见“投标人须知前附表”。</w:t>
      </w:r>
    </w:p>
    <w:p>
      <w:pPr>
        <w:spacing w:line="360" w:lineRule="auto"/>
        <w:ind w:firstLine="420" w:firstLineChars="200"/>
        <w:rPr>
          <w:rFonts w:hint="eastAsia" w:ascii="宋体" w:hAnsi="宋体"/>
          <w:bCs/>
          <w:color w:val="auto"/>
          <w:szCs w:val="21"/>
          <w:highlight w:val="none"/>
        </w:rPr>
      </w:pPr>
      <w:bookmarkStart w:id="222" w:name="_13.5投标文件电子版：具体材料见“投标人须知前附表”。"/>
      <w:bookmarkEnd w:id="222"/>
      <w:r>
        <w:rPr>
          <w:rFonts w:hint="eastAsia" w:ascii="宋体" w:hAnsi="宋体"/>
          <w:bCs/>
          <w:color w:val="auto"/>
          <w:szCs w:val="21"/>
          <w:highlight w:val="none"/>
        </w:rPr>
        <w:t>13.2投标文件电子版：具体要求见本节19.投标文件编制。</w:t>
      </w:r>
    </w:p>
    <w:p>
      <w:pPr>
        <w:spacing w:line="360" w:lineRule="auto"/>
        <w:ind w:firstLine="480" w:firstLineChars="200"/>
        <w:rPr>
          <w:rFonts w:hint="eastAsia" w:ascii="黑体" w:hAnsi="黑体" w:eastAsia="黑体"/>
          <w:color w:val="auto"/>
          <w:sz w:val="24"/>
          <w:highlight w:val="none"/>
        </w:rPr>
      </w:pPr>
      <w:bookmarkStart w:id="223" w:name="_Toc254970678"/>
      <w:bookmarkStart w:id="224" w:name="_Toc254970537"/>
      <w:r>
        <w:rPr>
          <w:rFonts w:hint="eastAsia" w:ascii="黑体" w:hAnsi="黑体" w:eastAsia="黑体"/>
          <w:color w:val="auto"/>
          <w:sz w:val="24"/>
          <w:highlight w:val="none"/>
        </w:rPr>
        <w:t>14.投标文件的语言及计量</w:t>
      </w:r>
      <w:bookmarkEnd w:id="223"/>
      <w:bookmarkEnd w:id="224"/>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14.2投标计量单位</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pPr>
        <w:spacing w:line="360" w:lineRule="auto"/>
        <w:ind w:firstLine="420" w:firstLineChars="200"/>
        <w:rPr>
          <w:rFonts w:hint="eastAsia"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hint="eastAsia" w:ascii="黑体" w:hAnsi="黑体" w:eastAsia="黑体"/>
          <w:color w:val="auto"/>
          <w:sz w:val="24"/>
          <w:highlight w:val="none"/>
        </w:rPr>
      </w:pPr>
      <w:bookmarkStart w:id="225" w:name="_Toc254970538"/>
      <w:bookmarkStart w:id="226" w:name="_Toc254970679"/>
      <w:r>
        <w:rPr>
          <w:rFonts w:hint="eastAsia" w:ascii="黑体" w:hAnsi="黑体" w:eastAsia="黑体"/>
          <w:color w:val="auto"/>
          <w:sz w:val="24"/>
          <w:highlight w:val="none"/>
        </w:rPr>
        <w:t>16.投标报价</w:t>
      </w:r>
      <w:bookmarkEnd w:id="225"/>
      <w:bookmarkEnd w:id="226"/>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pacing w:line="360" w:lineRule="auto"/>
        <w:ind w:firstLine="420" w:firstLineChars="200"/>
        <w:rPr>
          <w:rFonts w:hint="eastAsia" w:ascii="宋体" w:hAnsi="宋体"/>
          <w:bCs/>
          <w:color w:val="auto"/>
          <w:szCs w:val="21"/>
          <w:highlight w:val="none"/>
        </w:rPr>
      </w:pPr>
      <w:bookmarkStart w:id="227" w:name="_16.2投标报价具体定义见投标人须知前附表。"/>
      <w:bookmarkEnd w:id="227"/>
      <w:r>
        <w:rPr>
          <w:rFonts w:hint="eastAsia" w:ascii="宋体" w:hAnsi="宋体"/>
          <w:bCs/>
          <w:color w:val="auto"/>
          <w:szCs w:val="21"/>
          <w:highlight w:val="none"/>
        </w:rPr>
        <w:t>16.2投标报价具体包括内容详见“投标人须知前附表”。</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spacing w:line="360" w:lineRule="auto"/>
        <w:ind w:firstLine="420" w:firstLineChars="200"/>
        <w:rPr>
          <w:rFonts w:hint="eastAsia" w:ascii="宋体" w:hAnsi="宋体"/>
          <w:bCs/>
          <w:color w:val="auto"/>
          <w:szCs w:val="21"/>
          <w:highlight w:val="none"/>
        </w:rPr>
      </w:pPr>
      <w:bookmarkStart w:id="228" w:name="_17.1投标有效期应按“投标人须知中的前附表”规定的期限。"/>
      <w:bookmarkEnd w:id="228"/>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229" w:name="_Toc254970540"/>
      <w:bookmarkStart w:id="230" w:name="_Toc254970681"/>
      <w:r>
        <w:rPr>
          <w:rFonts w:hint="eastAsia" w:ascii="宋体" w:hAnsi="宋体"/>
          <w:bCs/>
          <w:color w:val="auto"/>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229"/>
      <w:bookmarkEnd w:id="230"/>
    </w:p>
    <w:p>
      <w:pPr>
        <w:spacing w:line="360" w:lineRule="auto"/>
        <w:ind w:firstLine="480" w:firstLineChars="200"/>
        <w:rPr>
          <w:rFonts w:hint="eastAsia" w:ascii="黑体" w:hAnsi="黑体" w:eastAsia="黑体"/>
          <w:color w:val="auto"/>
          <w:sz w:val="24"/>
          <w:highlight w:val="none"/>
        </w:rPr>
      </w:pPr>
      <w:bookmarkStart w:id="231" w:name="_18.投标保证金"/>
      <w:bookmarkEnd w:id="231"/>
      <w:bookmarkStart w:id="232" w:name="_Toc254970682"/>
      <w:bookmarkStart w:id="233" w:name="_Toc254970541"/>
      <w:r>
        <w:rPr>
          <w:rFonts w:hint="eastAsia" w:ascii="黑体" w:hAnsi="黑体" w:eastAsia="黑体"/>
          <w:color w:val="auto"/>
          <w:sz w:val="24"/>
          <w:highlight w:val="none"/>
        </w:rPr>
        <w:t>18.投标保证金</w:t>
      </w:r>
      <w:bookmarkEnd w:id="232"/>
      <w:bookmarkEnd w:id="233"/>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bookmarkStart w:id="234" w:name="_Toc254970542"/>
      <w:bookmarkStart w:id="235" w:name="_Toc254970683"/>
      <w:r>
        <w:rPr>
          <w:rFonts w:hint="eastAsia" w:ascii="宋体" w:hAnsi="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18.2.1未中标人的投标保证金自中标通知书发出之日起5个工作日内退还，退还方式如下：</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pPr>
        <w:pStyle w:val="8"/>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18.2.2中标人的投标保证金自采购合同签订之日起5个工作日内退还，退还方式同本须知正文第18.2.1，或者转为中标人的履约保证金。 </w:t>
      </w:r>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（5）投标人出现本章第9.2、9.3情形的；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（6）其他严重扰乱招投标程序的。</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234"/>
      <w:bookmarkEnd w:id="235"/>
      <w:r>
        <w:rPr>
          <w:rFonts w:hint="eastAsia" w:ascii="黑体" w:hAnsi="黑体" w:eastAsia="黑体"/>
          <w:color w:val="auto"/>
          <w:sz w:val="24"/>
          <w:highlight w:val="none"/>
        </w:rPr>
        <w:t>编制</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36" w:name="_19.2投标文件应按报价文件、资格证明文件、商务文件、技术文件分别编制"/>
      <w:bookmarkEnd w:id="236"/>
      <w:r>
        <w:rPr>
          <w:rFonts w:hint="eastAsia" w:ascii="宋体" w:hAnsi="宋体" w:cs="宋体"/>
          <w:color w:val="auto"/>
          <w:szCs w:val="21"/>
          <w:highlight w:val="none"/>
        </w:rPr>
        <w:t xml:space="preserve"> </w:t>
      </w:r>
    </w:p>
    <w:p>
      <w:pPr>
        <w:pStyle w:val="4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pPr>
        <w:pStyle w:val="40"/>
        <w:snapToGrid w:val="0"/>
        <w:spacing w:before="0"/>
        <w:ind w:firstLine="420"/>
        <w:rPr>
          <w:rFonts w:hint="eastAsia" w:ascii="宋体" w:hAnsi="宋体" w:cs="宋体"/>
          <w:color w:val="auto"/>
          <w:sz w:val="21"/>
          <w:szCs w:val="21"/>
          <w:highlight w:val="none"/>
        </w:rPr>
      </w:pPr>
    </w:p>
    <w:p>
      <w:pPr>
        <w:pStyle w:val="4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详见“投标人须知前附表”。</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int="eastAsia" w:hAnsi="宋体"/>
          <w:b/>
          <w:color w:val="auto"/>
          <w:highlight w:val="none"/>
        </w:rPr>
      </w:pPr>
      <w:bookmarkStart w:id="237" w:name="_21.1投标人必须在“投标人须知中的前附表”规定的投标文件接收时间和投"/>
      <w:bookmarkEnd w:id="237"/>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21.3电子版投标文件提交方式见“招标公告”。</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w:t>
      </w:r>
      <w:bookmarkStart w:id="238" w:name="_Toc254970684"/>
      <w:bookmarkStart w:id="239" w:name="_Toc254970543"/>
    </w:p>
    <w:p>
      <w:pPr>
        <w:spacing w:line="360" w:lineRule="auto"/>
        <w:ind w:firstLine="420" w:firstLineChars="200"/>
        <w:rPr>
          <w:rFonts w:hint="eastAsia"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4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238"/>
    <w:bookmarkEnd w:id="239"/>
    <w:p>
      <w:pPr>
        <w:pStyle w:val="11"/>
        <w:snapToGrid w:val="0"/>
        <w:spacing w:line="360" w:lineRule="auto"/>
        <w:ind w:firstLine="404"/>
        <w:rPr>
          <w:rFonts w:hint="eastAsia" w:hAnsi="宋体"/>
          <w:snapToGrid w:val="0"/>
          <w:color w:val="auto"/>
          <w:sz w:val="21"/>
          <w:szCs w:val="21"/>
          <w:highlight w:val="none"/>
        </w:rPr>
      </w:pPr>
    </w:p>
    <w:p>
      <w:pPr>
        <w:pStyle w:val="4"/>
        <w:keepNext w:val="0"/>
        <w:keepLines w:val="0"/>
        <w:spacing w:line="360" w:lineRule="auto"/>
        <w:jc w:val="center"/>
        <w:rPr>
          <w:color w:val="auto"/>
          <w:highlight w:val="none"/>
        </w:rPr>
      </w:pPr>
      <w:bookmarkStart w:id="240" w:name="_Toc12790"/>
      <w:bookmarkStart w:id="241" w:name="_Toc27037"/>
      <w:bookmarkStart w:id="242" w:name="_Toc13250"/>
      <w:bookmarkStart w:id="243" w:name="_Toc1356"/>
      <w:bookmarkStart w:id="244" w:name="_Toc1586"/>
      <w:bookmarkStart w:id="245" w:name="_Toc14091"/>
      <w:bookmarkStart w:id="246" w:name="_Toc22661"/>
      <w:bookmarkStart w:id="247" w:name="_Toc32494"/>
      <w:bookmarkStart w:id="248" w:name="_Toc254970544"/>
      <w:bookmarkStart w:id="249" w:name="_Toc254970685"/>
      <w:bookmarkStart w:id="250" w:name="_Toc810"/>
      <w:bookmarkStart w:id="251" w:name="_Toc2573"/>
      <w:r>
        <w:rPr>
          <w:rFonts w:hint="eastAsia"/>
          <w:color w:val="auto"/>
          <w:highlight w:val="none"/>
        </w:rPr>
        <w:t>四、开</w:t>
      </w:r>
      <w:r>
        <w:rPr>
          <w:color w:val="auto"/>
          <w:highlight w:val="none"/>
        </w:rPr>
        <w:t xml:space="preserve">    </w:t>
      </w:r>
      <w:r>
        <w:rPr>
          <w:rFonts w:hint="eastAsia"/>
          <w:color w:val="auto"/>
          <w:highlight w:val="none"/>
        </w:rPr>
        <w:t>标</w:t>
      </w:r>
      <w:bookmarkEnd w:id="240"/>
      <w:bookmarkEnd w:id="241"/>
      <w:bookmarkEnd w:id="242"/>
      <w:bookmarkEnd w:id="243"/>
      <w:bookmarkEnd w:id="244"/>
      <w:bookmarkEnd w:id="245"/>
      <w:bookmarkEnd w:id="246"/>
      <w:bookmarkEnd w:id="247"/>
      <w:bookmarkEnd w:id="248"/>
      <w:bookmarkEnd w:id="249"/>
      <w:bookmarkEnd w:id="250"/>
      <w:bookmarkEnd w:id="251"/>
    </w:p>
    <w:p>
      <w:pPr>
        <w:spacing w:line="360" w:lineRule="auto"/>
        <w:ind w:firstLine="480" w:firstLineChars="200"/>
        <w:rPr>
          <w:rFonts w:hint="eastAsia" w:ascii="黑体" w:hAnsi="黑体" w:eastAsia="黑体"/>
          <w:color w:val="auto"/>
          <w:sz w:val="24"/>
          <w:highlight w:val="none"/>
        </w:rPr>
      </w:pPr>
      <w:bookmarkStart w:id="252" w:name="_23.开标时间和地点"/>
      <w:bookmarkEnd w:id="252"/>
      <w:r>
        <w:rPr>
          <w:rFonts w:hint="eastAsia" w:ascii="黑体" w:hAnsi="黑体" w:eastAsia="黑体"/>
          <w:color w:val="auto"/>
          <w:sz w:val="24"/>
          <w:highlight w:val="none"/>
        </w:rPr>
        <w:t>23.开标时间和地点</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23.1开标时间及地点详见“投标人须知前附表”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color w:val="auto"/>
          <w:szCs w:val="21"/>
          <w:highlight w:val="none"/>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360" w:lineRule="auto"/>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cs="宋体"/>
          <w:color w:val="auto"/>
          <w:szCs w:val="21"/>
          <w:highlight w:val="none"/>
        </w:rPr>
        <w:t>广西政府采购云平台</w:t>
      </w:r>
      <w:r>
        <w:rPr>
          <w:rFonts w:hint="eastAsia" w:ascii="宋体" w:hAnsi="宋体"/>
          <w:bCs/>
          <w:color w:val="auto"/>
          <w:szCs w:val="21"/>
          <w:highlight w:val="none"/>
        </w:rPr>
        <w:t>依法抽取评审专家，如采购代理机构未按规定抽取专家的，视为本次开评标无效，应当重新采购；</w:t>
      </w:r>
    </w:p>
    <w:p>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cs="宋体"/>
          <w:color w:val="auto"/>
          <w:szCs w:val="21"/>
          <w:highlight w:val="none"/>
        </w:rPr>
        <w:t>广西政府采购云平台</w:t>
      </w:r>
      <w:r>
        <w:rPr>
          <w:rFonts w:hint="eastAsia" w:ascii="宋体" w:hAnsi="宋体"/>
          <w:bCs/>
          <w:color w:val="auto"/>
          <w:szCs w:val="21"/>
          <w:highlight w:val="none"/>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24.2开标程序：</w:t>
      </w:r>
    </w:p>
    <w:p>
      <w:pPr>
        <w:pStyle w:val="14"/>
        <w:snapToGrid w:val="0"/>
        <w:spacing w:line="360" w:lineRule="auto"/>
        <w:ind w:firstLine="422" w:firstLineChars="200"/>
        <w:rPr>
          <w:rFonts w:hint="eastAsia" w:hAnsi="宋体"/>
          <w:color w:val="auto"/>
          <w:szCs w:val="21"/>
          <w:highlight w:val="none"/>
        </w:rPr>
      </w:pPr>
      <w:r>
        <w:rPr>
          <w:rFonts w:hint="eastAsia" w:hAnsi="宋体"/>
          <w:b/>
          <w:color w:val="auto"/>
          <w:szCs w:val="21"/>
          <w:highlight w:val="none"/>
        </w:rPr>
        <w:t>（1）解密电子投标文件。</w:t>
      </w:r>
      <w:r>
        <w:rPr>
          <w:rFonts w:hint="eastAsia" w:hAnsi="宋体" w:cs="宋体"/>
          <w:color w:val="auto"/>
          <w:szCs w:val="21"/>
          <w:highlight w:val="none"/>
        </w:rPr>
        <w:t>广西政府采购云平台</w:t>
      </w:r>
      <w:r>
        <w:rPr>
          <w:rFonts w:hint="eastAsia" w:hAnsi="宋体" w:cs="仿宋_GB2312"/>
          <w:color w:val="auto"/>
          <w:szCs w:val="21"/>
          <w:highlight w:val="none"/>
        </w:rPr>
        <w:t>按开标时间自动提取所有投标文件。采购代理机构依托</w:t>
      </w:r>
      <w:r>
        <w:rPr>
          <w:rFonts w:hint="eastAsia" w:hAnsi="宋体" w:cs="宋体"/>
          <w:color w:val="auto"/>
          <w:szCs w:val="21"/>
          <w:highlight w:val="none"/>
        </w:rPr>
        <w:t>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pPr>
        <w:pStyle w:val="14"/>
        <w:snapToGrid w:val="0"/>
        <w:spacing w:line="360" w:lineRule="auto"/>
        <w:ind w:firstLine="420" w:firstLineChars="200"/>
        <w:rPr>
          <w:rFonts w:hint="eastAsia"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w:t>
      </w:r>
      <w:r>
        <w:rPr>
          <w:rFonts w:hint="eastAsia" w:ascii="宋体" w:hAnsi="宋体" w:cs="宋体"/>
          <w:color w:val="auto"/>
          <w:szCs w:val="21"/>
          <w:highlight w:val="none"/>
        </w:rPr>
        <w:t>广西政府采购云平台</w:t>
      </w:r>
      <w:r>
        <w:rPr>
          <w:rFonts w:hint="eastAsia" w:ascii="宋体" w:hAnsi="宋体"/>
          <w:color w:val="auto"/>
          <w:szCs w:val="21"/>
          <w:highlight w:val="none"/>
        </w:rPr>
        <w:t>远程不见面开标大厅展示；</w:t>
      </w:r>
    </w:p>
    <w:p>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（5）开标结束。</w:t>
      </w:r>
    </w:p>
    <w:p>
      <w:pPr>
        <w:pStyle w:val="14"/>
        <w:snapToGrid w:val="0"/>
        <w:spacing w:line="360" w:lineRule="auto"/>
        <w:ind w:firstLine="422" w:firstLineChars="200"/>
        <w:rPr>
          <w:rFonts w:hint="eastAsia"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w:t>
      </w:r>
      <w:r>
        <w:rPr>
          <w:rFonts w:hint="eastAsia" w:hAnsi="宋体" w:cs="宋体"/>
          <w:color w:val="auto"/>
          <w:szCs w:val="21"/>
          <w:highlight w:val="none"/>
        </w:rPr>
        <w:t>广西政府采购云平台</w:t>
      </w:r>
      <w:r>
        <w:rPr>
          <w:rFonts w:hint="eastAsia" w:hAnsi="宋体"/>
          <w:color w:val="auto"/>
          <w:szCs w:val="21"/>
          <w:highlight w:val="none"/>
        </w:rPr>
        <w:t>电子化开标或评审程序调整的，按调整后执行。</w:t>
      </w:r>
    </w:p>
    <w:p>
      <w:pPr>
        <w:pStyle w:val="14"/>
        <w:snapToGrid w:val="0"/>
        <w:spacing w:line="360" w:lineRule="auto"/>
        <w:ind w:left="689" w:leftChars="228" w:hanging="210" w:hangingChars="100"/>
        <w:rPr>
          <w:rFonts w:hint="eastAsia" w:hAnsi="宋体"/>
          <w:color w:val="auto"/>
          <w:highlight w:val="none"/>
        </w:rPr>
      </w:pPr>
    </w:p>
    <w:p>
      <w:pPr>
        <w:pStyle w:val="4"/>
        <w:keepNext w:val="0"/>
        <w:keepLines w:val="0"/>
        <w:spacing w:line="360" w:lineRule="auto"/>
        <w:jc w:val="center"/>
        <w:rPr>
          <w:color w:val="auto"/>
          <w:highlight w:val="none"/>
        </w:rPr>
      </w:pPr>
      <w:bookmarkStart w:id="253" w:name="_Toc31994"/>
      <w:bookmarkStart w:id="254" w:name="_Toc19053"/>
      <w:bookmarkStart w:id="255" w:name="_Toc25053"/>
      <w:bookmarkStart w:id="256" w:name="_Toc22509"/>
      <w:bookmarkStart w:id="257" w:name="_Toc23512"/>
      <w:bookmarkStart w:id="258" w:name="_Toc8919"/>
      <w:bookmarkStart w:id="259" w:name="_Toc1489"/>
      <w:bookmarkStart w:id="260" w:name="_Toc6866"/>
      <w:bookmarkStart w:id="261" w:name="_Toc29189"/>
      <w:bookmarkStart w:id="262" w:name="_Toc2575"/>
      <w:r>
        <w:rPr>
          <w:rFonts w:hint="eastAsia"/>
          <w:color w:val="auto"/>
          <w:highlight w:val="none"/>
        </w:rPr>
        <w:t>五、资格审查</w:t>
      </w:r>
      <w:bookmarkEnd w:id="253"/>
      <w:bookmarkEnd w:id="254"/>
      <w:bookmarkEnd w:id="255"/>
      <w:bookmarkEnd w:id="256"/>
      <w:bookmarkEnd w:id="257"/>
      <w:bookmarkEnd w:id="258"/>
      <w:bookmarkEnd w:id="259"/>
      <w:bookmarkEnd w:id="260"/>
      <w:bookmarkEnd w:id="261"/>
      <w:bookmarkEnd w:id="262"/>
    </w:p>
    <w:p>
      <w:pPr>
        <w:pStyle w:val="6"/>
        <w:keepNext w:val="0"/>
        <w:keepLines w:val="0"/>
        <w:spacing w:before="0" w:after="0" w:line="360" w:lineRule="auto"/>
        <w:ind w:firstLine="482" w:firstLine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25.1开标结束后，采购人或采购代理机构依法通过电子投标文件对投标人的资格进行线上审查。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auto"/>
          <w:szCs w:val="20"/>
          <w:highlight w:val="none"/>
        </w:rPr>
      </w:pPr>
      <w:bookmarkStart w:id="263" w:name="_25.3_投标人有下列情形之一的，资格审查不通过而导致其投标无效："/>
      <w:bookmarkEnd w:id="263"/>
      <w:r>
        <w:rPr>
          <w:rFonts w:hint="eastAsia" w:ascii="宋体" w:hAnsi="宋体"/>
          <w:b/>
          <w:bCs/>
          <w:color w:val="auto"/>
          <w:szCs w:val="20"/>
          <w:highlight w:val="none"/>
        </w:rPr>
        <w:t>25.3投标人有下列情形之一的，资格审查不通过，作无效投标处理：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w:t>
      </w:r>
      <w:r>
        <w:rPr>
          <w:rFonts w:hint="eastAsia" w:ascii="宋体" w:hAnsi="宋体" w:cs="宋体"/>
          <w:color w:val="auto"/>
          <w:szCs w:val="21"/>
          <w:highlight w:val="none"/>
        </w:rPr>
        <w:t>广西政府采购云平台</w:t>
      </w:r>
      <w:r>
        <w:rPr>
          <w:rFonts w:hint="eastAsia" w:ascii="宋体" w:hAnsi="宋体" w:cs="宋体"/>
          <w:color w:val="auto"/>
          <w:highlight w:val="none"/>
        </w:rPr>
        <w:t>已与“信用中国”平台做接口，采购人或者采购代理机构可直接在线查询）</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pPr>
        <w:pStyle w:val="15"/>
        <w:spacing w:line="360" w:lineRule="auto"/>
        <w:ind w:firstLine="360"/>
        <w:rPr>
          <w:rFonts w:hint="eastAsia" w:ascii="宋体" w:hAnsi="宋体" w:cs="宋体"/>
          <w:color w:val="auto"/>
          <w:highlight w:val="none"/>
        </w:rPr>
      </w:pPr>
      <w:r>
        <w:rPr>
          <w:rFonts w:hint="eastAsia" w:ascii="宋体" w:hAnsi="宋体" w:cs="宋体"/>
          <w:color w:val="auto"/>
          <w:highlight w:val="none"/>
        </w:rPr>
        <w:t xml:space="preserve">    （4）同一合同项下的不同供应商，单位负责人为同一人或者存在直接控股、管理关系的；为本项目提供过整体设计、规范编制或者项目管理、监理、检测等服务的。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hint="eastAsia" w:ascii="宋体" w:hAnsi="宋体"/>
          <w:b w:val="0"/>
          <w:bCs w:val="0"/>
          <w:color w:val="auto"/>
          <w:sz w:val="21"/>
          <w:szCs w:val="20"/>
          <w:highlight w:val="none"/>
        </w:rPr>
      </w:pPr>
      <w:r>
        <w:rPr>
          <w:rFonts w:hint="eastAsia" w:ascii="宋体" w:hAnsi="宋体"/>
          <w:b w:val="0"/>
          <w:bCs w:val="0"/>
          <w:color w:val="auto"/>
          <w:sz w:val="21"/>
          <w:szCs w:val="20"/>
          <w:highlight w:val="none"/>
        </w:rPr>
        <w:t>25.4资格审查的合格投标人不足3家的，不得评标。</w:t>
      </w:r>
    </w:p>
    <w:p>
      <w:pPr>
        <w:pStyle w:val="4"/>
        <w:keepNext w:val="0"/>
        <w:keepLines w:val="0"/>
        <w:spacing w:line="360" w:lineRule="auto"/>
        <w:jc w:val="center"/>
        <w:rPr>
          <w:color w:val="auto"/>
          <w:highlight w:val="none"/>
        </w:rPr>
      </w:pPr>
      <w:bookmarkStart w:id="264" w:name="_Toc20983"/>
      <w:bookmarkStart w:id="265" w:name="_Toc3548"/>
      <w:bookmarkStart w:id="266" w:name="_Toc21152"/>
      <w:bookmarkStart w:id="267" w:name="_Toc15749"/>
      <w:bookmarkStart w:id="268" w:name="_Toc2770"/>
      <w:bookmarkStart w:id="269" w:name="_Toc29412"/>
      <w:bookmarkStart w:id="270" w:name="_Toc20446"/>
      <w:bookmarkStart w:id="271" w:name="_Toc1454"/>
      <w:bookmarkStart w:id="272" w:name="_Toc19035"/>
      <w:bookmarkStart w:id="273" w:name="_Toc11169"/>
      <w:r>
        <w:rPr>
          <w:rFonts w:hint="eastAsia"/>
          <w:color w:val="auto"/>
          <w:highlight w:val="none"/>
        </w:rPr>
        <w:t>六、评</w:t>
      </w:r>
      <w:r>
        <w:rPr>
          <w:color w:val="auto"/>
          <w:highlight w:val="none"/>
        </w:rPr>
        <w:t xml:space="preserve">   </w:t>
      </w:r>
      <w:r>
        <w:rPr>
          <w:rFonts w:hint="eastAsia"/>
          <w:color w:val="auto"/>
          <w:highlight w:val="none"/>
        </w:rPr>
        <w:t>标</w:t>
      </w:r>
      <w:bookmarkEnd w:id="264"/>
      <w:bookmarkEnd w:id="265"/>
      <w:bookmarkEnd w:id="266"/>
      <w:bookmarkEnd w:id="267"/>
      <w:bookmarkEnd w:id="268"/>
      <w:bookmarkEnd w:id="269"/>
      <w:bookmarkEnd w:id="270"/>
      <w:bookmarkEnd w:id="271"/>
      <w:bookmarkEnd w:id="272"/>
      <w:bookmarkEnd w:id="273"/>
    </w:p>
    <w:p>
      <w:pPr>
        <w:spacing w:line="360" w:lineRule="auto"/>
        <w:ind w:firstLine="480" w:firstLineChars="200"/>
        <w:rPr>
          <w:rFonts w:hint="eastAsia" w:ascii="黑体" w:hAnsi="黑体" w:eastAsia="黑体"/>
          <w:color w:val="auto"/>
          <w:sz w:val="24"/>
          <w:highlight w:val="none"/>
        </w:rPr>
      </w:pPr>
      <w:bookmarkStart w:id="274" w:name="_26.组建评标委员会"/>
      <w:bookmarkEnd w:id="274"/>
      <w:r>
        <w:rPr>
          <w:rFonts w:hint="eastAsia" w:ascii="黑体" w:hAnsi="黑体" w:eastAsia="黑体"/>
          <w:color w:val="auto"/>
          <w:sz w:val="24"/>
          <w:highlight w:val="none"/>
        </w:rPr>
        <w:t>26.组建评标委员会</w:t>
      </w:r>
    </w:p>
    <w:p>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pPr>
        <w:spacing w:line="360" w:lineRule="auto"/>
        <w:ind w:firstLine="420" w:firstLineChars="200"/>
        <w:rPr>
          <w:rFonts w:hint="eastAsia" w:hAnsi="宋体"/>
          <w:color w:val="auto"/>
          <w:highlight w:val="none"/>
        </w:rPr>
      </w:pPr>
      <w:r>
        <w:rPr>
          <w:rFonts w:hint="eastAsia" w:hAnsi="宋体"/>
          <w:color w:val="auto"/>
          <w:highlight w:val="none"/>
        </w:rPr>
        <w:t>参加过采购项目前期咨询论证的专家，不得参加该采购项目的评审活动。</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pPr>
        <w:widowControl/>
        <w:spacing w:line="360" w:lineRule="auto"/>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29.评标方法和评标标准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29.1本项目的评标方法详见“投标人须知前附表”。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360" w:lineRule="auto"/>
        <w:ind w:firstLine="420" w:firstLineChars="200"/>
        <w:rPr>
          <w:rFonts w:hint="eastAsia" w:hAnsi="宋体"/>
          <w:color w:val="auto"/>
          <w:highlight w:val="none"/>
        </w:rPr>
      </w:pPr>
    </w:p>
    <w:p>
      <w:pPr>
        <w:pStyle w:val="4"/>
        <w:keepNext w:val="0"/>
        <w:keepLines w:val="0"/>
        <w:spacing w:line="360" w:lineRule="auto"/>
        <w:jc w:val="center"/>
        <w:rPr>
          <w:color w:val="auto"/>
          <w:highlight w:val="none"/>
        </w:rPr>
      </w:pPr>
      <w:bookmarkStart w:id="275" w:name="_Toc254970546"/>
      <w:bookmarkStart w:id="276" w:name="_Toc254970687"/>
      <w:bookmarkStart w:id="277" w:name="_Toc4688"/>
      <w:bookmarkStart w:id="278" w:name="_Toc31226"/>
      <w:bookmarkStart w:id="279" w:name="_Toc10427"/>
      <w:bookmarkStart w:id="280" w:name="_Toc2302"/>
      <w:bookmarkStart w:id="281" w:name="_Toc10518"/>
      <w:bookmarkStart w:id="282" w:name="_Toc15452"/>
      <w:bookmarkStart w:id="283" w:name="_Toc24771"/>
      <w:bookmarkStart w:id="284" w:name="_Toc32339"/>
      <w:bookmarkStart w:id="285" w:name="_Toc31698"/>
      <w:bookmarkStart w:id="286" w:name="_Toc14661"/>
      <w:r>
        <w:rPr>
          <w:rFonts w:hint="eastAsia"/>
          <w:color w:val="auto"/>
          <w:highlight w:val="none"/>
        </w:rPr>
        <w:t>七、</w:t>
      </w:r>
      <w:bookmarkEnd w:id="275"/>
      <w:bookmarkEnd w:id="276"/>
      <w:r>
        <w:rPr>
          <w:rFonts w:hint="eastAsia"/>
          <w:color w:val="auto"/>
          <w:highlight w:val="none"/>
        </w:rPr>
        <w:t>中标和合同</w:t>
      </w:r>
      <w:bookmarkEnd w:id="277"/>
      <w:bookmarkEnd w:id="278"/>
      <w:bookmarkEnd w:id="279"/>
      <w:bookmarkEnd w:id="280"/>
      <w:bookmarkEnd w:id="281"/>
      <w:bookmarkEnd w:id="282"/>
      <w:bookmarkEnd w:id="283"/>
      <w:bookmarkEnd w:id="284"/>
      <w:bookmarkEnd w:id="285"/>
      <w:bookmarkEnd w:id="286"/>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30.确定中标人</w:t>
      </w:r>
    </w:p>
    <w:p>
      <w:pPr>
        <w:spacing w:line="360" w:lineRule="auto"/>
        <w:ind w:firstLine="420" w:firstLineChars="200"/>
        <w:rPr>
          <w:rFonts w:hint="eastAsia" w:ascii="宋体" w:hAnsi="宋体" w:cs="Courier New"/>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color w:val="auto"/>
          <w:highlight w:val="none"/>
        </w:rPr>
        <w:t>“投标人须知前附表”</w:t>
      </w:r>
      <w:r>
        <w:rPr>
          <w:rFonts w:ascii="宋体" w:hAnsi="宋体" w:cs="宋体"/>
          <w:color w:val="auto"/>
          <w:highlight w:val="none"/>
        </w:rPr>
        <w:t>规定的方式确定中标人；招标文件未规定的，采取随机抽取的方式确定。</w:t>
      </w:r>
      <w:r>
        <w:rPr>
          <w:rFonts w:hint="eastAsia" w:ascii="宋体" w:hAnsi="宋体" w:cs="宋体"/>
          <w:b/>
          <w:bCs/>
          <w:color w:val="auto"/>
          <w:szCs w:val="21"/>
          <w:highlight w:val="none"/>
        </w:rPr>
        <w:t xml:space="preserve">   </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287" w:name="_39.1中标人须于签订合同前按本须知前附表规定的金额转账或电汇到指定账"/>
      <w:bookmarkEnd w:id="287"/>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spacing w:line="360" w:lineRule="auto"/>
        <w:ind w:firstLine="420" w:firstLineChars="200"/>
        <w:rPr>
          <w:b/>
          <w:bCs/>
          <w:i/>
          <w:iCs/>
          <w:color w:val="auto"/>
          <w:szCs w:val="21"/>
          <w:highlight w:val="none"/>
        </w:rPr>
      </w:pPr>
      <w:bookmarkStart w:id="288" w:name="_40.1投标人接到中标通知书后，按须知前附表规定向采购人出示相关资格证"/>
      <w:bookmarkEnd w:id="288"/>
      <w:r>
        <w:rPr>
          <w:rFonts w:hint="eastAsia" w:ascii="宋体" w:hAnsi="宋体" w:cs="宋体"/>
          <w:color w:val="auto"/>
          <w:szCs w:val="21"/>
          <w:highlight w:val="none"/>
        </w:rPr>
        <w:t xml:space="preserve"> </w:t>
      </w:r>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b/>
          <w:bCs/>
          <w:i/>
          <w:iCs/>
          <w:color w:val="auto"/>
          <w:szCs w:val="21"/>
          <w:highlight w:val="none"/>
        </w:rPr>
        <w:t>（适用于签订纸质合同的情形）</w:t>
      </w:r>
    </w:p>
    <w:p>
      <w:pPr>
        <w:spacing w:line="360" w:lineRule="auto"/>
        <w:ind w:firstLine="420" w:firstLineChars="200"/>
        <w:rPr>
          <w:b/>
          <w:bCs/>
          <w:i/>
          <w:iCs/>
          <w:color w:val="auto"/>
          <w:szCs w:val="21"/>
          <w:highlight w:val="none"/>
        </w:rPr>
      </w:pPr>
      <w:r>
        <w:rPr>
          <w:rFonts w:hint="eastAsia" w:ascii="宋体" w:hAnsi="宋体"/>
          <w:color w:val="auto"/>
          <w:szCs w:val="21"/>
          <w:highlight w:val="none"/>
          <w:lang w:val="zh-CN"/>
        </w:rPr>
        <w:t>36.2采购合同由采购人与中标人根据招标文件、投标文件等内容签订。</w:t>
      </w:r>
      <w:r>
        <w:rPr>
          <w:rFonts w:hint="eastAsia"/>
          <w:b/>
          <w:bCs/>
          <w:i/>
          <w:iCs/>
          <w:color w:val="auto"/>
          <w:szCs w:val="21"/>
          <w:highlight w:val="none"/>
        </w:rPr>
        <w:t>（适用于签订纸质合同的情形）</w:t>
      </w:r>
    </w:p>
    <w:p>
      <w:pPr>
        <w:pStyle w:val="40"/>
        <w:snapToGrid w:val="0"/>
        <w:spacing w:before="0"/>
        <w:ind w:firstLine="420"/>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如签订合同并生效后，中标人无故拒绝或延期，除按照合同条款处理外，将承担相应的法律责任。</w:t>
      </w:r>
    </w:p>
    <w:p>
      <w:pPr>
        <w:spacing w:line="360" w:lineRule="auto"/>
        <w:ind w:firstLine="480" w:firstLineChars="200"/>
        <w:rPr>
          <w:rFonts w:hint="eastAsia" w:ascii="黑体" w:hAnsi="黑体" w:eastAsia="黑体"/>
          <w:color w:val="auto"/>
          <w:sz w:val="24"/>
          <w:highlight w:val="none"/>
        </w:rPr>
      </w:pPr>
      <w:bookmarkStart w:id="289" w:name="_41.政府采购合同公告"/>
      <w:bookmarkEnd w:id="289"/>
      <w:r>
        <w:rPr>
          <w:rFonts w:hint="eastAsia" w:ascii="黑体" w:hAnsi="黑体" w:eastAsia="黑体"/>
          <w:color w:val="auto"/>
          <w:sz w:val="24"/>
          <w:highlight w:val="none"/>
        </w:rPr>
        <w:t>37.政府采购合同公告</w:t>
      </w:r>
    </w:p>
    <w:p>
      <w:pPr>
        <w:spacing w:line="360" w:lineRule="auto"/>
        <w:ind w:firstLine="420" w:firstLineChars="200"/>
        <w:rPr>
          <w:rFonts w:hint="eastAsia" w:ascii="宋体" w:hAnsi="宋体"/>
          <w:color w:val="auto"/>
          <w:highlight w:val="none"/>
        </w:rPr>
      </w:pPr>
      <w:r>
        <w:rPr>
          <w:rFonts w:hint="eastAsia" w:hAnsi="宋体"/>
          <w:color w:val="auto"/>
          <w:highlight w:val="none"/>
        </w:rPr>
        <w:t>采购人应当自政府采购合同签订之日起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在省级以上人民政府财政部门指定的媒体</w:t>
      </w:r>
      <w:r>
        <w:rPr>
          <w:rFonts w:hint="eastAsia" w:hAnsi="宋体"/>
          <w:color w:val="auto"/>
          <w:highlight w:val="none"/>
        </w:rPr>
        <w:t>上公告，但政府采购合同中涉及国家秘密、商业秘密的内容除外。</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38. 询问、质疑和投诉</w:t>
      </w:r>
    </w:p>
    <w:p>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pPr>
        <w:spacing w:line="360" w:lineRule="auto"/>
        <w:ind w:firstLine="422" w:firstLineChars="200"/>
        <w:rPr>
          <w:rFonts w:hint="eastAsia" w:ascii="宋体" w:hAnsi="宋体"/>
          <w:b/>
          <w:color w:val="auto"/>
          <w:szCs w:val="21"/>
          <w:highlight w:val="none"/>
        </w:rPr>
      </w:pPr>
      <w:r>
        <w:rPr>
          <w:rFonts w:hint="eastAsia" w:ascii="宋体" w:hAnsi="宋体"/>
          <w:b/>
          <w:bCs/>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38.2.4 质疑供应商提起质疑应当符合下列条件：</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（2）质疑函内容符合本章第38.2.5项的规定；</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（3）在质疑有效期限内提起质疑；</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pPr>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rPr>
        <w:t>（7）财政部门规定的其他条件。</w:t>
      </w:r>
    </w:p>
    <w:p>
      <w:pPr>
        <w:spacing w:line="360" w:lineRule="auto"/>
        <w:ind w:firstLine="422" w:firstLineChars="200"/>
        <w:rPr>
          <w:rFonts w:hint="eastAsia" w:ascii="宋体" w:hAnsi="宋体"/>
          <w:b/>
          <w:bCs/>
          <w:color w:val="auto"/>
          <w:szCs w:val="21"/>
          <w:highlight w:val="none"/>
        </w:rPr>
      </w:pPr>
      <w:bookmarkStart w:id="290" w:name="_9.2质疑、投诉应当采用书面形式，质疑函、投诉书均应明确阐述招标文件、"/>
      <w:bookmarkEnd w:id="290"/>
      <w:r>
        <w:rPr>
          <w:rFonts w:hint="eastAsia" w:ascii="宋体" w:hAnsi="宋体"/>
          <w:b/>
          <w:bCs/>
          <w:color w:val="auto"/>
          <w:szCs w:val="21"/>
          <w:highlight w:val="none"/>
        </w:rPr>
        <w:t xml:space="preserve"> 38.2.5 </w:t>
      </w:r>
      <w:r>
        <w:rPr>
          <w:rFonts w:hint="eastAsia" w:hAnsi="宋体"/>
          <w:b/>
          <w:bCs/>
          <w:color w:val="auto"/>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（2）质疑项目的名称、编号；</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（3）具体、明确的质疑事项和与质疑事项相关的请求；</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（4）事实依据（列明权益受到损害的事实和理由）；</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（5）必要的法律依据；</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（6）提出质疑的日期。</w:t>
      </w:r>
    </w:p>
    <w:p>
      <w:pPr>
        <w:spacing w:line="360" w:lineRule="auto"/>
        <w:ind w:firstLine="420" w:firstLineChars="200"/>
        <w:rPr>
          <w:rFonts w:hint="eastAsia"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hint="eastAsia"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int="eastAsia"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int="eastAsia"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pacing w:line="360" w:lineRule="auto"/>
        <w:ind w:firstLine="422" w:firstLineChars="200"/>
        <w:rPr>
          <w:rFonts w:hint="eastAsia" w:hAnsi="宋体"/>
          <w:b/>
          <w:color w:val="auto"/>
          <w:highlight w:val="none"/>
        </w:rPr>
      </w:pPr>
      <w:r>
        <w:rPr>
          <w:rFonts w:hAnsi="宋体"/>
          <w:b/>
          <w:color w:val="auto"/>
          <w:highlight w:val="none"/>
        </w:rPr>
        <w:t>38.3</w:t>
      </w:r>
      <w:r>
        <w:rPr>
          <w:rFonts w:hint="eastAsia" w:hAnsi="宋体"/>
          <w:b/>
          <w:color w:val="auto"/>
          <w:highlight w:val="none"/>
        </w:rPr>
        <w:t>投诉</w:t>
      </w:r>
    </w:p>
    <w:p>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（2）质疑和质疑答复情况及相关证明材料；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（3）具体、明确的投诉事项和与投诉事项相关的投诉请求；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（6）提起投诉的日期。</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（1）投诉人是参与所投诉政府采购活动的供应商；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（2）提起投诉前已依法进行质疑；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（3）投诉书内容符合本章第38.3.2项的规定；</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（4）在投诉有效期限内提起投诉；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（6）国务院财政部门规定的其他条件。</w:t>
      </w:r>
    </w:p>
    <w:p>
      <w:pPr>
        <w:snapToGrid w:val="0"/>
        <w:spacing w:line="360" w:lineRule="auto"/>
        <w:ind w:left="120" w:leftChars="57" w:firstLine="482" w:firstLineChars="150"/>
        <w:jc w:val="center"/>
        <w:outlineLvl w:val="2"/>
        <w:rPr>
          <w:b/>
          <w:bCs/>
          <w:color w:val="auto"/>
          <w:sz w:val="32"/>
          <w:szCs w:val="32"/>
          <w:highlight w:val="none"/>
        </w:rPr>
      </w:pPr>
      <w:bookmarkStart w:id="291" w:name="_Toc26583"/>
      <w:bookmarkStart w:id="292" w:name="_Toc23239"/>
      <w:bookmarkStart w:id="293" w:name="_Toc25946"/>
      <w:bookmarkStart w:id="294" w:name="_Toc14937"/>
      <w:bookmarkStart w:id="295" w:name="_Toc29288"/>
      <w:bookmarkStart w:id="296" w:name="_Toc1756"/>
      <w:bookmarkStart w:id="297" w:name="_Toc8731"/>
      <w:bookmarkStart w:id="298" w:name="_Toc27653"/>
      <w:bookmarkStart w:id="299" w:name="_Toc7828"/>
      <w:bookmarkStart w:id="300" w:name="_Toc13659"/>
      <w:r>
        <w:rPr>
          <w:rFonts w:hint="eastAsia"/>
          <w:b/>
          <w:bCs/>
          <w:color w:val="auto"/>
          <w:sz w:val="32"/>
          <w:szCs w:val="32"/>
          <w:highlight w:val="none"/>
        </w:rPr>
        <w:t>八、验收</w:t>
      </w:r>
      <w:bookmarkEnd w:id="291"/>
      <w:bookmarkEnd w:id="292"/>
      <w:bookmarkEnd w:id="293"/>
      <w:bookmarkEnd w:id="294"/>
      <w:bookmarkEnd w:id="295"/>
      <w:bookmarkEnd w:id="296"/>
      <w:bookmarkEnd w:id="297"/>
      <w:bookmarkEnd w:id="298"/>
      <w:bookmarkEnd w:id="299"/>
      <w:bookmarkEnd w:id="300"/>
    </w:p>
    <w:p>
      <w:pPr>
        <w:spacing w:line="360" w:lineRule="auto"/>
        <w:ind w:firstLine="422" w:firstLineChars="200"/>
        <w:rPr>
          <w:rFonts w:hint="eastAsia" w:hAnsi="宋体"/>
          <w:b/>
          <w:color w:val="auto"/>
          <w:highlight w:val="none"/>
        </w:rPr>
      </w:pPr>
      <w:r>
        <w:rPr>
          <w:rFonts w:hAnsi="宋体"/>
          <w:b/>
          <w:color w:val="auto"/>
          <w:highlight w:val="none"/>
        </w:rPr>
        <w:t>39.</w:t>
      </w:r>
      <w:r>
        <w:rPr>
          <w:rFonts w:hint="eastAsia" w:hAnsi="宋体"/>
          <w:b/>
          <w:color w:val="auto"/>
          <w:highlight w:val="none"/>
        </w:rPr>
        <w:t>验收</w:t>
      </w:r>
    </w:p>
    <w:p>
      <w:pPr>
        <w:tabs>
          <w:tab w:val="left" w:pos="0"/>
        </w:tabs>
        <w:spacing w:line="360" w:lineRule="auto"/>
        <w:ind w:firstLine="420"/>
        <w:rPr>
          <w:rFonts w:hint="eastAsia"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20"/>
        <w:rPr>
          <w:rFonts w:hint="eastAsia"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20"/>
        <w:rPr>
          <w:rFonts w:hint="eastAsia"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20"/>
        <w:rPr>
          <w:rFonts w:hint="eastAsia"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14"/>
        <w:snapToGrid w:val="0"/>
        <w:spacing w:line="360" w:lineRule="auto"/>
        <w:ind w:firstLine="420"/>
        <w:rPr>
          <w:rFonts w:hint="eastAsia" w:hAnsi="宋体"/>
          <w:color w:val="auto"/>
          <w:highlight w:val="none"/>
        </w:rPr>
      </w:pPr>
    </w:p>
    <w:p>
      <w:pPr>
        <w:pStyle w:val="4"/>
        <w:keepNext w:val="0"/>
        <w:keepLines w:val="0"/>
        <w:spacing w:line="360" w:lineRule="auto"/>
        <w:jc w:val="center"/>
        <w:rPr>
          <w:color w:val="auto"/>
          <w:highlight w:val="none"/>
        </w:rPr>
      </w:pPr>
      <w:bookmarkStart w:id="301" w:name="_八、其他事项"/>
      <w:bookmarkEnd w:id="301"/>
      <w:bookmarkStart w:id="302" w:name="_Toc32163"/>
      <w:bookmarkStart w:id="303" w:name="_Toc5795"/>
      <w:bookmarkStart w:id="304" w:name="_Toc28972"/>
      <w:bookmarkStart w:id="305" w:name="_Toc27249"/>
      <w:bookmarkStart w:id="306" w:name="_Toc13217"/>
      <w:bookmarkStart w:id="307" w:name="_Toc24348"/>
      <w:bookmarkStart w:id="308" w:name="_Toc31560"/>
      <w:bookmarkStart w:id="309" w:name="_Toc13612"/>
      <w:bookmarkStart w:id="310" w:name="_Toc16509"/>
      <w:bookmarkStart w:id="311" w:name="_Toc14814"/>
      <w:r>
        <w:rPr>
          <w:rFonts w:hint="eastAsia"/>
          <w:color w:val="auto"/>
          <w:highlight w:val="none"/>
        </w:rPr>
        <w:t>九、其他事项</w:t>
      </w:r>
      <w:bookmarkEnd w:id="302"/>
      <w:bookmarkEnd w:id="303"/>
      <w:bookmarkEnd w:id="304"/>
      <w:bookmarkEnd w:id="305"/>
      <w:bookmarkEnd w:id="306"/>
      <w:bookmarkEnd w:id="307"/>
      <w:bookmarkEnd w:id="308"/>
      <w:bookmarkEnd w:id="309"/>
      <w:bookmarkEnd w:id="310"/>
      <w:bookmarkEnd w:id="311"/>
    </w:p>
    <w:p>
      <w:pPr>
        <w:spacing w:line="360" w:lineRule="auto"/>
        <w:ind w:firstLine="480" w:firstLineChars="200"/>
        <w:rPr>
          <w:rFonts w:hint="eastAsia" w:ascii="黑体" w:hAnsi="黑体" w:eastAsia="黑体"/>
          <w:color w:val="auto"/>
          <w:sz w:val="24"/>
          <w:highlight w:val="none"/>
        </w:rPr>
      </w:pPr>
      <w:bookmarkStart w:id="312" w:name="_42.代理服务费"/>
      <w:bookmarkEnd w:id="312"/>
      <w:r>
        <w:rPr>
          <w:rFonts w:hint="eastAsia" w:ascii="黑体" w:hAnsi="黑体" w:eastAsia="黑体"/>
          <w:color w:val="auto"/>
          <w:sz w:val="24"/>
          <w:highlight w:val="none"/>
        </w:rPr>
        <w:t>40.采购代理服务费</w:t>
      </w:r>
    </w:p>
    <w:p>
      <w:pPr>
        <w:spacing w:line="360" w:lineRule="auto"/>
        <w:ind w:firstLine="420" w:firstLineChars="200"/>
        <w:rPr>
          <w:rFonts w:hint="eastAsia" w:ascii="宋体" w:hAnsi="宋体"/>
          <w:b/>
          <w:color w:val="auto"/>
          <w:szCs w:val="21"/>
          <w:highlight w:val="none"/>
        </w:rPr>
      </w:pPr>
      <w:r>
        <w:rPr>
          <w:rFonts w:hint="eastAsia" w:ascii="宋体" w:hAnsi="宋体"/>
          <w:bCs/>
          <w:color w:val="auto"/>
          <w:szCs w:val="21"/>
          <w:highlight w:val="none"/>
        </w:rPr>
        <w:t>40.1采购代理服务费收费标准及缴费账户详见“投标人须知前附表”，投标人为联合体的，可以由联合体中的一方或者多方共同缴纳采购代理服务费。</w:t>
      </w:r>
    </w:p>
    <w:p>
      <w:pPr>
        <w:pStyle w:val="6"/>
        <w:keepNext w:val="0"/>
        <w:keepLines w:val="0"/>
        <w:spacing w:before="0" w:after="0" w:line="360" w:lineRule="auto"/>
        <w:ind w:left="420" w:leftChars="200"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pPr>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pPr>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687"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687"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100亿元以上</w:t>
            </w:r>
          </w:p>
        </w:tc>
        <w:tc>
          <w:tcPr>
            <w:tcW w:w="1659" w:type="dxa"/>
          </w:tcPr>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659"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 万元×l.5 ％＝ 1.5 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200 － 100 ）万元 ×0.8％＝0.8万元</w:t>
      </w:r>
    </w:p>
    <w:p>
      <w:pPr>
        <w:pStyle w:val="14"/>
        <w:snapToGrid w:val="0"/>
        <w:spacing w:before="120" w:after="120" w:line="360" w:lineRule="auto"/>
        <w:ind w:firstLine="420" w:firstLineChars="200"/>
        <w:rPr>
          <w:rFonts w:hint="eastAsia" w:hAnsi="宋体" w:cs="宋体"/>
          <w:color w:val="auto"/>
          <w:highlight w:val="none"/>
        </w:rPr>
      </w:pPr>
      <w:r>
        <w:rPr>
          <w:rFonts w:hint="eastAsia" w:hAnsi="宋体" w:cs="宋体"/>
          <w:color w:val="auto"/>
          <w:highlight w:val="none"/>
        </w:rPr>
        <w:t>合计收费＝ 1.5+0.8＝ 2.3（万元）</w:t>
      </w:r>
    </w:p>
    <w:p>
      <w:pPr>
        <w:pStyle w:val="15"/>
        <w:spacing w:line="360" w:lineRule="auto"/>
        <w:ind w:firstLine="360"/>
        <w:rPr>
          <w:color w:val="auto"/>
          <w:highlight w:val="none"/>
        </w:rPr>
      </w:pP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41.1本招标文件解释规则详见“投标人须知前附表”。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41.2 其他事项详见“投标人须知前附表”。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 广西线上“政采贷”政策告知函</w:t>
      </w:r>
    </w:p>
    <w:p>
      <w:pPr>
        <w:spacing w:line="360" w:lineRule="auto"/>
        <w:ind w:firstLine="880"/>
        <w:jc w:val="center"/>
        <w:rPr>
          <w:rFonts w:hint="eastAsia" w:ascii="宋体" w:hAnsi="宋体" w:cs="宋体"/>
          <w:color w:val="auto"/>
          <w:sz w:val="44"/>
          <w:szCs w:val="44"/>
          <w:highlight w:val="none"/>
        </w:rPr>
      </w:pPr>
    </w:p>
    <w:p>
      <w:pPr>
        <w:spacing w:line="360" w:lineRule="auto"/>
        <w:ind w:firstLine="6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360" w:lineRule="auto"/>
        <w:ind w:firstLine="420" w:firstLineChars="200"/>
        <w:rPr>
          <w:rFonts w:hint="eastAsia" w:ascii="宋体" w:hAnsi="宋体" w:cs="宋体"/>
          <w:color w:val="auto"/>
          <w:szCs w:val="32"/>
          <w:highlight w:val="none"/>
        </w:rPr>
      </w:pP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8"/>
          <w:rFonts w:hint="default" w:ascii="宋体" w:hAnsi="宋体" w:eastAsia="宋体" w:cs="宋体"/>
          <w:color w:val="auto"/>
          <w:szCs w:val="21"/>
          <w:highlight w:val="none"/>
        </w:rPr>
        <w:t>https://www.crcrfsp.com/</w:t>
      </w:r>
      <w:r>
        <w:rPr>
          <w:rStyle w:val="28"/>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pPr>
        <w:numPr>
          <w:ilvl w:val="0"/>
          <w:numId w:val="3"/>
        </w:numPr>
        <w:spacing w:line="360" w:lineRule="auto"/>
        <w:ind w:firstLine="420" w:firstLineChars="200"/>
        <w:jc w:val="left"/>
        <w:rPr>
          <w:rFonts w:hint="eastAsia" w:hAnsi="宋体"/>
          <w:color w:val="auto"/>
          <w:highlight w:val="none"/>
        </w:rPr>
      </w:pPr>
      <w:r>
        <w:rPr>
          <w:rFonts w:hAnsi="宋体"/>
          <w:color w:val="auto"/>
          <w:highlight w:val="none"/>
        </w:rPr>
        <w:br w:type="page"/>
      </w:r>
      <w:bookmarkStart w:id="313" w:name="_Toc532545043"/>
    </w:p>
    <w:p>
      <w:pPr>
        <w:pStyle w:val="14"/>
        <w:ind w:firstLine="723"/>
        <w:jc w:val="center"/>
        <w:outlineLvl w:val="0"/>
        <w:rPr>
          <w:rFonts w:ascii="Times New Roman" w:hAnsi="Times New Roman"/>
          <w:b/>
          <w:color w:val="auto"/>
          <w:sz w:val="36"/>
          <w:highlight w:val="none"/>
        </w:rPr>
      </w:pPr>
      <w:bookmarkStart w:id="314" w:name="_Toc31952"/>
      <w:bookmarkStart w:id="315" w:name="_Toc24569"/>
      <w:bookmarkStart w:id="316" w:name="_Toc18631"/>
      <w:bookmarkStart w:id="317" w:name="_Toc2789"/>
      <w:bookmarkStart w:id="318" w:name="_Toc26567"/>
      <w:bookmarkStart w:id="319" w:name="_Toc11694"/>
      <w:bookmarkStart w:id="320" w:name="_Toc12751"/>
      <w:bookmarkStart w:id="321" w:name="_Toc14666"/>
      <w:bookmarkStart w:id="322" w:name="_Toc19117"/>
      <w:bookmarkStart w:id="323" w:name="_Toc10118"/>
      <w:bookmarkStart w:id="324" w:name="_Toc10034"/>
      <w:bookmarkStart w:id="325" w:name="_Toc3584"/>
      <w:bookmarkStart w:id="326" w:name="_Toc28468"/>
    </w:p>
    <w:p>
      <w:pPr>
        <w:pStyle w:val="14"/>
        <w:ind w:firstLine="723"/>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bookmarkEnd w:id="313"/>
      <w:bookmarkEnd w:id="314"/>
      <w:bookmarkEnd w:id="315"/>
      <w:bookmarkEnd w:id="316"/>
      <w:bookmarkEnd w:id="317"/>
      <w:bookmarkEnd w:id="318"/>
      <w:bookmarkEnd w:id="319"/>
      <w:bookmarkEnd w:id="320"/>
      <w:bookmarkEnd w:id="321"/>
      <w:r>
        <w:rPr>
          <w:rFonts w:hint="eastAsia" w:ascii="Times New Roman" w:hAnsi="Times New Roman"/>
          <w:b/>
          <w:color w:val="auto"/>
          <w:sz w:val="36"/>
          <w:highlight w:val="none"/>
        </w:rPr>
        <w:t>评标方法和评标标准</w:t>
      </w:r>
      <w:bookmarkEnd w:id="322"/>
      <w:bookmarkEnd w:id="323"/>
      <w:bookmarkEnd w:id="324"/>
      <w:bookmarkEnd w:id="325"/>
      <w:bookmarkEnd w:id="326"/>
    </w:p>
    <w:p>
      <w:pPr>
        <w:pStyle w:val="14"/>
        <w:ind w:firstLine="643"/>
        <w:jc w:val="center"/>
        <w:outlineLvl w:val="1"/>
        <w:rPr>
          <w:rFonts w:ascii="Times New Roman" w:hAnsi="Times New Roman"/>
          <w:b/>
          <w:bCs/>
          <w:color w:val="auto"/>
          <w:sz w:val="32"/>
          <w:szCs w:val="32"/>
          <w:highlight w:val="none"/>
        </w:rPr>
      </w:pPr>
      <w:bookmarkStart w:id="327" w:name="_Toc12345"/>
      <w:bookmarkStart w:id="328" w:name="_Toc28945"/>
      <w:bookmarkStart w:id="329" w:name="_Toc9604"/>
      <w:bookmarkStart w:id="330" w:name="_Toc20519"/>
      <w:bookmarkStart w:id="331" w:name="_Toc5889"/>
      <w:bookmarkStart w:id="332" w:name="_Toc6104"/>
      <w:bookmarkStart w:id="333" w:name="_Toc29945"/>
      <w:bookmarkStart w:id="334" w:name="_Toc3574"/>
      <w:bookmarkStart w:id="335" w:name="_Toc28074"/>
      <w:bookmarkStart w:id="336" w:name="_Toc14342"/>
    </w:p>
    <w:p>
      <w:pPr>
        <w:pStyle w:val="14"/>
        <w:ind w:firstLine="643"/>
        <w:jc w:val="center"/>
        <w:outlineLvl w:val="1"/>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327"/>
      <w:bookmarkEnd w:id="328"/>
      <w:bookmarkEnd w:id="329"/>
      <w:bookmarkEnd w:id="330"/>
      <w:bookmarkEnd w:id="331"/>
      <w:bookmarkEnd w:id="332"/>
      <w:bookmarkEnd w:id="333"/>
      <w:bookmarkEnd w:id="334"/>
      <w:bookmarkEnd w:id="335"/>
      <w:bookmarkEnd w:id="336"/>
    </w:p>
    <w:p>
      <w:pPr>
        <w:pStyle w:val="14"/>
        <w:tabs>
          <w:tab w:val="left" w:pos="2472"/>
        </w:tabs>
        <w:spacing w:line="360" w:lineRule="auto"/>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综合评分法</w:t>
      </w:r>
      <w:r>
        <w:rPr>
          <w:rFonts w:hint="eastAsia" w:hAnsi="宋体" w:cs="宋体"/>
          <w:color w:val="auto"/>
          <w:szCs w:val="21"/>
          <w:highlight w:val="none"/>
        </w:rPr>
        <w:t>进行评审。</w:t>
      </w:r>
    </w:p>
    <w:p>
      <w:pPr>
        <w:autoSpaceDE w:val="0"/>
        <w:autoSpaceDN w:val="0"/>
        <w:adjustRightInd w:val="0"/>
        <w:spacing w:line="360" w:lineRule="auto"/>
        <w:ind w:firstLine="420" w:firstLineChars="200"/>
        <w:rPr>
          <w:rFonts w:hint="eastAsia"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pPr>
        <w:pStyle w:val="14"/>
        <w:spacing w:line="360" w:lineRule="auto"/>
        <w:ind w:firstLine="420"/>
        <w:rPr>
          <w:rFonts w:hint="eastAsia" w:hAnsi="宋体"/>
          <w:color w:val="auto"/>
          <w:highlight w:val="none"/>
        </w:rPr>
      </w:pPr>
    </w:p>
    <w:p>
      <w:pPr>
        <w:pStyle w:val="14"/>
        <w:tabs>
          <w:tab w:val="left" w:pos="2472"/>
        </w:tabs>
        <w:spacing w:line="360" w:lineRule="auto"/>
        <w:ind w:firstLine="643"/>
        <w:jc w:val="center"/>
        <w:outlineLvl w:val="1"/>
        <w:rPr>
          <w:rFonts w:ascii="Times New Roman" w:hAnsi="Times New Roman"/>
          <w:b/>
          <w:bCs/>
          <w:color w:val="auto"/>
          <w:sz w:val="32"/>
          <w:szCs w:val="32"/>
          <w:highlight w:val="none"/>
        </w:rPr>
      </w:pPr>
      <w:bookmarkStart w:id="337" w:name="_Toc588"/>
      <w:bookmarkStart w:id="338" w:name="_Toc18477"/>
      <w:bookmarkStart w:id="339" w:name="_Toc1643"/>
      <w:bookmarkStart w:id="340" w:name="_Toc10545"/>
      <w:bookmarkStart w:id="341" w:name="_Toc4190"/>
      <w:bookmarkStart w:id="342" w:name="_Toc9259"/>
      <w:bookmarkStart w:id="343" w:name="_Toc24507"/>
      <w:bookmarkStart w:id="344" w:name="_Toc30114"/>
      <w:bookmarkStart w:id="345" w:name="_Toc23151"/>
      <w:bookmarkStart w:id="346" w:name="_Toc9023"/>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337"/>
      <w:bookmarkEnd w:id="338"/>
      <w:bookmarkEnd w:id="339"/>
      <w:bookmarkEnd w:id="340"/>
      <w:bookmarkEnd w:id="341"/>
      <w:bookmarkEnd w:id="342"/>
      <w:bookmarkEnd w:id="343"/>
      <w:bookmarkEnd w:id="344"/>
      <w:bookmarkEnd w:id="345"/>
      <w:bookmarkEnd w:id="346"/>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1.符合性审查</w:t>
      </w:r>
    </w:p>
    <w:p>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2.符合性审查不通过而导致投标无效的情形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s="宋体"/>
          <w:bCs/>
          <w:color w:val="auto"/>
          <w:szCs w:val="21"/>
          <w:highlight w:val="none"/>
        </w:rPr>
        <w:t>投标报价超过</w:t>
      </w:r>
      <w:r>
        <w:rPr>
          <w:rFonts w:hint="eastAsia" w:ascii="宋体" w:hAnsi="宋体" w:cs="宋体"/>
          <w:bCs/>
          <w:color w:val="auto"/>
          <w:szCs w:val="21"/>
          <w:highlight w:val="none"/>
        </w:rPr>
        <w:t>各分标</w:t>
      </w:r>
      <w:r>
        <w:rPr>
          <w:rFonts w:ascii="宋体" w:hAnsi="宋体" w:cs="宋体"/>
          <w:bCs/>
          <w:color w:val="auto"/>
          <w:szCs w:val="21"/>
          <w:highlight w:val="none"/>
        </w:rPr>
        <w:t>列出的价格优惠率有效范围的</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w:t>
      </w:r>
      <w:r>
        <w:rPr>
          <w:rFonts w:hint="eastAsia" w:ascii="宋体" w:hAnsi="宋体" w:cs="宋体"/>
          <w:color w:val="auto"/>
          <w:szCs w:val="21"/>
          <w:highlight w:val="none"/>
        </w:rPr>
        <w:t>项目/分标</w:t>
      </w:r>
      <w:r>
        <w:rPr>
          <w:rFonts w:hint="eastAsia" w:ascii="宋体" w:hAnsi="宋体"/>
          <w:color w:val="auto"/>
          <w:szCs w:val="21"/>
          <w:highlight w:val="none"/>
        </w:rPr>
        <w:t>进行报价或者存在漏项报价；投标人未就所投</w:t>
      </w:r>
      <w:r>
        <w:rPr>
          <w:rFonts w:hint="eastAsia" w:ascii="宋体" w:hAnsi="宋体" w:cs="宋体"/>
          <w:color w:val="auto"/>
          <w:szCs w:val="21"/>
          <w:highlight w:val="none"/>
        </w:rPr>
        <w:t>项目/分标</w:t>
      </w:r>
      <w:r>
        <w:rPr>
          <w:rFonts w:hint="eastAsia" w:ascii="宋体" w:hAnsi="宋体"/>
          <w:color w:val="auto"/>
          <w:szCs w:val="21"/>
          <w:highlight w:val="none"/>
        </w:rPr>
        <w:t>的单项内容作唯一报价；投标人未就所投</w:t>
      </w:r>
      <w:r>
        <w:rPr>
          <w:rFonts w:hint="eastAsia" w:ascii="宋体" w:hAnsi="宋体" w:cs="宋体"/>
          <w:color w:val="auto"/>
          <w:szCs w:val="21"/>
          <w:highlight w:val="none"/>
        </w:rPr>
        <w:t>项目/分标</w:t>
      </w:r>
      <w:r>
        <w:rPr>
          <w:rFonts w:hint="eastAsia" w:ascii="宋体" w:hAnsi="宋体"/>
          <w:color w:val="auto"/>
          <w:szCs w:val="21"/>
          <w:highlight w:val="none"/>
        </w:rPr>
        <w:t>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（2）委托代理人未能出具有效身份证明或者出具的身份证明与授权委托书中的信息不符的；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（3）为无效投标保证金的或者未按照招标文件的规定提交投标保证金的；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（4）投标文件未提供“投标人须知前附表”第13.1条规定中“必须提供”或者“委托时必须提供”的文件资料的;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（5）投标有效期、项目完成时间（交货时间、服务完成时间或者服务期等）、质保期及招标文件中标“▲”的商务条款发生负偏离的；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（6）商务条款评审允许负偏离的条款数超过“投标人须知前附表”规定项数的。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（7）投标文件的实质性内容未使用中文表述、使用计量单位不符合招标文件要求的；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（9）投标文件含有采购人不能接受的附加条件的；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（10）未响应招标文件实质性要求的；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（11）属于投标人须知正文第9.2条情形的；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（12）法律、法规和招标文件规定的其他无效情形。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）招标文件要求提供技术方案的，投标技术方案不明确，招标文件未允许但存在一个或者一个以上备选（替代）投标方案的。</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3.澄清补正、说明或者补正</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hAnsi="宋体" w:cs="宋体"/>
          <w:color w:val="auto"/>
          <w:szCs w:val="21"/>
          <w:highlight w:val="none"/>
        </w:rPr>
        <w:t>广西政府采购云平台</w:t>
      </w:r>
      <w:r>
        <w:rPr>
          <w:rFonts w:hint="eastAsia" w:ascii="宋体" w:hAnsi="宋体" w:cs="Courier New"/>
          <w:color w:val="auto"/>
          <w:szCs w:val="21"/>
          <w:highlight w:val="none"/>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（2）大写金额和小写金额不一致的，以大写金额为准；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4.2经投标人确认修正后的报价若超过</w:t>
      </w:r>
      <w:r>
        <w:rPr>
          <w:rFonts w:hint="eastAsia" w:ascii="宋体" w:hAnsi="宋体" w:cs="宋体"/>
          <w:bCs/>
          <w:color w:val="auto"/>
          <w:szCs w:val="21"/>
          <w:highlight w:val="none"/>
        </w:rPr>
        <w:t>各分标</w:t>
      </w:r>
      <w:r>
        <w:rPr>
          <w:rFonts w:ascii="宋体" w:hAnsi="宋体" w:cs="宋体"/>
          <w:bCs/>
          <w:color w:val="auto"/>
          <w:szCs w:val="21"/>
          <w:highlight w:val="none"/>
        </w:rPr>
        <w:t>列出的价格优惠率有效范围的</w:t>
      </w:r>
      <w:r>
        <w:rPr>
          <w:rFonts w:hint="eastAsia" w:ascii="宋体" w:hAnsi="宋体"/>
          <w:color w:val="auto"/>
          <w:szCs w:val="21"/>
          <w:highlight w:val="none"/>
        </w:rPr>
        <w:t>，投标人的投标文件作无效投标处理。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5.比较与评价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5.2评标委员会各成员独立对每个投标人的投标文件进行评价，并汇总每个投标人的得分。</w:t>
      </w:r>
    </w:p>
    <w:p>
      <w:pPr>
        <w:widowControl/>
        <w:numPr>
          <w:ilvl w:val="0"/>
          <w:numId w:val="4"/>
        </w:num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widowControl/>
        <w:numPr>
          <w:ilvl w:val="0"/>
          <w:numId w:val="4"/>
        </w:numPr>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5.3评标委员会按照招标文件中规定的评标方法和标准计算各投标人的报价得分。在评标过程中，不得去掉报价中的最高报价和最低报价。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5.4各投标人的得分为评标委员会各成员的有效评分的算术平均数。</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5.5评标委员会按照招标文件中的规定推荐中标候选人。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6.评审复核</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pPr>
        <w:widowControl/>
        <w:spacing w:line="360" w:lineRule="auto"/>
        <w:ind w:firstLine="420" w:firstLineChars="200"/>
        <w:jc w:val="left"/>
        <w:textAlignment w:val="baseline"/>
        <w:rPr>
          <w:rFonts w:hint="eastAsia" w:hAnsi="宋体"/>
          <w:color w:val="auto"/>
          <w:highlight w:val="none"/>
        </w:rPr>
      </w:pPr>
      <w:r>
        <w:rPr>
          <w:rFonts w:hint="eastAsia" w:ascii="宋体" w:hAnsi="宋体" w:cs="宋体"/>
          <w:color w:val="auto"/>
          <w:highlight w:val="none"/>
        </w:rPr>
        <w:t>6.2</w:t>
      </w:r>
      <w:r>
        <w:rPr>
          <w:rFonts w:hint="eastAsia" w:hAnsi="宋体"/>
          <w:color w:val="auto"/>
          <w:highlight w:val="none"/>
        </w:rPr>
        <w:t>评标结果汇总完成后，除下列情形外，任何人不得修改评标结果：</w:t>
      </w:r>
    </w:p>
    <w:p>
      <w:pPr>
        <w:widowControl/>
        <w:spacing w:line="360" w:lineRule="auto"/>
        <w:ind w:firstLine="420"/>
        <w:jc w:val="left"/>
        <w:textAlignment w:val="baseline"/>
        <w:rPr>
          <w:rFonts w:hint="eastAsia" w:hAnsi="宋体"/>
          <w:color w:val="auto"/>
          <w:highlight w:val="none"/>
        </w:rPr>
      </w:pPr>
      <w:r>
        <w:rPr>
          <w:rFonts w:hint="eastAsia" w:hAnsi="宋体"/>
          <w:color w:val="auto"/>
          <w:highlight w:val="none"/>
        </w:rPr>
        <w:t>　　（一）分值汇总计算错误的；</w:t>
      </w:r>
    </w:p>
    <w:p>
      <w:pPr>
        <w:widowControl/>
        <w:spacing w:line="360" w:lineRule="auto"/>
        <w:ind w:firstLine="420"/>
        <w:jc w:val="left"/>
        <w:textAlignment w:val="baseline"/>
        <w:rPr>
          <w:rFonts w:hint="eastAsia" w:hAnsi="宋体"/>
          <w:color w:val="auto"/>
          <w:highlight w:val="none"/>
        </w:rPr>
      </w:pPr>
      <w:r>
        <w:rPr>
          <w:rFonts w:hint="eastAsia" w:hAnsi="宋体"/>
          <w:color w:val="auto"/>
          <w:highlight w:val="none"/>
        </w:rPr>
        <w:t>　　（二）分项评分超出评分标准范围的；</w:t>
      </w:r>
    </w:p>
    <w:p>
      <w:pPr>
        <w:widowControl/>
        <w:spacing w:line="360" w:lineRule="auto"/>
        <w:ind w:firstLine="420"/>
        <w:jc w:val="left"/>
        <w:textAlignment w:val="baseline"/>
        <w:rPr>
          <w:rFonts w:hint="eastAsia" w:hAnsi="宋体"/>
          <w:color w:val="auto"/>
          <w:highlight w:val="none"/>
        </w:rPr>
      </w:pPr>
      <w:r>
        <w:rPr>
          <w:rFonts w:hint="eastAsia" w:hAnsi="宋体"/>
          <w:color w:val="auto"/>
          <w:highlight w:val="none"/>
        </w:rPr>
        <w:t>　　（三）评标委员会成员对客观评审因素评分不一致的；</w:t>
      </w:r>
    </w:p>
    <w:p>
      <w:pPr>
        <w:widowControl/>
        <w:spacing w:line="360" w:lineRule="auto"/>
        <w:ind w:firstLine="420"/>
        <w:jc w:val="left"/>
        <w:textAlignment w:val="baseline"/>
        <w:rPr>
          <w:rFonts w:hint="eastAsia" w:hAnsi="宋体"/>
          <w:color w:val="auto"/>
          <w:highlight w:val="none"/>
        </w:rPr>
      </w:pPr>
      <w:r>
        <w:rPr>
          <w:rFonts w:hint="eastAsia" w:hAnsi="宋体"/>
          <w:color w:val="auto"/>
          <w:highlight w:val="none"/>
        </w:rPr>
        <w:t>　　（四）经评标委员会认定评分畸高、畸低的。</w:t>
      </w:r>
    </w:p>
    <w:p>
      <w:pPr>
        <w:spacing w:line="360" w:lineRule="auto"/>
        <w:ind w:firstLine="420" w:firstLineChars="200"/>
        <w:rPr>
          <w:rFonts w:hint="eastAsia"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ind w:firstLine="600"/>
        <w:jc w:val="center"/>
        <w:rPr>
          <w:b w:val="0"/>
          <w:color w:val="auto"/>
          <w:sz w:val="30"/>
          <w:szCs w:val="30"/>
          <w:highlight w:val="none"/>
        </w:rPr>
      </w:pPr>
      <w:bookmarkStart w:id="347" w:name="_Toc5755"/>
      <w:bookmarkStart w:id="348" w:name="_Toc22963"/>
      <w:bookmarkStart w:id="349" w:name="_Toc25728"/>
      <w:bookmarkStart w:id="350" w:name="_Toc4866"/>
      <w:bookmarkStart w:id="351" w:name="_Toc13548"/>
      <w:bookmarkStart w:id="352" w:name="_Toc17834"/>
      <w:bookmarkStart w:id="353" w:name="_Toc27331"/>
      <w:bookmarkStart w:id="354" w:name="_Toc28829"/>
      <w:bookmarkStart w:id="355" w:name="_Toc19942"/>
      <w:bookmarkStart w:id="356" w:name="_Toc28193"/>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347"/>
      <w:bookmarkEnd w:id="348"/>
      <w:bookmarkEnd w:id="349"/>
      <w:bookmarkEnd w:id="350"/>
      <w:bookmarkEnd w:id="351"/>
      <w:bookmarkEnd w:id="352"/>
      <w:bookmarkEnd w:id="353"/>
      <w:bookmarkEnd w:id="354"/>
      <w:bookmarkEnd w:id="355"/>
      <w:bookmarkEnd w:id="356"/>
    </w:p>
    <w:p>
      <w:pPr>
        <w:pStyle w:val="14"/>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w:t>
      </w:r>
    </w:p>
    <w:p>
      <w:pPr>
        <w:spacing w:line="360" w:lineRule="auto"/>
        <w:ind w:firstLine="420"/>
        <w:rPr>
          <w:rFonts w:hint="eastAsia" w:ascii="宋体" w:hAnsi="宋体"/>
          <w:bCs/>
          <w:color w:val="auto"/>
          <w:szCs w:val="20"/>
          <w:highlight w:val="none"/>
        </w:rPr>
      </w:pPr>
    </w:p>
    <w:p>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p>
      <w:pPr>
        <w:pStyle w:val="15"/>
        <w:spacing w:line="360" w:lineRule="auto"/>
        <w:ind w:firstLine="422" w:firstLineChars="200"/>
        <w:rPr>
          <w:rFonts w:hint="eastAsia" w:ascii="宋体" w:hAnsi="宋体"/>
          <w:b/>
          <w:color w:val="auto"/>
          <w:sz w:val="21"/>
          <w:szCs w:val="20"/>
          <w:highlight w:val="none"/>
        </w:rPr>
      </w:pPr>
      <w:bookmarkStart w:id="357" w:name="OLE_LINK2"/>
      <w:bookmarkStart w:id="358" w:name="_Toc10751"/>
      <w:bookmarkStart w:id="359" w:name="_Toc9480"/>
      <w:bookmarkStart w:id="360" w:name="_Toc20313"/>
      <w:bookmarkStart w:id="361" w:name="_Toc18582"/>
      <w:bookmarkStart w:id="362" w:name="_Toc15061"/>
      <w:bookmarkStart w:id="363" w:name="_Toc12855"/>
      <w:bookmarkStart w:id="364" w:name="_Toc11083"/>
      <w:bookmarkStart w:id="365" w:name="_Toc2202"/>
      <w:bookmarkStart w:id="366" w:name="_Toc23906"/>
      <w:bookmarkStart w:id="367" w:name="_Toc16466"/>
      <w:r>
        <w:rPr>
          <w:rFonts w:hint="eastAsia" w:ascii="宋体" w:hAnsi="宋体"/>
          <w:b/>
          <w:color w:val="auto"/>
          <w:sz w:val="21"/>
          <w:szCs w:val="20"/>
          <w:highlight w:val="none"/>
        </w:rPr>
        <w:t>1分标、2分标、3分标、4分标、5分标：</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60"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562" w:type="dxa"/>
            <w:vAlign w:val="center"/>
          </w:tcPr>
          <w:p>
            <w:pPr>
              <w:adjustRightIn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1585"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价格分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（满分20分）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投标报价</w:t>
            </w:r>
          </w:p>
        </w:tc>
        <w:tc>
          <w:tcPr>
            <w:tcW w:w="5901" w:type="dxa"/>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（1）本项目为专门面向中小企业采购的项目，按照《政府采购促进中小企业发展管理办法》（财库〔2020〕46号）的规定，对投标人的投标报价不再执行价格评审优惠的扶持政策。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（2）评标报价为投标人的投标报价，评标报价只是作为评审时使用。最终中标人的中标价格优惠率等于投标报价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（3）满足招标文件要求且以（1-投标人最高价格优惠率）为评标基准价，基准价得分为</w:t>
            </w:r>
            <w:r>
              <w:rPr>
                <w:rFonts w:hint="eastAsia" w:ascii="宋体" w:hAnsi="宋体" w:cs="宋体"/>
                <w:bCs/>
                <w:color w:val="auto"/>
                <w:szCs w:val="21"/>
                <w:highlight w:val="none"/>
                <w:u w:val="single"/>
              </w:rPr>
              <w:t xml:space="preserve">  20  </w:t>
            </w:r>
            <w:r>
              <w:rPr>
                <w:rFonts w:hint="eastAsia" w:ascii="宋体" w:hAnsi="宋体" w:cs="宋体"/>
                <w:color w:val="auto"/>
                <w:szCs w:val="21"/>
                <w:highlight w:val="none"/>
              </w:rPr>
              <w:t>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（4）价格分计算公式：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价格分=（1-投标人最高价格优惠率）／（1-某投标人价格优惠率）×20分 </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如：A投标人价格优惠率为30%，B投标人价格优惠率为25%，C投标人价格优惠率为20%，则投标人最高价格优惠率为30%。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vAlign w:val="center"/>
          </w:tcPr>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技术分</w:t>
            </w:r>
          </w:p>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（满分30分）</w:t>
            </w: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color w:val="auto"/>
                <w:szCs w:val="21"/>
                <w:highlight w:val="none"/>
              </w:rPr>
              <w:t>项目现状、需求及问题分析方案（满分 6 分）</w:t>
            </w:r>
          </w:p>
        </w:tc>
        <w:tc>
          <w:tcPr>
            <w:tcW w:w="5901" w:type="dxa"/>
            <w:vAlign w:val="center"/>
          </w:tcPr>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由评委根据各投标人方案中对项目现状、需求、问题分析内容进行综合评价，并独立打分。（没有相关内容，或不符合最低入档条件的按不入档处理并计 0 分）</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一档（1分）：方案简单，对用户现状及需求理解有简单的表述。</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二档（3分）：方案清晰、详细，对用户现状及需求、问题理解有详细的表述。</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Cs w:val="21"/>
                <w:highlight w:val="none"/>
              </w:rPr>
              <w:t>三档（6分）：方案清晰、详细、具有针对性和可行性，能透彻理解用户现状及需求，抓住用户问题重点、分析到位。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项目实施方案分（满分14分）</w:t>
            </w:r>
          </w:p>
        </w:tc>
        <w:tc>
          <w:tcPr>
            <w:tcW w:w="5901" w:type="dxa"/>
            <w:vAlign w:val="center"/>
          </w:tcPr>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由评委根据各投标人项目实施方案内容进行综合评价，并独立打分。（没有相关内容，或不符合最低入档条件的按不入档处理并计 0 分）</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一档（4分）：提供的项目实施方案过于简单粗略，能满足</w:t>
            </w:r>
            <w:r>
              <w:rPr>
                <w:rFonts w:hint="eastAsia"/>
                <w:color w:val="auto"/>
                <w:highlight w:val="none"/>
              </w:rPr>
              <w:t>项目采购</w:t>
            </w:r>
            <w:r>
              <w:rPr>
                <w:rFonts w:hint="eastAsia"/>
                <w:bCs/>
                <w:color w:val="auto"/>
                <w:kern w:val="2"/>
                <w:highlight w:val="none"/>
              </w:rPr>
              <w:t>需求；</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二档（7分）：提供项目实施方案简单，有简单的工作内容、工作方法描述，能满足</w:t>
            </w:r>
            <w:r>
              <w:rPr>
                <w:rFonts w:hint="eastAsia"/>
                <w:color w:val="auto"/>
                <w:highlight w:val="none"/>
              </w:rPr>
              <w:t>项目采购</w:t>
            </w:r>
            <w:r>
              <w:rPr>
                <w:rFonts w:hint="eastAsia"/>
                <w:bCs/>
                <w:color w:val="auto"/>
                <w:kern w:val="2"/>
                <w:highlight w:val="none"/>
              </w:rPr>
              <w:t>需求；</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三档（10 分）：提供的项目实施方案详细，有清晰的工作思路，具体的工作内容描述，工作程序和方法切合实际、有一定的可操作性，满足</w:t>
            </w:r>
            <w:r>
              <w:rPr>
                <w:rFonts w:hint="eastAsia"/>
                <w:color w:val="auto"/>
                <w:highlight w:val="none"/>
              </w:rPr>
              <w:t>项目采购</w:t>
            </w:r>
            <w:r>
              <w:rPr>
                <w:rFonts w:hint="eastAsia"/>
                <w:bCs/>
                <w:color w:val="auto"/>
                <w:kern w:val="2"/>
                <w:highlight w:val="none"/>
              </w:rPr>
              <w:t>需求。</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四档（14 分）：提供项目实施方案详实、合理、</w:t>
            </w:r>
            <w:r>
              <w:rPr>
                <w:rFonts w:hint="eastAsia"/>
                <w:color w:val="auto"/>
                <w:highlight w:val="none"/>
              </w:rPr>
              <w:t>可行</w:t>
            </w:r>
            <w:r>
              <w:rPr>
                <w:rFonts w:hint="eastAsia"/>
                <w:bCs/>
                <w:color w:val="auto"/>
                <w:kern w:val="2"/>
                <w:highlight w:val="none"/>
              </w:rPr>
              <w:t>，工作思路清晰，工作内容描述详细、全面，工作程序和方法符合实际、合理、具有可操作性，能保质保量完成项目，完全满足</w:t>
            </w:r>
            <w:r>
              <w:rPr>
                <w:rFonts w:hint="eastAsia"/>
                <w:color w:val="auto"/>
                <w:highlight w:val="none"/>
              </w:rPr>
              <w:t>项目采购</w:t>
            </w:r>
            <w:r>
              <w:rPr>
                <w:rFonts w:hint="eastAsia"/>
                <w:bCs/>
                <w:color w:val="auto"/>
                <w:kern w:val="2"/>
                <w:highlight w:val="none"/>
              </w:rPr>
              <w:t>需求。</w:t>
            </w:r>
          </w:p>
          <w:p>
            <w:pPr>
              <w:pStyle w:val="51"/>
              <w:snapToGrid w:val="0"/>
              <w:spacing w:line="360" w:lineRule="auto"/>
              <w:ind w:firstLine="283" w:firstLineChars="135"/>
              <w:rPr>
                <w:rFonts w:hint="eastAsia"/>
                <w:bCs/>
                <w:color w:val="auto"/>
                <w:highlight w:val="none"/>
              </w:rPr>
            </w:pPr>
            <w:r>
              <w:rPr>
                <w:rFonts w:hint="eastAsia"/>
                <w:bCs/>
                <w:color w:val="auto"/>
                <w:highlight w:val="none"/>
              </w:rPr>
              <w:t>注：不提供项目实施方案不得分。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pStyle w:val="51"/>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color w:val="auto"/>
                <w:kern w:val="2"/>
                <w:highlight w:val="none"/>
              </w:rPr>
            </w:pPr>
            <w:r>
              <w:rPr>
                <w:rFonts w:hint="eastAsia"/>
                <w:color w:val="auto"/>
                <w:kern w:val="2"/>
                <w:highlight w:val="none"/>
              </w:rPr>
              <w:t>项目保障措施分（满分 10 分）</w:t>
            </w:r>
          </w:p>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p>
        </w:tc>
        <w:tc>
          <w:tcPr>
            <w:tcW w:w="5901" w:type="dxa"/>
            <w:vAlign w:val="center"/>
          </w:tcPr>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由评委根据各投标人的项目保障措施（包括组织措施、质量保障措施、安全保障措施、工期保证措施等）进行综合评价，并进行独立打分。（没有相关内容，或不符合最低入档条件的按不入档处理并计 0 分）</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一档（4 分）：提供有简单的项目保障措施；</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二档（7 分）：提供的项目保障措施详细，人员专业配备、分工合理，质量保障措施详细、可行，安全保障措施具有一定的针对性，工期进度安排合理，符合项目实际需求；</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bCs/>
                <w:color w:val="auto"/>
                <w:szCs w:val="21"/>
                <w:highlight w:val="none"/>
              </w:rPr>
              <w:t>三档（10 分）：提供的项目保障措施详细、合理，具有项目组织机构，人员各专业配备合理、分工明确，质量保障措施详细、</w:t>
            </w:r>
            <w:bookmarkStart w:id="368" w:name="OLE_LINK52"/>
            <w:r>
              <w:rPr>
                <w:rFonts w:hint="eastAsia"/>
                <w:bCs/>
                <w:color w:val="auto"/>
                <w:szCs w:val="21"/>
                <w:highlight w:val="none"/>
              </w:rPr>
              <w:t>具有可实施性</w:t>
            </w:r>
            <w:bookmarkEnd w:id="368"/>
            <w:r>
              <w:rPr>
                <w:rFonts w:hint="eastAsia"/>
                <w:bCs/>
                <w:color w:val="auto"/>
                <w:szCs w:val="21"/>
                <w:highlight w:val="none"/>
              </w:rPr>
              <w:t>和针对性，</w:t>
            </w:r>
            <w:bookmarkStart w:id="369" w:name="OLE_LINK51"/>
            <w:r>
              <w:rPr>
                <w:rFonts w:hint="eastAsia"/>
                <w:bCs/>
                <w:color w:val="auto"/>
                <w:szCs w:val="21"/>
                <w:highlight w:val="none"/>
              </w:rPr>
              <w:t>安全保障措施</w:t>
            </w:r>
            <w:bookmarkEnd w:id="369"/>
            <w:r>
              <w:rPr>
                <w:rFonts w:hint="eastAsia"/>
                <w:bCs/>
                <w:color w:val="auto"/>
                <w:szCs w:val="21"/>
                <w:highlight w:val="none"/>
              </w:rPr>
              <w:t>合理、具有针对性，符合实际且满足有关技术标准要求，工期进度安排合理，</w:t>
            </w:r>
            <w:r>
              <w:rPr>
                <w:rFonts w:hint="eastAsia" w:ascii="宋体" w:hAnsi="宋体" w:cs="宋体"/>
                <w:bCs/>
                <w:color w:val="auto"/>
                <w:kern w:val="0"/>
                <w:szCs w:val="21"/>
                <w:highlight w:val="none"/>
              </w:rPr>
              <w:t>有施工进度计划及保证工期措施等，</w:t>
            </w:r>
            <w:r>
              <w:rPr>
                <w:rFonts w:hint="eastAsia"/>
                <w:bCs/>
                <w:color w:val="auto"/>
                <w:szCs w:val="21"/>
                <w:highlight w:val="none"/>
              </w:rPr>
              <w:t>切合项目实际。</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w:t>
            </w:r>
            <w:r>
              <w:rPr>
                <w:rFonts w:hint="eastAsia"/>
                <w:color w:val="auto"/>
                <w:szCs w:val="21"/>
                <w:highlight w:val="none"/>
              </w:rPr>
              <w:t>项目保障措施</w:t>
            </w:r>
            <w:r>
              <w:rPr>
                <w:rFonts w:hint="eastAsia" w:ascii="宋体" w:hAnsi="宋体" w:cs="宋体"/>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1585" w:type="dxa"/>
            <w:vAlign w:val="center"/>
          </w:tcPr>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服务承诺分</w:t>
            </w:r>
          </w:p>
          <w:p>
            <w:pPr>
              <w:keepNext w:val="0"/>
              <w:keepLines w:val="0"/>
              <w:pageBreakBefore w:val="0"/>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（满分10分）</w:t>
            </w: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bookmarkStart w:id="370" w:name="OLE_LINK3"/>
            <w:r>
              <w:rPr>
                <w:rFonts w:hint="eastAsia" w:ascii="宋体" w:hAnsi="宋体" w:cs="宋体"/>
                <w:bCs/>
                <w:color w:val="auto"/>
                <w:kern w:val="0"/>
                <w:szCs w:val="21"/>
                <w:highlight w:val="none"/>
              </w:rPr>
              <w:t>服务承诺分（满分10分）</w:t>
            </w:r>
            <w:bookmarkEnd w:id="370"/>
          </w:p>
        </w:tc>
        <w:tc>
          <w:tcPr>
            <w:tcW w:w="5901" w:type="dxa"/>
            <w:vAlign w:val="center"/>
          </w:tcPr>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评标委员会根据各投标人提供的针对本项目的服务承诺（技术支持、响应时间、后续服务等）进行综合评价，并进行独立打分。（没有相关内容，或不符合最低入档条件的按不入档处理并计 0 分）</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一档（4 分）：仅满足招标文件最低要求。</w:t>
            </w:r>
          </w:p>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二档（7 分）：服务承诺详细，满足招标文件要求，并提供有简单的保证措施及应急预案措施，提供质保期内响应服务的联系人和联系电话等，售后服务明确响应时间、到达现场时间及一般问题排除时间，应急抢修项目，维修人员在采购人通知后2.5小时内到达现场，其他维修项目，维修人员在接到采购人通知后20小时内到达现场。</w:t>
            </w:r>
          </w:p>
          <w:p>
            <w:pPr>
              <w:widowControl/>
              <w:snapToGrid w:val="0"/>
              <w:spacing w:line="360" w:lineRule="auto"/>
              <w:ind w:firstLine="420" w:firstLineChars="200"/>
              <w:rPr>
                <w:bCs/>
                <w:color w:val="auto"/>
                <w:szCs w:val="21"/>
                <w:highlight w:val="none"/>
              </w:rPr>
            </w:pPr>
            <w:r>
              <w:rPr>
                <w:rFonts w:hint="eastAsia"/>
                <w:bCs/>
                <w:color w:val="auto"/>
                <w:szCs w:val="21"/>
                <w:highlight w:val="none"/>
              </w:rPr>
              <w:t>三档（10 分）：服务承诺详细、合理，完全满足招标文件要求，并提供有详细的保证措施及应急预案措施，措施细致、合理、可行，有针对性</w:t>
            </w:r>
            <w:r>
              <w:rPr>
                <w:rFonts w:hint="eastAsia" w:ascii="宋体" w:hAnsi="宋体" w:cs="宋体"/>
                <w:bCs/>
                <w:color w:val="auto"/>
                <w:szCs w:val="21"/>
                <w:highlight w:val="none"/>
              </w:rPr>
              <w:t>，</w:t>
            </w:r>
            <w:r>
              <w:rPr>
                <w:rFonts w:hint="eastAsia"/>
                <w:bCs/>
                <w:color w:val="auto"/>
                <w:szCs w:val="21"/>
                <w:highlight w:val="none"/>
              </w:rPr>
              <w:t>提供质保期内响应服务的联系人和联系电话等，售后服务明确响应时间、达到现场时间及一般问题排除时间，应急抢修项目，维修人员在采购人通知后2小时内到达现场，其他维修项目，维修人员在接到采购人通知后18小时内到达现场，且提供免费保修期外维修服务。</w:t>
            </w:r>
          </w:p>
          <w:p>
            <w:pPr>
              <w:widowControl/>
              <w:snapToGrid w:val="0"/>
              <w:spacing w:line="360" w:lineRule="auto"/>
              <w:ind w:firstLine="420" w:firstLineChars="200"/>
              <w:rPr>
                <w:bCs/>
                <w:color w:val="auto"/>
                <w:szCs w:val="21"/>
                <w:highlight w:val="none"/>
              </w:rPr>
            </w:pPr>
            <w:r>
              <w:rPr>
                <w:rFonts w:hint="eastAsia" w:ascii="宋体" w:hAnsi="宋体" w:cs="宋体"/>
                <w:bCs/>
                <w:color w:val="auto"/>
                <w:kern w:val="0"/>
                <w:szCs w:val="21"/>
                <w:highlight w:val="none"/>
              </w:rPr>
              <w:t>注：不提供服务承诺不得分。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2" w:type="dxa"/>
            <w:vMerge w:val="restart"/>
            <w:vAlign w:val="center"/>
          </w:tcPr>
          <w:p>
            <w:pPr>
              <w:snapToGrid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85" w:type="dxa"/>
            <w:vMerge w:val="restart"/>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履约能力分</w:t>
            </w:r>
          </w:p>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（满分40分）</w:t>
            </w: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color w:val="auto"/>
                <w:szCs w:val="21"/>
                <w:highlight w:val="none"/>
              </w:rPr>
              <w:t>综合实力分（满分4 分）</w:t>
            </w:r>
          </w:p>
        </w:tc>
        <w:tc>
          <w:tcPr>
            <w:tcW w:w="5901" w:type="dxa"/>
          </w:tcPr>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1、投标人通过质量管理体系、环境管理体系及职业健康安全管理体系认证，且在有效期内，每个得 1分，满分 3 分。（</w:t>
            </w:r>
            <w:r>
              <w:rPr>
                <w:rFonts w:hint="eastAsia"/>
                <w:color w:val="auto"/>
                <w:highlight w:val="none"/>
              </w:rPr>
              <w:t>投标人须在投标文件中</w:t>
            </w:r>
            <w:r>
              <w:rPr>
                <w:rFonts w:hint="eastAsia"/>
                <w:bCs/>
                <w:color w:val="auto"/>
                <w:kern w:val="2"/>
                <w:highlight w:val="none"/>
              </w:rPr>
              <w:t>提供认证证书复印件。）</w:t>
            </w:r>
          </w:p>
          <w:p>
            <w:pPr>
              <w:snapToGrid w:val="0"/>
              <w:spacing w:line="360" w:lineRule="auto"/>
              <w:ind w:firstLine="420" w:firstLineChars="200"/>
              <w:rPr>
                <w:rFonts w:hint="eastAsia" w:ascii="宋体" w:hAnsi="宋体" w:cs="宋体"/>
                <w:color w:val="auto"/>
                <w:kern w:val="0"/>
                <w:szCs w:val="21"/>
                <w:highlight w:val="none"/>
              </w:rPr>
            </w:pPr>
            <w:r>
              <w:rPr>
                <w:rFonts w:hint="eastAsia"/>
                <w:bCs/>
                <w:color w:val="auto"/>
                <w:szCs w:val="21"/>
                <w:highlight w:val="none"/>
              </w:rPr>
              <w:t>2、2018年1月1日以来获得</w:t>
            </w:r>
            <w:bookmarkStart w:id="371" w:name="OLE_LINK28"/>
            <w:r>
              <w:rPr>
                <w:rFonts w:hint="eastAsia"/>
                <w:bCs/>
                <w:color w:val="auto"/>
                <w:szCs w:val="21"/>
                <w:highlight w:val="none"/>
              </w:rPr>
              <w:t>省部级（含）以上行政主管部门或业务主管单位为行政单位的协会颁发的</w:t>
            </w:r>
            <w:r>
              <w:rPr>
                <w:rFonts w:hint="eastAsia" w:ascii="宋体" w:hAnsi="宋体" w:cs="宋体"/>
                <w:color w:val="auto"/>
                <w:szCs w:val="21"/>
                <w:highlight w:val="none"/>
              </w:rPr>
              <w:t>类似</w:t>
            </w:r>
            <w:r>
              <w:rPr>
                <w:rFonts w:hint="eastAsia"/>
                <w:bCs/>
                <w:color w:val="auto"/>
                <w:szCs w:val="21"/>
                <w:highlight w:val="none"/>
              </w:rPr>
              <w:t>项目奖项的</w:t>
            </w:r>
            <w:bookmarkEnd w:id="371"/>
            <w:r>
              <w:rPr>
                <w:rFonts w:hint="eastAsia"/>
                <w:bCs/>
                <w:color w:val="auto"/>
                <w:szCs w:val="21"/>
                <w:highlight w:val="none"/>
              </w:rPr>
              <w:t>，每项得 1 分，满分 1 分（</w:t>
            </w:r>
            <w:r>
              <w:rPr>
                <w:rFonts w:hint="eastAsia" w:ascii="宋体" w:hAnsi="宋体" w:cs="宋体"/>
                <w:color w:val="auto"/>
                <w:highlight w:val="none"/>
              </w:rPr>
              <w:t>投标人须在投标文件中</w:t>
            </w:r>
            <w:r>
              <w:rPr>
                <w:rFonts w:hint="eastAsia"/>
                <w:bCs/>
                <w:color w:val="auto"/>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pPr>
              <w:snapToGrid w:val="0"/>
              <w:spacing w:line="360" w:lineRule="auto"/>
              <w:ind w:firstLine="420"/>
              <w:jc w:val="center"/>
              <w:rPr>
                <w:rFonts w:hint="eastAsia" w:ascii="宋体" w:hAnsi="宋体" w:cs="宋体"/>
                <w:color w:val="auto"/>
                <w:szCs w:val="21"/>
                <w:highlight w:val="none"/>
              </w:rPr>
            </w:pPr>
          </w:p>
        </w:tc>
        <w:tc>
          <w:tcPr>
            <w:tcW w:w="1585"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color w:val="auto"/>
                <w:szCs w:val="21"/>
                <w:highlight w:val="none"/>
              </w:rPr>
              <w:t>业绩分（满分 10 分）</w:t>
            </w:r>
          </w:p>
        </w:tc>
        <w:tc>
          <w:tcPr>
            <w:tcW w:w="5901" w:type="dxa"/>
          </w:tcPr>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2022年1月1日至提交投标文件截止时间止，投标人具有类似项目业绩的，每项得</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分，满分</w:t>
            </w:r>
            <w:r>
              <w:rPr>
                <w:rFonts w:hint="eastAsia" w:ascii="宋体" w:hAnsi="宋体" w:cs="宋体"/>
                <w:color w:val="auto"/>
                <w:szCs w:val="21"/>
                <w:highlight w:val="none"/>
                <w:u w:val="single"/>
              </w:rPr>
              <w:t xml:space="preserve">10 </w:t>
            </w:r>
            <w:r>
              <w:rPr>
                <w:rFonts w:hint="eastAsia" w:ascii="宋体" w:hAnsi="宋体" w:cs="宋体"/>
                <w:color w:val="auto"/>
                <w:szCs w:val="21"/>
                <w:highlight w:val="none"/>
              </w:rPr>
              <w:t>分。【</w:t>
            </w:r>
            <w:r>
              <w:rPr>
                <w:rFonts w:hint="eastAsia" w:ascii="宋体" w:hAnsi="宋体" w:cs="宋体"/>
                <w:b/>
                <w:bCs/>
                <w:color w:val="auto"/>
                <w:szCs w:val="21"/>
                <w:highlight w:val="none"/>
              </w:rPr>
              <w:t>注：需在投标文件中提供前述类似项目业绩的合同或者中标（成交）通知书复印件并加盖投标人公章，未按要求提供的不得分。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pPr>
              <w:snapToGrid w:val="0"/>
              <w:spacing w:line="360" w:lineRule="auto"/>
              <w:ind w:firstLine="420"/>
              <w:jc w:val="center"/>
              <w:rPr>
                <w:rFonts w:hint="eastAsia" w:ascii="宋体" w:hAnsi="宋体" w:cs="宋体"/>
                <w:color w:val="auto"/>
                <w:szCs w:val="21"/>
                <w:highlight w:val="none"/>
              </w:rPr>
            </w:pPr>
          </w:p>
        </w:tc>
        <w:tc>
          <w:tcPr>
            <w:tcW w:w="1585"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color w:val="auto"/>
                <w:szCs w:val="21"/>
                <w:highlight w:val="none"/>
              </w:rPr>
              <w:t>拟投入施工机械设备情况 （满分11 分）</w:t>
            </w:r>
          </w:p>
        </w:tc>
        <w:tc>
          <w:tcPr>
            <w:tcW w:w="5901" w:type="dxa"/>
          </w:tcPr>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一档（3分）：投入计划与进度计划呼应，</w:t>
            </w:r>
            <w:r>
              <w:rPr>
                <w:color w:val="auto"/>
                <w:szCs w:val="24"/>
                <w:highlight w:val="none"/>
              </w:rPr>
              <w:t>拟投入的主要机械设备、辅助施工设备、机具，共</w:t>
            </w:r>
            <w:r>
              <w:rPr>
                <w:rFonts w:hint="eastAsia"/>
                <w:color w:val="auto"/>
                <w:szCs w:val="24"/>
                <w:highlight w:val="none"/>
              </w:rPr>
              <w:t>3</w:t>
            </w:r>
            <w:r>
              <w:rPr>
                <w:color w:val="auto"/>
                <w:szCs w:val="24"/>
                <w:highlight w:val="none"/>
              </w:rPr>
              <w:t>台及以上</w:t>
            </w:r>
            <w:r>
              <w:rPr>
                <w:rFonts w:hint="eastAsia"/>
                <w:color w:val="auto"/>
                <w:szCs w:val="24"/>
                <w:highlight w:val="none"/>
              </w:rPr>
              <w:t>，</w:t>
            </w:r>
            <w:r>
              <w:rPr>
                <w:rFonts w:hint="eastAsia"/>
                <w:bCs/>
                <w:color w:val="auto"/>
                <w:kern w:val="2"/>
                <w:highlight w:val="none"/>
              </w:rPr>
              <w:t>满足施工需要。</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二档（6分）：投入的施工机械、设备、机具有组织有计划，设备数量、选型配置、进场时间安排合理，投入计划与进度计划呼应，</w:t>
            </w:r>
            <w:r>
              <w:rPr>
                <w:color w:val="auto"/>
                <w:szCs w:val="24"/>
                <w:highlight w:val="none"/>
              </w:rPr>
              <w:t>拟投入的主要机械设备、辅助施工设备、机具，共</w:t>
            </w:r>
            <w:r>
              <w:rPr>
                <w:rFonts w:hint="eastAsia"/>
                <w:color w:val="auto"/>
                <w:szCs w:val="24"/>
                <w:highlight w:val="none"/>
              </w:rPr>
              <w:t>4</w:t>
            </w:r>
            <w:r>
              <w:rPr>
                <w:color w:val="auto"/>
                <w:szCs w:val="24"/>
                <w:highlight w:val="none"/>
              </w:rPr>
              <w:t>台及以上</w:t>
            </w:r>
            <w:r>
              <w:rPr>
                <w:rFonts w:hint="eastAsia"/>
                <w:color w:val="auto"/>
                <w:szCs w:val="24"/>
                <w:highlight w:val="none"/>
              </w:rPr>
              <w:t>，</w:t>
            </w:r>
            <w:r>
              <w:rPr>
                <w:rFonts w:hint="eastAsia"/>
                <w:bCs/>
                <w:color w:val="auto"/>
                <w:kern w:val="2"/>
                <w:highlight w:val="none"/>
              </w:rPr>
              <w:t>能满足施工需要。</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三档（9分）：投入的施工机械、设备、机具有组织有计划，设备数量、选型配置可行、机械设备进场时间安排合理，不影响采购人正常的教学工作或师生生活，投入计划与进度计划呼应，</w:t>
            </w:r>
            <w:r>
              <w:rPr>
                <w:color w:val="auto"/>
                <w:szCs w:val="24"/>
                <w:highlight w:val="none"/>
              </w:rPr>
              <w:t>拟投入的主要机械设备、辅助施工设备、机具，共</w:t>
            </w:r>
            <w:r>
              <w:rPr>
                <w:rFonts w:hint="eastAsia"/>
                <w:color w:val="auto"/>
                <w:szCs w:val="24"/>
                <w:highlight w:val="none"/>
              </w:rPr>
              <w:t>5</w:t>
            </w:r>
            <w:r>
              <w:rPr>
                <w:color w:val="auto"/>
                <w:szCs w:val="24"/>
                <w:highlight w:val="none"/>
              </w:rPr>
              <w:t>台及以上</w:t>
            </w:r>
            <w:r>
              <w:rPr>
                <w:rFonts w:hint="eastAsia"/>
                <w:color w:val="auto"/>
                <w:szCs w:val="24"/>
                <w:highlight w:val="none"/>
              </w:rPr>
              <w:t>，</w:t>
            </w:r>
            <w:r>
              <w:rPr>
                <w:rFonts w:hint="eastAsia"/>
                <w:bCs/>
                <w:color w:val="auto"/>
                <w:kern w:val="2"/>
                <w:highlight w:val="none"/>
              </w:rPr>
              <w:t>满足施工需要。</w:t>
            </w:r>
          </w:p>
          <w:p>
            <w:pPr>
              <w:snapToGrid w:val="0"/>
              <w:spacing w:line="360" w:lineRule="auto"/>
              <w:ind w:firstLine="420" w:firstLineChars="200"/>
              <w:rPr>
                <w:rFonts w:hint="eastAsia" w:ascii="宋体" w:hAnsi="宋体" w:cs="宋体"/>
                <w:color w:val="auto"/>
                <w:kern w:val="0"/>
                <w:szCs w:val="21"/>
                <w:highlight w:val="none"/>
              </w:rPr>
            </w:pPr>
            <w:r>
              <w:rPr>
                <w:rFonts w:hint="eastAsia"/>
                <w:bCs/>
                <w:color w:val="auto"/>
                <w:szCs w:val="21"/>
                <w:highlight w:val="none"/>
              </w:rPr>
              <w:t>四档（11分）：投入的施工机械、设备、机具有详细周密的组织计划，设备数量、选型配置安排合理充分，对项目按时保质的施工具有保障性、机械设备进场时间安排具有针对性，不影响采购人正常的教学工作或师生生活，投入计划与进度计划呼应，</w:t>
            </w:r>
            <w:r>
              <w:rPr>
                <w:rFonts w:ascii="宋体" w:hAnsi="宋体" w:cs="宋体"/>
                <w:color w:val="auto"/>
                <w:highlight w:val="none"/>
              </w:rPr>
              <w:t>拟投入的主要机械设备、辅助施工设备、机具，共</w:t>
            </w:r>
            <w:r>
              <w:rPr>
                <w:rFonts w:hint="eastAsia" w:ascii="宋体" w:hAnsi="宋体" w:cs="宋体"/>
                <w:color w:val="auto"/>
                <w:highlight w:val="none"/>
              </w:rPr>
              <w:t>6</w:t>
            </w:r>
            <w:r>
              <w:rPr>
                <w:rFonts w:ascii="宋体" w:hAnsi="宋体" w:cs="宋体"/>
                <w:color w:val="auto"/>
                <w:highlight w:val="none"/>
              </w:rPr>
              <w:t>台及以上</w:t>
            </w:r>
            <w:r>
              <w:rPr>
                <w:rFonts w:hint="eastAsia" w:ascii="宋体" w:hAnsi="宋体" w:cs="宋体"/>
                <w:color w:val="auto"/>
                <w:highlight w:val="none"/>
              </w:rPr>
              <w:t>，</w:t>
            </w:r>
            <w:r>
              <w:rPr>
                <w:rFonts w:hint="eastAsia"/>
                <w:bCs/>
                <w:color w:val="auto"/>
                <w:szCs w:val="21"/>
                <w:highlight w:val="none"/>
              </w:rPr>
              <w:t>完全满足施工需要。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vAlign w:val="center"/>
          </w:tcPr>
          <w:p>
            <w:pPr>
              <w:snapToGrid w:val="0"/>
              <w:spacing w:line="360" w:lineRule="auto"/>
              <w:ind w:firstLine="420"/>
              <w:jc w:val="center"/>
              <w:rPr>
                <w:rFonts w:hint="eastAsia" w:ascii="宋体" w:hAnsi="宋体" w:cs="宋体"/>
                <w:color w:val="auto"/>
                <w:szCs w:val="21"/>
                <w:highlight w:val="none"/>
              </w:rPr>
            </w:pPr>
          </w:p>
        </w:tc>
        <w:tc>
          <w:tcPr>
            <w:tcW w:w="1585" w:type="dxa"/>
            <w:vMerge w:val="continue"/>
            <w:vAlign w:val="center"/>
          </w:tcPr>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p>
        </w:tc>
        <w:tc>
          <w:tcPr>
            <w:tcW w:w="1460" w:type="dxa"/>
            <w:vAlign w:val="center"/>
          </w:tcPr>
          <w:p>
            <w:pPr>
              <w:pStyle w:val="51"/>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color w:val="auto"/>
                <w:kern w:val="2"/>
                <w:highlight w:val="none"/>
              </w:rPr>
            </w:pPr>
            <w:r>
              <w:rPr>
                <w:rFonts w:hint="eastAsia"/>
                <w:color w:val="auto"/>
                <w:kern w:val="2"/>
                <w:highlight w:val="none"/>
              </w:rPr>
              <w:t>人员配置分（满分15 分）</w:t>
            </w:r>
          </w:p>
          <w:p>
            <w:pPr>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p>
        </w:tc>
        <w:tc>
          <w:tcPr>
            <w:tcW w:w="5901" w:type="dxa"/>
          </w:tcPr>
          <w:p>
            <w:pPr>
              <w:snapToGrid w:val="0"/>
              <w:spacing w:line="360" w:lineRule="auto"/>
              <w:ind w:firstLine="420" w:firstLineChars="200"/>
              <w:rPr>
                <w:bCs/>
                <w:color w:val="auto"/>
                <w:szCs w:val="21"/>
                <w:highlight w:val="none"/>
              </w:rPr>
            </w:pPr>
            <w:r>
              <w:rPr>
                <w:rFonts w:hint="eastAsia"/>
                <w:bCs/>
                <w:color w:val="auto"/>
                <w:szCs w:val="21"/>
                <w:highlight w:val="none"/>
              </w:rPr>
              <w:t>最低人员配备为：1名项目经理，具有建筑工程二级及以上注册建造师执业资格，并具备有效的安全生产考核合格证书（B类）；</w:t>
            </w:r>
            <w:r>
              <w:rPr>
                <w:rFonts w:ascii="宋体" w:hAnsi="宋体" w:cs="宋体"/>
                <w:bCs/>
                <w:color w:val="auto"/>
                <w:szCs w:val="21"/>
                <w:highlight w:val="none"/>
              </w:rPr>
              <w:t>施工员1名、质量员1名、</w:t>
            </w:r>
            <w:r>
              <w:rPr>
                <w:rFonts w:hint="eastAsia" w:ascii="宋体" w:hAnsi="宋体" w:cs="宋体"/>
                <w:bCs/>
                <w:color w:val="auto"/>
                <w:szCs w:val="21"/>
                <w:highlight w:val="none"/>
              </w:rPr>
              <w:t>材料</w:t>
            </w:r>
            <w:r>
              <w:rPr>
                <w:rFonts w:ascii="宋体" w:hAnsi="宋体" w:cs="宋体"/>
                <w:bCs/>
                <w:color w:val="auto"/>
                <w:szCs w:val="21"/>
                <w:highlight w:val="none"/>
              </w:rPr>
              <w:t>员1名</w:t>
            </w:r>
            <w:r>
              <w:rPr>
                <w:rFonts w:hint="eastAsia" w:ascii="宋体" w:hAnsi="宋体" w:cs="宋体"/>
                <w:bCs/>
                <w:color w:val="auto"/>
                <w:szCs w:val="21"/>
                <w:highlight w:val="none"/>
              </w:rPr>
              <w:t>，</w:t>
            </w:r>
            <w:r>
              <w:rPr>
                <w:rFonts w:ascii="宋体" w:hAnsi="宋体" w:cs="宋体"/>
                <w:color w:val="auto"/>
                <w:highlight w:val="none"/>
              </w:rPr>
              <w:t>均须具备有效的相应施工现场专业人员职业培训合格证书</w:t>
            </w:r>
            <w:r>
              <w:rPr>
                <w:rFonts w:hint="eastAsia" w:ascii="宋体" w:hAnsi="宋体" w:cs="宋体"/>
                <w:bCs/>
                <w:color w:val="auto"/>
                <w:szCs w:val="21"/>
                <w:highlight w:val="none"/>
              </w:rPr>
              <w:t>；</w:t>
            </w:r>
            <w:r>
              <w:rPr>
                <w:rFonts w:ascii="宋体" w:hAnsi="宋体" w:cs="宋体"/>
                <w:bCs/>
                <w:color w:val="auto"/>
                <w:szCs w:val="21"/>
                <w:highlight w:val="none"/>
              </w:rPr>
              <w:t>安全员1名</w:t>
            </w:r>
            <w:r>
              <w:rPr>
                <w:rFonts w:hint="eastAsia" w:ascii="宋体" w:hAnsi="宋体" w:cs="宋体"/>
                <w:bCs/>
                <w:color w:val="auto"/>
                <w:szCs w:val="21"/>
                <w:highlight w:val="none"/>
              </w:rPr>
              <w:t>，</w:t>
            </w:r>
            <w:r>
              <w:rPr>
                <w:rFonts w:hint="eastAsia" w:cs="宋体"/>
                <w:color w:val="auto"/>
                <w:highlight w:val="none"/>
              </w:rPr>
              <w:t>具备有效的安全生产考核合格证书（</w:t>
            </w:r>
            <w:r>
              <w:rPr>
                <w:color w:val="auto"/>
                <w:highlight w:val="none"/>
              </w:rPr>
              <w:t>C</w:t>
            </w:r>
            <w:r>
              <w:rPr>
                <w:rFonts w:hint="eastAsia" w:cs="宋体"/>
                <w:color w:val="auto"/>
                <w:highlight w:val="none"/>
              </w:rPr>
              <w:t>类）</w:t>
            </w:r>
            <w:r>
              <w:rPr>
                <w:rFonts w:hint="eastAsia" w:ascii="宋体" w:hAnsi="宋体" w:cs="宋体"/>
                <w:bCs/>
                <w:color w:val="auto"/>
                <w:szCs w:val="21"/>
                <w:highlight w:val="none"/>
              </w:rPr>
              <w:t>；</w:t>
            </w:r>
            <w:r>
              <w:rPr>
                <w:rFonts w:hint="eastAsia" w:ascii="宋体" w:hAnsi="宋体" w:cs="宋体"/>
                <w:bCs/>
                <w:color w:val="auto"/>
                <w:kern w:val="2"/>
                <w:sz w:val="21"/>
                <w:szCs w:val="21"/>
                <w:highlight w:val="none"/>
                <w:lang w:val="en-US" w:eastAsia="zh-CN" w:bidi="ar-SA"/>
              </w:rPr>
              <w:t>预算</w:t>
            </w:r>
            <w:r>
              <w:rPr>
                <w:rFonts w:hint="default" w:ascii="宋体" w:hAnsi="宋体" w:eastAsia="宋体" w:cs="宋体"/>
                <w:bCs/>
                <w:color w:val="auto"/>
                <w:kern w:val="2"/>
                <w:sz w:val="21"/>
                <w:szCs w:val="21"/>
                <w:highlight w:val="none"/>
                <w:lang w:val="en-US" w:eastAsia="zh-CN" w:bidi="ar-SA"/>
              </w:rPr>
              <w:t>员1名</w:t>
            </w:r>
            <w:r>
              <w:rPr>
                <w:rFonts w:hint="eastAsia" w:ascii="宋体" w:hAnsi="宋体" w:eastAsia="宋体" w:cs="宋体"/>
                <w:bCs/>
                <w:color w:val="auto"/>
                <w:kern w:val="2"/>
                <w:sz w:val="21"/>
                <w:szCs w:val="21"/>
                <w:highlight w:val="none"/>
                <w:lang w:val="en-US" w:eastAsia="zh-CN" w:bidi="ar-SA"/>
              </w:rPr>
              <w:t>，具备</w:t>
            </w:r>
            <w:r>
              <w:rPr>
                <w:rFonts w:hint="eastAsia" w:ascii="宋体" w:hAnsi="宋体" w:cs="宋体"/>
                <w:bCs/>
                <w:color w:val="auto"/>
                <w:kern w:val="2"/>
                <w:sz w:val="21"/>
                <w:szCs w:val="21"/>
                <w:highlight w:val="none"/>
                <w:lang w:val="en-US" w:eastAsia="zh-CN" w:bidi="ar-SA"/>
              </w:rPr>
              <w:t>相应的岗位证书</w:t>
            </w:r>
            <w:r>
              <w:rPr>
                <w:rFonts w:hint="eastAsia" w:cs="宋体"/>
                <w:color w:val="auto"/>
                <w:highlight w:val="none"/>
              </w:rPr>
              <w:t>。</w:t>
            </w:r>
          </w:p>
          <w:p>
            <w:pPr>
              <w:snapToGrid w:val="0"/>
              <w:spacing w:line="360" w:lineRule="auto"/>
              <w:ind w:firstLine="420" w:firstLineChars="200"/>
              <w:rPr>
                <w:bCs/>
                <w:color w:val="auto"/>
                <w:szCs w:val="21"/>
                <w:highlight w:val="none"/>
              </w:rPr>
            </w:pPr>
            <w:r>
              <w:rPr>
                <w:rFonts w:hint="eastAsia"/>
                <w:bCs/>
                <w:color w:val="auto"/>
                <w:szCs w:val="21"/>
                <w:highlight w:val="none"/>
              </w:rPr>
              <w:t>一档（5分）：拟投入本项目的班子人员仅满足采购需求的要求，各岗位专业配套齐全，并具有相应岗位培训合格证书。</w:t>
            </w:r>
          </w:p>
          <w:p>
            <w:pPr>
              <w:snapToGrid w:val="0"/>
              <w:spacing w:line="360" w:lineRule="auto"/>
              <w:ind w:firstLine="420" w:firstLineChars="200"/>
              <w:rPr>
                <w:bCs/>
                <w:color w:val="auto"/>
                <w:szCs w:val="21"/>
                <w:highlight w:val="none"/>
              </w:rPr>
            </w:pPr>
            <w:r>
              <w:rPr>
                <w:rFonts w:hint="eastAsia"/>
                <w:bCs/>
                <w:color w:val="auto"/>
                <w:szCs w:val="21"/>
                <w:highlight w:val="none"/>
              </w:rPr>
              <w:t>二档（10分）：拟投入本项目的班子人员齐备、各岗位专业配套齐全，并具有相应岗位培训合格证书，班子人员达6人（含）以上，且中级及以上职称人员达4人（含）以上。</w:t>
            </w:r>
          </w:p>
          <w:p>
            <w:pPr>
              <w:snapToGrid w:val="0"/>
              <w:spacing w:line="360" w:lineRule="auto"/>
              <w:ind w:firstLine="420" w:firstLineChars="200"/>
              <w:rPr>
                <w:bCs/>
                <w:color w:val="auto"/>
                <w:szCs w:val="21"/>
                <w:highlight w:val="none"/>
              </w:rPr>
            </w:pPr>
            <w:r>
              <w:rPr>
                <w:rFonts w:hint="eastAsia"/>
                <w:bCs/>
                <w:color w:val="auto"/>
                <w:szCs w:val="21"/>
                <w:highlight w:val="none"/>
              </w:rPr>
              <w:t>三档（15分）：拟投入本项目的班子人员齐备、各岗位专业配套齐全，具有相关工作经验，并具有相应岗位培训合格证书，班子人员达8人（含）以上，且中级及以上职称人员达6人（含）以上。</w:t>
            </w:r>
          </w:p>
          <w:p>
            <w:pPr>
              <w:snapToGrid w:val="0"/>
              <w:spacing w:line="360" w:lineRule="auto"/>
              <w:ind w:firstLine="420" w:firstLineChars="200"/>
              <w:rPr>
                <w:rFonts w:hint="eastAsia" w:ascii="宋体" w:hAnsi="宋体" w:cs="宋体"/>
                <w:bCs/>
                <w:color w:val="auto"/>
                <w:kern w:val="0"/>
                <w:szCs w:val="21"/>
                <w:highlight w:val="none"/>
              </w:rPr>
            </w:pPr>
            <w:r>
              <w:rPr>
                <w:rFonts w:hint="eastAsia"/>
                <w:bCs/>
                <w:color w:val="auto"/>
                <w:szCs w:val="21"/>
                <w:highlight w:val="none"/>
              </w:rPr>
              <w:t>以上人员必须是投标人本单位人员，</w:t>
            </w:r>
            <w:r>
              <w:rPr>
                <w:rFonts w:hint="eastAsia" w:ascii="宋体" w:hAnsi="宋体" w:cs="宋体"/>
                <w:color w:val="auto"/>
                <w:highlight w:val="none"/>
              </w:rPr>
              <w:t>投标人须在投标文件中</w:t>
            </w:r>
            <w:r>
              <w:rPr>
                <w:rFonts w:hint="eastAsia"/>
                <w:bCs/>
                <w:color w:val="auto"/>
                <w:szCs w:val="21"/>
                <w:highlight w:val="none"/>
              </w:rPr>
              <w:t>提供相关证明文件复印件并加盖投标人公章，不按上述要求提供材料的，不能作为评分依据，不得计分。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pPr>
              <w:pStyle w:val="14"/>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总得分=1+2+3+4</w:t>
            </w:r>
          </w:p>
        </w:tc>
      </w:tr>
      <w:bookmarkEnd w:id="357"/>
    </w:tbl>
    <w:p>
      <w:pPr>
        <w:ind w:firstLine="420"/>
        <w:rPr>
          <w:color w:val="auto"/>
          <w:highlight w:val="none"/>
        </w:rPr>
      </w:pPr>
    </w:p>
    <w:p>
      <w:pPr>
        <w:pStyle w:val="3"/>
        <w:ind w:firstLine="600"/>
        <w:jc w:val="center"/>
        <w:rPr>
          <w:b w:val="0"/>
          <w:color w:val="auto"/>
          <w:sz w:val="30"/>
          <w:szCs w:val="30"/>
          <w:highlight w:val="none"/>
        </w:rPr>
      </w:pPr>
    </w:p>
    <w:p>
      <w:pPr>
        <w:ind w:firstLine="600"/>
        <w:rPr>
          <w:color w:val="auto"/>
          <w:sz w:val="30"/>
          <w:szCs w:val="30"/>
          <w:highlight w:val="none"/>
        </w:rPr>
      </w:pPr>
    </w:p>
    <w:p>
      <w:pPr>
        <w:ind w:firstLine="600"/>
        <w:rPr>
          <w:color w:val="auto"/>
          <w:sz w:val="30"/>
          <w:szCs w:val="30"/>
          <w:highlight w:val="none"/>
        </w:rPr>
      </w:pPr>
    </w:p>
    <w:p>
      <w:pPr>
        <w:ind w:firstLine="600"/>
        <w:rPr>
          <w:color w:val="auto"/>
          <w:sz w:val="30"/>
          <w:szCs w:val="30"/>
          <w:highlight w:val="none"/>
        </w:rPr>
      </w:pPr>
    </w:p>
    <w:p>
      <w:pPr>
        <w:ind w:firstLine="600"/>
        <w:rPr>
          <w:color w:val="auto"/>
          <w:sz w:val="30"/>
          <w:szCs w:val="30"/>
          <w:highlight w:val="none"/>
        </w:rPr>
      </w:pPr>
    </w:p>
    <w:p>
      <w:pPr>
        <w:ind w:firstLine="600"/>
        <w:rPr>
          <w:color w:val="auto"/>
          <w:sz w:val="30"/>
          <w:szCs w:val="30"/>
          <w:highlight w:val="none"/>
        </w:rPr>
      </w:pPr>
    </w:p>
    <w:p>
      <w:pPr>
        <w:pStyle w:val="15"/>
        <w:ind w:firstLine="422" w:firstLineChars="200"/>
        <w:rPr>
          <w:rFonts w:hint="eastAsia" w:ascii="宋体" w:hAnsi="宋体"/>
          <w:b/>
          <w:color w:val="auto"/>
          <w:sz w:val="21"/>
          <w:szCs w:val="20"/>
          <w:highlight w:val="none"/>
        </w:rPr>
      </w:pPr>
      <w:r>
        <w:rPr>
          <w:rFonts w:hint="eastAsia" w:ascii="宋体" w:hAnsi="宋体"/>
          <w:b/>
          <w:color w:val="auto"/>
          <w:sz w:val="21"/>
          <w:szCs w:val="20"/>
          <w:highlight w:val="none"/>
        </w:rPr>
        <w:t>6分标、7分标：</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60"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2" w:type="dxa"/>
            <w:vAlign w:val="center"/>
          </w:tcPr>
          <w:p>
            <w:pPr>
              <w:adjustRightIn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1585"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价格分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（满分20分）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投标报价</w:t>
            </w:r>
          </w:p>
        </w:tc>
        <w:tc>
          <w:tcPr>
            <w:tcW w:w="5901" w:type="dxa"/>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（1）本项目为专门面向中小企业采购的项目，按照《政府采购促进中小企业发展管理办法》（财库〔2020〕46号）的规定，对投标人的投标报价不再执行价格评审优惠的扶持政策。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（2）评标报价为投标人的投标报价，评标报价只是作为评审时使用。最终中标人的中标价格优惠率等于投标报价。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（3）满足招标文件要求且以（1-投标人最高价格优惠率）为评标基准价，基准价得分为  20  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（4）价格分计算公式：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价格分=（1-投标人最高价格优惠率）／（1-某投标人价格优惠率）×20分 </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如：A投标人价格优惠率为30%，B投标人价格优惠率为25%，C投标人价格优惠率为20%，则投标人最高价格优惠率为30%。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技术分</w:t>
            </w:r>
          </w:p>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（满分50分）</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项目实施方案分（满分20分）</w:t>
            </w:r>
          </w:p>
        </w:tc>
        <w:tc>
          <w:tcPr>
            <w:tcW w:w="5901" w:type="dxa"/>
            <w:vAlign w:val="center"/>
          </w:tcPr>
          <w:p>
            <w:pPr>
              <w:pStyle w:val="51"/>
              <w:snapToGrid w:val="0"/>
              <w:spacing w:line="360" w:lineRule="auto"/>
              <w:ind w:firstLine="283" w:firstLineChars="135"/>
              <w:rPr>
                <w:rFonts w:hint="eastAsia"/>
                <w:bCs/>
                <w:color w:val="auto"/>
                <w:kern w:val="2"/>
                <w:highlight w:val="none"/>
              </w:rPr>
            </w:pPr>
            <w:bookmarkStart w:id="372" w:name="OLE_LINK42"/>
            <w:r>
              <w:rPr>
                <w:rFonts w:hint="eastAsia"/>
                <w:bCs/>
                <w:color w:val="auto"/>
                <w:kern w:val="2"/>
                <w:highlight w:val="none"/>
              </w:rPr>
              <w:t>一档（5分）</w:t>
            </w:r>
            <w:bookmarkEnd w:id="372"/>
            <w:r>
              <w:rPr>
                <w:rFonts w:hint="eastAsia"/>
                <w:bCs/>
                <w:color w:val="auto"/>
                <w:kern w:val="2"/>
                <w:highlight w:val="none"/>
              </w:rPr>
              <w:t xml:space="preserve">：设计实施方案简单；项目投资控制方案和质量管理、质量控制方案简单。 </w:t>
            </w:r>
          </w:p>
          <w:p>
            <w:pPr>
              <w:pStyle w:val="51"/>
              <w:snapToGrid w:val="0"/>
              <w:spacing w:line="360" w:lineRule="auto"/>
              <w:ind w:firstLine="283" w:firstLineChars="135"/>
              <w:rPr>
                <w:rFonts w:hint="eastAsia"/>
                <w:bCs/>
                <w:color w:val="auto"/>
                <w:kern w:val="2"/>
                <w:highlight w:val="none"/>
              </w:rPr>
            </w:pPr>
            <w:bookmarkStart w:id="373" w:name="OLE_LINK43"/>
            <w:r>
              <w:rPr>
                <w:rFonts w:hint="eastAsia"/>
                <w:bCs/>
                <w:color w:val="auto"/>
                <w:kern w:val="2"/>
                <w:highlight w:val="none"/>
              </w:rPr>
              <w:t>二档（10分）</w:t>
            </w:r>
            <w:bookmarkEnd w:id="373"/>
            <w:r>
              <w:rPr>
                <w:rFonts w:hint="eastAsia"/>
                <w:bCs/>
                <w:color w:val="auto"/>
                <w:kern w:val="2"/>
                <w:highlight w:val="none"/>
              </w:rPr>
              <w:t>：设计实施方案详细，能考虑到本项目的情况，有详细的项目投资控制方案和质量管理、质量控制方案；提出的设计方案合理化建议、优化建议可行。</w:t>
            </w:r>
          </w:p>
          <w:p>
            <w:pPr>
              <w:pStyle w:val="51"/>
              <w:snapToGrid w:val="0"/>
              <w:spacing w:line="360" w:lineRule="auto"/>
              <w:ind w:firstLine="283" w:firstLineChars="135"/>
              <w:rPr>
                <w:rFonts w:hint="eastAsia"/>
                <w:bCs/>
                <w:color w:val="auto"/>
                <w:kern w:val="2"/>
                <w:highlight w:val="none"/>
              </w:rPr>
            </w:pPr>
            <w:bookmarkStart w:id="374" w:name="OLE_LINK44"/>
            <w:r>
              <w:rPr>
                <w:rFonts w:hint="eastAsia"/>
                <w:bCs/>
                <w:color w:val="auto"/>
                <w:kern w:val="2"/>
                <w:highlight w:val="none"/>
              </w:rPr>
              <w:t>三档（15分）</w:t>
            </w:r>
            <w:bookmarkEnd w:id="374"/>
            <w:r>
              <w:rPr>
                <w:rFonts w:hint="eastAsia"/>
                <w:bCs/>
                <w:color w:val="auto"/>
                <w:kern w:val="2"/>
                <w:highlight w:val="none"/>
              </w:rPr>
              <w:t>：设计实施方案详细、合理，且能考虑到本项目的具体情况并采取针对性措施，有详细合理的项目投资控制方案和质量管理、质量控制方案；提出的设计方案合理化建议、优化建议具有针对性，可实施性。</w:t>
            </w:r>
          </w:p>
          <w:p>
            <w:pPr>
              <w:pStyle w:val="51"/>
              <w:snapToGrid w:val="0"/>
              <w:spacing w:line="360" w:lineRule="auto"/>
              <w:ind w:firstLine="283" w:firstLineChars="135"/>
              <w:rPr>
                <w:rFonts w:hint="eastAsia"/>
                <w:bCs/>
                <w:color w:val="auto"/>
                <w:highlight w:val="none"/>
              </w:rPr>
            </w:pPr>
            <w:r>
              <w:rPr>
                <w:rFonts w:hint="eastAsia"/>
                <w:bCs/>
                <w:color w:val="auto"/>
                <w:kern w:val="2"/>
                <w:highlight w:val="none"/>
              </w:rPr>
              <w:t>四档（20分）：设计实施方案详细、合理、可行，且能充分考虑到本项目的具体情况并采取针对性措施，有详细合理可行的项目投资控制方案和质量管理、质量控制方案，能确保项目设计完全符合规范要求；提出的设计方案合理化建议、优化建议具有针对性、有特点、可实施性。</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bookmarkStart w:id="375" w:name="OLE_LINK40"/>
            <w:r>
              <w:rPr>
                <w:rFonts w:hint="eastAsia" w:ascii="宋体" w:hAnsi="宋体" w:cs="宋体"/>
                <w:color w:val="auto"/>
                <w:szCs w:val="21"/>
                <w:highlight w:val="none"/>
              </w:rPr>
              <w:t>设计管理要点（满分20分）</w:t>
            </w:r>
            <w:bookmarkEnd w:id="375"/>
          </w:p>
        </w:tc>
        <w:tc>
          <w:tcPr>
            <w:tcW w:w="5901" w:type="dxa"/>
            <w:vAlign w:val="center"/>
          </w:tcPr>
          <w:p>
            <w:pPr>
              <w:pStyle w:val="51"/>
              <w:snapToGrid w:val="0"/>
              <w:spacing w:line="360" w:lineRule="auto"/>
              <w:ind w:firstLine="420" w:firstLineChars="200"/>
              <w:rPr>
                <w:rFonts w:hint="eastAsia"/>
                <w:bCs/>
                <w:color w:val="auto"/>
                <w:kern w:val="2"/>
                <w:highlight w:val="none"/>
              </w:rPr>
            </w:pPr>
            <w:bookmarkStart w:id="376" w:name="OLE_LINK45"/>
            <w:r>
              <w:rPr>
                <w:rFonts w:hint="eastAsia"/>
                <w:bCs/>
                <w:color w:val="auto"/>
                <w:kern w:val="2"/>
                <w:highlight w:val="none"/>
              </w:rPr>
              <w:t>一档（5分）</w:t>
            </w:r>
            <w:bookmarkEnd w:id="376"/>
            <w:r>
              <w:rPr>
                <w:rFonts w:hint="eastAsia"/>
                <w:bCs/>
                <w:color w:val="auto"/>
                <w:kern w:val="2"/>
                <w:highlight w:val="none"/>
              </w:rPr>
              <w:t>：</w:t>
            </w:r>
            <w:r>
              <w:rPr>
                <w:color w:val="auto"/>
                <w:highlight w:val="none"/>
              </w:rPr>
              <w:t>对</w:t>
            </w:r>
            <w:r>
              <w:rPr>
                <w:rFonts w:hint="eastAsia"/>
                <w:color w:val="auto"/>
                <w:highlight w:val="none"/>
              </w:rPr>
              <w:t>设计</w:t>
            </w:r>
            <w:r>
              <w:rPr>
                <w:color w:val="auto"/>
                <w:highlight w:val="none"/>
              </w:rPr>
              <w:t>管理要点</w:t>
            </w:r>
            <w:r>
              <w:rPr>
                <w:rFonts w:hint="eastAsia"/>
                <w:color w:val="auto"/>
                <w:highlight w:val="none"/>
              </w:rPr>
              <w:t>有简单的表述</w:t>
            </w:r>
            <w:r>
              <w:rPr>
                <w:rFonts w:hint="eastAsia"/>
                <w:bCs/>
                <w:color w:val="auto"/>
                <w:kern w:val="2"/>
                <w:highlight w:val="none"/>
              </w:rPr>
              <w:t>。</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二档（10分）：</w:t>
            </w:r>
            <w:r>
              <w:rPr>
                <w:color w:val="auto"/>
                <w:highlight w:val="none"/>
              </w:rPr>
              <w:t>对</w:t>
            </w:r>
            <w:r>
              <w:rPr>
                <w:rFonts w:hint="eastAsia"/>
                <w:color w:val="auto"/>
                <w:highlight w:val="none"/>
              </w:rPr>
              <w:t>设计</w:t>
            </w:r>
            <w:r>
              <w:rPr>
                <w:color w:val="auto"/>
                <w:highlight w:val="none"/>
              </w:rPr>
              <w:t>管理要点</w:t>
            </w:r>
            <w:r>
              <w:rPr>
                <w:rFonts w:hint="eastAsia"/>
                <w:color w:val="auto"/>
                <w:highlight w:val="none"/>
              </w:rPr>
              <w:t>有一定</w:t>
            </w:r>
            <w:r>
              <w:rPr>
                <w:color w:val="auto"/>
                <w:highlight w:val="none"/>
              </w:rPr>
              <w:t>的理解</w:t>
            </w:r>
            <w:r>
              <w:rPr>
                <w:rFonts w:hint="eastAsia"/>
                <w:color w:val="auto"/>
                <w:highlight w:val="none"/>
              </w:rPr>
              <w:t>、有简单的表述，</w:t>
            </w:r>
            <w:r>
              <w:rPr>
                <w:rFonts w:hint="eastAsia"/>
                <w:bCs/>
                <w:color w:val="auto"/>
                <w:kern w:val="2"/>
                <w:highlight w:val="none"/>
              </w:rPr>
              <w:t>能考虑到本项目的具体情况，</w:t>
            </w:r>
            <w:r>
              <w:rPr>
                <w:rFonts w:hint="eastAsia"/>
                <w:color w:val="auto"/>
                <w:highlight w:val="none"/>
              </w:rPr>
              <w:t>有对要点的控制措施、项目规划与目标设定、设计流程管理、简单的质量控制要点</w:t>
            </w:r>
            <w:r>
              <w:rPr>
                <w:rFonts w:hint="eastAsia"/>
                <w:bCs/>
                <w:color w:val="auto"/>
                <w:kern w:val="2"/>
                <w:highlight w:val="none"/>
              </w:rPr>
              <w:t xml:space="preserve">。 </w:t>
            </w:r>
          </w:p>
          <w:p>
            <w:pPr>
              <w:pStyle w:val="51"/>
              <w:snapToGrid w:val="0"/>
              <w:spacing w:line="360" w:lineRule="auto"/>
              <w:ind w:firstLine="420" w:firstLineChars="200"/>
              <w:rPr>
                <w:rFonts w:hint="eastAsia"/>
                <w:bCs/>
                <w:color w:val="auto"/>
                <w:kern w:val="2"/>
                <w:highlight w:val="none"/>
              </w:rPr>
            </w:pPr>
            <w:bookmarkStart w:id="377" w:name="OLE_LINK46"/>
            <w:r>
              <w:rPr>
                <w:rFonts w:hint="eastAsia"/>
                <w:bCs/>
                <w:color w:val="auto"/>
                <w:kern w:val="2"/>
                <w:highlight w:val="none"/>
              </w:rPr>
              <w:t>三档（15分）</w:t>
            </w:r>
            <w:bookmarkEnd w:id="377"/>
            <w:r>
              <w:rPr>
                <w:rFonts w:hint="eastAsia"/>
                <w:bCs/>
                <w:color w:val="auto"/>
                <w:kern w:val="2"/>
                <w:highlight w:val="none"/>
              </w:rPr>
              <w:t>：</w:t>
            </w:r>
            <w:r>
              <w:rPr>
                <w:color w:val="auto"/>
                <w:highlight w:val="none"/>
              </w:rPr>
              <w:t>对</w:t>
            </w:r>
            <w:r>
              <w:rPr>
                <w:rFonts w:hint="eastAsia"/>
                <w:color w:val="auto"/>
                <w:highlight w:val="none"/>
              </w:rPr>
              <w:t>设计</w:t>
            </w:r>
            <w:r>
              <w:rPr>
                <w:color w:val="auto"/>
                <w:highlight w:val="none"/>
              </w:rPr>
              <w:t>管理要点</w:t>
            </w:r>
            <w:r>
              <w:rPr>
                <w:rFonts w:hint="eastAsia"/>
                <w:color w:val="auto"/>
                <w:highlight w:val="none"/>
              </w:rPr>
              <w:t>有准确</w:t>
            </w:r>
            <w:r>
              <w:rPr>
                <w:color w:val="auto"/>
                <w:highlight w:val="none"/>
              </w:rPr>
              <w:t>的理解</w:t>
            </w:r>
            <w:r>
              <w:rPr>
                <w:rFonts w:hint="eastAsia"/>
                <w:color w:val="auto"/>
                <w:highlight w:val="none"/>
              </w:rPr>
              <w:t>、有详细的表述，</w:t>
            </w:r>
            <w:r>
              <w:rPr>
                <w:rFonts w:hint="eastAsia"/>
                <w:bCs/>
                <w:color w:val="auto"/>
                <w:kern w:val="2"/>
                <w:highlight w:val="none"/>
              </w:rPr>
              <w:t>能考虑到本项目的具体情况，</w:t>
            </w:r>
            <w:r>
              <w:rPr>
                <w:rFonts w:hint="eastAsia"/>
                <w:color w:val="auto"/>
                <w:highlight w:val="none"/>
              </w:rPr>
              <w:t>有对要点的控制措施，项目规划与目标设定详细，设计流程管理明晰，有详细的质量控制要点</w:t>
            </w:r>
            <w:r>
              <w:rPr>
                <w:rFonts w:hint="eastAsia"/>
                <w:bCs/>
                <w:color w:val="auto"/>
                <w:kern w:val="2"/>
                <w:highlight w:val="none"/>
              </w:rPr>
              <w:t>。</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bCs/>
                <w:color w:val="auto"/>
                <w:szCs w:val="21"/>
                <w:highlight w:val="none"/>
              </w:rPr>
              <w:t>四档（20分）：</w:t>
            </w:r>
            <w:r>
              <w:rPr>
                <w:rFonts w:ascii="宋体" w:hAnsi="宋体"/>
                <w:color w:val="auto"/>
                <w:szCs w:val="21"/>
                <w:highlight w:val="none"/>
              </w:rPr>
              <w:t>对</w:t>
            </w:r>
            <w:r>
              <w:rPr>
                <w:rFonts w:hint="eastAsia" w:ascii="宋体" w:hAnsi="宋体"/>
                <w:color w:val="auto"/>
                <w:szCs w:val="21"/>
                <w:highlight w:val="none"/>
              </w:rPr>
              <w:t>设计</w:t>
            </w:r>
            <w:r>
              <w:rPr>
                <w:rFonts w:ascii="宋体" w:hAnsi="宋体"/>
                <w:color w:val="auto"/>
                <w:szCs w:val="21"/>
                <w:highlight w:val="none"/>
              </w:rPr>
              <w:t>管理要点</w:t>
            </w:r>
            <w:r>
              <w:rPr>
                <w:rFonts w:hint="eastAsia" w:ascii="宋体" w:hAnsi="宋体"/>
                <w:color w:val="auto"/>
                <w:szCs w:val="21"/>
                <w:highlight w:val="none"/>
              </w:rPr>
              <w:t>有准确</w:t>
            </w:r>
            <w:r>
              <w:rPr>
                <w:rFonts w:ascii="宋体" w:hAnsi="宋体"/>
                <w:color w:val="auto"/>
                <w:szCs w:val="21"/>
                <w:highlight w:val="none"/>
              </w:rPr>
              <w:t>的理解</w:t>
            </w:r>
            <w:r>
              <w:rPr>
                <w:rFonts w:hint="eastAsia" w:ascii="宋体" w:hAnsi="宋体"/>
                <w:color w:val="auto"/>
                <w:szCs w:val="21"/>
                <w:highlight w:val="none"/>
              </w:rPr>
              <w:t>、有详细的表述，</w:t>
            </w:r>
            <w:r>
              <w:rPr>
                <w:rFonts w:hint="eastAsia"/>
                <w:bCs/>
                <w:color w:val="auto"/>
                <w:szCs w:val="21"/>
                <w:highlight w:val="none"/>
              </w:rPr>
              <w:t>能考虑到本项目的具体情况，</w:t>
            </w:r>
            <w:r>
              <w:rPr>
                <w:rFonts w:hint="eastAsia" w:ascii="宋体" w:hAnsi="宋体"/>
                <w:color w:val="auto"/>
                <w:szCs w:val="21"/>
                <w:highlight w:val="none"/>
              </w:rPr>
              <w:t>有对要点的控制措施，措施细致、可行，项目规划与目标设定详细合理，设计流程管理明晰，有详细的质量控制要点、风险管理和</w:t>
            </w:r>
            <w:r>
              <w:rPr>
                <w:rFonts w:hint="eastAsia"/>
                <w:bCs/>
                <w:color w:val="auto"/>
                <w:highlight w:val="none"/>
              </w:rPr>
              <w:t>投资控制方案，</w:t>
            </w:r>
            <w:r>
              <w:rPr>
                <w:rFonts w:hint="eastAsia" w:ascii="宋体" w:hAnsi="宋体"/>
                <w:color w:val="auto"/>
                <w:szCs w:val="21"/>
                <w:highlight w:val="none"/>
              </w:rPr>
              <w:t>建立沟通机制和</w:t>
            </w:r>
            <w:r>
              <w:rPr>
                <w:rFonts w:hint="eastAsia" w:ascii="宋体" w:hAnsi="宋体" w:cs="宋体"/>
                <w:bCs/>
                <w:color w:val="auto"/>
                <w:kern w:val="0"/>
                <w:szCs w:val="21"/>
                <w:highlight w:val="none"/>
              </w:rPr>
              <w:t>管理制度</w:t>
            </w:r>
            <w:r>
              <w:rPr>
                <w:rFonts w:hint="eastAsia" w:ascii="宋体" w:hAnsi="宋体"/>
                <w:color w:val="auto"/>
                <w:szCs w:val="21"/>
                <w:highlight w:val="none"/>
              </w:rPr>
              <w:t>，</w:t>
            </w:r>
            <w:r>
              <w:rPr>
                <w:rFonts w:hint="eastAsia" w:ascii="宋体" w:hAnsi="宋体" w:cs="宋体"/>
                <w:bCs/>
                <w:color w:val="auto"/>
                <w:kern w:val="0"/>
                <w:szCs w:val="21"/>
                <w:highlight w:val="none"/>
              </w:rPr>
              <w:t>有针对本项目的具体管理办法、处罚措施，职责分工明确</w:t>
            </w:r>
            <w:r>
              <w:rPr>
                <w:rFonts w:hint="eastAsia"/>
                <w:bCs/>
                <w:color w:val="auto"/>
                <w:szCs w:val="21"/>
                <w:highlight w:val="none"/>
              </w:rPr>
              <w:t>。</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注：不提供设计管理要点不得分。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设计实施人员配备（满分10分）</w:t>
            </w:r>
          </w:p>
        </w:tc>
        <w:tc>
          <w:tcPr>
            <w:tcW w:w="5901" w:type="dxa"/>
            <w:vAlign w:val="center"/>
          </w:tcPr>
          <w:p>
            <w:pPr>
              <w:pStyle w:val="51"/>
              <w:snapToGrid w:val="0"/>
              <w:spacing w:line="360" w:lineRule="auto"/>
              <w:ind w:firstLine="420" w:firstLineChars="200"/>
              <w:rPr>
                <w:rFonts w:hint="eastAsia"/>
                <w:bCs/>
                <w:color w:val="auto"/>
                <w:kern w:val="2"/>
                <w:highlight w:val="none"/>
              </w:rPr>
            </w:pPr>
            <w:bookmarkStart w:id="378" w:name="OLE_LINK47"/>
            <w:r>
              <w:rPr>
                <w:rFonts w:hint="eastAsia"/>
                <w:bCs/>
                <w:color w:val="auto"/>
                <w:kern w:val="2"/>
                <w:highlight w:val="none"/>
              </w:rPr>
              <w:t>一档（1分）</w:t>
            </w:r>
            <w:bookmarkEnd w:id="378"/>
            <w:r>
              <w:rPr>
                <w:rFonts w:hint="eastAsia"/>
                <w:bCs/>
                <w:color w:val="auto"/>
                <w:kern w:val="2"/>
                <w:highlight w:val="none"/>
              </w:rPr>
              <w:t>：拟投入1名项目负责人，1名建筑设计专业负责人，1名园林专业负责人，配备人员合理、能满足工作要求。</w:t>
            </w:r>
          </w:p>
          <w:p>
            <w:pPr>
              <w:pStyle w:val="51"/>
              <w:snapToGrid w:val="0"/>
              <w:spacing w:line="360" w:lineRule="auto"/>
              <w:ind w:firstLine="420" w:firstLineChars="200"/>
              <w:rPr>
                <w:rFonts w:hint="eastAsia"/>
                <w:bCs/>
                <w:color w:val="auto"/>
                <w:kern w:val="2"/>
                <w:highlight w:val="none"/>
              </w:rPr>
            </w:pPr>
            <w:bookmarkStart w:id="379" w:name="OLE_LINK48"/>
            <w:r>
              <w:rPr>
                <w:rFonts w:hint="eastAsia"/>
                <w:bCs/>
                <w:color w:val="auto"/>
                <w:kern w:val="2"/>
                <w:highlight w:val="none"/>
              </w:rPr>
              <w:t>二档（4分）</w:t>
            </w:r>
            <w:bookmarkEnd w:id="379"/>
            <w:r>
              <w:rPr>
                <w:rFonts w:hint="eastAsia"/>
                <w:bCs/>
                <w:color w:val="auto"/>
                <w:kern w:val="2"/>
                <w:highlight w:val="none"/>
              </w:rPr>
              <w:t>：拟投入1名项目负责人，1名建筑设计专业负责人，1名园林专业负责人，1名结构设计专业负责人，人员配备合理，满足工作要求。</w:t>
            </w:r>
          </w:p>
          <w:p>
            <w:pPr>
              <w:pStyle w:val="51"/>
              <w:snapToGrid w:val="0"/>
              <w:spacing w:line="360" w:lineRule="auto"/>
              <w:ind w:firstLine="420" w:firstLineChars="200"/>
              <w:rPr>
                <w:rFonts w:hint="eastAsia"/>
                <w:bCs/>
                <w:color w:val="auto"/>
                <w:kern w:val="2"/>
                <w:highlight w:val="none"/>
              </w:rPr>
            </w:pPr>
            <w:bookmarkStart w:id="380" w:name="OLE_LINK49"/>
            <w:r>
              <w:rPr>
                <w:rFonts w:hint="eastAsia"/>
                <w:bCs/>
                <w:color w:val="auto"/>
                <w:kern w:val="2"/>
                <w:highlight w:val="none"/>
              </w:rPr>
              <w:t>三档（7分）</w:t>
            </w:r>
            <w:bookmarkEnd w:id="380"/>
            <w:r>
              <w:rPr>
                <w:rFonts w:hint="eastAsia"/>
                <w:bCs/>
                <w:color w:val="auto"/>
                <w:kern w:val="2"/>
                <w:highlight w:val="none"/>
              </w:rPr>
              <w:t>：拟投入1名项目负责人，1名建筑设计专业负责人，1名园林专业负责人，1名结构设计专业负责人，1名电气设备专业负责人，1名给排水专业负责人，配备人员、专业搭配合理，完全满足工作要求。</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四档（10分）：拟投入1名项目负责人，1名建筑设计专业负责人，2名园林专业负责人，1名结构设计专业负责人，2名电气设备专业负责人，2名给排水专业负责人，配备人员、专业搭配合理，人员具有相关工作经验，完全满足工作要求。</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注：以上人员必须是投标人本单位人员，投标人须在投标文件中提供相关证明文件复印件并加盖单位公章，不按上述要求提供材料的，不能作为评分依据，不得计分。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2" w:type="dxa"/>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1585"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服务承诺分</w:t>
            </w:r>
          </w:p>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（满分10分）</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服务承诺分（满分10分）</w:t>
            </w:r>
          </w:p>
        </w:tc>
        <w:tc>
          <w:tcPr>
            <w:tcW w:w="5901" w:type="dxa"/>
            <w:vAlign w:val="center"/>
          </w:tcPr>
          <w:p>
            <w:pPr>
              <w:pStyle w:val="51"/>
              <w:spacing w:line="360" w:lineRule="auto"/>
              <w:ind w:firstLine="420" w:firstLineChars="200"/>
              <w:rPr>
                <w:rFonts w:hint="eastAsia"/>
                <w:bCs/>
                <w:color w:val="auto"/>
                <w:highlight w:val="none"/>
              </w:rPr>
            </w:pPr>
            <w:r>
              <w:rPr>
                <w:rFonts w:hint="eastAsia"/>
                <w:bCs/>
                <w:color w:val="auto"/>
                <w:highlight w:val="none"/>
              </w:rPr>
              <w:t>评标委员会根据各投标人提供的针对本项目的服务承诺（技术支持、响应时间、后续服务等）进行综合评价，并进行独立打分。（没有相关内容，或不符合最低入档条件的按不入档处理并计 0 分）</w:t>
            </w:r>
          </w:p>
          <w:p>
            <w:pPr>
              <w:pStyle w:val="51"/>
              <w:spacing w:line="360" w:lineRule="auto"/>
              <w:ind w:firstLine="420" w:firstLineChars="200"/>
              <w:rPr>
                <w:rFonts w:hint="eastAsia"/>
                <w:bCs/>
                <w:color w:val="auto"/>
                <w:highlight w:val="none"/>
              </w:rPr>
            </w:pPr>
            <w:r>
              <w:rPr>
                <w:rFonts w:hint="eastAsia"/>
                <w:bCs/>
                <w:color w:val="auto"/>
                <w:highlight w:val="none"/>
              </w:rPr>
              <w:t>一档（4 分）：仅满足招标文件最低要求。</w:t>
            </w:r>
          </w:p>
          <w:p>
            <w:pPr>
              <w:pStyle w:val="51"/>
              <w:spacing w:line="360" w:lineRule="auto"/>
              <w:ind w:firstLine="420" w:firstLineChars="200"/>
              <w:rPr>
                <w:rFonts w:hint="eastAsia"/>
                <w:bCs/>
                <w:color w:val="auto"/>
                <w:highlight w:val="none"/>
              </w:rPr>
            </w:pPr>
            <w:r>
              <w:rPr>
                <w:rFonts w:hint="eastAsia"/>
                <w:bCs/>
                <w:color w:val="auto"/>
                <w:highlight w:val="none"/>
              </w:rPr>
              <w:t>二档（7 分）：服务承诺</w:t>
            </w:r>
            <w:r>
              <w:rPr>
                <w:rFonts w:hint="eastAsia"/>
                <w:bCs/>
                <w:color w:val="auto"/>
                <w:kern w:val="2"/>
                <w:highlight w:val="none"/>
              </w:rPr>
              <w:t>详细</w:t>
            </w:r>
            <w:r>
              <w:rPr>
                <w:rFonts w:hint="eastAsia"/>
                <w:bCs/>
                <w:color w:val="auto"/>
                <w:highlight w:val="none"/>
              </w:rPr>
              <w:t>，满足招标文件要求，并提供有简单的保证措施及应急预案措施，提供质保期内响应服务的联系人和联系电话，售后服务明确响应时间、到达现场时间及一般问题排除时间，</w:t>
            </w:r>
            <w:r>
              <w:rPr>
                <w:rFonts w:hint="eastAsia"/>
                <w:color w:val="auto"/>
                <w:highlight w:val="none"/>
              </w:rPr>
              <w:t>与后期配合的组织方案简单</w:t>
            </w:r>
            <w:r>
              <w:rPr>
                <w:rFonts w:hint="eastAsia"/>
                <w:bCs/>
                <w:color w:val="auto"/>
                <w:highlight w:val="none"/>
              </w:rPr>
              <w:t>。</w:t>
            </w:r>
          </w:p>
          <w:p>
            <w:pPr>
              <w:pStyle w:val="51"/>
              <w:spacing w:line="360" w:lineRule="auto"/>
              <w:ind w:firstLine="420" w:firstLineChars="200"/>
              <w:rPr>
                <w:rFonts w:hint="eastAsia"/>
                <w:bCs/>
                <w:color w:val="auto"/>
                <w:highlight w:val="none"/>
              </w:rPr>
            </w:pPr>
            <w:r>
              <w:rPr>
                <w:rFonts w:hint="eastAsia"/>
                <w:bCs/>
                <w:color w:val="auto"/>
                <w:highlight w:val="none"/>
              </w:rPr>
              <w:t>三档（10 分）：服务承诺详细</w:t>
            </w:r>
            <w:r>
              <w:rPr>
                <w:rFonts w:hint="eastAsia"/>
                <w:bCs/>
                <w:color w:val="auto"/>
                <w:kern w:val="2"/>
                <w:highlight w:val="none"/>
              </w:rPr>
              <w:t>、合理</w:t>
            </w:r>
            <w:r>
              <w:rPr>
                <w:rFonts w:hint="eastAsia"/>
                <w:bCs/>
                <w:color w:val="auto"/>
                <w:highlight w:val="none"/>
              </w:rPr>
              <w:t>，完全满足招标文件要求，并提供有详细的保证措施及应急预案措施，</w:t>
            </w:r>
            <w:r>
              <w:rPr>
                <w:rFonts w:hint="eastAsia"/>
                <w:bCs/>
                <w:color w:val="auto"/>
                <w:kern w:val="2"/>
                <w:highlight w:val="none"/>
              </w:rPr>
              <w:t>措施</w:t>
            </w:r>
            <w:r>
              <w:rPr>
                <w:rFonts w:hint="eastAsia"/>
                <w:bCs/>
                <w:color w:val="auto"/>
                <w:highlight w:val="none"/>
              </w:rPr>
              <w:t>细致、合理、可行，有针对性，提供质保期内响应服务的联系人和联系电话，售后服务明确响应时间、达到现场时间及一般问题排除时间，且提供免费保修期外设计服务</w:t>
            </w:r>
            <w:r>
              <w:rPr>
                <w:rFonts w:hint="eastAsia"/>
                <w:bCs/>
                <w:color w:val="auto"/>
                <w:kern w:val="2"/>
                <w:highlight w:val="none"/>
              </w:rPr>
              <w:t>，</w:t>
            </w:r>
            <w:r>
              <w:rPr>
                <w:rFonts w:hint="eastAsia"/>
                <w:color w:val="auto"/>
                <w:highlight w:val="none"/>
              </w:rPr>
              <w:t>与后期配合的组织方案详细合理，具有针对性</w:t>
            </w:r>
            <w:r>
              <w:rPr>
                <w:rFonts w:hint="eastAsia"/>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restart"/>
            <w:vAlign w:val="center"/>
          </w:tcPr>
          <w:p>
            <w:pPr>
              <w:snapToGrid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85"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履约能力分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（满分20分）</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综合实力分（满分 8分）</w:t>
            </w:r>
          </w:p>
        </w:tc>
        <w:tc>
          <w:tcPr>
            <w:tcW w:w="5901" w:type="dxa"/>
          </w:tcPr>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1、投标人通过质量管理体系、环境管理体系及职业健康安全管理体系认证，且在有效期内，每个得 1分，满分 3 分。（</w:t>
            </w:r>
            <w:r>
              <w:rPr>
                <w:rFonts w:hint="eastAsia" w:ascii="宋体" w:hAnsi="宋体" w:cs="宋体"/>
                <w:color w:val="auto"/>
                <w:highlight w:val="none"/>
              </w:rPr>
              <w:t>投标人须在投标文件中</w:t>
            </w:r>
            <w:r>
              <w:rPr>
                <w:rFonts w:hint="eastAsia" w:ascii="宋体" w:hAnsi="宋体" w:cs="宋体"/>
                <w:color w:val="auto"/>
                <w:kern w:val="0"/>
                <w:szCs w:val="21"/>
                <w:highlight w:val="none"/>
              </w:rPr>
              <w:t>提供认证证书复印件。）</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2、2022年</w:t>
            </w:r>
            <w:r>
              <w:rPr>
                <w:rFonts w:hint="eastAsia"/>
                <w:bCs/>
                <w:color w:val="auto"/>
                <w:szCs w:val="21"/>
                <w:highlight w:val="none"/>
              </w:rPr>
              <w:t>1月1日</w:t>
            </w:r>
            <w:r>
              <w:rPr>
                <w:rFonts w:hint="eastAsia" w:ascii="宋体" w:hAnsi="宋体" w:cs="宋体"/>
                <w:color w:val="auto"/>
                <w:kern w:val="0"/>
                <w:szCs w:val="21"/>
                <w:highlight w:val="none"/>
              </w:rPr>
              <w:t>以来获得</w:t>
            </w:r>
            <w:r>
              <w:rPr>
                <w:rFonts w:hint="eastAsia"/>
                <w:bCs/>
                <w:color w:val="auto"/>
                <w:szCs w:val="21"/>
                <w:highlight w:val="none"/>
              </w:rPr>
              <w:t>省部级（含）以上行政主管部门或业务主管单位为行政单位的协会颁发的</w:t>
            </w:r>
            <w:r>
              <w:rPr>
                <w:rFonts w:hint="eastAsia" w:ascii="宋体" w:hAnsi="宋体" w:cs="宋体"/>
                <w:color w:val="auto"/>
                <w:szCs w:val="21"/>
                <w:highlight w:val="none"/>
              </w:rPr>
              <w:t>类似</w:t>
            </w:r>
            <w:r>
              <w:rPr>
                <w:rFonts w:hint="eastAsia"/>
                <w:bCs/>
                <w:color w:val="auto"/>
                <w:szCs w:val="21"/>
                <w:highlight w:val="none"/>
              </w:rPr>
              <w:t>项目奖项的</w:t>
            </w:r>
            <w:r>
              <w:rPr>
                <w:rFonts w:hint="eastAsia" w:ascii="宋体" w:hAnsi="宋体" w:cs="宋体"/>
                <w:color w:val="auto"/>
                <w:kern w:val="0"/>
                <w:szCs w:val="21"/>
                <w:highlight w:val="none"/>
              </w:rPr>
              <w:t>，每项得 2.5分，满分 5 分（</w:t>
            </w:r>
            <w:r>
              <w:rPr>
                <w:rFonts w:hint="eastAsia" w:ascii="宋体" w:hAnsi="宋体" w:cs="宋体"/>
                <w:color w:val="auto"/>
                <w:highlight w:val="none"/>
              </w:rPr>
              <w:t>投标人须在投标文件中</w:t>
            </w:r>
            <w:r>
              <w:rPr>
                <w:rFonts w:hint="eastAsia" w:ascii="宋体" w:hAnsi="宋体" w:cs="宋体"/>
                <w:color w:val="auto"/>
                <w:kern w:val="0"/>
                <w:szCs w:val="21"/>
                <w:highlight w:val="none"/>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vAlign w:val="center"/>
          </w:tcPr>
          <w:p>
            <w:pPr>
              <w:snapToGrid w:val="0"/>
              <w:spacing w:line="360" w:lineRule="auto"/>
              <w:ind w:firstLine="420"/>
              <w:jc w:val="center"/>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业绩分（满分 12 分）</w:t>
            </w:r>
          </w:p>
        </w:tc>
        <w:tc>
          <w:tcPr>
            <w:tcW w:w="5901" w:type="dxa"/>
          </w:tcPr>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2022年1月1日至提交投标文件截止时间止，投标人具有类似项目业绩的，每项得</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分，满分</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分。【</w:t>
            </w:r>
            <w:r>
              <w:rPr>
                <w:rFonts w:hint="eastAsia" w:ascii="宋体" w:hAnsi="宋体" w:cs="宋体"/>
                <w:b/>
                <w:bCs/>
                <w:color w:val="auto"/>
                <w:szCs w:val="21"/>
                <w:highlight w:val="none"/>
              </w:rPr>
              <w:t>注：需在投标文件中提供类似项目业绩的合同或者中标（成交）通知书复印件并加盖投标人公章，未按要求提供的不得分。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pPr>
              <w:pStyle w:val="14"/>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总得分=1+2+3+4</w:t>
            </w:r>
          </w:p>
        </w:tc>
      </w:tr>
    </w:tbl>
    <w:p>
      <w:pPr>
        <w:ind w:firstLine="600"/>
        <w:rPr>
          <w:color w:val="auto"/>
          <w:sz w:val="30"/>
          <w:szCs w:val="30"/>
          <w:highlight w:val="none"/>
        </w:rPr>
      </w:pPr>
    </w:p>
    <w:p>
      <w:pPr>
        <w:pStyle w:val="3"/>
        <w:ind w:firstLine="600"/>
        <w:jc w:val="center"/>
        <w:rPr>
          <w:b w:val="0"/>
          <w:color w:val="auto"/>
          <w:sz w:val="30"/>
          <w:szCs w:val="30"/>
          <w:highlight w:val="none"/>
        </w:rPr>
      </w:pPr>
    </w:p>
    <w:p>
      <w:pPr>
        <w:ind w:firstLine="600"/>
        <w:rPr>
          <w:color w:val="auto"/>
          <w:sz w:val="30"/>
          <w:szCs w:val="30"/>
          <w:highlight w:val="none"/>
        </w:rPr>
      </w:pPr>
    </w:p>
    <w:p>
      <w:pPr>
        <w:pStyle w:val="10"/>
        <w:ind w:firstLine="600"/>
        <w:rPr>
          <w:color w:val="auto"/>
          <w:sz w:val="30"/>
          <w:szCs w:val="30"/>
          <w:highlight w:val="none"/>
        </w:rPr>
      </w:pPr>
    </w:p>
    <w:p>
      <w:pPr>
        <w:pStyle w:val="15"/>
        <w:ind w:firstLine="422" w:firstLineChars="200"/>
        <w:rPr>
          <w:rFonts w:hint="eastAsia" w:ascii="宋体" w:hAnsi="宋体"/>
          <w:b/>
          <w:color w:val="auto"/>
          <w:sz w:val="21"/>
          <w:szCs w:val="20"/>
          <w:highlight w:val="none"/>
        </w:rPr>
      </w:pPr>
      <w:r>
        <w:rPr>
          <w:rFonts w:hint="eastAsia" w:ascii="宋体" w:hAnsi="宋体"/>
          <w:b/>
          <w:color w:val="auto"/>
          <w:sz w:val="21"/>
          <w:szCs w:val="20"/>
          <w:highlight w:val="none"/>
        </w:rPr>
        <w:t>8分标：</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60"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562" w:type="dxa"/>
            <w:vAlign w:val="center"/>
          </w:tcPr>
          <w:p>
            <w:pPr>
              <w:adjustRightIn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1585"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价格分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（满分20分）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投标报价</w:t>
            </w:r>
          </w:p>
        </w:tc>
        <w:tc>
          <w:tcPr>
            <w:tcW w:w="5901" w:type="dxa"/>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（1）本项目为专门面向中小企业采购的项目，按照《政府采购促进中小企业发展管理办法》（财库〔2020〕46号）的规定，对投标人的投标报价不再执行价格评审优惠的扶持政策。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（2）评标报价为投标人的投标报价，评标报价只是作为评审时使用。最终中标人的中标价格优惠率等于投标报价。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（3）满足招标文件要求且以（1-投标人最高价格优惠率）为评标基准价，基准价得分为  20  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（4）价格分计算公式：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价格分=（1-投标人最高价格优惠率）／（1-某投标人价格优惠率）×20分 </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如：A投标人价格优惠率为30%，B投标人价格优惠率为25%，C投标人价格优惠率为20%，则投标人最高价格优惠率为30%。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技术分</w:t>
            </w:r>
          </w:p>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（满分50分）</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hAnsi="宋体" w:cs="宋体"/>
                <w:bCs/>
                <w:color w:val="auto"/>
                <w:szCs w:val="21"/>
                <w:highlight w:val="none"/>
              </w:rPr>
              <w:t>工程特点、难点分析及监理对策（满分10分）</w:t>
            </w:r>
          </w:p>
        </w:tc>
        <w:tc>
          <w:tcPr>
            <w:tcW w:w="5901" w:type="dxa"/>
            <w:vAlign w:val="center"/>
          </w:tcPr>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评审要点：对工程特点、难点分析，结合本项目的特点，提出该项目应注意的难点，以及解决方法，抓住本项目难点，提出解决措施。</w:t>
            </w:r>
          </w:p>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一档（1分）：</w:t>
            </w:r>
            <w:bookmarkStart w:id="381" w:name="OLE_LINK39"/>
            <w:r>
              <w:rPr>
                <w:rFonts w:hint="eastAsia" w:ascii="宋体" w:hAnsi="宋体" w:cs="宋体"/>
                <w:bCs/>
                <w:color w:val="auto"/>
                <w:szCs w:val="21"/>
                <w:highlight w:val="none"/>
              </w:rPr>
              <w:t>表述不清晰、对工程特点、难点有简单</w:t>
            </w:r>
            <w:bookmarkEnd w:id="381"/>
            <w:r>
              <w:rPr>
                <w:rFonts w:hint="eastAsia" w:ascii="宋体" w:hAnsi="宋体" w:cs="宋体"/>
                <w:bCs/>
                <w:color w:val="auto"/>
                <w:szCs w:val="21"/>
                <w:highlight w:val="none"/>
              </w:rPr>
              <w:t>的分析、内容不完整，不满足要求。</w:t>
            </w:r>
          </w:p>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二档（4分）：表述简单粗略</w:t>
            </w:r>
            <w:bookmarkStart w:id="382" w:name="OLE_LINK6"/>
            <w:r>
              <w:rPr>
                <w:rFonts w:hint="eastAsia" w:ascii="宋体" w:hAnsi="宋体" w:cs="宋体"/>
                <w:bCs/>
                <w:color w:val="auto"/>
                <w:szCs w:val="21"/>
                <w:highlight w:val="none"/>
              </w:rPr>
              <w:t>，对工程特点、难点有简单的分析</w:t>
            </w:r>
            <w:bookmarkEnd w:id="382"/>
            <w:r>
              <w:rPr>
                <w:rFonts w:hint="eastAsia" w:ascii="宋体" w:hAnsi="宋体" w:cs="宋体"/>
                <w:bCs/>
                <w:color w:val="auto"/>
                <w:szCs w:val="21"/>
                <w:highlight w:val="none"/>
              </w:rPr>
              <w:t>，结合本项目的特点，提出该项目应注意的难点和简单的解决方法，内容完整，</w:t>
            </w:r>
            <w:r>
              <w:rPr>
                <w:rFonts w:hint="eastAsia"/>
                <w:color w:val="auto"/>
                <w:highlight w:val="none"/>
              </w:rPr>
              <w:t>能</w:t>
            </w:r>
            <w:r>
              <w:rPr>
                <w:rFonts w:hint="eastAsia" w:ascii="宋体" w:hAnsi="宋体" w:cs="宋体"/>
                <w:bCs/>
                <w:color w:val="auto"/>
                <w:szCs w:val="21"/>
                <w:highlight w:val="none"/>
              </w:rPr>
              <w:t>满足要求。</w:t>
            </w:r>
          </w:p>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三档（7 分）：表述清晰准确，对工程特点、难点有详细的分析，结合本项目的特点，提出该项目应注意的难点和合理的解决方法，抓住本项目难点，提出合理的解决措施，内容完整，满足要求。</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Cs w:val="21"/>
                <w:highlight w:val="none"/>
              </w:rPr>
              <w:t>四档（10分）：表述清晰准确，对工程特点、难点有详细合理的分析，结合本项目的特点，提出该项目应注意的难点和合理可行的解决方法，抓住本项目难点，提出合理可行的解决措施，解决措施具有针对性，内容完整，完全满足要求。</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注：不提供工程特点、难点分析及监理对策不得分。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szCs w:val="21"/>
                <w:highlight w:val="none"/>
              </w:rPr>
              <w:t>质量控制重点及监理措施（满分</w:t>
            </w:r>
            <w:r>
              <w:rPr>
                <w:rFonts w:hint="eastAsia" w:hAnsi="宋体" w:cs="宋体"/>
                <w:bCs/>
                <w:color w:val="auto"/>
                <w:szCs w:val="21"/>
                <w:highlight w:val="none"/>
              </w:rPr>
              <w:t>10</w:t>
            </w:r>
            <w:r>
              <w:rPr>
                <w:rFonts w:hint="eastAsia" w:ascii="宋体" w:hAnsi="宋体" w:cs="宋体"/>
                <w:bCs/>
                <w:color w:val="auto"/>
                <w:szCs w:val="21"/>
                <w:highlight w:val="none"/>
              </w:rPr>
              <w:t>分）</w:t>
            </w:r>
          </w:p>
        </w:tc>
        <w:tc>
          <w:tcPr>
            <w:tcW w:w="5901" w:type="dxa"/>
            <w:vAlign w:val="center"/>
          </w:tcPr>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评审要点：质量控制重点分析，质量目标分解，质量控制体系，质量控制措施，控制手段。</w:t>
            </w:r>
          </w:p>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一档（1 分）：对质量控制重点有简单的分析；质量目标分解、规划不合理，质量控制体系不健全。</w:t>
            </w:r>
          </w:p>
          <w:p>
            <w:pPr>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二档（4分）：对质量控制重点有简单的分析；质量目标分解、规划合理，质量控制体系健全，有简略的质量控制措施和控制手段。</w:t>
            </w:r>
          </w:p>
          <w:p>
            <w:pPr>
              <w:widowControl/>
              <w:adjustRightInd w:val="0"/>
              <w:snapToGrid w:val="0"/>
              <w:spacing w:line="360" w:lineRule="auto"/>
              <w:ind w:firstLine="411" w:firstLineChars="196"/>
              <w:jc w:val="left"/>
              <w:rPr>
                <w:rFonts w:hint="eastAsia" w:ascii="宋体" w:hAnsi="宋体" w:cs="宋体"/>
                <w:bCs/>
                <w:color w:val="auto"/>
                <w:szCs w:val="21"/>
                <w:highlight w:val="none"/>
              </w:rPr>
            </w:pPr>
            <w:r>
              <w:rPr>
                <w:rFonts w:hint="eastAsia" w:ascii="宋体" w:hAnsi="宋体" w:cs="宋体"/>
                <w:bCs/>
                <w:color w:val="auto"/>
                <w:szCs w:val="21"/>
                <w:highlight w:val="none"/>
              </w:rPr>
              <w:t>三档（7分）：对质量控制重点有详细的分析，分析明确到位；质量目标分解、规划合理、可行，质量控制体系健全，质量控制措施和控制手段有效可靠。</w:t>
            </w:r>
          </w:p>
          <w:p>
            <w:pPr>
              <w:widowControl/>
              <w:adjustRightInd w:val="0"/>
              <w:snapToGrid w:val="0"/>
              <w:spacing w:line="360" w:lineRule="auto"/>
              <w:ind w:firstLine="411" w:firstLineChars="196"/>
              <w:jc w:val="left"/>
              <w:rPr>
                <w:rFonts w:hint="eastAsia" w:ascii="宋体" w:hAnsi="宋体" w:cs="宋体"/>
                <w:bCs/>
                <w:color w:val="auto"/>
                <w:kern w:val="0"/>
                <w:szCs w:val="21"/>
                <w:highlight w:val="none"/>
              </w:rPr>
            </w:pPr>
            <w:r>
              <w:rPr>
                <w:rFonts w:hint="eastAsia" w:ascii="宋体" w:hAnsi="宋体" w:cs="宋体"/>
                <w:bCs/>
                <w:color w:val="auto"/>
                <w:szCs w:val="21"/>
                <w:highlight w:val="none"/>
              </w:rPr>
              <w:t>四档（10分）：对质量控制重点有详细合理的分析，分析明确清晰，切合实际；质量目标分解、规划合理可行，质量控制体系完整健全，质量控制措施严密可靠，控制手段可行、具有针对性。</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w:t>
            </w:r>
            <w:r>
              <w:rPr>
                <w:rFonts w:hint="eastAsia" w:ascii="宋体" w:hAnsi="宋体" w:cs="宋体"/>
                <w:bCs/>
                <w:color w:val="auto"/>
                <w:szCs w:val="21"/>
                <w:highlight w:val="none"/>
              </w:rPr>
              <w:t>质量控制重点及监理措施</w:t>
            </w:r>
            <w:r>
              <w:rPr>
                <w:rFonts w:hint="eastAsia" w:ascii="宋体" w:hAnsi="宋体" w:cs="宋体"/>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szCs w:val="21"/>
                <w:highlight w:val="none"/>
              </w:rPr>
              <w:t>进度控制重点及监理措施（满分10分）</w:t>
            </w:r>
          </w:p>
        </w:tc>
        <w:tc>
          <w:tcPr>
            <w:tcW w:w="5901" w:type="dxa"/>
            <w:vAlign w:val="center"/>
          </w:tcPr>
          <w:p>
            <w:pPr>
              <w:adjustRightInd w:val="0"/>
              <w:snapToGrid w:val="0"/>
              <w:spacing w:line="360" w:lineRule="auto"/>
              <w:ind w:left="-88" w:leftChars="-42" w:firstLine="420"/>
              <w:rPr>
                <w:rFonts w:hint="eastAsia" w:ascii="宋体" w:hAnsi="宋体"/>
                <w:bCs/>
                <w:color w:val="auto"/>
                <w:szCs w:val="21"/>
                <w:highlight w:val="none"/>
              </w:rPr>
            </w:pPr>
            <w:r>
              <w:rPr>
                <w:rFonts w:hint="eastAsia" w:ascii="宋体" w:hAnsi="宋体" w:cs="宋体"/>
                <w:bCs/>
                <w:color w:val="auto"/>
                <w:szCs w:val="21"/>
                <w:highlight w:val="none"/>
              </w:rPr>
              <w:t>评审要点</w:t>
            </w:r>
            <w:r>
              <w:rPr>
                <w:rFonts w:hint="eastAsia"/>
                <w:bCs/>
                <w:color w:val="auto"/>
                <w:szCs w:val="21"/>
                <w:highlight w:val="none"/>
              </w:rPr>
              <w:t>：节点或阶段工期，进度控制重点；工期总进度计划网络图，工期控制点设置，控制措施与手段。</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一档（1分）：工作计划内容粗略，时间节点模糊，</w:t>
            </w:r>
            <w:r>
              <w:rPr>
                <w:bCs/>
                <w:color w:val="auto"/>
                <w:szCs w:val="21"/>
                <w:highlight w:val="none"/>
              </w:rPr>
              <w:t>工期总进度控制方法、流程、措施不</w:t>
            </w:r>
            <w:r>
              <w:rPr>
                <w:rFonts w:hint="eastAsia"/>
                <w:bCs/>
                <w:color w:val="auto"/>
                <w:szCs w:val="21"/>
                <w:highlight w:val="none"/>
              </w:rPr>
              <w:t>合理</w:t>
            </w:r>
            <w:r>
              <w:rPr>
                <w:bCs/>
                <w:color w:val="auto"/>
                <w:szCs w:val="21"/>
                <w:highlight w:val="none"/>
              </w:rPr>
              <w:t>，工期控制点设置不合理</w:t>
            </w:r>
            <w:r>
              <w:rPr>
                <w:rFonts w:hint="eastAsia"/>
                <w:bCs/>
                <w:color w:val="auto"/>
                <w:szCs w:val="21"/>
                <w:highlight w:val="none"/>
              </w:rPr>
              <w:t>，</w:t>
            </w:r>
            <w:r>
              <w:rPr>
                <w:rFonts w:hint="eastAsia" w:ascii="宋体" w:hAnsi="宋体"/>
                <w:bCs/>
                <w:color w:val="auto"/>
                <w:szCs w:val="21"/>
                <w:highlight w:val="none"/>
              </w:rPr>
              <w:t>对项目顺利进展造成影响。</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二档（4分）：工作计划内容详细，</w:t>
            </w:r>
            <w:r>
              <w:rPr>
                <w:bCs/>
                <w:color w:val="auto"/>
                <w:szCs w:val="21"/>
                <w:highlight w:val="none"/>
              </w:rPr>
              <w:t>节点或阶段工期、进度控制重点明确</w:t>
            </w:r>
            <w:r>
              <w:rPr>
                <w:rFonts w:hint="eastAsia"/>
                <w:bCs/>
                <w:color w:val="auto"/>
                <w:szCs w:val="21"/>
                <w:highlight w:val="none"/>
              </w:rPr>
              <w:t>，</w:t>
            </w:r>
            <w:r>
              <w:rPr>
                <w:bCs/>
                <w:color w:val="auto"/>
                <w:szCs w:val="21"/>
                <w:highlight w:val="none"/>
              </w:rPr>
              <w:t>工期总进度控制方法、流程、措施</w:t>
            </w:r>
            <w:r>
              <w:rPr>
                <w:rFonts w:hint="eastAsia"/>
                <w:bCs/>
                <w:color w:val="auto"/>
                <w:szCs w:val="21"/>
                <w:highlight w:val="none"/>
              </w:rPr>
              <w:t>合理，能保障项目正常进行。</w:t>
            </w:r>
          </w:p>
          <w:p>
            <w:pPr>
              <w:widowControl/>
              <w:adjustRightInd w:val="0"/>
              <w:snapToGrid w:val="0"/>
              <w:spacing w:line="360" w:lineRule="auto"/>
              <w:ind w:firstLine="420" w:firstLineChars="200"/>
              <w:rPr>
                <w:bCs/>
                <w:color w:val="auto"/>
                <w:szCs w:val="21"/>
                <w:highlight w:val="none"/>
              </w:rPr>
            </w:pPr>
            <w:r>
              <w:rPr>
                <w:rFonts w:hint="eastAsia" w:ascii="宋体" w:hAnsi="宋体"/>
                <w:bCs/>
                <w:color w:val="auto"/>
                <w:szCs w:val="21"/>
                <w:highlight w:val="none"/>
              </w:rPr>
              <w:t>三档（7分）：工作计划内容详细、全面，</w:t>
            </w:r>
            <w:r>
              <w:rPr>
                <w:bCs/>
                <w:color w:val="auto"/>
                <w:szCs w:val="21"/>
                <w:highlight w:val="none"/>
              </w:rPr>
              <w:t>节点或阶段工期、进度控制重点明确</w:t>
            </w:r>
            <w:r>
              <w:rPr>
                <w:rFonts w:hint="eastAsia"/>
                <w:bCs/>
                <w:color w:val="auto"/>
                <w:szCs w:val="21"/>
                <w:highlight w:val="none"/>
              </w:rPr>
              <w:t>，</w:t>
            </w:r>
            <w:r>
              <w:rPr>
                <w:bCs/>
                <w:color w:val="auto"/>
                <w:szCs w:val="21"/>
                <w:highlight w:val="none"/>
              </w:rPr>
              <w:t>工期总进度控制方法、流程、措施</w:t>
            </w:r>
            <w:r>
              <w:rPr>
                <w:rFonts w:hint="eastAsia"/>
                <w:bCs/>
                <w:color w:val="auto"/>
                <w:szCs w:val="21"/>
                <w:highlight w:val="none"/>
              </w:rPr>
              <w:t>合理。</w:t>
            </w:r>
            <w:r>
              <w:rPr>
                <w:rFonts w:hint="eastAsia" w:ascii="宋体" w:hAnsi="宋体"/>
                <w:bCs/>
                <w:color w:val="auto"/>
                <w:szCs w:val="21"/>
                <w:highlight w:val="none"/>
              </w:rPr>
              <w:t>对项目实施设置了管理机构和岗位职责，机构设置、人员配备和设备投入、工期保证措施满足项目实施要求，</w:t>
            </w:r>
            <w:r>
              <w:rPr>
                <w:rFonts w:hint="eastAsia"/>
                <w:bCs/>
                <w:color w:val="auto"/>
                <w:szCs w:val="21"/>
                <w:highlight w:val="none"/>
              </w:rPr>
              <w:t>能保障项目顺利进行。</w:t>
            </w:r>
          </w:p>
          <w:p>
            <w:pPr>
              <w:widowControl/>
              <w:adjustRightInd w:val="0"/>
              <w:snapToGrid w:val="0"/>
              <w:spacing w:line="360" w:lineRule="auto"/>
              <w:ind w:firstLine="420" w:firstLineChars="200"/>
              <w:rPr>
                <w:bCs/>
                <w:color w:val="auto"/>
                <w:szCs w:val="21"/>
                <w:highlight w:val="none"/>
              </w:rPr>
            </w:pPr>
            <w:r>
              <w:rPr>
                <w:rFonts w:hint="eastAsia" w:ascii="宋体" w:hAnsi="宋体"/>
                <w:bCs/>
                <w:color w:val="auto"/>
                <w:szCs w:val="21"/>
                <w:highlight w:val="none"/>
              </w:rPr>
              <w:t>四档（10分）：工作计划内容详细周密，</w:t>
            </w:r>
            <w:r>
              <w:rPr>
                <w:bCs/>
                <w:color w:val="auto"/>
                <w:szCs w:val="21"/>
                <w:highlight w:val="none"/>
              </w:rPr>
              <w:t>节点或阶段工期、进度控制重点明确</w:t>
            </w:r>
            <w:r>
              <w:rPr>
                <w:rFonts w:hint="eastAsia"/>
                <w:bCs/>
                <w:color w:val="auto"/>
                <w:szCs w:val="21"/>
                <w:highlight w:val="none"/>
              </w:rPr>
              <w:t>清晰、合理，</w:t>
            </w:r>
            <w:r>
              <w:rPr>
                <w:bCs/>
                <w:color w:val="auto"/>
                <w:szCs w:val="21"/>
                <w:highlight w:val="none"/>
              </w:rPr>
              <w:t>工期总进度控制方法、流程、措施</w:t>
            </w:r>
            <w:r>
              <w:rPr>
                <w:rFonts w:hint="eastAsia"/>
                <w:bCs/>
                <w:color w:val="auto"/>
                <w:szCs w:val="21"/>
                <w:highlight w:val="none"/>
              </w:rPr>
              <w:t>合理可行。</w:t>
            </w:r>
            <w:r>
              <w:rPr>
                <w:rFonts w:hint="eastAsia" w:ascii="宋体" w:hAnsi="宋体"/>
                <w:bCs/>
                <w:color w:val="auto"/>
                <w:szCs w:val="21"/>
                <w:highlight w:val="none"/>
              </w:rPr>
              <w:t>对项目实施设置了管理机构和岗位职责，机构设置、人员配备和设备投入、工期保证措施完全满足项目实施要求，</w:t>
            </w:r>
            <w:r>
              <w:rPr>
                <w:rFonts w:hint="eastAsia"/>
                <w:bCs/>
                <w:color w:val="auto"/>
                <w:szCs w:val="21"/>
                <w:highlight w:val="none"/>
              </w:rPr>
              <w:t>能保障项目圆满完成。</w:t>
            </w:r>
          </w:p>
          <w:p>
            <w:pPr>
              <w:widowControl/>
              <w:snapToGrid w:val="0"/>
              <w:spacing w:line="360" w:lineRule="auto"/>
              <w:ind w:firstLine="420" w:firstLineChars="200"/>
              <w:rPr>
                <w:bCs/>
                <w:color w:val="auto"/>
                <w:szCs w:val="21"/>
                <w:highlight w:val="none"/>
              </w:rPr>
            </w:pPr>
            <w:r>
              <w:rPr>
                <w:rFonts w:hint="eastAsia" w:ascii="宋体" w:hAnsi="宋体" w:cs="宋体"/>
                <w:bCs/>
                <w:color w:val="auto"/>
                <w:kern w:val="0"/>
                <w:szCs w:val="21"/>
                <w:highlight w:val="none"/>
              </w:rPr>
              <w:t>注：不提供</w:t>
            </w:r>
            <w:r>
              <w:rPr>
                <w:rFonts w:hint="eastAsia" w:ascii="宋体" w:hAnsi="宋体" w:cs="宋体"/>
                <w:bCs/>
                <w:color w:val="auto"/>
                <w:szCs w:val="21"/>
                <w:highlight w:val="none"/>
              </w:rPr>
              <w:t>进度控制重点及监理措施</w:t>
            </w:r>
            <w:r>
              <w:rPr>
                <w:rFonts w:hint="eastAsia" w:ascii="宋体" w:hAnsi="宋体" w:cs="宋体"/>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szCs w:val="21"/>
                <w:highlight w:val="none"/>
              </w:rPr>
              <w:t>投资控制重点及监理措施（满分</w:t>
            </w:r>
            <w:r>
              <w:rPr>
                <w:rFonts w:hint="eastAsia" w:hAnsi="宋体" w:cs="宋体"/>
                <w:bCs/>
                <w:color w:val="auto"/>
                <w:szCs w:val="21"/>
                <w:highlight w:val="none"/>
              </w:rPr>
              <w:t>10</w:t>
            </w:r>
            <w:r>
              <w:rPr>
                <w:rFonts w:hint="eastAsia" w:ascii="宋体" w:hAnsi="宋体" w:cs="宋体"/>
                <w:bCs/>
                <w:color w:val="auto"/>
                <w:szCs w:val="21"/>
                <w:highlight w:val="none"/>
              </w:rPr>
              <w:t>分）</w:t>
            </w:r>
          </w:p>
        </w:tc>
        <w:tc>
          <w:tcPr>
            <w:tcW w:w="5901" w:type="dxa"/>
            <w:vAlign w:val="center"/>
          </w:tcPr>
          <w:p>
            <w:pPr>
              <w:pStyle w:val="52"/>
              <w:spacing w:line="360" w:lineRule="auto"/>
              <w:ind w:firstLine="420" w:firstLineChars="200"/>
              <w:rPr>
                <w:bCs/>
                <w:color w:val="auto"/>
                <w:sz w:val="21"/>
                <w:szCs w:val="21"/>
                <w:highlight w:val="none"/>
              </w:rPr>
            </w:pPr>
            <w:r>
              <w:rPr>
                <w:rFonts w:hint="eastAsia" w:ascii="宋体" w:hAnsi="宋体" w:cs="宋体"/>
                <w:bCs/>
                <w:color w:val="auto"/>
                <w:sz w:val="21"/>
                <w:szCs w:val="21"/>
                <w:highlight w:val="none"/>
              </w:rPr>
              <w:t>评审要点</w:t>
            </w:r>
            <w:r>
              <w:rPr>
                <w:rFonts w:hint="eastAsia"/>
                <w:bCs/>
                <w:color w:val="auto"/>
                <w:sz w:val="21"/>
                <w:szCs w:val="21"/>
                <w:highlight w:val="none"/>
              </w:rPr>
              <w:t>：投资控制重点分析；风险预测与防范对策；投资控制重点；控制措施与手段。</w:t>
            </w:r>
          </w:p>
          <w:p>
            <w:pPr>
              <w:pStyle w:val="52"/>
              <w:spacing w:line="360" w:lineRule="auto"/>
              <w:ind w:firstLine="420" w:firstLineChars="200"/>
              <w:rPr>
                <w:rFonts w:eastAsia="宋体"/>
                <w:bCs/>
                <w:color w:val="auto"/>
                <w:kern w:val="2"/>
                <w:sz w:val="21"/>
                <w:szCs w:val="21"/>
                <w:highlight w:val="none"/>
              </w:rPr>
            </w:pPr>
            <w:r>
              <w:rPr>
                <w:rFonts w:hint="eastAsia" w:eastAsia="宋体"/>
                <w:bCs/>
                <w:color w:val="auto"/>
                <w:kern w:val="2"/>
                <w:sz w:val="21"/>
                <w:szCs w:val="21"/>
                <w:highlight w:val="none"/>
              </w:rPr>
              <w:t>一档（1</w:t>
            </w:r>
            <w:r>
              <w:rPr>
                <w:rFonts w:eastAsia="宋体"/>
                <w:bCs/>
                <w:color w:val="auto"/>
                <w:kern w:val="2"/>
                <w:sz w:val="21"/>
                <w:szCs w:val="21"/>
                <w:highlight w:val="none"/>
              </w:rPr>
              <w:t>分</w:t>
            </w:r>
            <w:r>
              <w:rPr>
                <w:rFonts w:hint="eastAsia" w:eastAsia="宋体"/>
                <w:bCs/>
                <w:color w:val="auto"/>
                <w:kern w:val="2"/>
                <w:sz w:val="21"/>
                <w:szCs w:val="21"/>
                <w:highlight w:val="none"/>
              </w:rPr>
              <w:t>）</w:t>
            </w:r>
            <w:r>
              <w:rPr>
                <w:rFonts w:eastAsia="宋体"/>
                <w:bCs/>
                <w:color w:val="auto"/>
                <w:kern w:val="2"/>
                <w:sz w:val="21"/>
                <w:szCs w:val="21"/>
                <w:highlight w:val="none"/>
              </w:rPr>
              <w:t>：投资控制重点分析不</w:t>
            </w:r>
            <w:r>
              <w:rPr>
                <w:rFonts w:hint="eastAsia" w:eastAsia="宋体"/>
                <w:bCs/>
                <w:color w:val="auto"/>
                <w:kern w:val="2"/>
                <w:sz w:val="21"/>
                <w:szCs w:val="21"/>
                <w:highlight w:val="none"/>
              </w:rPr>
              <w:t>清晰</w:t>
            </w:r>
            <w:r>
              <w:rPr>
                <w:rFonts w:eastAsia="宋体"/>
                <w:bCs/>
                <w:color w:val="auto"/>
                <w:kern w:val="2"/>
                <w:sz w:val="21"/>
                <w:szCs w:val="21"/>
                <w:highlight w:val="none"/>
              </w:rPr>
              <w:t>；风险预测与防范对策不</w:t>
            </w:r>
            <w:r>
              <w:rPr>
                <w:rFonts w:hint="eastAsia" w:eastAsia="宋体"/>
                <w:bCs/>
                <w:color w:val="auto"/>
                <w:kern w:val="2"/>
                <w:sz w:val="21"/>
                <w:szCs w:val="21"/>
                <w:highlight w:val="none"/>
              </w:rPr>
              <w:t>切实际</w:t>
            </w:r>
            <w:r>
              <w:rPr>
                <w:rFonts w:eastAsia="宋体"/>
                <w:bCs/>
                <w:color w:val="auto"/>
                <w:kern w:val="2"/>
                <w:sz w:val="21"/>
                <w:szCs w:val="21"/>
                <w:highlight w:val="none"/>
              </w:rPr>
              <w:t>；投资控制重点不明确；控制措施与手段不</w:t>
            </w:r>
            <w:r>
              <w:rPr>
                <w:rFonts w:hint="eastAsia" w:eastAsia="宋体"/>
                <w:bCs/>
                <w:color w:val="auto"/>
                <w:kern w:val="2"/>
                <w:sz w:val="21"/>
                <w:szCs w:val="21"/>
                <w:highlight w:val="none"/>
              </w:rPr>
              <w:t>清晰</w:t>
            </w:r>
            <w:r>
              <w:rPr>
                <w:rFonts w:eastAsia="宋体"/>
                <w:bCs/>
                <w:color w:val="auto"/>
                <w:kern w:val="2"/>
                <w:sz w:val="21"/>
                <w:szCs w:val="21"/>
                <w:highlight w:val="none"/>
              </w:rPr>
              <w:t>。</w:t>
            </w:r>
          </w:p>
          <w:p>
            <w:pPr>
              <w:pStyle w:val="52"/>
              <w:spacing w:line="360" w:lineRule="auto"/>
              <w:ind w:firstLine="420" w:firstLineChars="200"/>
              <w:rPr>
                <w:rFonts w:eastAsia="宋体"/>
                <w:bCs/>
                <w:color w:val="auto"/>
                <w:kern w:val="2"/>
                <w:sz w:val="21"/>
                <w:szCs w:val="21"/>
                <w:highlight w:val="none"/>
              </w:rPr>
            </w:pPr>
            <w:r>
              <w:rPr>
                <w:rFonts w:hint="eastAsia" w:eastAsia="宋体"/>
                <w:bCs/>
                <w:color w:val="auto"/>
                <w:kern w:val="2"/>
                <w:sz w:val="21"/>
                <w:szCs w:val="21"/>
                <w:highlight w:val="none"/>
              </w:rPr>
              <w:t>二档</w:t>
            </w:r>
            <w:r>
              <w:rPr>
                <w:rFonts w:eastAsia="宋体"/>
                <w:bCs/>
                <w:color w:val="auto"/>
                <w:kern w:val="2"/>
                <w:sz w:val="21"/>
                <w:szCs w:val="21"/>
                <w:highlight w:val="none"/>
              </w:rPr>
              <w:t>（</w:t>
            </w:r>
            <w:r>
              <w:rPr>
                <w:rFonts w:hint="eastAsia" w:eastAsia="宋体"/>
                <w:bCs/>
                <w:color w:val="auto"/>
                <w:kern w:val="2"/>
                <w:sz w:val="21"/>
                <w:szCs w:val="21"/>
                <w:highlight w:val="none"/>
              </w:rPr>
              <w:t>4</w:t>
            </w:r>
            <w:r>
              <w:rPr>
                <w:rFonts w:eastAsia="宋体"/>
                <w:bCs/>
                <w:color w:val="auto"/>
                <w:kern w:val="2"/>
                <w:sz w:val="21"/>
                <w:szCs w:val="21"/>
                <w:highlight w:val="none"/>
              </w:rPr>
              <w:t>分）：投资控制重点分析</w:t>
            </w:r>
            <w:r>
              <w:rPr>
                <w:rFonts w:hint="eastAsia" w:eastAsia="宋体"/>
                <w:bCs/>
                <w:color w:val="auto"/>
                <w:kern w:val="2"/>
                <w:sz w:val="21"/>
                <w:szCs w:val="21"/>
                <w:highlight w:val="none"/>
              </w:rPr>
              <w:t>清晰</w:t>
            </w:r>
            <w:r>
              <w:rPr>
                <w:rFonts w:eastAsia="宋体"/>
                <w:bCs/>
                <w:color w:val="auto"/>
                <w:kern w:val="2"/>
                <w:sz w:val="21"/>
                <w:szCs w:val="21"/>
                <w:highlight w:val="none"/>
              </w:rPr>
              <w:t>；风险预测与防范对策</w:t>
            </w:r>
            <w:r>
              <w:rPr>
                <w:rFonts w:hint="eastAsia" w:eastAsia="宋体"/>
                <w:bCs/>
                <w:color w:val="auto"/>
                <w:kern w:val="2"/>
                <w:sz w:val="21"/>
                <w:szCs w:val="21"/>
                <w:highlight w:val="none"/>
              </w:rPr>
              <w:t>切合实际</w:t>
            </w:r>
            <w:r>
              <w:rPr>
                <w:rFonts w:eastAsia="宋体"/>
                <w:bCs/>
                <w:color w:val="auto"/>
                <w:kern w:val="2"/>
                <w:sz w:val="21"/>
                <w:szCs w:val="21"/>
                <w:highlight w:val="none"/>
              </w:rPr>
              <w:t>；投资控制重点明确；控制措施与手段健全。</w:t>
            </w:r>
          </w:p>
          <w:p>
            <w:pPr>
              <w:pStyle w:val="52"/>
              <w:snapToGrid w:val="0"/>
              <w:spacing w:line="360" w:lineRule="auto"/>
              <w:ind w:firstLine="420" w:firstLineChars="200"/>
              <w:rPr>
                <w:rFonts w:eastAsia="宋体"/>
                <w:bCs/>
                <w:color w:val="auto"/>
                <w:kern w:val="2"/>
                <w:sz w:val="21"/>
                <w:szCs w:val="21"/>
                <w:highlight w:val="none"/>
              </w:rPr>
            </w:pPr>
            <w:r>
              <w:rPr>
                <w:rFonts w:hint="eastAsia" w:eastAsia="宋体"/>
                <w:bCs/>
                <w:color w:val="auto"/>
                <w:kern w:val="2"/>
                <w:sz w:val="21"/>
                <w:szCs w:val="21"/>
                <w:highlight w:val="none"/>
              </w:rPr>
              <w:t>三档</w:t>
            </w:r>
            <w:r>
              <w:rPr>
                <w:rFonts w:eastAsia="宋体"/>
                <w:bCs/>
                <w:color w:val="auto"/>
                <w:kern w:val="2"/>
                <w:sz w:val="21"/>
                <w:szCs w:val="21"/>
                <w:highlight w:val="none"/>
              </w:rPr>
              <w:t>（</w:t>
            </w:r>
            <w:r>
              <w:rPr>
                <w:rFonts w:hint="eastAsia" w:eastAsia="宋体"/>
                <w:bCs/>
                <w:color w:val="auto"/>
                <w:kern w:val="2"/>
                <w:sz w:val="21"/>
                <w:szCs w:val="21"/>
                <w:highlight w:val="none"/>
              </w:rPr>
              <w:t>7</w:t>
            </w:r>
            <w:r>
              <w:rPr>
                <w:rFonts w:eastAsia="宋体"/>
                <w:bCs/>
                <w:color w:val="auto"/>
                <w:kern w:val="2"/>
                <w:sz w:val="21"/>
                <w:szCs w:val="21"/>
                <w:highlight w:val="none"/>
              </w:rPr>
              <w:t>分）：投资控制重点分析</w:t>
            </w:r>
            <w:r>
              <w:rPr>
                <w:rFonts w:hint="eastAsia" w:eastAsia="宋体"/>
                <w:bCs/>
                <w:color w:val="auto"/>
                <w:kern w:val="2"/>
                <w:sz w:val="21"/>
                <w:szCs w:val="21"/>
                <w:highlight w:val="none"/>
              </w:rPr>
              <w:t>全面、清晰</w:t>
            </w:r>
            <w:r>
              <w:rPr>
                <w:rFonts w:eastAsia="宋体"/>
                <w:bCs/>
                <w:color w:val="auto"/>
                <w:kern w:val="2"/>
                <w:sz w:val="21"/>
                <w:szCs w:val="21"/>
                <w:highlight w:val="none"/>
              </w:rPr>
              <w:t>；风险预测与防范对策</w:t>
            </w:r>
            <w:r>
              <w:rPr>
                <w:rFonts w:hint="eastAsia" w:eastAsia="宋体"/>
                <w:bCs/>
                <w:color w:val="auto"/>
                <w:kern w:val="2"/>
                <w:sz w:val="21"/>
                <w:szCs w:val="21"/>
                <w:highlight w:val="none"/>
              </w:rPr>
              <w:t>切合实际</w:t>
            </w:r>
            <w:r>
              <w:rPr>
                <w:rFonts w:eastAsia="宋体"/>
                <w:bCs/>
                <w:color w:val="auto"/>
                <w:kern w:val="2"/>
                <w:sz w:val="21"/>
                <w:szCs w:val="21"/>
                <w:highlight w:val="none"/>
              </w:rPr>
              <w:t>；投资控制重点明确</w:t>
            </w:r>
            <w:r>
              <w:rPr>
                <w:rFonts w:hint="eastAsia" w:eastAsia="宋体"/>
                <w:bCs/>
                <w:color w:val="auto"/>
                <w:kern w:val="2"/>
                <w:sz w:val="21"/>
                <w:szCs w:val="21"/>
                <w:highlight w:val="none"/>
              </w:rPr>
              <w:t>突出</w:t>
            </w:r>
            <w:r>
              <w:rPr>
                <w:rFonts w:eastAsia="宋体"/>
                <w:bCs/>
                <w:color w:val="auto"/>
                <w:kern w:val="2"/>
                <w:sz w:val="21"/>
                <w:szCs w:val="21"/>
                <w:highlight w:val="none"/>
              </w:rPr>
              <w:t>；控制措施与手段</w:t>
            </w:r>
            <w:r>
              <w:rPr>
                <w:rFonts w:hint="eastAsia" w:eastAsia="宋体"/>
                <w:bCs/>
                <w:color w:val="auto"/>
                <w:kern w:val="2"/>
                <w:sz w:val="21"/>
                <w:szCs w:val="21"/>
                <w:highlight w:val="none"/>
              </w:rPr>
              <w:t>严密可行</w:t>
            </w:r>
            <w:r>
              <w:rPr>
                <w:rFonts w:eastAsia="宋体"/>
                <w:bCs/>
                <w:color w:val="auto"/>
                <w:kern w:val="2"/>
                <w:sz w:val="21"/>
                <w:szCs w:val="21"/>
                <w:highlight w:val="none"/>
              </w:rPr>
              <w:t>；能提出有效的合理化建议，降低工程投资。</w:t>
            </w:r>
          </w:p>
          <w:p>
            <w:pPr>
              <w:pStyle w:val="52"/>
              <w:snapToGrid w:val="0"/>
              <w:spacing w:line="360" w:lineRule="auto"/>
              <w:ind w:firstLine="420" w:firstLineChars="200"/>
              <w:rPr>
                <w:rFonts w:hAnsi="宋体" w:cs="宋体"/>
                <w:bCs/>
                <w:color w:val="auto"/>
                <w:sz w:val="21"/>
                <w:szCs w:val="21"/>
                <w:highlight w:val="none"/>
              </w:rPr>
            </w:pPr>
            <w:r>
              <w:rPr>
                <w:rFonts w:hint="eastAsia"/>
                <w:bCs/>
                <w:color w:val="auto"/>
                <w:kern w:val="2"/>
                <w:sz w:val="21"/>
                <w:szCs w:val="21"/>
                <w:highlight w:val="none"/>
              </w:rPr>
              <w:t>四档</w:t>
            </w:r>
            <w:r>
              <w:rPr>
                <w:bCs/>
                <w:color w:val="auto"/>
                <w:kern w:val="2"/>
                <w:sz w:val="21"/>
                <w:szCs w:val="21"/>
                <w:highlight w:val="none"/>
              </w:rPr>
              <w:t>（</w:t>
            </w:r>
            <w:r>
              <w:rPr>
                <w:rFonts w:hint="eastAsia"/>
                <w:bCs/>
                <w:color w:val="auto"/>
                <w:kern w:val="2"/>
                <w:sz w:val="21"/>
                <w:szCs w:val="21"/>
                <w:highlight w:val="none"/>
              </w:rPr>
              <w:t>10</w:t>
            </w:r>
            <w:r>
              <w:rPr>
                <w:bCs/>
                <w:color w:val="auto"/>
                <w:kern w:val="2"/>
                <w:sz w:val="21"/>
                <w:szCs w:val="21"/>
                <w:highlight w:val="none"/>
              </w:rPr>
              <w:t>分）：投资控制重点分析</w:t>
            </w:r>
            <w:r>
              <w:rPr>
                <w:rFonts w:hint="eastAsia"/>
                <w:bCs/>
                <w:color w:val="auto"/>
                <w:kern w:val="2"/>
                <w:sz w:val="21"/>
                <w:szCs w:val="21"/>
                <w:highlight w:val="none"/>
              </w:rPr>
              <w:t>全面深入、清晰</w:t>
            </w:r>
            <w:r>
              <w:rPr>
                <w:rFonts w:hint="eastAsia" w:eastAsia="宋体"/>
                <w:bCs/>
                <w:color w:val="auto"/>
                <w:kern w:val="2"/>
                <w:sz w:val="21"/>
                <w:szCs w:val="21"/>
                <w:highlight w:val="none"/>
              </w:rPr>
              <w:t>合理</w:t>
            </w:r>
            <w:r>
              <w:rPr>
                <w:bCs/>
                <w:color w:val="auto"/>
                <w:kern w:val="2"/>
                <w:sz w:val="21"/>
                <w:szCs w:val="21"/>
                <w:highlight w:val="none"/>
              </w:rPr>
              <w:t>；风险预测与防范对策</w:t>
            </w:r>
            <w:r>
              <w:rPr>
                <w:rFonts w:hint="eastAsia"/>
                <w:bCs/>
                <w:color w:val="auto"/>
                <w:kern w:val="2"/>
                <w:sz w:val="21"/>
                <w:szCs w:val="21"/>
                <w:highlight w:val="none"/>
              </w:rPr>
              <w:t>严谨周密</w:t>
            </w:r>
            <w:r>
              <w:rPr>
                <w:bCs/>
                <w:color w:val="auto"/>
                <w:kern w:val="2"/>
                <w:sz w:val="21"/>
                <w:szCs w:val="21"/>
                <w:highlight w:val="none"/>
              </w:rPr>
              <w:t>；能抓住工程费用最易超支的环节，明确投资控制重点；控制措施与手段</w:t>
            </w:r>
            <w:r>
              <w:rPr>
                <w:rFonts w:hint="eastAsia" w:eastAsia="宋体"/>
                <w:bCs/>
                <w:color w:val="auto"/>
                <w:kern w:val="2"/>
                <w:sz w:val="21"/>
                <w:szCs w:val="21"/>
                <w:highlight w:val="none"/>
              </w:rPr>
              <w:t>合理可行</w:t>
            </w:r>
            <w:r>
              <w:rPr>
                <w:bCs/>
                <w:color w:val="auto"/>
                <w:kern w:val="2"/>
                <w:sz w:val="21"/>
                <w:szCs w:val="21"/>
                <w:highlight w:val="none"/>
              </w:rPr>
              <w:t>；能兼顾工期与质量目标，落实</w:t>
            </w:r>
            <w:r>
              <w:rPr>
                <w:rFonts w:hint="eastAsia"/>
                <w:bCs/>
                <w:color w:val="auto"/>
                <w:kern w:val="2"/>
                <w:sz w:val="21"/>
                <w:szCs w:val="21"/>
                <w:highlight w:val="none"/>
              </w:rPr>
              <w:t>采购</w:t>
            </w:r>
            <w:r>
              <w:rPr>
                <w:bCs/>
                <w:color w:val="auto"/>
                <w:kern w:val="2"/>
                <w:sz w:val="21"/>
                <w:szCs w:val="21"/>
                <w:highlight w:val="none"/>
              </w:rPr>
              <w:t>人确定的资金流量；能提出有效的合理化建议，降低工程投资</w:t>
            </w:r>
            <w:r>
              <w:rPr>
                <w:rFonts w:hint="eastAsia" w:hAnsi="宋体" w:cs="宋体"/>
                <w:bCs/>
                <w:color w:val="auto"/>
                <w:sz w:val="21"/>
                <w:szCs w:val="21"/>
                <w:highlight w:val="none"/>
              </w:rPr>
              <w:t>。</w:t>
            </w:r>
          </w:p>
          <w:p>
            <w:pPr>
              <w:pStyle w:val="52"/>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注：不提供投资控制重点及监理措施不得分。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szCs w:val="21"/>
                <w:highlight w:val="none"/>
              </w:rPr>
              <w:t>环境保护及安全文明施工监理措施（满分</w:t>
            </w:r>
            <w:r>
              <w:rPr>
                <w:rFonts w:hint="eastAsia" w:hAnsi="宋体" w:cs="宋体"/>
                <w:bCs/>
                <w:color w:val="auto"/>
                <w:szCs w:val="21"/>
                <w:highlight w:val="none"/>
              </w:rPr>
              <w:t>10</w:t>
            </w:r>
            <w:r>
              <w:rPr>
                <w:rFonts w:hint="eastAsia" w:ascii="宋体" w:hAnsi="宋体" w:cs="宋体"/>
                <w:bCs/>
                <w:color w:val="auto"/>
                <w:szCs w:val="21"/>
                <w:highlight w:val="none"/>
              </w:rPr>
              <w:t>分）</w:t>
            </w:r>
          </w:p>
        </w:tc>
        <w:tc>
          <w:tcPr>
            <w:tcW w:w="5901" w:type="dxa"/>
            <w:vAlign w:val="center"/>
          </w:tcPr>
          <w:p>
            <w:pPr>
              <w:pStyle w:val="14"/>
              <w:spacing w:line="360" w:lineRule="auto"/>
              <w:ind w:firstLine="420"/>
              <w:jc w:val="left"/>
              <w:rPr>
                <w:rFonts w:hint="eastAsia" w:hAnsi="宋体" w:cs="宋体"/>
                <w:bCs/>
                <w:color w:val="auto"/>
                <w:szCs w:val="21"/>
                <w:highlight w:val="none"/>
              </w:rPr>
            </w:pPr>
            <w:r>
              <w:rPr>
                <w:rFonts w:hint="eastAsia" w:hAnsi="宋体" w:cs="宋体"/>
                <w:bCs/>
                <w:color w:val="auto"/>
                <w:szCs w:val="21"/>
                <w:highlight w:val="none"/>
              </w:rPr>
              <w:t>评审要点：环境保护、安全文明施工保证体系；安全事故控制措施；针对工程环境及工程特点、难点有防范措施及防范安全事故发生的措施。</w:t>
            </w:r>
          </w:p>
          <w:p>
            <w:pPr>
              <w:pStyle w:val="14"/>
              <w:spacing w:line="360" w:lineRule="auto"/>
              <w:ind w:firstLine="420"/>
              <w:jc w:val="left"/>
              <w:rPr>
                <w:rFonts w:hint="eastAsia" w:hAnsi="宋体" w:cs="宋体"/>
                <w:bCs/>
                <w:color w:val="auto"/>
                <w:szCs w:val="21"/>
                <w:highlight w:val="none"/>
              </w:rPr>
            </w:pPr>
            <w:r>
              <w:rPr>
                <w:rFonts w:hint="eastAsia" w:hAnsi="宋体" w:cs="宋体"/>
                <w:bCs/>
                <w:color w:val="auto"/>
                <w:szCs w:val="21"/>
                <w:highlight w:val="none"/>
              </w:rPr>
              <w:t>一档（1分）：环境保护、安全文明施工保证体系不健全，安全事故控制措施不合理。</w:t>
            </w:r>
          </w:p>
          <w:p>
            <w:pPr>
              <w:pStyle w:val="14"/>
              <w:spacing w:line="360" w:lineRule="auto"/>
              <w:ind w:firstLine="420"/>
              <w:jc w:val="left"/>
              <w:rPr>
                <w:rFonts w:hint="eastAsia" w:hAnsi="宋体" w:cs="宋体"/>
                <w:bCs/>
                <w:color w:val="auto"/>
                <w:szCs w:val="21"/>
                <w:highlight w:val="none"/>
              </w:rPr>
            </w:pPr>
            <w:r>
              <w:rPr>
                <w:rFonts w:hint="eastAsia" w:hAnsi="宋体" w:cs="宋体"/>
                <w:bCs/>
                <w:color w:val="auto"/>
                <w:szCs w:val="21"/>
                <w:highlight w:val="none"/>
              </w:rPr>
              <w:t>二档（4分）：环境保护、安全文明施工保证体系完整；安全事故控制措施合理。</w:t>
            </w:r>
          </w:p>
          <w:p>
            <w:pPr>
              <w:pStyle w:val="14"/>
              <w:widowControl/>
              <w:snapToGrid w:val="0"/>
              <w:spacing w:line="360" w:lineRule="auto"/>
              <w:ind w:firstLine="420"/>
              <w:jc w:val="left"/>
              <w:rPr>
                <w:rFonts w:hint="eastAsia" w:hAnsi="宋体" w:cs="宋体"/>
                <w:bCs/>
                <w:color w:val="auto"/>
                <w:szCs w:val="21"/>
                <w:highlight w:val="none"/>
              </w:rPr>
            </w:pPr>
            <w:r>
              <w:rPr>
                <w:rFonts w:hint="eastAsia" w:hAnsi="宋体" w:cs="宋体"/>
                <w:bCs/>
                <w:color w:val="auto"/>
                <w:szCs w:val="21"/>
                <w:highlight w:val="none"/>
              </w:rPr>
              <w:t>三档（7分）：环境保护、安全文明施工保证体系健全；安全事故控制措施合理可行；有针对工程环境及工程特点、难点防范及化解安全事故发生的措施，措施详细、可行。</w:t>
            </w:r>
          </w:p>
          <w:p>
            <w:pPr>
              <w:pStyle w:val="14"/>
              <w:widowControl/>
              <w:snapToGrid w:val="0"/>
              <w:spacing w:line="360" w:lineRule="auto"/>
              <w:ind w:firstLine="420"/>
              <w:jc w:val="left"/>
              <w:rPr>
                <w:rFonts w:hint="eastAsia" w:hAnsi="宋体"/>
                <w:color w:val="auto"/>
                <w:szCs w:val="21"/>
                <w:highlight w:val="none"/>
              </w:rPr>
            </w:pPr>
            <w:r>
              <w:rPr>
                <w:rFonts w:hint="eastAsia" w:hAnsi="宋体" w:cs="宋体"/>
                <w:bCs/>
                <w:color w:val="auto"/>
                <w:szCs w:val="21"/>
                <w:highlight w:val="none"/>
              </w:rPr>
              <w:t>四档（10分）：环境保护、安全文明施工保证体系健全；有严格的安全事故控制措施和严密的安防制度，措施合理可行，具有针对性和可实施性；有针对工程环境及工程特点、难点防范及化解安全事故发生的措施，措施详细、可行，具有针对性。</w:t>
            </w:r>
          </w:p>
          <w:p>
            <w:pPr>
              <w:widowControl/>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注：不提供</w:t>
            </w:r>
            <w:r>
              <w:rPr>
                <w:rFonts w:hint="eastAsia" w:ascii="宋体" w:hAnsi="宋体" w:cs="宋体"/>
                <w:bCs/>
                <w:color w:val="auto"/>
                <w:szCs w:val="21"/>
                <w:highlight w:val="none"/>
              </w:rPr>
              <w:t>环境保护及安全文明施工监理措施</w:t>
            </w:r>
            <w:r>
              <w:rPr>
                <w:rFonts w:hint="eastAsia" w:ascii="宋体" w:hAnsi="宋体" w:cs="宋体"/>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Align w:val="center"/>
          </w:tcPr>
          <w:p>
            <w:pPr>
              <w:adjustRightInd w:val="0"/>
              <w:snapToGrid w:val="0"/>
              <w:spacing w:line="360" w:lineRule="auto"/>
              <w:ind w:firstLine="42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1585"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服务承诺分</w:t>
            </w:r>
          </w:p>
          <w:p>
            <w:pPr>
              <w:keepNext w:val="0"/>
              <w:keepLines w:val="0"/>
              <w:pageBreakBefore w:val="0"/>
              <w:widowControl/>
              <w:kinsoku/>
              <w:wordWrap/>
              <w:overflowPunct/>
              <w:topLinePunct w:val="0"/>
              <w:autoSpaceDE/>
              <w:autoSpaceDN/>
              <w:bidi w:val="0"/>
              <w:adjustRightInd/>
              <w:snapToGrid w:val="0"/>
              <w:spacing w:line="360" w:lineRule="auto"/>
              <w:ind w:left="-105" w:leftChars="-50" w:right="-105" w:rightChars="-50" w:firstLine="0"/>
              <w:jc w:val="center"/>
              <w:textAlignment w:val="auto"/>
              <w:rPr>
                <w:rFonts w:hint="eastAsia" w:ascii="宋体" w:hAnsi="宋体" w:cs="宋体"/>
                <w:bCs/>
                <w:color w:val="auto"/>
                <w:kern w:val="0"/>
                <w:szCs w:val="21"/>
                <w:highlight w:val="none"/>
              </w:rPr>
            </w:pPr>
            <w:r>
              <w:rPr>
                <w:rFonts w:hint="eastAsia" w:ascii="宋体" w:hAnsi="宋体" w:cs="宋体"/>
                <w:color w:val="auto"/>
                <w:szCs w:val="21"/>
                <w:highlight w:val="none"/>
              </w:rPr>
              <w:t>（满分</w:t>
            </w:r>
            <w:r>
              <w:rPr>
                <w:rFonts w:hint="eastAsia" w:ascii="宋体" w:hAnsi="宋体" w:cs="宋体"/>
                <w:bCs/>
                <w:color w:val="auto"/>
                <w:szCs w:val="21"/>
                <w:highlight w:val="none"/>
              </w:rPr>
              <w:t>10分</w:t>
            </w:r>
            <w:r>
              <w:rPr>
                <w:rFonts w:hint="eastAsia" w:ascii="宋体" w:hAnsi="宋体" w:cs="宋体"/>
                <w:color w:val="auto"/>
                <w:szCs w:val="21"/>
                <w:highlight w:val="none"/>
              </w:rPr>
              <w:t>）</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color w:val="auto"/>
                <w:szCs w:val="21"/>
                <w:highlight w:val="none"/>
              </w:rPr>
              <w:t>服务承诺分（满分</w:t>
            </w:r>
            <w:r>
              <w:rPr>
                <w:rFonts w:hint="eastAsia" w:ascii="宋体" w:hAnsi="宋体" w:cs="宋体"/>
                <w:bCs/>
                <w:color w:val="auto"/>
                <w:szCs w:val="21"/>
                <w:highlight w:val="none"/>
              </w:rPr>
              <w:t>10分</w:t>
            </w:r>
            <w:r>
              <w:rPr>
                <w:rFonts w:hint="eastAsia" w:ascii="宋体" w:hAnsi="宋体" w:cs="宋体"/>
                <w:color w:val="auto"/>
                <w:szCs w:val="21"/>
                <w:highlight w:val="none"/>
              </w:rPr>
              <w:t>）</w:t>
            </w:r>
          </w:p>
        </w:tc>
        <w:tc>
          <w:tcPr>
            <w:tcW w:w="5901" w:type="dxa"/>
            <w:vAlign w:val="center"/>
          </w:tcPr>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评标委员会根据各投标人提供的针对本项目的服务承诺（技术支持、响应时间、后续服务等）进行综合评价，并进行独立打分。（没有相关内容，或不符合最低入档条件的按不入档处理并计 0 分）</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一档（4 分）：仅满足招标文件最低要求。</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二档（7 分）：服务承诺详细，满足招标文件要求，并提供有简单的保证措施及应急预案措施，提供质保期内响应服务的联系人和联系电话，售后服务明确响应时间、到达现场时间及一般问题排除时间。</w:t>
            </w:r>
          </w:p>
          <w:p>
            <w:pPr>
              <w:pStyle w:val="51"/>
              <w:snapToGrid w:val="0"/>
              <w:spacing w:line="360" w:lineRule="auto"/>
              <w:ind w:firstLine="420" w:firstLineChars="200"/>
              <w:rPr>
                <w:rFonts w:hint="eastAsia"/>
                <w:bCs/>
                <w:color w:val="auto"/>
                <w:kern w:val="2"/>
                <w:highlight w:val="none"/>
              </w:rPr>
            </w:pPr>
            <w:r>
              <w:rPr>
                <w:rFonts w:hint="eastAsia"/>
                <w:bCs/>
                <w:color w:val="auto"/>
                <w:kern w:val="2"/>
                <w:highlight w:val="none"/>
              </w:rPr>
              <w:t>三档（10 分）：服务承诺</w:t>
            </w:r>
            <w:r>
              <w:rPr>
                <w:rFonts w:hint="eastAsia"/>
                <w:bCs/>
                <w:color w:val="auto"/>
                <w:highlight w:val="none"/>
              </w:rPr>
              <w:t>详细</w:t>
            </w:r>
            <w:r>
              <w:rPr>
                <w:rFonts w:hint="eastAsia"/>
                <w:bCs/>
                <w:color w:val="auto"/>
                <w:kern w:val="2"/>
                <w:highlight w:val="none"/>
              </w:rPr>
              <w:t>、合理，完全满足招标文件要求，并提供有详细的保证措施及应急预案措施，措施</w:t>
            </w:r>
            <w:r>
              <w:rPr>
                <w:rFonts w:hint="eastAsia"/>
                <w:bCs/>
                <w:color w:val="auto"/>
                <w:highlight w:val="none"/>
              </w:rPr>
              <w:t>细致、合理、可行，有针对性，</w:t>
            </w:r>
            <w:r>
              <w:rPr>
                <w:rFonts w:hint="eastAsia"/>
                <w:bCs/>
                <w:color w:val="auto"/>
                <w:kern w:val="2"/>
                <w:highlight w:val="none"/>
              </w:rPr>
              <w:t>提供质保期内响应服务的联系人和联系电话，售后服务明确响应时间、达到现场时间及一般问题排除时间，且提供免费保修期外监理服务或提供其他优于招标文件要求的措施的。</w:t>
            </w:r>
          </w:p>
          <w:p>
            <w:pPr>
              <w:widowControl/>
              <w:snapToGrid w:val="0"/>
              <w:spacing w:line="360" w:lineRule="auto"/>
              <w:ind w:firstLine="420" w:firstLineChars="200"/>
              <w:rPr>
                <w:bCs/>
                <w:color w:val="auto"/>
                <w:szCs w:val="21"/>
                <w:highlight w:val="none"/>
              </w:rPr>
            </w:pPr>
            <w:r>
              <w:rPr>
                <w:rFonts w:hint="eastAsia" w:ascii="宋体" w:hAnsi="宋体" w:cs="宋体"/>
                <w:bCs/>
                <w:color w:val="auto"/>
                <w:kern w:val="0"/>
                <w:szCs w:val="21"/>
                <w:highlight w:val="none"/>
              </w:rPr>
              <w:t>注：不提供</w:t>
            </w:r>
            <w:r>
              <w:rPr>
                <w:rFonts w:hint="eastAsia" w:ascii="宋体" w:hAnsi="宋体" w:cs="宋体"/>
                <w:color w:val="auto"/>
                <w:szCs w:val="21"/>
                <w:highlight w:val="none"/>
              </w:rPr>
              <w:t>服务承诺</w:t>
            </w:r>
            <w:r>
              <w:rPr>
                <w:rFonts w:hint="eastAsia" w:ascii="宋体" w:hAnsi="宋体" w:cs="宋体"/>
                <w:bCs/>
                <w:color w:val="auto"/>
                <w:kern w:val="0"/>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restart"/>
            <w:vAlign w:val="center"/>
          </w:tcPr>
          <w:p>
            <w:pPr>
              <w:snapToGrid w:val="0"/>
              <w:spacing w:line="360" w:lineRule="auto"/>
              <w:ind w:firstLine="42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85"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履约能力分</w:t>
            </w:r>
          </w:p>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（满分20分）</w:t>
            </w: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宋体" w:hAnsi="宋体" w:cs="宋体"/>
                <w:bCs/>
                <w:color w:val="auto"/>
                <w:kern w:val="0"/>
                <w:szCs w:val="21"/>
                <w:highlight w:val="none"/>
              </w:rPr>
            </w:pPr>
            <w:r>
              <w:rPr>
                <w:rFonts w:hint="eastAsia"/>
                <w:color w:val="auto"/>
                <w:szCs w:val="21"/>
                <w:highlight w:val="none"/>
              </w:rPr>
              <w:t>综合实力分（满分 8分）</w:t>
            </w:r>
          </w:p>
        </w:tc>
        <w:tc>
          <w:tcPr>
            <w:tcW w:w="5901" w:type="dxa"/>
          </w:tcPr>
          <w:p>
            <w:pPr>
              <w:pStyle w:val="51"/>
              <w:snapToGrid w:val="0"/>
              <w:spacing w:line="360" w:lineRule="auto"/>
              <w:ind w:firstLine="283" w:firstLineChars="135"/>
              <w:rPr>
                <w:rFonts w:hint="eastAsia"/>
                <w:bCs/>
                <w:color w:val="auto"/>
                <w:kern w:val="2"/>
                <w:highlight w:val="none"/>
              </w:rPr>
            </w:pPr>
            <w:r>
              <w:rPr>
                <w:rFonts w:hint="eastAsia"/>
                <w:bCs/>
                <w:color w:val="auto"/>
                <w:kern w:val="2"/>
                <w:highlight w:val="none"/>
              </w:rPr>
              <w:t>1、投标人通过质量管理体系、环境管理体系及职业健康安全管理体系认证，且在有效期内，每个得 1分，满分 3 分。（投标人在投标文件中须提供认证证书复印件。）</w:t>
            </w:r>
          </w:p>
          <w:p>
            <w:pPr>
              <w:snapToGrid w:val="0"/>
              <w:spacing w:line="360" w:lineRule="auto"/>
              <w:ind w:firstLine="420" w:firstLineChars="200"/>
              <w:rPr>
                <w:rFonts w:hint="eastAsia" w:ascii="宋体" w:hAnsi="宋体" w:cs="宋体"/>
                <w:color w:val="auto"/>
                <w:kern w:val="0"/>
                <w:szCs w:val="21"/>
                <w:highlight w:val="none"/>
              </w:rPr>
            </w:pPr>
            <w:r>
              <w:rPr>
                <w:rFonts w:hint="eastAsia"/>
                <w:bCs/>
                <w:color w:val="auto"/>
                <w:szCs w:val="21"/>
                <w:highlight w:val="none"/>
              </w:rPr>
              <w:t>2、2022年</w:t>
            </w:r>
            <w:r>
              <w:rPr>
                <w:rFonts w:hint="eastAsia" w:ascii="宋体" w:hAnsi="宋体" w:cs="宋体"/>
                <w:color w:val="auto"/>
                <w:szCs w:val="21"/>
                <w:highlight w:val="none"/>
              </w:rPr>
              <w:t>1月1日</w:t>
            </w:r>
            <w:r>
              <w:rPr>
                <w:rFonts w:hint="eastAsia"/>
                <w:bCs/>
                <w:color w:val="auto"/>
                <w:szCs w:val="21"/>
                <w:highlight w:val="none"/>
              </w:rPr>
              <w:t>以来获得省部级（含）以上行政主管部门或业务主管单位为行政单位的协会颁发的</w:t>
            </w:r>
            <w:r>
              <w:rPr>
                <w:rFonts w:hint="eastAsia" w:ascii="宋体" w:hAnsi="宋体" w:cs="宋体"/>
                <w:color w:val="auto"/>
                <w:szCs w:val="21"/>
                <w:highlight w:val="none"/>
              </w:rPr>
              <w:t>类似</w:t>
            </w:r>
            <w:r>
              <w:rPr>
                <w:rFonts w:hint="eastAsia"/>
                <w:bCs/>
                <w:color w:val="auto"/>
                <w:szCs w:val="21"/>
                <w:highlight w:val="none"/>
              </w:rPr>
              <w:t>项目奖项的，每项得 2.5分，满分 5 分（投标人在投标文件中须提供证书复印件。）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vAlign w:val="center"/>
          </w:tcPr>
          <w:p>
            <w:pPr>
              <w:snapToGrid w:val="0"/>
              <w:spacing w:line="360" w:lineRule="auto"/>
              <w:ind w:firstLine="420"/>
              <w:jc w:val="center"/>
              <w:rPr>
                <w:rFonts w:hint="eastAsia" w:ascii="宋体" w:hAnsi="宋体" w:cs="宋体"/>
                <w:color w:val="auto"/>
                <w:szCs w:val="21"/>
                <w:highlight w:val="none"/>
              </w:rPr>
            </w:pPr>
          </w:p>
        </w:tc>
        <w:tc>
          <w:tcPr>
            <w:tcW w:w="1585"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p>
        </w:tc>
        <w:tc>
          <w:tcPr>
            <w:tcW w:w="1460" w:type="dxa"/>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业绩分</w:t>
            </w:r>
          </w:p>
          <w:p>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（满分12分）</w:t>
            </w:r>
          </w:p>
        </w:tc>
        <w:tc>
          <w:tcPr>
            <w:tcW w:w="5901" w:type="dxa"/>
          </w:tcPr>
          <w:p>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2022年1月1日至提交投标文件截止时间止，投标人具有</w:t>
            </w:r>
            <w:bookmarkStart w:id="383" w:name="OLE_LINK36"/>
            <w:r>
              <w:rPr>
                <w:rFonts w:hint="eastAsia" w:ascii="宋体" w:hAnsi="宋体" w:cs="宋体"/>
                <w:color w:val="auto"/>
                <w:szCs w:val="21"/>
                <w:highlight w:val="none"/>
              </w:rPr>
              <w:t>类似</w:t>
            </w:r>
            <w:bookmarkEnd w:id="383"/>
            <w:r>
              <w:rPr>
                <w:rFonts w:hint="eastAsia" w:ascii="宋体" w:hAnsi="宋体" w:cs="宋体"/>
                <w:color w:val="auto"/>
                <w:szCs w:val="21"/>
                <w:highlight w:val="none"/>
              </w:rPr>
              <w:t>项目业绩的，每项得</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分，满分</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分。【</w:t>
            </w:r>
            <w:r>
              <w:rPr>
                <w:rFonts w:hint="eastAsia" w:ascii="宋体" w:hAnsi="宋体" w:cs="宋体"/>
                <w:b/>
                <w:bCs/>
                <w:color w:val="auto"/>
                <w:szCs w:val="21"/>
                <w:highlight w:val="none"/>
              </w:rPr>
              <w:t>注：需在投标文件中提供类似项目业绩的合同或者中标（成交）通知书复印件并加盖投标人公章，未按要求提供的不得分。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pPr>
              <w:pStyle w:val="14"/>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总得分=1+2+3+4</w:t>
            </w:r>
          </w:p>
        </w:tc>
      </w:tr>
    </w:tbl>
    <w:p>
      <w:pPr>
        <w:pStyle w:val="10"/>
        <w:ind w:firstLine="600"/>
        <w:rPr>
          <w:color w:val="auto"/>
          <w:sz w:val="30"/>
          <w:szCs w:val="30"/>
          <w:highlight w:val="none"/>
        </w:rPr>
      </w:pPr>
    </w:p>
    <w:p>
      <w:pPr>
        <w:pStyle w:val="3"/>
        <w:ind w:firstLine="600"/>
        <w:jc w:val="center"/>
        <w:rPr>
          <w:b w:val="0"/>
          <w:color w:val="auto"/>
          <w:sz w:val="30"/>
          <w:szCs w:val="30"/>
          <w:highlight w:val="none"/>
        </w:rPr>
      </w:pPr>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358"/>
      <w:bookmarkEnd w:id="359"/>
      <w:bookmarkEnd w:id="360"/>
      <w:bookmarkEnd w:id="361"/>
      <w:bookmarkEnd w:id="362"/>
      <w:bookmarkEnd w:id="363"/>
      <w:bookmarkEnd w:id="364"/>
      <w:bookmarkEnd w:id="365"/>
      <w:bookmarkEnd w:id="366"/>
      <w:bookmarkEnd w:id="367"/>
    </w:p>
    <w:p>
      <w:pPr>
        <w:pStyle w:val="14"/>
        <w:spacing w:line="360" w:lineRule="auto"/>
        <w:ind w:firstLine="422" w:firstLineChars="200"/>
        <w:rPr>
          <w:rFonts w:hint="eastAsia" w:hAnsi="宋体"/>
          <w:b/>
          <w:bCs/>
          <w:color w:val="auto"/>
          <w:highlight w:val="none"/>
        </w:rPr>
      </w:pPr>
      <w:r>
        <w:rPr>
          <w:rFonts w:hint="eastAsia" w:hAnsi="宋体"/>
          <w:b/>
          <w:bCs/>
          <w:color w:val="auto"/>
          <w:highlight w:val="none"/>
        </w:rPr>
        <w:t>1.</w:t>
      </w:r>
      <w:r>
        <w:rPr>
          <w:rFonts w:hint="eastAsia" w:hAnsi="宋体" w:cs="宋体"/>
          <w:b/>
          <w:color w:val="auto"/>
          <w:szCs w:val="21"/>
          <w:highlight w:val="none"/>
        </w:rPr>
        <w:t>各投标人可就本招标项目的所有标段进行投标，但最多只允许中标其中1个标段。本项目评标/中标顺序为1分标→2分标→3分标→4分标→5分标→6分标→7分标→8分标（即首先确定标1分标的中标人，然后再确定2分标的中标人，然后再确定3分标的中标人，以此类推），各分标应为不同的中标人。当某投标人在之前分标排名第一的，之后分标自动失去中标人推荐资格。各分标应为不同的中标人，但按照以上评标/中标顺序确认中标人后，仍存在某分标的中标人相同的情形的，后评审的分标做废标处理。</w:t>
      </w:r>
    </w:p>
    <w:p>
      <w:pPr>
        <w:pStyle w:val="14"/>
        <w:spacing w:line="360" w:lineRule="auto"/>
        <w:ind w:firstLine="420" w:firstLineChars="200"/>
        <w:rPr>
          <w:rFonts w:hint="eastAsia" w:hAnsi="宋体"/>
          <w:color w:val="auto"/>
          <w:highlight w:val="none"/>
        </w:rPr>
      </w:pPr>
      <w:r>
        <w:rPr>
          <w:rFonts w:hint="eastAsia" w:hAnsi="宋体"/>
          <w:color w:val="auto"/>
          <w:highlight w:val="none"/>
        </w:rPr>
        <w:t>2.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3"/>
        <w:spacing w:before="0" w:after="0" w:line="360" w:lineRule="auto"/>
        <w:ind w:firstLine="600" w:firstLineChars="200"/>
        <w:jc w:val="center"/>
        <w:rPr>
          <w:b w:val="0"/>
          <w:color w:val="auto"/>
          <w:sz w:val="30"/>
          <w:szCs w:val="30"/>
          <w:highlight w:val="none"/>
        </w:rPr>
      </w:pPr>
      <w:bookmarkStart w:id="384" w:name="_Toc22384"/>
      <w:bookmarkStart w:id="385" w:name="_Toc11695"/>
      <w:bookmarkStart w:id="386" w:name="_Toc9602"/>
      <w:bookmarkStart w:id="387" w:name="_Toc13625"/>
      <w:bookmarkStart w:id="388" w:name="_Toc7971"/>
      <w:bookmarkStart w:id="389" w:name="_Toc27419"/>
      <w:bookmarkStart w:id="390" w:name="_Toc11073"/>
      <w:bookmarkStart w:id="391" w:name="_Toc13808"/>
      <w:bookmarkStart w:id="392" w:name="_Toc11545"/>
      <w:bookmarkStart w:id="393" w:name="_Toc29218"/>
    </w:p>
    <w:p>
      <w:pPr>
        <w:pStyle w:val="3"/>
        <w:spacing w:before="0" w:after="0" w:line="360" w:lineRule="auto"/>
        <w:ind w:firstLine="600" w:firstLineChars="200"/>
        <w:jc w:val="center"/>
        <w:rPr>
          <w:b w:val="0"/>
          <w:color w:val="auto"/>
          <w:sz w:val="30"/>
          <w:szCs w:val="30"/>
          <w:highlight w:val="none"/>
        </w:rPr>
      </w:pPr>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384"/>
      <w:bookmarkEnd w:id="385"/>
      <w:bookmarkEnd w:id="386"/>
      <w:bookmarkEnd w:id="387"/>
      <w:bookmarkEnd w:id="388"/>
      <w:bookmarkEnd w:id="389"/>
      <w:bookmarkEnd w:id="390"/>
      <w:bookmarkEnd w:id="391"/>
      <w:bookmarkEnd w:id="392"/>
      <w:bookmarkEnd w:id="393"/>
    </w:p>
    <w:p>
      <w:pPr>
        <w:pStyle w:val="40"/>
        <w:spacing w:before="0"/>
        <w:ind w:firstLine="482"/>
        <w:rPr>
          <w:rFonts w:hint="eastAsia" w:ascii="宋体" w:hAnsi="宋体"/>
          <w:b/>
          <w:bCs/>
          <w:color w:val="auto"/>
          <w:szCs w:val="24"/>
          <w:highlight w:val="none"/>
        </w:rPr>
      </w:pPr>
      <w:r>
        <w:rPr>
          <w:rFonts w:hint="eastAsia" w:ascii="宋体" w:hAnsi="宋体"/>
          <w:b/>
          <w:bCs/>
          <w:color w:val="auto"/>
          <w:szCs w:val="24"/>
          <w:highlight w:val="none"/>
        </w:rPr>
        <w:t>（一）评标报告与推荐中标候选人</w:t>
      </w:r>
    </w:p>
    <w:p>
      <w:pPr>
        <w:pStyle w:val="14"/>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pPr>
        <w:pStyle w:val="14"/>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ind w:firstLine="723"/>
        <w:jc w:val="left"/>
        <w:rPr>
          <w:b/>
          <w:color w:val="auto"/>
          <w:sz w:val="36"/>
          <w:szCs w:val="20"/>
          <w:highlight w:val="none"/>
        </w:rPr>
        <w:sectPr>
          <w:pgSz w:w="11905" w:h="16838"/>
          <w:pgMar w:top="1134" w:right="1134" w:bottom="1134" w:left="1134" w:header="850" w:footer="850" w:gutter="0"/>
          <w:cols w:space="0" w:num="1"/>
          <w:titlePg/>
          <w:docGrid w:linePitch="331" w:charSpace="0"/>
        </w:sect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outlineLvl w:val="0"/>
        <w:rPr>
          <w:rFonts w:ascii="Times New Roman" w:hAnsi="Times New Roman"/>
          <w:b/>
          <w:color w:val="auto"/>
          <w:sz w:val="36"/>
          <w:highlight w:val="none"/>
        </w:rPr>
      </w:pPr>
      <w:bookmarkStart w:id="394" w:name="_Toc26262"/>
      <w:bookmarkStart w:id="395" w:name="_Toc20993"/>
      <w:bookmarkStart w:id="396" w:name="_Toc7167"/>
      <w:bookmarkStart w:id="397" w:name="_Toc27014"/>
      <w:bookmarkStart w:id="398" w:name="_Toc31791"/>
      <w:bookmarkStart w:id="399" w:name="_Toc9012"/>
      <w:bookmarkStart w:id="400" w:name="_Toc25572"/>
      <w:bookmarkStart w:id="401" w:name="_Toc29347"/>
      <w:bookmarkStart w:id="402" w:name="_Toc3422"/>
      <w:bookmarkStart w:id="403" w:name="_Toc9058"/>
      <w:bookmarkStart w:id="404" w:name="_Toc32021"/>
      <w:bookmarkStart w:id="405" w:name="_Toc3838"/>
      <w:bookmarkStart w:id="406" w:name="_Toc17049"/>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394"/>
      <w:bookmarkEnd w:id="395"/>
      <w:bookmarkEnd w:id="396"/>
      <w:bookmarkEnd w:id="397"/>
      <w:bookmarkEnd w:id="398"/>
      <w:bookmarkEnd w:id="399"/>
      <w:bookmarkEnd w:id="400"/>
      <w:bookmarkEnd w:id="401"/>
      <w:bookmarkEnd w:id="402"/>
      <w:bookmarkEnd w:id="403"/>
      <w:bookmarkEnd w:id="404"/>
      <w:bookmarkEnd w:id="405"/>
      <w:bookmarkEnd w:id="406"/>
    </w:p>
    <w:p>
      <w:pPr>
        <w:widowControl/>
        <w:ind w:firstLine="420"/>
        <w:jc w:val="left"/>
        <w:rPr>
          <w:rFonts w:ascii="宋体" w:hAnsi="Courier New"/>
          <w:bCs/>
          <w:color w:val="auto"/>
          <w:szCs w:val="20"/>
          <w:highlight w:val="none"/>
        </w:rPr>
        <w:sectPr>
          <w:pgSz w:w="11905" w:h="16838"/>
          <w:pgMar w:top="1134" w:right="1134" w:bottom="1134" w:left="1134" w:header="850" w:footer="850" w:gutter="0"/>
          <w:cols w:space="0" w:num="1"/>
          <w:titlePg/>
          <w:docGrid w:linePitch="331" w:charSpace="0"/>
        </w:sectPr>
      </w:pPr>
    </w:p>
    <w:p>
      <w:pPr>
        <w:spacing w:line="360" w:lineRule="auto"/>
        <w:ind w:firstLine="560"/>
        <w:rPr>
          <w:rFonts w:hint="eastAsia" w:ascii="仿宋_GB2312" w:hAnsi="楷体" w:eastAsia="仿宋_GB2312"/>
          <w:b/>
          <w:bCs/>
          <w:color w:val="auto"/>
          <w:sz w:val="28"/>
          <w:szCs w:val="28"/>
          <w:highlight w:val="none"/>
        </w:rPr>
      </w:pPr>
      <w:bookmarkStart w:id="407" w:name="_Toc459567800"/>
      <w:bookmarkStart w:id="408" w:name="_Toc43293070"/>
      <w:bookmarkStart w:id="409" w:name="_Toc392940990"/>
    </w:p>
    <w:p>
      <w:pPr>
        <w:ind w:firstLine="420"/>
        <w:jc w:val="center"/>
        <w:rPr>
          <w:rFonts w:hint="eastAsia" w:ascii="宋体" w:hAnsi="宋体"/>
          <w:color w:val="auto"/>
          <w:highlight w:val="none"/>
        </w:rPr>
      </w:pPr>
    </w:p>
    <w:p>
      <w:pPr>
        <w:pStyle w:val="14"/>
        <w:ind w:firstLine="1440"/>
        <w:jc w:val="center"/>
        <w:rPr>
          <w:rFonts w:hint="eastAsia" w:ascii="方正大标宋简体" w:hAnsi="方正大标宋简体" w:eastAsia="方正大标宋简体" w:cs="方正大标宋简体"/>
          <w:bCs/>
          <w:color w:val="auto"/>
          <w:sz w:val="72"/>
          <w:szCs w:val="72"/>
          <w:highlight w:val="none"/>
        </w:rPr>
      </w:pPr>
      <w:r>
        <w:rPr>
          <w:rFonts w:hint="eastAsia" w:ascii="方正大标宋简体" w:hAnsi="方正大标宋简体" w:eastAsia="方正大标宋简体" w:cs="方正大标宋简体"/>
          <w:bCs/>
          <w:color w:val="auto"/>
          <w:sz w:val="72"/>
          <w:szCs w:val="72"/>
          <w:highlight w:val="none"/>
        </w:rPr>
        <w:t>采购合同</w:t>
      </w:r>
    </w:p>
    <w:p>
      <w:pPr>
        <w:pStyle w:val="14"/>
        <w:ind w:firstLine="420"/>
        <w:rPr>
          <w:rFonts w:hint="eastAsia" w:hAnsi="宋体"/>
          <w:color w:val="auto"/>
          <w:highlight w:val="none"/>
        </w:rPr>
      </w:pPr>
    </w:p>
    <w:p>
      <w:pPr>
        <w:pStyle w:val="14"/>
        <w:ind w:firstLine="420"/>
        <w:rPr>
          <w:rFonts w:hint="eastAsia" w:hAnsi="宋体"/>
          <w:color w:val="auto"/>
          <w:highlight w:val="none"/>
        </w:rPr>
      </w:pPr>
    </w:p>
    <w:p>
      <w:pPr>
        <w:pStyle w:val="14"/>
        <w:ind w:firstLine="420"/>
        <w:rPr>
          <w:rFonts w:hint="eastAsia" w:hAnsi="宋体"/>
          <w:color w:val="auto"/>
          <w:highlight w:val="none"/>
        </w:rPr>
      </w:pPr>
    </w:p>
    <w:p>
      <w:pPr>
        <w:pStyle w:val="14"/>
        <w:ind w:firstLine="420"/>
        <w:rPr>
          <w:rFonts w:hint="eastAsia" w:hAnsi="宋体"/>
          <w:color w:val="auto"/>
          <w:highlight w:val="none"/>
        </w:rPr>
      </w:pPr>
    </w:p>
    <w:p>
      <w:pPr>
        <w:pStyle w:val="14"/>
        <w:ind w:firstLine="420"/>
        <w:rPr>
          <w:rFonts w:hint="eastAsia" w:hAnsi="宋体"/>
          <w:color w:val="auto"/>
          <w:highlight w:val="none"/>
        </w:rPr>
      </w:pPr>
    </w:p>
    <w:p>
      <w:pPr>
        <w:pStyle w:val="14"/>
        <w:ind w:firstLine="420"/>
        <w:rPr>
          <w:rFonts w:hint="eastAsia" w:hAnsi="宋体"/>
          <w:color w:val="auto"/>
          <w:highlight w:val="none"/>
        </w:rPr>
      </w:pPr>
    </w:p>
    <w:p>
      <w:pPr>
        <w:pStyle w:val="14"/>
        <w:ind w:firstLine="420"/>
        <w:rPr>
          <w:rFonts w:hint="eastAsia" w:hAnsi="宋体" w:cs="宋体"/>
          <w:color w:val="auto"/>
          <w:highlight w:val="none"/>
        </w:rPr>
      </w:pPr>
    </w:p>
    <w:p>
      <w:pPr>
        <w:pStyle w:val="14"/>
        <w:ind w:firstLine="1584" w:firstLineChars="495"/>
        <w:rPr>
          <w:rFonts w:hint="eastAsia" w:hAnsi="宋体" w:cs="宋体"/>
          <w:bCs/>
          <w:color w:val="auto"/>
          <w:sz w:val="32"/>
          <w:szCs w:val="32"/>
          <w:highlight w:val="none"/>
          <w:u w:val="single"/>
        </w:rPr>
      </w:pPr>
      <w:r>
        <w:rPr>
          <w:rFonts w:hint="eastAsia" w:hAnsi="宋体" w:cs="宋体"/>
          <w:bCs/>
          <w:color w:val="auto"/>
          <w:sz w:val="32"/>
          <w:szCs w:val="32"/>
          <w:highlight w:val="none"/>
        </w:rPr>
        <w:t>合同名称：</w:t>
      </w:r>
      <w:r>
        <w:rPr>
          <w:rFonts w:hint="eastAsia" w:hAnsi="宋体" w:cs="宋体"/>
          <w:bCs/>
          <w:color w:val="auto"/>
          <w:sz w:val="32"/>
          <w:szCs w:val="32"/>
          <w:highlight w:val="none"/>
          <w:u w:val="single"/>
        </w:rPr>
        <w:t xml:space="preserve">                    </w:t>
      </w:r>
    </w:p>
    <w:p>
      <w:pPr>
        <w:pStyle w:val="14"/>
        <w:ind w:firstLine="1584" w:firstLineChars="495"/>
        <w:rPr>
          <w:rFonts w:hint="eastAsia" w:hAnsi="宋体" w:cs="宋体"/>
          <w:bCs/>
          <w:color w:val="auto"/>
          <w:sz w:val="32"/>
          <w:szCs w:val="32"/>
          <w:highlight w:val="none"/>
          <w:u w:val="single"/>
        </w:rPr>
      </w:pPr>
    </w:p>
    <w:p>
      <w:pPr>
        <w:pStyle w:val="14"/>
        <w:ind w:firstLine="1584" w:firstLineChars="495"/>
        <w:rPr>
          <w:rFonts w:hint="eastAsia" w:hAnsi="宋体" w:cs="宋体"/>
          <w:bCs/>
          <w:color w:val="auto"/>
          <w:sz w:val="32"/>
          <w:szCs w:val="32"/>
          <w:highlight w:val="none"/>
          <w:u w:val="single"/>
        </w:rPr>
      </w:pPr>
      <w:r>
        <w:rPr>
          <w:rFonts w:hint="eastAsia" w:hAnsi="宋体" w:cs="宋体"/>
          <w:bCs/>
          <w:color w:val="auto"/>
          <w:sz w:val="32"/>
          <w:szCs w:val="32"/>
          <w:highlight w:val="none"/>
        </w:rPr>
        <w:t>合同编号：</w:t>
      </w:r>
      <w:r>
        <w:rPr>
          <w:rFonts w:hint="eastAsia" w:hAnsi="宋体" w:cs="宋体"/>
          <w:bCs/>
          <w:color w:val="auto"/>
          <w:sz w:val="32"/>
          <w:szCs w:val="32"/>
          <w:highlight w:val="none"/>
          <w:u w:val="single"/>
        </w:rPr>
        <w:t xml:space="preserve">                    </w:t>
      </w:r>
    </w:p>
    <w:p>
      <w:pPr>
        <w:pStyle w:val="14"/>
        <w:ind w:firstLine="420"/>
        <w:jc w:val="center"/>
        <w:rPr>
          <w:rFonts w:hint="eastAsia" w:hAnsi="宋体" w:cs="宋体"/>
          <w:bCs/>
          <w:color w:val="auto"/>
          <w:highlight w:val="none"/>
        </w:rPr>
      </w:pPr>
    </w:p>
    <w:p>
      <w:pPr>
        <w:pStyle w:val="14"/>
        <w:ind w:firstLine="420"/>
        <w:jc w:val="center"/>
        <w:rPr>
          <w:rFonts w:hint="eastAsia" w:hAnsi="宋体" w:cs="宋体"/>
          <w:bCs/>
          <w:color w:val="auto"/>
          <w:highlight w:val="none"/>
        </w:rPr>
      </w:pPr>
    </w:p>
    <w:p>
      <w:pPr>
        <w:pStyle w:val="14"/>
        <w:ind w:firstLine="420"/>
        <w:jc w:val="center"/>
        <w:rPr>
          <w:rFonts w:hint="eastAsia" w:hAnsi="宋体" w:cs="宋体"/>
          <w:bCs/>
          <w:color w:val="auto"/>
          <w:highlight w:val="none"/>
        </w:rPr>
      </w:pPr>
    </w:p>
    <w:p>
      <w:pPr>
        <w:pStyle w:val="14"/>
        <w:ind w:firstLine="420"/>
        <w:jc w:val="center"/>
        <w:rPr>
          <w:rFonts w:hint="eastAsia" w:hAnsi="宋体" w:cs="宋体"/>
          <w:bCs/>
          <w:color w:val="auto"/>
          <w:highlight w:val="none"/>
        </w:rPr>
      </w:pPr>
    </w:p>
    <w:p>
      <w:pPr>
        <w:pStyle w:val="14"/>
        <w:ind w:firstLine="420"/>
        <w:jc w:val="center"/>
        <w:rPr>
          <w:rFonts w:hint="eastAsia" w:hAnsi="宋体" w:cs="宋体"/>
          <w:bCs/>
          <w:color w:val="auto"/>
          <w:highlight w:val="none"/>
        </w:rPr>
      </w:pPr>
    </w:p>
    <w:p>
      <w:pPr>
        <w:pStyle w:val="14"/>
        <w:spacing w:line="340" w:lineRule="exact"/>
        <w:ind w:firstLine="1584" w:firstLineChars="495"/>
        <w:rPr>
          <w:rFonts w:hint="eastAsia" w:hAnsi="宋体" w:cs="宋体"/>
          <w:bCs/>
          <w:color w:val="auto"/>
          <w:sz w:val="32"/>
          <w:szCs w:val="32"/>
          <w:highlight w:val="none"/>
        </w:rPr>
      </w:pPr>
      <w:r>
        <w:rPr>
          <w:rFonts w:hint="eastAsia" w:hAnsi="宋体" w:cs="宋体"/>
          <w:bCs/>
          <w:color w:val="auto"/>
          <w:sz w:val="32"/>
          <w:szCs w:val="32"/>
          <w:highlight w:val="none"/>
        </w:rPr>
        <w:t>采购单位（甲方）</w:t>
      </w:r>
      <w:r>
        <w:rPr>
          <w:rFonts w:hint="eastAsia" w:hAnsi="宋体" w:cs="宋体"/>
          <w:bCs/>
          <w:color w:val="auto"/>
          <w:sz w:val="32"/>
          <w:szCs w:val="32"/>
          <w:highlight w:val="none"/>
          <w:u w:val="single"/>
        </w:rPr>
        <w:t xml:space="preserve">                    </w:t>
      </w:r>
    </w:p>
    <w:p>
      <w:pPr>
        <w:pStyle w:val="14"/>
        <w:spacing w:line="340" w:lineRule="exact"/>
        <w:ind w:firstLine="1584" w:firstLineChars="495"/>
        <w:rPr>
          <w:rFonts w:hint="eastAsia" w:hAnsi="宋体" w:cs="宋体"/>
          <w:bCs/>
          <w:color w:val="auto"/>
          <w:sz w:val="32"/>
          <w:szCs w:val="32"/>
          <w:highlight w:val="none"/>
        </w:rPr>
      </w:pPr>
    </w:p>
    <w:p>
      <w:pPr>
        <w:pStyle w:val="14"/>
        <w:spacing w:line="340" w:lineRule="exact"/>
        <w:ind w:firstLine="640"/>
        <w:rPr>
          <w:rFonts w:hint="eastAsia" w:hAnsi="宋体" w:cs="宋体"/>
          <w:bCs/>
          <w:color w:val="auto"/>
          <w:sz w:val="32"/>
          <w:szCs w:val="32"/>
          <w:highlight w:val="none"/>
        </w:rPr>
      </w:pPr>
    </w:p>
    <w:p>
      <w:pPr>
        <w:pStyle w:val="14"/>
        <w:spacing w:line="340" w:lineRule="exact"/>
        <w:ind w:firstLine="1584" w:firstLineChars="495"/>
        <w:rPr>
          <w:rFonts w:hint="eastAsia" w:hAnsi="宋体" w:cs="宋体"/>
          <w:bCs/>
          <w:color w:val="auto"/>
          <w:sz w:val="32"/>
          <w:szCs w:val="32"/>
          <w:highlight w:val="none"/>
        </w:rPr>
      </w:pPr>
      <w:r>
        <w:rPr>
          <w:rFonts w:hint="eastAsia" w:hAnsi="宋体" w:cs="宋体"/>
          <w:bCs/>
          <w:color w:val="auto"/>
          <w:sz w:val="32"/>
          <w:szCs w:val="32"/>
          <w:highlight w:val="none"/>
        </w:rPr>
        <w:t>供 应 商（乙方）</w:t>
      </w:r>
      <w:r>
        <w:rPr>
          <w:rFonts w:hint="eastAsia" w:hAnsi="宋体" w:cs="宋体"/>
          <w:bCs/>
          <w:color w:val="auto"/>
          <w:sz w:val="32"/>
          <w:szCs w:val="32"/>
          <w:highlight w:val="none"/>
          <w:u w:val="single"/>
        </w:rPr>
        <w:t xml:space="preserve">                   </w:t>
      </w:r>
    </w:p>
    <w:p>
      <w:pPr>
        <w:snapToGrid w:val="0"/>
        <w:ind w:firstLine="640"/>
        <w:jc w:val="left"/>
        <w:rPr>
          <w:rFonts w:hint="eastAsia" w:ascii="仿宋_GB2312" w:hAnsi="华文中宋" w:eastAsia="仿宋_GB2312"/>
          <w:b/>
          <w:bCs/>
          <w:color w:val="auto"/>
          <w:sz w:val="32"/>
          <w:szCs w:val="32"/>
          <w:highlight w:val="none"/>
        </w:rPr>
      </w:pPr>
    </w:p>
    <w:p>
      <w:pPr>
        <w:ind w:firstLine="600"/>
        <w:jc w:val="center"/>
        <w:rPr>
          <w:rFonts w:ascii="Arial" w:hAnsi="Arial" w:cs="Arial"/>
          <w:color w:val="auto"/>
          <w:sz w:val="30"/>
          <w:szCs w:val="30"/>
          <w:highlight w:val="none"/>
          <w:shd w:val="clear" w:color="auto" w:fill="FFFFFF"/>
        </w:rPr>
      </w:pPr>
    </w:p>
    <w:p>
      <w:pPr>
        <w:ind w:firstLine="600"/>
        <w:jc w:val="center"/>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pStyle w:val="22"/>
        <w:ind w:firstLine="584"/>
        <w:rPr>
          <w:rFonts w:ascii="Arial" w:hAnsi="Arial" w:cs="Arial"/>
          <w:color w:val="auto"/>
          <w:sz w:val="30"/>
          <w:szCs w:val="30"/>
          <w:highlight w:val="none"/>
          <w:shd w:val="clear" w:color="auto" w:fill="FFFFFF"/>
        </w:rPr>
      </w:pPr>
    </w:p>
    <w:p>
      <w:pPr>
        <w:ind w:firstLine="420"/>
        <w:rPr>
          <w:color w:val="auto"/>
          <w:highlight w:val="none"/>
        </w:rPr>
      </w:pPr>
    </w:p>
    <w:p>
      <w:pPr>
        <w:rPr>
          <w:rFonts w:ascii="Arial" w:hAnsi="Arial" w:cs="Arial"/>
          <w:b/>
          <w:bCs/>
          <w:color w:val="auto"/>
          <w:szCs w:val="21"/>
          <w:highlight w:val="none"/>
          <w:shd w:val="clear" w:color="auto" w:fill="FFFFFF"/>
        </w:rPr>
      </w:pPr>
      <w:r>
        <w:rPr>
          <w:rFonts w:hint="eastAsia" w:ascii="Arial" w:hAnsi="Arial" w:cs="Arial"/>
          <w:b/>
          <w:bCs/>
          <w:color w:val="auto"/>
          <w:szCs w:val="21"/>
          <w:highlight w:val="none"/>
          <w:shd w:val="clear" w:color="auto" w:fill="FFFFFF"/>
        </w:rPr>
        <w:br w:type="page"/>
      </w:r>
    </w:p>
    <w:p>
      <w:pPr>
        <w:adjustRightInd w:val="0"/>
        <w:ind w:firstLine="560"/>
        <w:jc w:val="both"/>
        <w:rPr>
          <w:rFonts w:hint="eastAsia" w:ascii="仿宋_GB2312" w:hAnsi="楷体" w:eastAsia="仿宋_GB2312"/>
          <w:b/>
          <w:bCs/>
          <w:color w:val="auto"/>
          <w:sz w:val="28"/>
          <w:szCs w:val="28"/>
          <w:highlight w:val="none"/>
        </w:rPr>
      </w:pPr>
      <w:r>
        <w:rPr>
          <w:rFonts w:hint="eastAsia" w:ascii="仿宋_GB2312" w:hAnsi="楷体" w:eastAsia="仿宋_GB2312"/>
          <w:b/>
          <w:bCs/>
          <w:color w:val="auto"/>
          <w:sz w:val="28"/>
          <w:szCs w:val="28"/>
          <w:highlight w:val="none"/>
        </w:rPr>
        <w:t>1、2、3、4、5分标适用</w:t>
      </w:r>
    </w:p>
    <w:p>
      <w:pPr>
        <w:adjustRightInd w:val="0"/>
        <w:ind w:firstLine="560"/>
        <w:jc w:val="both"/>
        <w:rPr>
          <w:rFonts w:hint="eastAsia" w:ascii="仿宋_GB2312" w:hAnsi="楷体" w:eastAsia="仿宋_GB2312"/>
          <w:b/>
          <w:bCs/>
          <w:color w:val="auto"/>
          <w:sz w:val="28"/>
          <w:szCs w:val="28"/>
          <w:highlight w:val="none"/>
        </w:rPr>
      </w:pPr>
    </w:p>
    <w:p>
      <w:pPr>
        <w:adjustRightInd w:val="0"/>
        <w:ind w:firstLine="883"/>
        <w:jc w:val="both"/>
        <w:rPr>
          <w:rFonts w:hint="eastAsia" w:ascii="宋体" w:hAnsi="宋体"/>
          <w:b/>
          <w:color w:val="auto"/>
          <w:sz w:val="44"/>
          <w:szCs w:val="44"/>
          <w:highlight w:val="none"/>
        </w:rPr>
      </w:pPr>
      <w:r>
        <w:rPr>
          <w:rFonts w:hint="eastAsia" w:ascii="宋体" w:hAnsi="宋体"/>
          <w:b/>
          <w:color w:val="auto"/>
          <w:sz w:val="44"/>
          <w:szCs w:val="44"/>
          <w:highlight w:val="none"/>
        </w:rPr>
        <w:t>广西医科大学零星修缮服务采购合同</w:t>
      </w:r>
    </w:p>
    <w:p>
      <w:pPr>
        <w:snapToGrid w:val="0"/>
        <w:spacing w:line="360" w:lineRule="exact"/>
        <w:ind w:right="480" w:firstLine="420"/>
        <w:jc w:val="center"/>
        <w:rPr>
          <w:rFonts w:hint="eastAsia" w:ascii="宋体" w:hAnsi="宋体"/>
          <w:b/>
          <w:bCs/>
          <w:color w:val="auto"/>
          <w:highlight w:val="none"/>
        </w:rPr>
      </w:pPr>
      <w:bookmarkStart w:id="410" w:name="_Toc22075"/>
      <w:bookmarkStart w:id="411" w:name="_Toc24742"/>
      <w:r>
        <w:rPr>
          <w:bCs/>
          <w:color w:val="auto"/>
          <w:szCs w:val="21"/>
          <w:highlight w:val="none"/>
        </w:rPr>
        <w:t xml:space="preserve">                              </w:t>
      </w:r>
    </w:p>
    <w:p>
      <w:pPr>
        <w:snapToGrid w:val="0"/>
        <w:spacing w:line="360" w:lineRule="auto"/>
        <w:ind w:right="480" w:firstLine="420"/>
        <w:jc w:val="center"/>
        <w:rPr>
          <w:rFonts w:hint="eastAsia" w:ascii="宋体" w:hAnsi="宋体" w:cs="宋体"/>
          <w:bCs/>
          <w:color w:val="auto"/>
          <w:szCs w:val="21"/>
          <w:highlight w:val="none"/>
        </w:rPr>
      </w:pPr>
      <w:r>
        <w:rPr>
          <w:rFonts w:hint="eastAsia" w:ascii="宋体" w:hAnsi="宋体"/>
          <w:bCs/>
          <w:color w:val="auto"/>
          <w:highlight w:val="none"/>
        </w:rPr>
        <w:t xml:space="preserve">                                 </w:t>
      </w:r>
      <w:r>
        <w:rPr>
          <w:rFonts w:hint="eastAsia" w:ascii="宋体" w:hAnsi="宋体" w:cs="宋体"/>
          <w:bCs/>
          <w:color w:val="auto"/>
          <w:szCs w:val="21"/>
          <w:highlight w:val="none"/>
        </w:rPr>
        <w:t xml:space="preserve"> 合同编号：</w:t>
      </w:r>
    </w:p>
    <w:p>
      <w:pPr>
        <w:snapToGrid w:val="0"/>
        <w:spacing w:line="360" w:lineRule="auto"/>
        <w:ind w:firstLine="3685" w:firstLineChars="1748"/>
        <w:rPr>
          <w:rFonts w:hint="eastAsia" w:ascii="宋体" w:hAnsi="宋体" w:cs="宋体"/>
          <w:b/>
          <w:color w:val="auto"/>
          <w:szCs w:val="21"/>
          <w:highlight w:val="none"/>
        </w:rPr>
      </w:pPr>
    </w:p>
    <w:p>
      <w:pPr>
        <w:snapToGrid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pacing w:val="-20"/>
          <w:szCs w:val="21"/>
          <w:highlight w:val="none"/>
        </w:rPr>
        <w:t xml:space="preserve">  采 购 计 划 号</w:t>
      </w:r>
      <w:r>
        <w:rPr>
          <w:rFonts w:hint="eastAsia" w:ascii="宋体" w:hAnsi="宋体" w:cs="宋体"/>
          <w:color w:val="auto"/>
          <w:szCs w:val="21"/>
          <w:highlight w:val="none"/>
          <w:u w:val="single"/>
        </w:rPr>
        <w:t xml:space="preserve">                           </w:t>
      </w:r>
    </w:p>
    <w:p>
      <w:pPr>
        <w:snapToGrid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项目名称和编号</w:t>
      </w:r>
      <w:r>
        <w:rPr>
          <w:rFonts w:hint="eastAsia" w:ascii="宋体" w:hAnsi="宋体" w:cs="宋体"/>
          <w:color w:val="auto"/>
          <w:szCs w:val="21"/>
          <w:highlight w:val="none"/>
          <w:u w:val="single"/>
        </w:rPr>
        <w:t xml:space="preserve">                        </w:t>
      </w:r>
    </w:p>
    <w:p>
      <w:pPr>
        <w:snapToGrid w:val="0"/>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 </w:t>
      </w:r>
      <w:r>
        <w:rPr>
          <w:rFonts w:hint="eastAsia" w:ascii="宋体" w:hAnsi="宋体" w:cs="宋体"/>
          <w:color w:val="auto"/>
          <w:szCs w:val="21"/>
          <w:highlight w:val="none"/>
          <w:u w:val="single"/>
        </w:rPr>
        <w:t xml:space="preserve">                         </w:t>
      </w:r>
    </w:p>
    <w:p>
      <w:pPr>
        <w:snapToGri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依照《中华人民共和国政府采购法》《中华人民共和国民法典》《中华人民共和国建筑法》等法律、行政法规等规范性文件的相关规定，根据零星修缮、设计、监理服务(两年)采购的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分标采购文件的规定和乙方投标文件及相关承诺，甲、乙双方经协商一致，现就乙方为甲方提供零星修缮服务相关事宜签订本合同。</w:t>
      </w:r>
    </w:p>
    <w:p>
      <w:pPr>
        <w:pStyle w:val="22"/>
        <w:adjustRightInd w:val="0"/>
        <w:spacing w:line="360" w:lineRule="auto"/>
        <w:ind w:firstLine="406"/>
        <w:rPr>
          <w:rFonts w:hint="eastAsia" w:hAnsi="宋体" w:cs="宋体"/>
          <w:b/>
          <w:color w:val="auto"/>
          <w:sz w:val="21"/>
          <w:szCs w:val="21"/>
          <w:highlight w:val="none"/>
        </w:rPr>
      </w:pP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第一条 总则</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 词语定义与解释</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本合同中词语的定义与解释以《建设工程施工合同（示范文本）》（GF-2017-0201）第二部分通用条款第1.1款中所列词语的定义与解释为准。</w:t>
      </w:r>
    </w:p>
    <w:p>
      <w:pPr>
        <w:pStyle w:val="22"/>
        <w:adjustRightInd w:val="0"/>
        <w:spacing w:line="360" w:lineRule="auto"/>
        <w:ind w:firstLine="406"/>
        <w:rPr>
          <w:rFonts w:hint="eastAsia" w:hAnsi="宋体" w:cs="宋体"/>
          <w:color w:val="auto"/>
          <w:sz w:val="21"/>
          <w:szCs w:val="21"/>
          <w:highlight w:val="none"/>
        </w:rPr>
      </w:pPr>
      <w:r>
        <w:rPr>
          <w:rFonts w:hint="eastAsia" w:hAnsi="宋体" w:cs="宋体"/>
          <w:b/>
          <w:color w:val="auto"/>
          <w:sz w:val="21"/>
          <w:szCs w:val="21"/>
          <w:highlight w:val="none"/>
        </w:rPr>
        <w:t>1.2 合同文件组成及优先顺序</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（1）补充协议（如有）；</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（2）采购文件中的项目采购需求及本合同条款；</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（3）中标通知书；</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（4）投标函及其附录；</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（5）技术标准和要求；</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（6）图纸；</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（7）其他合同文件。</w:t>
      </w:r>
    </w:p>
    <w:p>
      <w:pPr>
        <w:pStyle w:val="22"/>
        <w:adjustRightInd w:val="0"/>
        <w:spacing w:line="360" w:lineRule="auto"/>
        <w:ind w:firstLine="460" w:firstLineChars="0"/>
        <w:rPr>
          <w:rFonts w:hint="eastAsia" w:hAnsi="宋体" w:cs="宋体"/>
          <w:color w:val="auto"/>
          <w:sz w:val="21"/>
          <w:szCs w:val="21"/>
          <w:highlight w:val="none"/>
        </w:rPr>
      </w:pPr>
      <w:r>
        <w:rPr>
          <w:rFonts w:hint="eastAsia" w:hAnsi="宋体" w:cs="宋体"/>
          <w:color w:val="auto"/>
          <w:sz w:val="21"/>
          <w:szCs w:val="21"/>
          <w:highlight w:val="none"/>
        </w:rPr>
        <w:t>图纸与技术标准和要求之间有矛盾或者不一致的，以其中要求较严格的标准为准。甲、乙双方在本合同履行过程中的有关洽商、变更等书面协议或文件视为本合同文件的构成部分。</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 保密条款</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甲、乙双方应对在本合同签订或履行过程中所接触的对方信息，包括但不限于知识产权、技术资料、技术诀窍、内部管理及其他相关信息，负有保密义务。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乙方在使用甲方为乙方及其工作人员提供的数据、资料及甲方相关的业务和技术文档，包括方案设计细节、程序文件、数据结构，以及相关业务系统的文档时，应遵循以下规定：</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（1）应以审慎态度避免泄露、公开或传播甲方的信息；</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（2）未经甲方书面许可，不得对有关信息进行修改、补充、复制；</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（3）未经甲方书面许可，不得将信息以任何方式携带出甲方场所；</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（4）未经甲方书面许可，不得将信息透露给任何其他人；</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（5）甲方以书面形式提出的其他保密措施。</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保密期限不受合同有效期的限制，在合同有效期结束后，信息接受方仍应承担保密义务，直至该等信息成为公开信息。</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1.3.4 一方如出现泄密行为，泄密方应承担相关的法律责任，包括但是不限于对由此给对方造成的经济损失进行赔偿。</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不可抗力</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若合同双方因不可抗力而导致合同实施延误或合同无法实施，不应该承担误期赔偿或不能履行合同义务的责任。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本条所述的“不可抗力”系指那些双方不可预见、不可避免、不可克服的客观情况，但不包括双方的违约或疏忽。这些事件包括但不限于：战争、严重火灾、洪水、台风、地震、疫情等。</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在不可抗力事件发生后，受不可抗力影响的一方应及时将不可抗力情况通知对方，在不可抗力事件结束后3日内以书面形式将不可抗力的情况和原因通知对方，并提供相应的证明文件。合同双方应尽可能继续履行合同义务，并积极寻求采取合理的措施履行不受不可抗力影响的其他事项，通过友好协商在合理的时间内达成进一步履行的协议。</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合同变更</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甲、乙双方经协商后一致同意变更本合同条款的，双方应签署补充协议或其他书面文件对变更事宜予以确定。</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在具体工程中，甲方有权在单个项目预算价10%的范围内追加工程量，乙方不得拒绝。</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1.6 双方的一般义务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w:t>
      </w:r>
      <w:r>
        <w:rPr>
          <w:rFonts w:hint="eastAsia" w:ascii="宋体" w:hAnsi="宋体" w:cs="宋体"/>
          <w:b/>
          <w:color w:val="auto"/>
          <w:szCs w:val="21"/>
          <w:highlight w:val="none"/>
        </w:rPr>
        <w:t xml:space="preserve"> </w:t>
      </w:r>
      <w:r>
        <w:rPr>
          <w:rFonts w:hint="eastAsia" w:ascii="宋体" w:hAnsi="宋体" w:cs="宋体"/>
          <w:color w:val="auto"/>
          <w:szCs w:val="21"/>
          <w:highlight w:val="none"/>
        </w:rPr>
        <w:t>甲方的一般义务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（1）协助乙方清理施工场地、组织施工图纸会审。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（2）提供施工所需的水、电设施。</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（3）在具体工程中指派代表监督检查工程质量、进度，验收隐蔽工程，验收乙方提供的装修材料品牌、质量级别、规格、型号，确认项目变更。</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（4）依约按时足额向乙方支付工程款。</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（5）组织工程竣工验收，按时办理竣工结算。</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乙方的一般义务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（1）严格按照经甲方确认的维修方案、施工图纸和工程量清单施工，若须变更，必须严格执行变更程序。</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（2）严格执行施工规范、质量标准、安全操作规范、防火安全规范和环境保护规定。</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（3）按施工安全规范做好施工质量、安全管理，现场材料堆放整齐，道路畅通。</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（4）提出合理化建议，合理组织施工，保证工程连续、顺利进行。</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（5）乙方不得以工程变更、增改等须增加的工程款未确定为由拒绝或拖延施工、停工。</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（6）非经甲方同意，乙方不得擅自停工，由此造成的延期、返工等损失由乙方承担。</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（7）工程竣工后应清理场地，清洁程度达甲方要求。</w:t>
      </w:r>
    </w:p>
    <w:p>
      <w:pPr>
        <w:pStyle w:val="6"/>
        <w:spacing w:before="120" w:after="120" w:line="360" w:lineRule="auto"/>
        <w:ind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1.6.3 履约担保</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乙方是否提供履约担保：乙方在收到中标通知书后，须在 10 日内向甲方提交履约担保。</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乙方提供履约担保的形式、金额、期限及退回：</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形式：</w:t>
      </w:r>
      <w:r>
        <w:rPr>
          <w:rFonts w:hint="eastAsia" w:hAnsi="宋体" w:cs="宋体"/>
          <w:color w:val="auto"/>
          <w:sz w:val="21"/>
          <w:szCs w:val="21"/>
          <w:highlight w:val="none"/>
          <w:lang w:val="zh-CN"/>
        </w:rPr>
        <w:t>银行转账、支票、汇票、本票或者金融、担保机构出具的保函等非现金方式</w:t>
      </w:r>
      <w:r>
        <w:rPr>
          <w:rFonts w:hint="eastAsia" w:hAnsi="宋体" w:cs="宋体"/>
          <w:color w:val="auto"/>
          <w:sz w:val="21"/>
          <w:szCs w:val="21"/>
          <w:highlight w:val="none"/>
        </w:rPr>
        <w:t xml:space="preserve"> 。</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金额：</w:t>
      </w:r>
      <w:r>
        <w:rPr>
          <w:rFonts w:hint="eastAsia" w:hAnsi="宋体" w:cs="宋体"/>
          <w:color w:val="auto"/>
          <w:sz w:val="21"/>
          <w:szCs w:val="21"/>
          <w:highlight w:val="none"/>
          <w:u w:val="single"/>
        </w:rPr>
        <w:t>履约担保金额为招标文件中规定的对应分标预算金额的</w:t>
      </w:r>
      <w:r>
        <w:rPr>
          <w:rFonts w:hAnsi="宋体" w:cs="宋体"/>
          <w:color w:val="auto"/>
          <w:sz w:val="21"/>
          <w:szCs w:val="21"/>
          <w:highlight w:val="none"/>
          <w:u w:val="single"/>
        </w:rPr>
        <w:t>2%。</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lang w:val="zh-CN"/>
        </w:rPr>
        <w:t>履约保证金退还时间：合同期满且</w:t>
      </w:r>
      <w:r>
        <w:rPr>
          <w:rFonts w:hint="eastAsia" w:hAnsi="宋体" w:cs="宋体"/>
          <w:color w:val="auto"/>
          <w:sz w:val="21"/>
          <w:szCs w:val="21"/>
          <w:highlight w:val="none"/>
        </w:rPr>
        <w:t>乙方</w:t>
      </w:r>
      <w:r>
        <w:rPr>
          <w:rFonts w:hint="eastAsia" w:hAnsi="宋体" w:cs="宋体"/>
          <w:color w:val="auto"/>
          <w:sz w:val="21"/>
          <w:szCs w:val="21"/>
          <w:highlight w:val="none"/>
          <w:lang w:val="zh-CN"/>
        </w:rPr>
        <w:t>在服务期间无违约情况下；履约保证金由</w:t>
      </w:r>
      <w:r>
        <w:rPr>
          <w:rFonts w:hint="eastAsia" w:hAnsi="宋体" w:cs="宋体"/>
          <w:color w:val="auto"/>
          <w:sz w:val="21"/>
          <w:szCs w:val="21"/>
          <w:highlight w:val="none"/>
        </w:rPr>
        <w:t>甲方</w:t>
      </w:r>
      <w:r>
        <w:rPr>
          <w:rFonts w:hint="eastAsia" w:hAnsi="宋体" w:cs="宋体"/>
          <w:color w:val="auto"/>
          <w:sz w:val="21"/>
          <w:szCs w:val="21"/>
          <w:highlight w:val="none"/>
          <w:lang w:val="zh-CN"/>
        </w:rPr>
        <w:t>一次性退回</w:t>
      </w:r>
      <w:r>
        <w:rPr>
          <w:rFonts w:hint="eastAsia" w:hAnsi="宋体" w:cs="宋体"/>
          <w:color w:val="auto"/>
          <w:sz w:val="21"/>
          <w:szCs w:val="21"/>
          <w:highlight w:val="none"/>
        </w:rPr>
        <w:t>乙方</w:t>
      </w:r>
      <w:r>
        <w:rPr>
          <w:rFonts w:hint="eastAsia" w:hAnsi="宋体" w:cs="宋体"/>
          <w:color w:val="auto"/>
          <w:sz w:val="21"/>
          <w:szCs w:val="21"/>
          <w:highlight w:val="none"/>
          <w:lang w:val="zh-CN"/>
        </w:rPr>
        <w:t>指定银行账户。如</w:t>
      </w:r>
      <w:r>
        <w:rPr>
          <w:rFonts w:hint="eastAsia" w:hAnsi="宋体" w:cs="宋体"/>
          <w:color w:val="auto"/>
          <w:sz w:val="21"/>
          <w:szCs w:val="21"/>
          <w:highlight w:val="none"/>
        </w:rPr>
        <w:t>乙方</w:t>
      </w:r>
      <w:r>
        <w:rPr>
          <w:rFonts w:hint="eastAsia" w:hAnsi="宋体" w:cs="宋体"/>
          <w:color w:val="auto"/>
          <w:sz w:val="21"/>
          <w:szCs w:val="21"/>
          <w:highlight w:val="none"/>
          <w:lang w:val="zh-CN"/>
        </w:rPr>
        <w:t>不按双方签订的合同规定履约的，则扣除相应的罚金后剩余部分一次性退回</w:t>
      </w:r>
      <w:r>
        <w:rPr>
          <w:rFonts w:hint="eastAsia" w:hAnsi="宋体" w:cs="宋体"/>
          <w:color w:val="auto"/>
          <w:sz w:val="21"/>
          <w:szCs w:val="21"/>
          <w:highlight w:val="none"/>
        </w:rPr>
        <w:t>乙方</w:t>
      </w:r>
      <w:r>
        <w:rPr>
          <w:rFonts w:hint="eastAsia" w:hAnsi="宋体" w:cs="宋体"/>
          <w:color w:val="auto"/>
          <w:sz w:val="21"/>
          <w:szCs w:val="21"/>
          <w:highlight w:val="none"/>
          <w:lang w:val="zh-CN"/>
        </w:rPr>
        <w:t>指定银行账户。</w:t>
      </w:r>
    </w:p>
    <w:p>
      <w:pPr>
        <w:pStyle w:val="22"/>
        <w:adjustRightInd w:val="0"/>
        <w:spacing w:line="360" w:lineRule="auto"/>
        <w:ind w:firstLine="404"/>
        <w:rPr>
          <w:rFonts w:hint="eastAsia" w:hAnsi="宋体" w:cs="宋体"/>
          <w:color w:val="auto"/>
          <w:sz w:val="21"/>
          <w:szCs w:val="21"/>
          <w:highlight w:val="none"/>
          <w:lang w:val="zh-CN"/>
        </w:rPr>
      </w:pPr>
      <w:r>
        <w:rPr>
          <w:rFonts w:hint="eastAsia" w:hAnsi="宋体" w:cs="宋体"/>
          <w:color w:val="auto"/>
          <w:sz w:val="21"/>
          <w:szCs w:val="21"/>
          <w:highlight w:val="none"/>
          <w:lang w:val="zh-CN"/>
        </w:rPr>
        <w:t>履约保证金指定账户：</w:t>
      </w:r>
    </w:p>
    <w:p>
      <w:pPr>
        <w:pStyle w:val="22"/>
        <w:adjustRightInd w:val="0"/>
        <w:spacing w:line="360" w:lineRule="auto"/>
        <w:ind w:firstLine="404"/>
        <w:rPr>
          <w:rFonts w:hint="eastAsia" w:hAnsi="宋体" w:cs="宋体"/>
          <w:color w:val="auto"/>
          <w:sz w:val="21"/>
          <w:szCs w:val="21"/>
          <w:highlight w:val="none"/>
          <w:u w:val="single"/>
          <w:lang w:val="zh-CN"/>
        </w:rPr>
      </w:pPr>
      <w:r>
        <w:rPr>
          <w:rFonts w:hint="eastAsia" w:hAnsi="宋体" w:cs="宋体"/>
          <w:color w:val="auto"/>
          <w:sz w:val="21"/>
          <w:szCs w:val="21"/>
          <w:highlight w:val="none"/>
          <w:u w:val="single"/>
          <w:lang w:val="zh-CN"/>
        </w:rPr>
        <w:t>户名：广西医科大学</w:t>
      </w:r>
    </w:p>
    <w:p>
      <w:pPr>
        <w:pStyle w:val="22"/>
        <w:adjustRightInd w:val="0"/>
        <w:spacing w:line="360" w:lineRule="auto"/>
        <w:ind w:firstLine="404"/>
        <w:rPr>
          <w:rFonts w:hint="eastAsia" w:hAnsi="宋体" w:cs="宋体"/>
          <w:color w:val="auto"/>
          <w:sz w:val="21"/>
          <w:szCs w:val="21"/>
          <w:highlight w:val="none"/>
          <w:u w:val="single"/>
          <w:lang w:val="zh-CN"/>
        </w:rPr>
      </w:pPr>
      <w:r>
        <w:rPr>
          <w:rFonts w:hint="eastAsia" w:hAnsi="宋体" w:cs="宋体"/>
          <w:color w:val="auto"/>
          <w:sz w:val="21"/>
          <w:szCs w:val="21"/>
          <w:highlight w:val="none"/>
          <w:u w:val="single"/>
          <w:lang w:val="zh-CN"/>
        </w:rPr>
        <w:t>账号：</w:t>
      </w:r>
      <w:r>
        <w:rPr>
          <w:rFonts w:hAnsi="宋体" w:cs="宋体"/>
          <w:color w:val="auto"/>
          <w:sz w:val="21"/>
          <w:szCs w:val="21"/>
          <w:highlight w:val="none"/>
          <w:u w:val="single"/>
          <w:lang w:val="zh-CN"/>
        </w:rPr>
        <w:t>622357485287</w:t>
      </w:r>
    </w:p>
    <w:p>
      <w:pPr>
        <w:pStyle w:val="22"/>
        <w:adjustRightInd w:val="0"/>
        <w:spacing w:line="360" w:lineRule="auto"/>
        <w:ind w:firstLine="404"/>
        <w:rPr>
          <w:rFonts w:hint="eastAsia" w:hAnsi="宋体" w:cs="宋体"/>
          <w:color w:val="auto"/>
          <w:sz w:val="21"/>
          <w:szCs w:val="21"/>
          <w:highlight w:val="none"/>
          <w:u w:val="single"/>
          <w:lang w:val="zh-CN"/>
        </w:rPr>
      </w:pPr>
      <w:r>
        <w:rPr>
          <w:rFonts w:hint="eastAsia" w:hAnsi="宋体" w:cs="宋体"/>
          <w:color w:val="auto"/>
          <w:sz w:val="21"/>
          <w:szCs w:val="21"/>
          <w:highlight w:val="none"/>
          <w:u w:val="single"/>
          <w:lang w:val="zh-CN"/>
        </w:rPr>
        <w:t>开户银行：中行南宁市医科大支行</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第二条 工程范围与维修方案 </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2.1 甲方在本合同项下的工程款预算金额为       元。</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2.2 乙方根据甲方要求负责校本部/武鸣校区100万元以下零星修缮改造项目，包含编制维修方案、图纸绘制，包含平面图及效果图绘制和维修项目的预算清单编制（此项是配合采购人提供项目前期立项必需材料，属于专业服务内容，采购人不单列专项设计费、制图费、编制费，由投标人自行解决该项成本）。维修项目的范围以采购需求为准，每一项具体工程的维修内容以甲方发出的派工单为准。</w:t>
      </w:r>
    </w:p>
    <w:p>
      <w:pPr>
        <w:pStyle w:val="22"/>
        <w:adjustRightInd w:val="0"/>
        <w:spacing w:line="360" w:lineRule="auto"/>
        <w:ind w:firstLine="404"/>
        <w:rPr>
          <w:rFonts w:hint="eastAsia" w:hAnsi="宋体" w:cs="宋体"/>
          <w:color w:val="auto"/>
          <w:szCs w:val="21"/>
          <w:highlight w:val="none"/>
        </w:rPr>
      </w:pPr>
      <w:r>
        <w:rPr>
          <w:rFonts w:hint="eastAsia" w:hAnsi="宋体" w:cs="宋体"/>
          <w:color w:val="auto"/>
          <w:sz w:val="21"/>
          <w:szCs w:val="21"/>
          <w:highlight w:val="none"/>
          <w:u w:val="single"/>
        </w:rPr>
        <w:t xml:space="preserve">2.3 </w:t>
      </w:r>
      <w:r>
        <w:rPr>
          <w:rFonts w:hint="eastAsia" w:hAnsi="宋体" w:cs="宋体"/>
          <w:color w:val="auto"/>
          <w:sz w:val="21"/>
          <w:szCs w:val="21"/>
          <w:highlight w:val="none"/>
        </w:rPr>
        <w:t>维修方案的内容至少应包含该工程的开工条件及工期天数，其他内容由甲方确定。甲方有权审查每项工程的维修方案、预算及工程量清单并要求乙方进行补充或修改，乙方应按照经甲方确认的维修方案进行维修。</w:t>
      </w:r>
    </w:p>
    <w:p>
      <w:pPr>
        <w:spacing w:line="360" w:lineRule="auto"/>
        <w:ind w:firstLine="404" w:firstLineChars="200"/>
        <w:rPr>
          <w:color w:val="auto"/>
          <w:szCs w:val="21"/>
          <w:highlight w:val="none"/>
        </w:rPr>
      </w:pPr>
      <w:r>
        <w:rPr>
          <w:rFonts w:hint="eastAsia" w:hAnsi="宋体" w:cs="宋体"/>
          <w:color w:val="auto"/>
          <w:spacing w:val="-4"/>
          <w:szCs w:val="21"/>
          <w:highlight w:val="none"/>
          <w:u w:val="single"/>
        </w:rPr>
        <w:t xml:space="preserve">2.4 </w:t>
      </w:r>
      <w:bookmarkStart w:id="412" w:name="_Hlk202281678"/>
      <w:r>
        <w:rPr>
          <w:rFonts w:hint="eastAsia" w:hAnsi="宋体" w:cs="宋体"/>
          <w:color w:val="auto"/>
          <w:spacing w:val="-4"/>
          <w:szCs w:val="21"/>
          <w:highlight w:val="none"/>
          <w:u w:val="single"/>
        </w:rPr>
        <w:t>合同有效期为</w:t>
      </w:r>
      <w:r>
        <w:rPr>
          <w:rFonts w:hint="eastAsia" w:ascii="宋体" w:hAnsi="宋体" w:cs="宋体"/>
          <w:bCs/>
          <w:color w:val="auto"/>
          <w:szCs w:val="21"/>
          <w:highlight w:val="none"/>
        </w:rPr>
        <w:t>自本合同签订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w:t>
      </w:r>
      <w:r>
        <w:rPr>
          <w:rFonts w:hint="eastAsia" w:ascii="宋体" w:hAnsi="宋体"/>
          <w:color w:val="auto"/>
          <w:szCs w:val="21"/>
        </w:rPr>
        <w:t>若由乙方负责修缮的项目的工程预算</w:t>
      </w:r>
      <w:r>
        <w:rPr>
          <w:rFonts w:hint="eastAsia" w:ascii="宋体" w:hAnsi="宋体"/>
          <w:color w:val="auto"/>
          <w:szCs w:val="21"/>
          <w:lang w:val="en-US" w:eastAsia="zh-CN"/>
        </w:rPr>
        <w:t>/</w:t>
      </w:r>
      <w:r>
        <w:rPr>
          <w:rFonts w:hint="eastAsia" w:ascii="宋体" w:hAnsi="宋体"/>
          <w:color w:val="auto"/>
          <w:szCs w:val="21"/>
        </w:rPr>
        <w:t>控制价（由甲方负责编制）金额累计达到本合同第2.1款约定预算金额的，本合同自动提前终止</w:t>
      </w:r>
      <w:r>
        <w:rPr>
          <w:rFonts w:hint="eastAsia"/>
          <w:color w:val="auto"/>
          <w:szCs w:val="21"/>
          <w:highlight w:val="none"/>
        </w:rPr>
        <w:t>。</w:t>
      </w:r>
    </w:p>
    <w:p>
      <w:pPr>
        <w:spacing w:line="360" w:lineRule="auto"/>
        <w:ind w:firstLine="420" w:firstLineChars="200"/>
        <w:rPr>
          <w:rFonts w:ascii="宋体" w:hAnsi="Courier New"/>
          <w:color w:val="auto"/>
          <w:spacing w:val="-4"/>
          <w:sz w:val="18"/>
          <w:szCs w:val="20"/>
          <w:highlight w:val="none"/>
          <w:u w:val="single"/>
        </w:rPr>
      </w:pPr>
      <w:r>
        <w:rPr>
          <w:rFonts w:hint="eastAsia"/>
          <w:color w:val="auto"/>
          <w:szCs w:val="21"/>
          <w:highlight w:val="none"/>
        </w:rPr>
        <w:t>对于</w:t>
      </w:r>
      <w:r>
        <w:rPr>
          <w:rFonts w:hint="eastAsia" w:ascii="宋体" w:hAnsi="宋体" w:cs="宋体"/>
          <w:bCs/>
          <w:color w:val="auto"/>
          <w:szCs w:val="21"/>
          <w:highlight w:val="none"/>
        </w:rPr>
        <w:t>在合同有效期内已立项、但截至合同终止之日（含到期终止与提前终止）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修缮项目</w:t>
      </w:r>
      <w:r>
        <w:rPr>
          <w:rFonts w:ascii="宋体" w:hAnsi="宋体" w:cs="宋体"/>
          <w:bCs/>
          <w:color w:val="auto"/>
          <w:szCs w:val="21"/>
          <w:highlight w:val="none"/>
        </w:rPr>
        <w:t>，</w:t>
      </w:r>
      <w:r>
        <w:rPr>
          <w:rFonts w:hint="eastAsia" w:ascii="宋体" w:hAnsi="宋体" w:cs="宋体"/>
          <w:bCs/>
          <w:color w:val="auto"/>
          <w:szCs w:val="21"/>
          <w:highlight w:val="none"/>
        </w:rPr>
        <w:t>乙方</w:t>
      </w:r>
      <w:r>
        <w:rPr>
          <w:rFonts w:ascii="宋体" w:hAnsi="宋体" w:cs="宋体"/>
          <w:bCs/>
          <w:color w:val="auto"/>
          <w:szCs w:val="21"/>
          <w:highlight w:val="none"/>
        </w:rPr>
        <w:t>在该项目的任务委托书约定的</w:t>
      </w:r>
      <w:r>
        <w:rPr>
          <w:rFonts w:hint="eastAsia" w:ascii="宋体" w:hAnsi="宋体" w:cs="宋体"/>
          <w:bCs/>
          <w:color w:val="auto"/>
          <w:szCs w:val="21"/>
          <w:highlight w:val="none"/>
        </w:rPr>
        <w:t>修缮</w:t>
      </w:r>
      <w:r>
        <w:rPr>
          <w:rFonts w:ascii="宋体" w:hAnsi="宋体" w:cs="宋体"/>
          <w:bCs/>
          <w:color w:val="auto"/>
          <w:szCs w:val="21"/>
          <w:highlight w:val="none"/>
        </w:rPr>
        <w:t>服务期限内</w:t>
      </w:r>
      <w:r>
        <w:rPr>
          <w:rFonts w:hint="eastAsia" w:ascii="宋体" w:hAnsi="宋体" w:cs="宋体"/>
          <w:bCs/>
          <w:color w:val="auto"/>
          <w:szCs w:val="21"/>
          <w:highlight w:val="none"/>
        </w:rPr>
        <w:t>应负责继续修缮直至该项目验收合格</w:t>
      </w:r>
      <w:r>
        <w:rPr>
          <w:rFonts w:hint="eastAsia" w:ascii="宋体" w:hAnsi="宋体"/>
          <w:color w:val="auto"/>
          <w:szCs w:val="21"/>
          <w:highlight w:val="none"/>
        </w:rPr>
        <w:t>。</w:t>
      </w:r>
      <w:bookmarkEnd w:id="412"/>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第三条 设计单位与监理单位</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甲方可根据具体工程项目的客观情况委托设计单位进行工程设计及/或委托监理单位提供监理服务，乙方应依照相关规定无条件配合甲方、设计单位与监理单位的工作并履行相关义务。</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工期</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4.1 紧急维修工程</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出现大面积停水停电停网等影响校园正常生活秩序或漏电、水管爆裂隐患以及其他急须维修（统称紧急维修工程）的情况时，乙方须在收到甲方通知后两小时内派员实地查看并编制维修方案及预算，且至迟应在甲方确认方案及预算之日的次日进场维修。若须维修的项目存在特别重大安全隐患的，经甲方工作人员同意后乙方亦可先行进场紧急抢修以最大程度排除隐患，此后向甲方补充提交维修方案、预算及工程量清单。</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4.2 一般维修工程</w:t>
      </w:r>
    </w:p>
    <w:p>
      <w:pPr>
        <w:pStyle w:val="22"/>
        <w:widowControl/>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4.2.1 乙方应在收到甲方就每一项具体工程项目发出的维修通知之日起5日内向甲方提交该工程的维修方案、预算及工程量清单。若乙方认为具体工程复杂、须延期提交维修方案及预算的，应向甲方书面报告，经甲方确认并同意后可相应延迟提交。工程实际开工日期以满足开工条件后甲方向乙方发出的派工单（或监理单位发出的开工令，下同）中载明的开工日期为准。</w:t>
      </w:r>
      <w:r>
        <w:rPr>
          <w:rFonts w:hint="eastAsia" w:hAnsi="宋体" w:cs="宋体"/>
          <w:color w:val="auto"/>
          <w:sz w:val="21"/>
          <w:szCs w:val="21"/>
          <w:highlight w:val="none"/>
          <w:lang w:bidi="zh-CN"/>
        </w:rPr>
        <w:t>不响应采购人派工的需书面回函。</w:t>
      </w:r>
    </w:p>
    <w:p>
      <w:pPr>
        <w:pStyle w:val="22"/>
        <w:adjustRightInd w:val="0"/>
        <w:spacing w:line="360" w:lineRule="auto"/>
        <w:ind w:firstLine="404"/>
        <w:rPr>
          <w:rFonts w:hint="eastAsia" w:hAnsi="宋体" w:cs="宋体"/>
          <w:color w:val="auto"/>
          <w:szCs w:val="21"/>
          <w:highlight w:val="none"/>
        </w:rPr>
      </w:pPr>
      <w:r>
        <w:rPr>
          <w:rFonts w:hAnsi="宋体" w:cs="宋体"/>
          <w:color w:val="auto"/>
          <w:sz w:val="21"/>
          <w:szCs w:val="21"/>
          <w:highlight w:val="none"/>
        </w:rPr>
        <w:t xml:space="preserve">4.3 </w:t>
      </w:r>
      <w:r>
        <w:rPr>
          <w:rFonts w:hint="eastAsia" w:hAnsi="宋体" w:cs="宋体"/>
          <w:color w:val="auto"/>
          <w:sz w:val="21"/>
          <w:szCs w:val="21"/>
          <w:highlight w:val="none"/>
        </w:rPr>
        <w:t>装修改造工程（涉及</w:t>
      </w:r>
      <w:r>
        <w:rPr>
          <w:rFonts w:hAnsi="宋体" w:cs="宋体"/>
          <w:color w:val="auto"/>
          <w:sz w:val="21"/>
          <w:szCs w:val="21"/>
          <w:highlight w:val="none"/>
        </w:rPr>
        <w:t>CAD</w:t>
      </w:r>
      <w:r>
        <w:rPr>
          <w:rFonts w:hint="eastAsia" w:hAnsi="宋体" w:cs="宋体"/>
          <w:color w:val="auto"/>
          <w:sz w:val="21"/>
          <w:szCs w:val="21"/>
          <w:highlight w:val="none"/>
        </w:rPr>
        <w:t>绘图）</w:t>
      </w:r>
    </w:p>
    <w:p>
      <w:pPr>
        <w:pStyle w:val="22"/>
        <w:adjustRightInd w:val="0"/>
        <w:spacing w:line="360" w:lineRule="auto"/>
        <w:ind w:firstLine="404"/>
        <w:rPr>
          <w:rFonts w:hint="eastAsia" w:hAnsi="宋体" w:cs="宋体"/>
          <w:color w:val="auto"/>
          <w:szCs w:val="21"/>
          <w:highlight w:val="none"/>
        </w:rPr>
      </w:pPr>
      <w:r>
        <w:rPr>
          <w:rFonts w:hAnsi="宋体" w:cs="宋体"/>
          <w:color w:val="auto"/>
          <w:sz w:val="21"/>
          <w:szCs w:val="21"/>
          <w:highlight w:val="none"/>
        </w:rPr>
        <w:t xml:space="preserve">4.3.1 </w:t>
      </w:r>
      <w:r>
        <w:rPr>
          <w:rFonts w:hint="eastAsia" w:hAnsi="宋体" w:cs="宋体"/>
          <w:color w:val="auto"/>
          <w:sz w:val="21"/>
          <w:szCs w:val="21"/>
          <w:highlight w:val="none"/>
        </w:rPr>
        <w:t>甲方完成设计图纸、预算清单报价提交时间：50万以下项目，乙方应在收到甲方就每一项具体工程项目发出的维修通知之日起10日内；50万以上（含）项目，乙方应在收到甲方就每一项具体工程项目发出的维修通知之日起15日内及时完成设计出图、主材品牌选样、编制预算清单等立项</w:t>
      </w:r>
      <w:r>
        <w:rPr>
          <w:rFonts w:hint="eastAsia" w:hAnsi="宋体" w:cs="宋体"/>
          <w:color w:val="auto"/>
          <w:sz w:val="21"/>
          <w:szCs w:val="21"/>
          <w:highlight w:val="none"/>
          <w:u w:val="single"/>
        </w:rPr>
        <w:t>资料贰套。逾期不提交材料，每个项目罚款5000元</w:t>
      </w:r>
      <w:r>
        <w:rPr>
          <w:rFonts w:hint="eastAsia" w:hAnsi="宋体" w:cs="宋体"/>
          <w:color w:val="auto"/>
          <w:sz w:val="21"/>
          <w:szCs w:val="21"/>
          <w:highlight w:val="none"/>
        </w:rPr>
        <w:t>(以上罚金从履约保证金中扣除，合同期满后扣除相应违约罚金后剩余部分一次性退回乙方指定银行账户)。工程实际开工日期以满足开工条件后甲方向乙方发出的派工单（或监理单位发出的开工令，下同）中载明的开工日期为准。</w:t>
      </w:r>
      <w:r>
        <w:rPr>
          <w:rFonts w:hint="eastAsia" w:hAnsi="宋体" w:cs="宋体"/>
          <w:color w:val="auto"/>
          <w:sz w:val="21"/>
          <w:szCs w:val="21"/>
          <w:highlight w:val="none"/>
          <w:lang w:bidi="zh-CN"/>
        </w:rPr>
        <w:t>不响应采购人派工的需书面回函。</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4.3 工期顺延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在具体工程项目中出现以下情形之一的，该工程的工期相应顺延：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（1）因甲方原因导致具体工程未能在派工单载明的开工日期开工的；</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（2）在维修过程中根据客观情况须变更设计方案、维修方案或增加工程量且经甲方同意的；</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（3）因天气情况、停电、停水或不可抗力、政府决定（命令）无法施工的。</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乙方进场后不得以甲方未付预付款或工程进度款为由停止施工，乙方有该等情形并导致逾期竣工的，应承担逾期竣工违约责任。</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第五条 设计方案及维修方案的变更</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5.1在具体工程项目中，若出现须变更设计方案及维修方案的，乙方应于下一个工作日内向甲方提交书面说明文件，经甲方确认并同意后方可按照变更后的方案施工并与甲方办理相应的变更签证手续。</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5.2 乙方未经甲方同意擅自变更设计方案及/或维修方案并进行施工的，或未与甲方办理相应变更签证手续的，甲方有权拒绝支付因该等变更而增加的工程款。</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第六条</w:t>
      </w:r>
      <w:r>
        <w:rPr>
          <w:rFonts w:hint="eastAsia" w:hAnsi="宋体" w:cs="宋体"/>
          <w:b/>
          <w:color w:val="auto"/>
          <w:sz w:val="21"/>
          <w:szCs w:val="21"/>
          <w:highlight w:val="none"/>
        </w:rPr>
        <w:tab/>
      </w:r>
      <w:r>
        <w:rPr>
          <w:rFonts w:hint="eastAsia" w:hAnsi="宋体" w:cs="宋体"/>
          <w:b/>
          <w:color w:val="auto"/>
          <w:sz w:val="21"/>
          <w:szCs w:val="21"/>
          <w:highlight w:val="none"/>
        </w:rPr>
        <w:t>材料设备供应</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6.1 工程使用的建筑装饰材料，必须符合设计要求和国家规定的质量和环保要求，并附有出厂合格证和质量检测报告,严禁使用国家明令淘汰、禁用的产品。</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6.2 工程所需材料由乙方采购供应至维修地点，所供应的材料必须与工程预算及工程量清单中明确的品牌、规格、型号、等级一致，货到现场后由甲方工作人员进行清点确认。</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6.3 材料设备应附有出厂合格证明。若相关材料依照相关规定须进行检测的，在甲方工作人员的见证下将材料现场取样送样检测。若甲方对材料设备的质量有异议，应送交甲方认可的第三方进行检验，检验费用由乙方垫付。若检验结果为合格，则检验费由甲方承担并随相应工程款一并支付；若检验结果为不合格，则乙方应更换材料并自行承担检验费用。</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6.4 若乙方使用不符合质量要求或与预算及工程量清单不符的材料，导致甲方遭受损失的，乙方应承担赔偿责任。</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第七条 现场管理及安全文明施工</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7.1 乙方严格执行相关政府建设行政主管部门施工现场管理规定，遵守甲方规定的施工时间，不得扰乱校园秩序及污染环境。</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7.2 因乙方施工造成相邻居民住房的管道堵塞、渗漏、停水、停电、停网等，由乙方承担相应修理和损失赔偿的责任。</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7.3乙方应保证室内上、下水管道畅通和卫生间的清洁。负责将施工垃圾装袋及时清运到甲方指定位置或者自行清运到政府指定的垃圾堆放场。</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7.4  乙方在施工期间应严格遵守《建筑安装工程安全技术规程》《建筑安装工人安全操作规程》《中华人民共和国消防条例》和其他相关的法规、规范。由于乙方在施工生产过程中违反有关安全操作规程、消防条例，导致发生安全或火灾事故，乙方应承担由此引发的一切损失。</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7.5 乙方须执行现行的安全文明施工的相关规定。施工人员须按甲方的规定办理出入证，根据具体的情况在施工现场做好场地围蔽；施工现场不得住宿、生火做饭、抽烟；施工场地在非施工时间段内应予封闭、不得敞开。</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第八条 工程质量</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8.1工程质量标准按国家现行施工及验收规范，达到合格工程验收标准。</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8.2 工程涉及室内环境污染控制应严格执行GB 50325－2001《民用建筑工程室内环境污染控制规范》和GB/T 18883－2002《室内空气质量标准》等相关国家、行业和地方标准。</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8.3对具体工程项目施工过程中存在质量问题，经甲方确认后应以书面或口头通知乙方，乙方在收到通知后及时采取有效措施整改完毕，费用由乙方负责。若乙方拒不整改或逾期完成整改的，甲方有权自行采取相应补救措施，由此产生的费用甲方可直接从具体工程项目应付相应工程款中扣除；若乙方有该等情形导致甲方遭受损失的，甲方有权要求乙方赔偿直至解除本合同。</w:t>
      </w:r>
    </w:p>
    <w:p>
      <w:pPr>
        <w:pStyle w:val="22"/>
        <w:adjustRightInd w:val="0"/>
        <w:spacing w:line="360" w:lineRule="auto"/>
        <w:ind w:firstLine="406"/>
        <w:rPr>
          <w:rFonts w:hint="eastAsia" w:hAnsi="宋体" w:cs="宋体"/>
          <w:b/>
          <w:bCs/>
          <w:color w:val="auto"/>
          <w:sz w:val="21"/>
          <w:szCs w:val="21"/>
          <w:highlight w:val="none"/>
        </w:rPr>
      </w:pPr>
      <w:r>
        <w:rPr>
          <w:rFonts w:hint="eastAsia" w:hAnsi="宋体" w:cs="宋体"/>
          <w:b/>
          <w:bCs/>
          <w:color w:val="auto"/>
          <w:sz w:val="21"/>
          <w:szCs w:val="21"/>
          <w:highlight w:val="none"/>
        </w:rPr>
        <w:t>第九条</w:t>
      </w:r>
      <w:r>
        <w:rPr>
          <w:rFonts w:hAnsi="宋体" w:cs="宋体"/>
          <w:b/>
          <w:bCs/>
          <w:color w:val="auto"/>
          <w:sz w:val="21"/>
          <w:szCs w:val="21"/>
          <w:highlight w:val="none"/>
        </w:rPr>
        <w:t xml:space="preserve"> </w:t>
      </w:r>
      <w:r>
        <w:rPr>
          <w:rFonts w:hint="eastAsia" w:hAnsi="宋体" w:cs="宋体"/>
          <w:b/>
          <w:bCs/>
          <w:color w:val="auto"/>
          <w:sz w:val="21"/>
          <w:szCs w:val="21"/>
          <w:highlight w:val="none"/>
        </w:rPr>
        <w:t>工程验收</w:t>
      </w:r>
    </w:p>
    <w:p>
      <w:pPr>
        <w:pStyle w:val="22"/>
        <w:adjustRightInd w:val="0"/>
        <w:spacing w:line="360" w:lineRule="auto"/>
        <w:ind w:firstLine="404"/>
        <w:rPr>
          <w:rFonts w:hint="eastAsia" w:hAnsi="宋体" w:cs="宋体"/>
          <w:color w:val="auto"/>
          <w:sz w:val="21"/>
          <w:szCs w:val="21"/>
          <w:highlight w:val="none"/>
        </w:rPr>
      </w:pPr>
      <w:r>
        <w:rPr>
          <w:rFonts w:hAnsi="宋体" w:cs="宋体"/>
          <w:color w:val="auto"/>
          <w:sz w:val="21"/>
          <w:szCs w:val="21"/>
          <w:highlight w:val="none"/>
        </w:rPr>
        <w:t xml:space="preserve">9.1 </w:t>
      </w:r>
      <w:r>
        <w:rPr>
          <w:rFonts w:hint="eastAsia" w:hAnsi="宋体" w:cs="宋体"/>
          <w:color w:val="auto"/>
          <w:sz w:val="21"/>
          <w:szCs w:val="21"/>
          <w:highlight w:val="none"/>
        </w:rPr>
        <w:t>验收标准</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每项具体工程项目的竣工验收以施工图、图纸会审记录、国家颁发的现行施工及验收规范和质量检验标准为依据。</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9.2竣工验收条件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每项具体工程项目具备以下条件的，乙方可以申请竣工验收：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9.2.1除甲方同意的甩项工作和缺陷修补工作外，合同范围内的全部工程以及有关工作，包括合同要求的试验、试运行以及检验均已完成，并符合合同要求；</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9.2.2已按合同约定编制了甩项工作和缺陷修补工作清单以及相应的施工计划；</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9.2.3已按合同约定的内容和份数备齐竣工资料。</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9.3竣工验收程序</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9.3.1工程具备竣工验收条件后，乙方向甲方报送竣工验收申请报告，甲方应在收到竣工验收申请报告后 14天内完成审查。甲方审查后认为尚不具备验收条件的，应通知乙方在竣工验收前乙方还需完成的工作内容，乙方应在完成甲方要求的全部工作内容后再次提交竣工验收申请报告。</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对于甲方委托监理的工程，乙方应向监理单位报送竣工验收申请报告，监理单位应在收到竣工验收申请报告后14日内完成审查并报送采购人。监理单位审查后认为尚不具备验收条件的，应通知乙方在竣工验收前乙方还需完成的工作内容，乙方应在完成监理单位通知的全部工作内容后，再次提交竣工验收申请报告。</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9.3.2甲方经审查后确认已具备竣工验收条件的，应书面通知乙方并在通知之日起14日内与乙方共同进行竣工验收。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对于甲方委托监理的工程，监理单位审查后认为已具备竣工验收条件的，应将竣工验收申请报告提交甲方，甲方应在收到经监理单位审核的竣工验收申请报告后 28天内审批完毕并组织乙方、监理单位进行竣工验收。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对于甲方委托设计的工程，设计单位应参与竣工验收。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 xml:space="preserve">9.3.3 工程竣工验收合格的，甲方应在验收合格后 14 天内向乙方签发工程合格确认文件。 </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9.3.4 工程竣工验收不合格的，甲方（或监理单位，如有）有权要求乙方对不合格工程返工、 修复或采取其他补救措施，由此导致的费用增加及/或工期延误的责任由乙方承担。乙方完成不合格工程的返工、修复或采取其他补救措施后应重新提交竣工验收申请报告，并按本条约定的程序重新进行验收。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9.3.5 甲方擅自使用未经验收或验收不合格的工程的，视为工程验收合格。</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9.4竣工日期</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9.4.1 工程竣工验收合格的，以乙方提交竣工验收申请报告之日为实际竣工日期，并在工程合格确认文件中载明。若因验收不合格而重新进行竣工验收的，实际竣工日期以确认合格之前一份提交最近一份竣工验收申请报告之日为准。</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9.4.2 因甲方原因未在收到乙方提交的竣工验收申请报告之日起42天内组织竣工验收，或虽已组织竣工验收但在验收结果为合格的情况下未签发工程合格确认文件的，以乙方提交竣工验收申请报告之日起的第43日为实际竣工日期。</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9.4.3 甲方擅自使用未经验收或验收不合格的工程的，以开始使用之日为实际竣工日期。</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9.5拒绝接收全部或部分工程</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对于竣工验收不合格的工程，乙方完成整改后应当重新进行竣工验收，经重新组织验收仍不合格的且无法采取措施补救的，甲方有权拒绝接收；因不合格工程导致其他工程不能正常使用的，乙方应采取措施确保相关工程的正常使用，由此导致的费用增加及/或工期延误的责任由乙方承担。</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9.6移交、接收全部与部分工程</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对于须办理移交手续的工程，甲、乙双方应当在甲方签发工程合格确认文件之日起7日内完成工程的移交。甲方无正当理由不接收工程的，甲方自应当接收工程之日起承担工程照管、成品保护、保管等与工程有关的各项费用，但甲方不须因此向乙方支付任何费用；乙方无正当理由不移交工程的，乙方应承担工程照管、成品保护、保管等与工程有关的各项费用。</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9.7 隐蔽工程验收。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9.7.1 隐蔽工程在隐蔽前2天，由乙方准备好验收前的测试记录、图纸和照片并通知甲方到场验收。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9.7.2 因施工图与现场不符的或其它因素无法按图施工而须变更施工图的，经甲方同意后，乙方应在不须按图施工的隐蔽工程部分隐蔽前2天备妥验收前的测试记录及依照变更后的、与现场相符的施工图和照片并通知甲方到场验收。</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若乙方未提供变更后的、与现场相符的施工图的，甲方有权以不具备隐蔽工程验收条件为由不予验收并责令乙方立即整改，乙方应在两日内整改完毕。乙方仍未及时整改致使工程无法按期竣工、工程质量、工程款结算（包括由此引起的结算依据不足）等不利后果由乙方承担。</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9.7.3 甲方未按时到场验收的，乙方应先行催告甲方并给予甲方合理的到场时间。甲方经催告后仍未按时到场的，乙方另行可自检后隐蔽并如实填写隐蔽记录，该等记录具有作为工程结算依据的效力。</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9.8 竣工资料</w:t>
      </w:r>
    </w:p>
    <w:p>
      <w:pPr>
        <w:wordWrap w:val="0"/>
        <w:topLinePunct/>
        <w:snapToGrid w:val="0"/>
        <w:spacing w:line="400" w:lineRule="exact"/>
        <w:ind w:firstLine="420" w:firstLineChars="200"/>
        <w:rPr>
          <w:color w:val="auto"/>
          <w:szCs w:val="21"/>
          <w:highlight w:val="none"/>
          <w:u w:val="single"/>
        </w:rPr>
      </w:pPr>
      <w:r>
        <w:rPr>
          <w:rFonts w:hint="eastAsia"/>
          <w:color w:val="auto"/>
          <w:szCs w:val="21"/>
          <w:highlight w:val="none"/>
        </w:rPr>
        <w:t>乙方提供竣工图及竣工结算材料的约定：乙方应按验收证明合格时间【50万以下项目，自工程验收合格之日起14日内；50万以上（含）项目，自工程验收合格之日起28日内】及时提交工程竣工图</w:t>
      </w:r>
      <w:r>
        <w:rPr>
          <w:rFonts w:hint="eastAsia"/>
          <w:color w:val="auto"/>
          <w:szCs w:val="21"/>
          <w:highlight w:val="none"/>
          <w:u w:val="single"/>
        </w:rPr>
        <w:t>及竣工结算资料贰套。逾期不提交结算材料，每个项目罚款5000元</w:t>
      </w:r>
      <w:r>
        <w:rPr>
          <w:rFonts w:hint="eastAsia"/>
          <w:color w:val="auto"/>
          <w:highlight w:val="none"/>
        </w:rPr>
        <w:t>（罚款从履约保证金中扣除，合同期满后扣除已产生的违约罚金后如有剩余的，余款一次性退回乙方银行账户）。</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第十条 缺陷责任与保修</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10.1 工程保修的原则</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在甲方签发工程合格确认文件后，乙方应承担工程因乙方原因产生的质量缺陷责任和保修义务。缺陷责任期届满，乙方仍应依照相关规定和本合同约定承担保修义务。</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10.2 缺陷责任期</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10.2.1 缺陷责任期自工程实际竣工日期起算24个月。</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单位工程先于全部工程进行验收，经验收合格并交付使用的，该单位工程缺陷责任期自单位工程验收合格之日起算。因甲方原因导致工程无法按合同约定期限进行竣工验收的，缺陷责任期自乙方提交竣工验收申请报告之日起开始计算；甲方未经竣工验收擅自使用工程的，缺陷责任期自工程转移占有之日起开始计算。</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10.2.2 工程竣工验收合格后，因乙方原因导致的缺陷或损坏致使工程、单位工程或某项主要设备不能按原定目的使用的，则甲方有权要求乙方延长缺陷责任期，并应在原缺陷责任期届满前发出延长通知，但缺陷责任期最长不能超过24个月。</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10.2.3 任何一项缺陷或损坏修复后，经检查证明其影响了工程或工程设备的使用性能，乙方应重新进行相应的试验和试运行，试验和试运行的全部费用应由责任方承担。</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10.2.4，乙方应于缺陷责任期届满后7天内向甲方发出缺陷责任期届满通知，甲方应在收到缺陷责任期满通知后14天内核实乙方是否履行缺陷修复义务，乙方未能履行缺陷修复义务的，甲方有权扣除相应金额的维修费用。甲方应在收到缺陷责任期届满通知后14天内，向乙方颁发缺陷责任期终止证书。</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10.3 保修</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10.3.1保修责任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10.3.1.1 质量保修期从工程实际竣工验收通过之日算起。分单项竣工验收的工程，按单项工程分别计算质量保修期。根据《建设工程质量管理条例》及有关规定，约定工程的质量保修期如下：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（2）土建工程为 2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（3）房屋防水工程、有防水要求的卫生间、房间和外墙的防渗为 5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（4）电气管线、给排水管道、设备安装[含电气（器）、通风、照明、消防、防雷等设备]工程为 2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（5）装修工程为 2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（6）供热及供冷系统为 2 个供暖期及供冷期。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（7）住宅小区内的给排水设施、道路等配套工程为 2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（8）绿化工程为 1 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（9）市政工程为 1 年。</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（10）其他项目保修期限在没有明文规定下，参照建设工程质量保修条例，双方协商为设计文件规定的该工程的合理使用年限内保修；</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10.3.1.2 甲方未经竣工验收擅自使用工程的，保修期自转移占有之日起算。</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10.3.1.3保修期内实行回访制度以保证质量跟踪，回访的内容主要是解决完工交付使用后的所做工程的维保和修复问题，保修期每季度进行1次回访，并出具经甲方使用部门盖章的回访记录交回甲方管理部门。乙方不能按时进行回访的，每次扣除质量保修金的10%作为违约金。</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10.3.2 修复费用</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保修期内，修复的费用按照以下约定处理：</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（1）保修期内，因乙方原因造成工程的缺陷、损坏，乙方应负责修复，并承担修复的费用以及因工程的缺陷、损坏造成的人身伤害和财产损失；</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（2）保修期内，因甲方使用不当造成工程的缺陷、损坏，可以委托乙方修复，但甲方应承担修复的费用，并支付乙方合理利润；</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（3）因其他原因造成工程的缺陷、损坏，可以委托乙方修复，甲方应承担修复的费用，并支付乙方合理的利润，因工程的缺陷、损坏造成的人身伤害和财产损失由责任方承担。</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10.3.3 未能修复</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因乙方原因造成工程的缺陷或损坏，乙方拒绝维修或未能在合理期限内修复缺陷或损坏，且经甲方书面催告后仍未修复的，甲方有权自行修复或委托第三方修复，所需费用由乙方承担，甲方有权从质量保证金中扣除。但修复范围超出缺陷或损坏范围的，超出范围部分的修复费用由甲方承担。</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10.3.4 其他</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（1）属于保修范围、内容项目，乙方应当在接到保修通知书之日起2日内派人修理。乙方不在约定期限内派人修理的，甲方可以委托他人修理，保修费用由乙方负责。</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（2）发生紧急抢修事故的，乙方在接到事故通知后，维修人员应在3小时内到达现场，其他维修项目，维修人员应在接到甲方通知后24小时到达现场。非乙方施工质量引起的事故，抢修费用由甲方承担。</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3）在保修期内，如发生涉及结构安全的质量问题，甲方和乙方应当立即向当地建设行政主管部门报告，并采取安全防范措施；由原设计单位或者具有相应资质等级的设计单位提出保修方案，乙方负责实施保修。因乙方原因致使工程在合理使用期限内造成人身和财产损害的，乙方应承担损害赔偿责任。</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（4）质量保修完成后，由甲方组织有关单位人员验收。</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10.4 质量保证金的支付</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每项具体工程项目的质量保证金为</w:t>
      </w:r>
      <w:r>
        <w:rPr>
          <w:rFonts w:hint="eastAsia" w:hAnsi="宋体" w:cs="宋体"/>
          <w:color w:val="auto"/>
          <w:sz w:val="21"/>
          <w:szCs w:val="21"/>
          <w:highlight w:val="none"/>
          <w:u w:val="single"/>
        </w:rPr>
        <w:t>该项工程结算审定价的</w:t>
      </w:r>
      <w:r>
        <w:rPr>
          <w:rFonts w:hAnsi="宋体" w:cs="宋体"/>
          <w:color w:val="auto"/>
          <w:sz w:val="21"/>
          <w:szCs w:val="21"/>
          <w:highlight w:val="none"/>
          <w:u w:val="single"/>
        </w:rPr>
        <w:t>3%</w:t>
      </w:r>
      <w:r>
        <w:rPr>
          <w:rFonts w:hint="eastAsia" w:hAnsi="宋体" w:cs="宋体"/>
          <w:color w:val="auto"/>
          <w:sz w:val="21"/>
          <w:szCs w:val="21"/>
          <w:highlight w:val="none"/>
        </w:rPr>
        <w:t>，质量保证金不计利息。</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10.5 质量保证金的返还</w:t>
      </w:r>
    </w:p>
    <w:p>
      <w:pPr>
        <w:pStyle w:val="22"/>
        <w:adjustRightInd w:val="0"/>
        <w:spacing w:line="360" w:lineRule="auto"/>
        <w:ind w:firstLine="404"/>
        <w:rPr>
          <w:color w:val="auto"/>
          <w:highlight w:val="none"/>
        </w:rPr>
      </w:pPr>
      <w:r>
        <w:rPr>
          <w:rFonts w:hint="eastAsia" w:hAnsi="宋体" w:cs="宋体"/>
          <w:color w:val="auto"/>
          <w:sz w:val="21"/>
          <w:szCs w:val="21"/>
          <w:highlight w:val="none"/>
        </w:rPr>
        <w:t>甲方在应付款中扣除质量保修金，有防水工程的，在工程竣工满一年后7天内，将质量保证金（不计利息）总额的70%退回乙方；剩下30%作为防水工程的单项质量保证金，待防水工程5年保修期满后7天内无息退回乙方。无防水工程的，在工程竣工满一年后无息退回给乙方。在缺陷责任期内乙方应按保修内容进行保修，若乙方在接到甲方保修通知书在二天内未予维修的，甲方有权安排其他公司进行维修，该等情形在缺陷责任期内发生的，维修费用由甲方从质量保修金中扣除；在缺陷责任期届满之后、保修期届满之前发生的，甲方有权要求乙方承担赔偿责任。</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第十一条 工程款及支付</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11.1 工程款计费标准</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11.1.1 计费标准</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①采购人可在合同签订后按照以下定价原则制定并发布“校内全费用综合单价目录” （以下简称“甲定单价目录”）：</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材料价格参照《南宁市建设工程造价信息》（单价目录发布日期近三个月信息价平均值），当无信息价时，参照市场价；其他的相关资料。</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某项工程的造价=“甲定单价目录”内单价×经审核确认的实际工程量×（1-价格优惠率）。</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②在“甲定单价目录” 发布并通知中标人之前已申请立项的项目，按照“政府定额目录”计价。“政府定额目录”系指：计费标准参照《建设工程工程量清单计价规范(GB50500-2013)》、《建设工程工程量清单计价规范(GB50500-2013)广西壮族自治区实施细则》、《建设工程工程量计算规范》（GB50854～50862-2013）、《建设工程工程量计算规范广西壮族自治区实施细则（修订本）（GB50854～50862-2013）》、2024年《广西壮族自治区建筑装饰装修工程消耗量定额》及配套费用定额、2023年《广西壮族自治区安装工程消耗量定额》及配套费用定额、2024年《广西壮族自治区建筑工程费用定额》、2022年《广西壮族自治区市政工程消耗量定额》及配套费用定额、2021年《广西壮族自治区园林绿化及仿古建筑工程消耗量定额》及配套费用定额、2024年《广西壮族自治区房屋修缮工程消耗量定额（建筑装饰工程）》、2024年《广西壮族自治区建筑工程拆除消耗量定额》及配套费用定额、2013年《广西壮族自治区安装拆除工程消耗量定额》及配套费用定额、2016年关于建筑业实施营业税改增值税后广西建设工程计价依据调整的通知（桂建标【2016】17号）、《自治区住房城乡建设厅关于调整建设工程计价增值税税率的通知》（桂建标[2019]12号）、《关于调整建设工程定额人工费及有关费率的通知》（桂建标【2023】7号文）等国家或省级、行业建设主管部门颁发的计价定额和计价办法；建设工程设计文件及相关资料；投标文件；工程合同；与建设项目相关的标准、规范、技术资料；施工现场情况、工程特点及常规施工方案；材料价格参照《南宁市建设工程造价信息》（施工实施期间对应信息价），当工程造价信息没有发布时，参照市场价；其他的相关资料。</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某项工程的造价=以上文件所组工程造价×（1-价格优惠率）。</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③在“甲定单价目录”发布并通知中标人之后，中标人有权决定是否接受以该目录为准计价。若中标人接受的，应与采购人签订书面文件予以明确，且在“甲定单价目录”发布之后申请立项的项目均按照“甲定单价目录”定价，“甲定单价目录”以外的清单项目则按照“政府定额目录”计价。</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r>
        <w:rPr>
          <w:rFonts w:hint="eastAsia" w:hAnsi="宋体" w:cs="宋体"/>
          <w:color w:val="auto"/>
          <w:sz w:val="21"/>
          <w:szCs w:val="21"/>
          <w:highlight w:val="none"/>
        </w:rPr>
        <w:t>若中标人不接受以“甲定单价目录”为准计价的，则应书面通知采购人，在“甲定单价目录”发布之后申请立项的项目仍按照“政府定额目录”计价。</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bookmarkStart w:id="413" w:name="_Hlk202281828"/>
      <w:r>
        <w:rPr>
          <w:rFonts w:hint="eastAsia" w:hAnsi="宋体" w:cs="宋体"/>
          <w:color w:val="auto"/>
          <w:sz w:val="21"/>
          <w:szCs w:val="21"/>
          <w:highlight w:val="none"/>
        </w:rPr>
        <w:t>④</w:t>
      </w:r>
      <w:bookmarkEnd w:id="413"/>
      <w:r>
        <w:rPr>
          <w:rFonts w:hint="eastAsia" w:hAnsi="宋体" w:cs="宋体"/>
          <w:color w:val="auto"/>
          <w:sz w:val="21"/>
          <w:szCs w:val="21"/>
          <w:highlight w:val="none"/>
        </w:rPr>
        <w:t>“甲定单价目录”发布之后，采购人有权对该目录中遗漏的清单项目进行补充并定价（以下简称“补遗定价”），中标人与采购人签订书面文件确认接受以“甲定单价目录”为准计价的，即视为采购人概括性地接受“补遗定价”。</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rPr>
      </w:pPr>
      <w:bookmarkStart w:id="414" w:name="_Hlk202281834"/>
      <w:r>
        <w:rPr>
          <w:rFonts w:hint="eastAsia" w:hAnsi="宋体" w:cs="宋体"/>
          <w:color w:val="auto"/>
          <w:sz w:val="21"/>
          <w:szCs w:val="21"/>
          <w:highlight w:val="none"/>
        </w:rPr>
        <w:t>⑤</w:t>
      </w:r>
      <w:bookmarkEnd w:id="414"/>
      <w:r>
        <w:rPr>
          <w:rFonts w:hint="eastAsia" w:hAnsi="宋体" w:cs="宋体"/>
          <w:color w:val="auto"/>
          <w:sz w:val="21"/>
          <w:szCs w:val="21"/>
          <w:highlight w:val="none"/>
        </w:rPr>
        <w:t>单个项目立项申请时 “甲定单价目录”未发布的，则该项目按照“政府定额目录”定价。</w:t>
      </w:r>
    </w:p>
    <w:p>
      <w:pPr>
        <w:pStyle w:val="22"/>
        <w:tabs>
          <w:tab w:val="center" w:pos="4153"/>
          <w:tab w:val="right" w:pos="8306"/>
        </w:tabs>
        <w:adjustRightInd w:val="0"/>
        <w:spacing w:line="360" w:lineRule="auto"/>
        <w:ind w:firstLine="464" w:firstLineChars="0"/>
        <w:jc w:val="left"/>
        <w:rPr>
          <w:rFonts w:hint="eastAsia" w:hAnsi="宋体" w:cs="宋体"/>
          <w:color w:val="auto"/>
          <w:sz w:val="21"/>
          <w:szCs w:val="21"/>
          <w:highlight w:val="none"/>
          <w:lang w:val="zh-CN" w:bidi="zh-CN"/>
        </w:rPr>
      </w:pPr>
      <w:r>
        <w:rPr>
          <w:rFonts w:hint="eastAsia" w:hAnsi="宋体" w:cs="宋体"/>
          <w:color w:val="auto"/>
          <w:sz w:val="21"/>
          <w:szCs w:val="21"/>
          <w:highlight w:val="none"/>
        </w:rPr>
        <w:t>11.1.2每项具体工程项目</w:t>
      </w:r>
      <w:r>
        <w:rPr>
          <w:rFonts w:hint="eastAsia" w:hAnsi="宋体" w:cs="宋体"/>
          <w:color w:val="auto"/>
          <w:sz w:val="21"/>
          <w:szCs w:val="21"/>
          <w:highlight w:val="none"/>
          <w:lang w:val="zh-CN" w:bidi="zh-CN"/>
        </w:rPr>
        <w:t>价款小于或等于甲方委托的有资质的造价咨询公司出具的预算控制价</w:t>
      </w:r>
      <w:r>
        <w:rPr>
          <w:rFonts w:hint="eastAsia" w:hAnsi="宋体" w:cs="宋体"/>
          <w:color w:val="auto"/>
          <w:sz w:val="21"/>
          <w:szCs w:val="21"/>
          <w:highlight w:val="none"/>
          <w:lang w:bidi="zh-CN"/>
        </w:rPr>
        <w:t>×</w:t>
      </w:r>
      <w:r>
        <w:rPr>
          <w:rFonts w:hint="eastAsia" w:hAnsi="宋体" w:cs="宋体"/>
          <w:color w:val="auto"/>
          <w:sz w:val="21"/>
          <w:szCs w:val="21"/>
          <w:highlight w:val="none"/>
          <w:lang w:val="zh-CN" w:bidi="zh-CN"/>
        </w:rPr>
        <w:t>（1-价格优惠率）。</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lang w:bidi="zh-CN"/>
        </w:rPr>
        <w:t xml:space="preserve">11.1.3 </w:t>
      </w:r>
      <w:r>
        <w:rPr>
          <w:rFonts w:hint="eastAsia" w:hAnsi="宋体" w:cs="宋体"/>
          <w:color w:val="auto"/>
          <w:sz w:val="21"/>
          <w:szCs w:val="21"/>
          <w:highlight w:val="none"/>
        </w:rPr>
        <w:t>每项具体工程项目</w:t>
      </w:r>
      <w:r>
        <w:rPr>
          <w:rFonts w:hint="eastAsia" w:hAnsi="宋体" w:cs="宋体"/>
          <w:color w:val="auto"/>
          <w:sz w:val="21"/>
          <w:szCs w:val="21"/>
          <w:highlight w:val="none"/>
          <w:lang w:val="zh-CN" w:bidi="zh-CN"/>
        </w:rPr>
        <w:t>采用固定单价，工程量按实际结算，工程量清单中原有项目的工程量无论增减多少，单价均按甲方委托的有资质的造价咨询公司出具的预算控制价中列明的单价结算。</w:t>
      </w:r>
      <w:r>
        <w:rPr>
          <w:rFonts w:hint="eastAsia" w:hAnsi="宋体" w:cs="宋体"/>
          <w:color w:val="auto"/>
          <w:sz w:val="21"/>
          <w:szCs w:val="21"/>
          <w:highlight w:val="none"/>
        </w:rPr>
        <w:t xml:space="preserve"> </w:t>
      </w:r>
    </w:p>
    <w:p>
      <w:pPr>
        <w:pStyle w:val="22"/>
        <w:widowControl/>
        <w:adjustRightInd w:val="0"/>
        <w:spacing w:line="360" w:lineRule="auto"/>
        <w:ind w:firstLine="404"/>
        <w:jc w:val="left"/>
        <w:rPr>
          <w:rFonts w:hint="eastAsia" w:hAnsi="宋体" w:cs="宋体"/>
          <w:color w:val="auto"/>
          <w:szCs w:val="21"/>
          <w:highlight w:val="none"/>
          <w:lang w:val="zh-CN" w:bidi="zh-CN"/>
        </w:rPr>
      </w:pPr>
      <w:r>
        <w:rPr>
          <w:rFonts w:hAnsi="宋体" w:cs="宋体"/>
          <w:color w:val="auto"/>
          <w:sz w:val="21"/>
          <w:szCs w:val="21"/>
          <w:highlight w:val="none"/>
        </w:rPr>
        <w:t xml:space="preserve">11.1.4 </w:t>
      </w:r>
      <w:r>
        <w:rPr>
          <w:rFonts w:hint="eastAsia" w:hAnsi="宋体" w:cs="宋体"/>
          <w:color w:val="auto"/>
          <w:sz w:val="21"/>
          <w:szCs w:val="21"/>
          <w:highlight w:val="none"/>
          <w:lang w:val="zh-CN" w:bidi="zh-CN"/>
        </w:rPr>
        <w:t>双方约定设计变更、签证工程的计价方法：</w:t>
      </w:r>
    </w:p>
    <w:p>
      <w:pPr>
        <w:pStyle w:val="22"/>
        <w:adjustRightInd w:val="0"/>
        <w:spacing w:line="360" w:lineRule="auto"/>
        <w:ind w:firstLine="404"/>
        <w:rPr>
          <w:rFonts w:hint="eastAsia" w:hAnsi="宋体" w:cs="宋体"/>
          <w:color w:val="auto"/>
          <w:sz w:val="21"/>
          <w:szCs w:val="21"/>
          <w:highlight w:val="none"/>
          <w:lang w:val="zh-CN" w:bidi="zh-CN"/>
        </w:rPr>
      </w:pPr>
      <w:r>
        <w:rPr>
          <w:rFonts w:hint="eastAsia" w:hAnsi="宋体" w:cs="宋体"/>
          <w:color w:val="auto"/>
          <w:sz w:val="21"/>
          <w:szCs w:val="21"/>
          <w:highlight w:val="none"/>
          <w:lang w:val="zh-CN" w:bidi="zh-CN"/>
        </w:rPr>
        <w:t>①因设计变更引起工程项目和工程量变化的，只就设计变更或签证部分涉及的增减范围工程量进行重新计算。工程量清单中有相同细目的按相同单价进行结算；工程量清单中有类似细目的按类似细目单价结算；</w:t>
      </w:r>
      <w:bookmarkStart w:id="415" w:name="OLE_LINK9"/>
      <w:r>
        <w:rPr>
          <w:rFonts w:hint="eastAsia" w:hAnsi="宋体" w:cs="宋体"/>
          <w:color w:val="auto"/>
          <w:sz w:val="21"/>
          <w:szCs w:val="21"/>
          <w:highlight w:val="none"/>
          <w:lang w:val="zh-CN" w:bidi="zh-CN"/>
        </w:rPr>
        <w:t>新增项目</w:t>
      </w:r>
      <w:bookmarkEnd w:id="415"/>
      <w:r>
        <w:rPr>
          <w:rFonts w:hint="eastAsia" w:hAnsi="宋体" w:cs="宋体"/>
          <w:color w:val="auto"/>
          <w:sz w:val="21"/>
          <w:szCs w:val="21"/>
          <w:highlight w:val="none"/>
          <w:lang w:bidi="zh-CN"/>
        </w:rPr>
        <w:t>的单价在</w:t>
      </w:r>
      <w:r>
        <w:rPr>
          <w:rFonts w:hint="eastAsia" w:hAnsi="宋体" w:cs="宋体"/>
          <w:color w:val="auto"/>
          <w:sz w:val="21"/>
          <w:szCs w:val="21"/>
          <w:highlight w:val="none"/>
          <w:lang w:val="zh-CN" w:bidi="zh-CN"/>
        </w:rPr>
        <w:t>“甲定单价目录”有</w:t>
      </w:r>
      <w:r>
        <w:rPr>
          <w:rFonts w:hint="eastAsia" w:hAnsi="宋体" w:cs="宋体"/>
          <w:color w:val="auto"/>
          <w:sz w:val="21"/>
          <w:szCs w:val="21"/>
          <w:highlight w:val="none"/>
          <w:lang w:bidi="zh-CN"/>
        </w:rPr>
        <w:t>的按</w:t>
      </w:r>
      <w:r>
        <w:rPr>
          <w:rFonts w:hint="eastAsia" w:hAnsi="宋体" w:cs="宋体"/>
          <w:color w:val="auto"/>
          <w:sz w:val="21"/>
          <w:szCs w:val="21"/>
          <w:highlight w:val="none"/>
          <w:lang w:val="zh-CN" w:bidi="zh-CN"/>
        </w:rPr>
        <w:t>“甲定单价目录”</w:t>
      </w:r>
      <w:r>
        <w:rPr>
          <w:rFonts w:hint="eastAsia" w:hAnsi="宋体" w:cs="宋体"/>
          <w:color w:val="auto"/>
          <w:sz w:val="21"/>
          <w:szCs w:val="21"/>
          <w:highlight w:val="none"/>
          <w:lang w:bidi="zh-CN"/>
        </w:rPr>
        <w:t>价格计算；新增项目的单价有定额的</w:t>
      </w:r>
      <w:r>
        <w:rPr>
          <w:rFonts w:hint="eastAsia" w:hAnsi="宋体" w:cs="宋体"/>
          <w:color w:val="auto"/>
          <w:sz w:val="21"/>
          <w:szCs w:val="21"/>
          <w:highlight w:val="none"/>
          <w:lang w:val="zh-CN" w:bidi="zh-CN"/>
        </w:rPr>
        <w:t>套用定额计算，相关费率取中值，其中材料价格有信息价的按信息价，无信息价的按市场价；新增项目无定额可套的，由甲方、乙方根据市场价格协商确定。设计变更和签证增加工程部分的工程量按实结算，价格按中标价格优惠率下浮。②国家和自治区政策性调整有关费用标准的，按文件规定执行。</w:t>
      </w:r>
    </w:p>
    <w:p>
      <w:pPr>
        <w:wordWrap w:val="0"/>
        <w:topLinePunct/>
        <w:adjustRightInd w:val="0"/>
        <w:snapToGrid w:val="0"/>
        <w:spacing w:line="400" w:lineRule="exact"/>
        <w:ind w:firstLine="420" w:firstLineChars="200"/>
        <w:rPr>
          <w:rFonts w:hint="eastAsia" w:ascii="宋体" w:hAnsi="宋体" w:cs="宋体"/>
          <w:b/>
          <w:color w:val="auto"/>
          <w:szCs w:val="21"/>
          <w:highlight w:val="none"/>
        </w:rPr>
      </w:pPr>
      <w:r>
        <w:rPr>
          <w:rFonts w:hint="eastAsia"/>
          <w:color w:val="auto"/>
          <w:highlight w:val="none"/>
        </w:rPr>
        <w:t>11.1.5 工程预算清单编制必须根据现场实际情况符合广西现行的标准及要求，</w:t>
      </w:r>
      <w:r>
        <w:rPr>
          <w:rFonts w:hint="eastAsia"/>
          <w:color w:val="auto"/>
          <w:szCs w:val="21"/>
          <w:highlight w:val="none"/>
          <w:lang w:val="zh-CN" w:bidi="zh-CN"/>
        </w:rPr>
        <w:t>单价</w:t>
      </w:r>
      <w:r>
        <w:rPr>
          <w:rFonts w:hint="eastAsia"/>
          <w:color w:val="auto"/>
          <w:szCs w:val="21"/>
          <w:highlight w:val="none"/>
          <w:lang w:bidi="zh-CN"/>
        </w:rPr>
        <w:t>按本合同11.1.1计费标准</w:t>
      </w:r>
      <w:r>
        <w:rPr>
          <w:rFonts w:hint="eastAsia"/>
          <w:color w:val="auto"/>
          <w:szCs w:val="21"/>
          <w:highlight w:val="none"/>
          <w:lang w:val="zh-CN" w:bidi="zh-CN"/>
        </w:rPr>
        <w:t>计算。</w:t>
      </w:r>
      <w:r>
        <w:rPr>
          <w:rFonts w:hint="eastAsia"/>
          <w:color w:val="auto"/>
          <w:szCs w:val="21"/>
          <w:highlight w:val="none"/>
          <w:lang w:bidi="zh-CN"/>
        </w:rPr>
        <w:t>在上控编制及审核过程中如存在不同意见，需提供真实有效的组价依据，不能因控价原因无故放弃工程项目，否则将视为违约</w:t>
      </w:r>
      <w:r>
        <w:rPr>
          <w:rFonts w:hint="eastAsia"/>
          <w:color w:val="auto"/>
          <w:szCs w:val="21"/>
          <w:highlight w:val="none"/>
          <w:u w:val="single"/>
        </w:rPr>
        <w:t>，每个项目罚款5000元</w:t>
      </w:r>
      <w:r>
        <w:rPr>
          <w:rFonts w:hint="eastAsia"/>
          <w:color w:val="auto"/>
          <w:highlight w:val="none"/>
        </w:rPr>
        <w:t>（罚款从履约保证金中扣除，合同期满后扣除已产生的违约罚金后如有剩余的，余款一次性退回乙方银行账户）。</w:t>
      </w:r>
    </w:p>
    <w:p>
      <w:pPr>
        <w:pStyle w:val="60"/>
        <w:keepNext/>
        <w:keepLines/>
        <w:pageBreakBefore w:val="0"/>
        <w:kinsoku/>
        <w:overflowPunct/>
        <w:topLinePunct w:val="0"/>
        <w:bidi w:val="0"/>
        <w:spacing w:line="360" w:lineRule="auto"/>
        <w:outlineLvl w:val="3"/>
        <w:rPr>
          <w:rStyle w:val="25"/>
          <w:rFonts w:hint="default" w:ascii="Times New Roman" w:hAnsi="Times New Roman" w:eastAsia="宋体" w:cs="Times New Roman"/>
          <w:b/>
          <w:bCs/>
          <w:color w:val="auto"/>
          <w:kern w:val="44"/>
          <w:sz w:val="21"/>
          <w:szCs w:val="21"/>
          <w:highlight w:val="none"/>
        </w:rPr>
      </w:pPr>
      <w:r>
        <w:rPr>
          <w:rFonts w:hint="eastAsia" w:hAnsi="宋体" w:cs="宋体"/>
          <w:b/>
          <w:color w:val="auto"/>
          <w:sz w:val="21"/>
          <w:szCs w:val="21"/>
          <w:highlight w:val="none"/>
          <w:lang w:val="en-US" w:eastAsia="zh-CN"/>
        </w:rPr>
        <w:t>11.1.6</w:t>
      </w:r>
      <w:r>
        <w:rPr>
          <w:rStyle w:val="25"/>
          <w:rFonts w:hint="default" w:ascii="Times New Roman" w:hAnsi="Times New Roman" w:eastAsia="宋体" w:cs="Times New Roman"/>
          <w:b/>
          <w:bCs/>
          <w:color w:val="auto"/>
          <w:kern w:val="44"/>
          <w:sz w:val="21"/>
          <w:szCs w:val="21"/>
          <w:highlight w:val="none"/>
        </w:rPr>
        <w:t>市场价格波动引起的调整</w:t>
      </w:r>
    </w:p>
    <w:p>
      <w:pPr>
        <w:pStyle w:val="22"/>
        <w:adjustRightInd w:val="0"/>
        <w:spacing w:line="360" w:lineRule="auto"/>
        <w:ind w:firstLine="406"/>
        <w:rPr>
          <w:rFonts w:hint="eastAsia" w:hAnsi="宋体" w:eastAsia="宋体" w:cs="宋体"/>
          <w:b/>
          <w:color w:val="auto"/>
          <w:sz w:val="21"/>
          <w:szCs w:val="21"/>
          <w:highlight w:val="none"/>
          <w:lang w:val="en-US" w:eastAsia="zh-CN"/>
        </w:rPr>
      </w:pPr>
      <w:r>
        <w:rPr>
          <w:rStyle w:val="25"/>
          <w:rFonts w:hint="default" w:ascii="Times New Roman" w:hAnsi="Times New Roman" w:eastAsia="宋体" w:cs="Times New Roman"/>
          <w:color w:val="auto"/>
          <w:kern w:val="0"/>
          <w:sz w:val="21"/>
          <w:szCs w:val="21"/>
          <w:highlight w:val="none"/>
        </w:rPr>
        <w:t>市场价格波动是否调整合同价格的约定：</w:t>
      </w:r>
      <w:r>
        <w:rPr>
          <w:rStyle w:val="25"/>
          <w:rFonts w:hint="eastAsia" w:ascii="Times New Roman" w:hAnsi="Times New Roman" w:cs="Times New Roman"/>
          <w:color w:val="auto"/>
          <w:kern w:val="0"/>
          <w:sz w:val="21"/>
          <w:szCs w:val="21"/>
          <w:highlight w:val="none"/>
          <w:lang w:eastAsia="zh-CN"/>
        </w:rPr>
        <w:t>竣工结算时，信息价有的</w:t>
      </w:r>
      <w:r>
        <w:rPr>
          <w:rStyle w:val="25"/>
          <w:rFonts w:hint="default" w:ascii="Times New Roman" w:hAnsi="Times New Roman" w:eastAsia="宋体" w:cs="Times New Roman"/>
          <w:color w:val="auto"/>
          <w:kern w:val="0"/>
          <w:sz w:val="21"/>
          <w:szCs w:val="21"/>
          <w:highlight w:val="none"/>
          <w:u w:val="single"/>
        </w:rPr>
        <w:t>材料价差在</w:t>
      </w:r>
      <w:r>
        <w:rPr>
          <w:rStyle w:val="25"/>
          <w:rFonts w:hint="eastAsia" w:ascii="Times New Roman" w:hAnsi="Times New Roman" w:cs="Times New Roman"/>
          <w:color w:val="auto"/>
          <w:kern w:val="0"/>
          <w:sz w:val="21"/>
          <w:szCs w:val="21"/>
          <w:highlight w:val="none"/>
          <w:u w:val="single"/>
          <w:lang w:val="en-US" w:eastAsia="zh-CN"/>
        </w:rPr>
        <w:t>±</w:t>
      </w:r>
      <w:r>
        <w:rPr>
          <w:rStyle w:val="25"/>
          <w:rFonts w:hint="default" w:ascii="Times New Roman" w:hAnsi="Times New Roman" w:eastAsia="宋体" w:cs="Times New Roman"/>
          <w:color w:val="auto"/>
          <w:kern w:val="0"/>
          <w:sz w:val="21"/>
          <w:szCs w:val="21"/>
          <w:highlight w:val="none"/>
          <w:u w:val="single"/>
        </w:rPr>
        <w:t>5%以内（含5%）的，由承包人承担</w:t>
      </w:r>
      <w:r>
        <w:rPr>
          <w:rStyle w:val="25"/>
          <w:rFonts w:hint="eastAsia" w:ascii="Times New Roman" w:hAnsi="Times New Roman" w:cs="Times New Roman"/>
          <w:color w:val="auto"/>
          <w:kern w:val="0"/>
          <w:sz w:val="21"/>
          <w:szCs w:val="21"/>
          <w:highlight w:val="none"/>
          <w:u w:val="single"/>
          <w:lang w:eastAsia="zh-CN"/>
        </w:rPr>
        <w:t>，价格不调整</w:t>
      </w:r>
      <w:r>
        <w:rPr>
          <w:rStyle w:val="25"/>
          <w:rFonts w:hint="default" w:ascii="Times New Roman" w:hAnsi="Times New Roman" w:eastAsia="宋体" w:cs="Times New Roman"/>
          <w:color w:val="auto"/>
          <w:kern w:val="0"/>
          <w:sz w:val="21"/>
          <w:szCs w:val="21"/>
          <w:highlight w:val="none"/>
          <w:u w:val="single"/>
        </w:rPr>
        <w:t>；</w:t>
      </w:r>
      <w:r>
        <w:rPr>
          <w:rStyle w:val="25"/>
          <w:rFonts w:hint="eastAsia" w:ascii="Times New Roman" w:hAnsi="Times New Roman" w:cs="Times New Roman"/>
          <w:color w:val="auto"/>
          <w:kern w:val="0"/>
          <w:sz w:val="21"/>
          <w:szCs w:val="21"/>
          <w:highlight w:val="none"/>
          <w:lang w:eastAsia="zh-CN"/>
        </w:rPr>
        <w:t>信息价有的</w:t>
      </w:r>
      <w:r>
        <w:rPr>
          <w:rStyle w:val="25"/>
          <w:rFonts w:hint="default" w:ascii="Times New Roman" w:hAnsi="Times New Roman" w:eastAsia="宋体" w:cs="Times New Roman"/>
          <w:color w:val="auto"/>
          <w:kern w:val="0"/>
          <w:sz w:val="21"/>
          <w:szCs w:val="21"/>
          <w:highlight w:val="none"/>
          <w:u w:val="single"/>
        </w:rPr>
        <w:t>材料</w:t>
      </w:r>
      <w:r>
        <w:rPr>
          <w:rStyle w:val="25"/>
          <w:rFonts w:hint="eastAsia" w:ascii="Times New Roman" w:hAnsi="Times New Roman" w:eastAsia="宋体" w:cs="Times New Roman"/>
          <w:color w:val="auto"/>
          <w:kern w:val="0"/>
          <w:sz w:val="21"/>
          <w:szCs w:val="21"/>
          <w:highlight w:val="none"/>
          <w:u w:val="single"/>
          <w:lang w:eastAsia="zh-CN"/>
        </w:rPr>
        <w:t>在施工期间按算术平均值计算出的材料单价涨、跌幅以基准单价为基础</w:t>
      </w:r>
      <w:r>
        <w:rPr>
          <w:rStyle w:val="25"/>
          <w:rFonts w:hint="default" w:ascii="Times New Roman" w:hAnsi="Times New Roman" w:eastAsia="宋体" w:cs="Times New Roman"/>
          <w:color w:val="auto"/>
          <w:kern w:val="0"/>
          <w:sz w:val="21"/>
          <w:szCs w:val="21"/>
          <w:highlight w:val="none"/>
          <w:u w:val="single"/>
        </w:rPr>
        <w:t>超过5%</w:t>
      </w:r>
      <w:r>
        <w:rPr>
          <w:rStyle w:val="25"/>
          <w:rFonts w:hint="eastAsia" w:ascii="Times New Roman" w:hAnsi="Times New Roman" w:cs="Times New Roman"/>
          <w:color w:val="auto"/>
          <w:kern w:val="0"/>
          <w:sz w:val="21"/>
          <w:szCs w:val="21"/>
          <w:highlight w:val="none"/>
          <w:u w:val="single"/>
          <w:lang w:eastAsia="zh-CN"/>
        </w:rPr>
        <w:t>的风险幅度值</w:t>
      </w:r>
      <w:r>
        <w:rPr>
          <w:rStyle w:val="25"/>
          <w:rFonts w:hint="default" w:ascii="Times New Roman" w:hAnsi="Times New Roman" w:eastAsia="宋体" w:cs="Times New Roman"/>
          <w:color w:val="auto"/>
          <w:kern w:val="0"/>
          <w:sz w:val="21"/>
          <w:szCs w:val="21"/>
          <w:highlight w:val="none"/>
          <w:u w:val="single"/>
        </w:rPr>
        <w:t>，</w:t>
      </w:r>
      <w:r>
        <w:rPr>
          <w:rStyle w:val="25"/>
          <w:rFonts w:hint="eastAsia" w:ascii="Times New Roman" w:hAnsi="Times New Roman" w:cs="Times New Roman"/>
          <w:color w:val="auto"/>
          <w:kern w:val="0"/>
          <w:sz w:val="21"/>
          <w:szCs w:val="21"/>
          <w:highlight w:val="none"/>
          <w:u w:val="single"/>
          <w:lang w:eastAsia="zh-CN"/>
        </w:rPr>
        <w:t>其超过部分按时调整，调整的价格不另外计算管理费、利润、规费等</w:t>
      </w:r>
      <w:r>
        <w:rPr>
          <w:rStyle w:val="25"/>
          <w:rFonts w:hint="default" w:ascii="Times New Roman" w:hAnsi="Times New Roman" w:eastAsia="宋体" w:cs="Times New Roman"/>
          <w:color w:val="auto"/>
          <w:sz w:val="21"/>
          <w:szCs w:val="21"/>
          <w:highlight w:val="none"/>
          <w:u w:val="single"/>
        </w:rPr>
        <w:t>。</w:t>
      </w:r>
      <w:r>
        <w:rPr>
          <w:rStyle w:val="25"/>
          <w:rFonts w:hint="default" w:ascii="Times New Roman" w:hAnsi="Times New Roman" w:eastAsia="宋体" w:cs="Times New Roman"/>
          <w:color w:val="auto"/>
          <w:sz w:val="21"/>
          <w:highlight w:val="none"/>
          <w:u w:val="single"/>
        </w:rPr>
        <w:t>因承包人原因未按期竣工的，对合同约定的竣工日期后继续施工的工程，在采用造价信息进行价格调整时，应采用计划竣工日期与实际竣工日期的两个单价中对承包人最为不利的一个</w:t>
      </w:r>
      <w:r>
        <w:rPr>
          <w:rStyle w:val="25"/>
          <w:rFonts w:hint="eastAsia" w:ascii="Times New Roman" w:hAnsi="Times New Roman" w:cs="Times New Roman"/>
          <w:color w:val="auto"/>
          <w:sz w:val="21"/>
          <w:highlight w:val="none"/>
          <w:u w:val="single"/>
          <w:lang w:eastAsia="zh-CN"/>
        </w:rPr>
        <w:t>。</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11.2</w:t>
      </w:r>
      <w:r>
        <w:rPr>
          <w:rFonts w:hint="eastAsia" w:hAnsi="宋体" w:cs="宋体"/>
          <w:color w:val="auto"/>
          <w:sz w:val="21"/>
          <w:szCs w:val="21"/>
          <w:highlight w:val="none"/>
        </w:rPr>
        <w:t xml:space="preserve"> </w:t>
      </w:r>
      <w:r>
        <w:rPr>
          <w:rFonts w:hint="eastAsia" w:hAnsi="宋体" w:cs="宋体"/>
          <w:b/>
          <w:color w:val="auto"/>
          <w:sz w:val="21"/>
          <w:szCs w:val="21"/>
          <w:highlight w:val="none"/>
        </w:rPr>
        <w:t>工程造价审定</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11.2.1 乙方应在甲方签发具体工程项目验收合格证明文件后向甲方提交该工程的竣工结算申请与完整的竣工结算资料，竣工结算申请应载明工程造价送审价、甲方已付款项金额、应扣留的质量保证金并附送签证文件（如有）。</w:t>
      </w:r>
    </w:p>
    <w:p>
      <w:pPr>
        <w:tabs>
          <w:tab w:val="center" w:pos="4153"/>
          <w:tab w:val="right" w:pos="8306"/>
        </w:tabs>
        <w:snapToGrid w:val="0"/>
        <w:spacing w:before="72" w:beforeLines="30" w:after="72" w:afterLines="30"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rPr>
        <w:t>11.2.2 每项具体工程项目最终结算价以</w:t>
      </w:r>
      <w:r>
        <w:rPr>
          <w:rFonts w:ascii="宋体" w:hAnsi="宋体" w:cs="宋体"/>
          <w:bCs/>
          <w:color w:val="auto"/>
          <w:szCs w:val="21"/>
          <w:highlight w:val="none"/>
        </w:rPr>
        <w:t>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hint="eastAsia" w:ascii="宋体" w:hAnsi="宋体" w:cs="宋体"/>
          <w:color w:val="auto"/>
          <w:szCs w:val="21"/>
          <w:highlight w:val="none"/>
        </w:rPr>
        <w:t>按管理规定审定为准，并经双方签字认可后15天内扣除质保金后付清。乙方</w:t>
      </w:r>
      <w:r>
        <w:rPr>
          <w:rFonts w:hint="eastAsia" w:ascii="宋体" w:hAnsi="宋体" w:cs="宋体"/>
          <w:color w:val="auto"/>
          <w:szCs w:val="21"/>
          <w:highlight w:val="none"/>
          <w:lang w:val="zh-CN" w:bidi="zh-CN"/>
        </w:rPr>
        <w:t>提交的竣工结算书送审金额与核对后双方确认的竣工结算书金额相差不得超过</w:t>
      </w:r>
      <w:r>
        <w:rPr>
          <w:rFonts w:ascii="宋体" w:hAnsi="宋体" w:cs="宋体"/>
          <w:color w:val="auto"/>
          <w:szCs w:val="21"/>
          <w:highlight w:val="none"/>
          <w:lang w:val="zh-CN" w:bidi="zh-CN"/>
        </w:rPr>
        <w:t>6%，</w:t>
      </w:r>
      <w:r>
        <w:rPr>
          <w:rFonts w:hint="eastAsia" w:ascii="宋体" w:hAnsi="宋体" w:cs="宋体"/>
          <w:color w:val="auto"/>
          <w:szCs w:val="21"/>
          <w:highlight w:val="none"/>
          <w:lang w:val="zh-CN" w:bidi="zh-CN"/>
        </w:rPr>
        <w:t>如果超过</w:t>
      </w:r>
      <w:r>
        <w:rPr>
          <w:rFonts w:ascii="宋体" w:hAnsi="宋体" w:cs="宋体"/>
          <w:color w:val="auto"/>
          <w:szCs w:val="21"/>
          <w:highlight w:val="none"/>
          <w:lang w:val="zh-CN" w:bidi="zh-CN"/>
        </w:rPr>
        <w:t>6%，则</w:t>
      </w:r>
      <w:r>
        <w:rPr>
          <w:rFonts w:hint="eastAsia" w:ascii="宋体" w:hAnsi="宋体" w:cs="宋体"/>
          <w:color w:val="auto"/>
          <w:szCs w:val="21"/>
          <w:highlight w:val="none"/>
          <w:lang w:val="zh-CN" w:bidi="zh-CN"/>
        </w:rPr>
        <w:t>乙方</w:t>
      </w:r>
      <w:r>
        <w:rPr>
          <w:rFonts w:ascii="宋体" w:hAnsi="宋体" w:cs="宋体"/>
          <w:color w:val="auto"/>
          <w:szCs w:val="21"/>
          <w:highlight w:val="none"/>
          <w:lang w:val="zh-CN" w:bidi="zh-CN"/>
        </w:rPr>
        <w:t>按超出部分（超出结算审定价的6%）的金额的10%直接抵扣工程款</w:t>
      </w:r>
      <w:r>
        <w:rPr>
          <w:rFonts w:hint="eastAsia" w:ascii="宋体" w:hAnsi="宋体" w:cs="宋体"/>
          <w:color w:val="auto"/>
          <w:szCs w:val="21"/>
          <w:highlight w:val="none"/>
          <w:lang w:val="zh-CN" w:bidi="zh-CN"/>
        </w:rPr>
        <w:t>。计算方式如下：</w:t>
      </w:r>
    </w:p>
    <w:p>
      <w:pPr>
        <w:tabs>
          <w:tab w:val="center" w:pos="4153"/>
          <w:tab w:val="right" w:pos="8306"/>
        </w:tabs>
        <w:snapToGrid w:val="0"/>
        <w:spacing w:before="72" w:beforeLines="30" w:after="72" w:afterLines="30" w:line="360" w:lineRule="auto"/>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val="zh-CN" w:bidi="zh-CN"/>
        </w:rPr>
        <w:t>工程结算违约金</w:t>
      </w:r>
      <w:r>
        <w:rPr>
          <w:rFonts w:hint="eastAsia" w:ascii="宋体" w:hAnsi="宋体" w:cs="宋体"/>
          <w:color w:val="auto"/>
          <w:szCs w:val="21"/>
          <w:highlight w:val="none"/>
          <w:lang w:bidi="zh-CN"/>
        </w:rPr>
        <w:t>=送审金额×（核减金额÷送审金额－6%）×10%</w:t>
      </w:r>
    </w:p>
    <w:p>
      <w:pPr>
        <w:tabs>
          <w:tab w:val="center" w:pos="4153"/>
          <w:tab w:val="right" w:pos="8306"/>
        </w:tabs>
        <w:snapToGrid w:val="0"/>
        <w:spacing w:before="72" w:beforeLines="30" w:after="72" w:afterLines="30" w:line="360" w:lineRule="auto"/>
        <w:ind w:firstLine="422" w:firstLineChars="200"/>
        <w:rPr>
          <w:rFonts w:hint="eastAsia" w:ascii="宋体" w:hAnsi="宋体" w:cs="宋体"/>
          <w:color w:val="auto"/>
          <w:szCs w:val="21"/>
          <w:highlight w:val="none"/>
          <w:lang w:bidi="zh-CN"/>
        </w:rPr>
      </w:pPr>
      <w:r>
        <w:rPr>
          <w:rFonts w:hint="eastAsia" w:ascii="宋体"/>
          <w:b/>
          <w:bCs/>
          <w:color w:val="auto"/>
          <w:szCs w:val="21"/>
          <w:highlight w:val="none"/>
        </w:rPr>
        <w:t>关于违约金的扣除条款详见《送审承诺书》</w:t>
      </w:r>
      <w:r>
        <w:rPr>
          <w:rFonts w:hint="eastAsia" w:ascii="宋体"/>
          <w:color w:val="auto"/>
          <w:szCs w:val="21"/>
          <w:highlight w:val="none"/>
        </w:rPr>
        <w:t>（格式见合同附件1）</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11.2.3 若乙方对最终工程造价有异议的，应在收到甲方通知之日起5个工作日内向甲方提出，乙方逾期提出异议的，视为认可、接受甲方审定的金额。若甲方提出异议的，由双方共同委托有资质的工程造价审计单位进行复审，最终工程造价以复审金额为准。复审金额未超过甲方审定金额的，审计费用由乙方承担；复审金额超过甲方审定金额的，审计费用由甲方承担。</w:t>
      </w:r>
    </w:p>
    <w:p>
      <w:pPr>
        <w:pStyle w:val="22"/>
        <w:adjustRightInd w:val="0"/>
        <w:spacing w:line="360" w:lineRule="auto"/>
        <w:ind w:firstLine="404"/>
        <w:rPr>
          <w:rFonts w:hint="eastAsia" w:hAnsi="宋体" w:cs="宋体"/>
          <w:color w:val="auto"/>
          <w:szCs w:val="21"/>
          <w:highlight w:val="none"/>
        </w:rPr>
      </w:pPr>
      <w:r>
        <w:rPr>
          <w:rFonts w:hint="eastAsia" w:hAnsi="宋体" w:cs="宋体"/>
          <w:color w:val="auto"/>
          <w:sz w:val="21"/>
          <w:szCs w:val="21"/>
          <w:highlight w:val="none"/>
        </w:rPr>
        <w:t>11.2.4 甲乙双方均有责任加强对每项具体工程项目造价的控制，不得随意变更、签证。未经甲方同意的变更、签证，不作为结算依据；未经甲方同意，变更费用增加超出</w:t>
      </w:r>
      <w:r>
        <w:rPr>
          <w:rFonts w:hint="eastAsia" w:hAnsi="宋体" w:cs="宋体"/>
          <w:color w:val="auto"/>
          <w:sz w:val="21"/>
          <w:szCs w:val="21"/>
          <w:highlight w:val="none"/>
          <w:lang w:val="zh-CN" w:bidi="zh-CN"/>
        </w:rPr>
        <w:t>甲方委托的有资质的造价咨询公司出具的预算控制价</w:t>
      </w:r>
      <w:r>
        <w:rPr>
          <w:rFonts w:hint="eastAsia" w:hAnsi="宋体" w:cs="宋体"/>
          <w:color w:val="auto"/>
          <w:sz w:val="21"/>
          <w:szCs w:val="21"/>
          <w:highlight w:val="none"/>
        </w:rPr>
        <w:t>10%的，超出部分不予支付；经甲方同意的变更费用增加超出</w:t>
      </w:r>
      <w:r>
        <w:rPr>
          <w:rFonts w:hint="eastAsia" w:hAnsi="宋体" w:cs="宋体"/>
          <w:color w:val="auto"/>
          <w:sz w:val="21"/>
          <w:szCs w:val="21"/>
          <w:highlight w:val="none"/>
          <w:lang w:val="zh-CN" w:bidi="zh-CN"/>
        </w:rPr>
        <w:t>甲方委托的有资质的造价咨询公司出具的预算控制价</w:t>
      </w:r>
      <w:r>
        <w:rPr>
          <w:rFonts w:hint="eastAsia" w:hAnsi="宋体" w:cs="宋体"/>
          <w:color w:val="auto"/>
          <w:sz w:val="21"/>
          <w:szCs w:val="21"/>
          <w:highlight w:val="none"/>
        </w:rPr>
        <w:t>10%的，由双方协商确定。</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11.3 工程结算价</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价格优惠率：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。甲方在每项具体工程项目中应向乙方支付的工程结算价的计算方式为：</w:t>
      </w:r>
    </w:p>
    <w:p>
      <w:pPr>
        <w:adjustRightInd w:val="0"/>
        <w:spacing w:line="360" w:lineRule="auto"/>
        <w:ind w:firstLine="422" w:firstLineChars="200"/>
        <w:jc w:val="both"/>
        <w:rPr>
          <w:rFonts w:hint="eastAsia" w:ascii="宋体" w:hAnsi="宋体" w:cs="宋体"/>
          <w:color w:val="auto"/>
          <w:szCs w:val="21"/>
          <w:highlight w:val="none"/>
        </w:rPr>
      </w:pPr>
      <w:r>
        <w:rPr>
          <w:rFonts w:hint="eastAsia" w:ascii="宋体" w:hAnsi="宋体" w:cs="宋体"/>
          <w:b/>
          <w:color w:val="auto"/>
          <w:szCs w:val="21"/>
          <w:highlight w:val="none"/>
        </w:rPr>
        <w:t>工程</w:t>
      </w:r>
      <w:r>
        <w:rPr>
          <w:rFonts w:hint="eastAsia"/>
          <w:b/>
          <w:color w:val="auto"/>
          <w:szCs w:val="21"/>
          <w:highlight w:val="none"/>
        </w:rPr>
        <w:t>结算价=</w:t>
      </w:r>
      <w:r>
        <w:rPr>
          <w:rFonts w:hint="eastAsia" w:ascii="宋体" w:hAnsi="宋体" w:cs="宋体"/>
          <w:b/>
          <w:color w:val="auto"/>
          <w:szCs w:val="21"/>
          <w:highlight w:val="none"/>
        </w:rPr>
        <w:t>每项具体</w:t>
      </w:r>
      <w:r>
        <w:rPr>
          <w:rFonts w:hint="eastAsia"/>
          <w:b/>
          <w:color w:val="auto"/>
          <w:szCs w:val="21"/>
          <w:highlight w:val="none"/>
        </w:rPr>
        <w:t>工程项目按计费标准得出的造价×（1-价格优惠率），例如：某零星修缮的造价为100万，结算价=100万×（1-价格优惠率10%）=90万元。</w:t>
      </w:r>
    </w:p>
    <w:p>
      <w:pPr>
        <w:pStyle w:val="22"/>
        <w:adjustRightInd w:val="0"/>
        <w:spacing w:line="360" w:lineRule="auto"/>
        <w:ind w:firstLine="406"/>
        <w:rPr>
          <w:rFonts w:hint="eastAsia" w:hAnsi="宋体" w:cs="宋体"/>
          <w:color w:val="auto"/>
          <w:sz w:val="21"/>
          <w:szCs w:val="21"/>
          <w:highlight w:val="none"/>
        </w:rPr>
      </w:pPr>
      <w:r>
        <w:rPr>
          <w:rFonts w:hint="eastAsia" w:hAnsi="宋体" w:cs="宋体"/>
          <w:b/>
          <w:color w:val="auto"/>
          <w:sz w:val="21"/>
          <w:szCs w:val="21"/>
          <w:highlight w:val="none"/>
        </w:rPr>
        <w:t>11.4 付款方式</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每项具体工程项目的工程款中按以下方式支付：</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预付款：根据每项具体工程项目实际情况及工程预算金额，经双方协商是否支付预付款。如需支付预付款，甲方委托有资质的造价咨询公司审定预算控制价并出具成果文件后10天内，甲方支付预算控制价的30%给乙方作为施工备料款。预付款在具体工程项目的第一期工程进度款中一次性抵扣，若预付款超过第一期工程进度款的，在此后应付工程进度款中继续抵扣直至抵扣完毕。</w:t>
      </w:r>
    </w:p>
    <w:p>
      <w:pPr>
        <w:pStyle w:val="22"/>
        <w:adjustRightInd w:val="0"/>
        <w:spacing w:line="360" w:lineRule="auto"/>
        <w:ind w:firstLine="404"/>
        <w:rPr>
          <w:rFonts w:hint="eastAsia" w:hAnsi="宋体" w:cs="宋体"/>
          <w:color w:val="auto"/>
          <w:sz w:val="21"/>
          <w:szCs w:val="21"/>
          <w:highlight w:val="none"/>
        </w:rPr>
      </w:pPr>
      <w:r>
        <w:rPr>
          <w:rFonts w:hint="eastAsia" w:hAnsi="宋体" w:cs="宋体"/>
          <w:color w:val="auto"/>
          <w:sz w:val="21"/>
          <w:szCs w:val="21"/>
          <w:highlight w:val="none"/>
        </w:rPr>
        <w:t>（2）工程进度款：单个施工项目合同内工程进度款按实际完成工程量价款×（1-价格优惠率）的80%支付；单个施工项目合同外新增工程量按实际完成工程量价款×（1-价格优惠率）的60%支付进度款</w:t>
      </w:r>
      <w:r>
        <w:rPr>
          <w:rFonts w:hint="eastAsia" w:hAnsi="宋体" w:cs="宋体"/>
          <w:color w:val="auto"/>
          <w:sz w:val="21"/>
          <w:szCs w:val="21"/>
          <w:highlight w:val="none"/>
          <w:u w:val="single"/>
        </w:rPr>
        <w:t>。</w:t>
      </w:r>
    </w:p>
    <w:p>
      <w:pPr>
        <w:adjustRightInd w:val="0"/>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（3）工程竣工验收合格，</w:t>
      </w:r>
      <w:r>
        <w:rPr>
          <w:rFonts w:ascii="宋体" w:hAnsi="宋体" w:cs="宋体"/>
          <w:bCs/>
          <w:color w:val="auto"/>
          <w:szCs w:val="21"/>
          <w:highlight w:val="none"/>
        </w:rPr>
        <w:t>工程结算经采购人</w:t>
      </w:r>
      <w:r>
        <w:rPr>
          <w:rFonts w:hint="eastAsia" w:ascii="宋体" w:hAnsi="宋体" w:cs="宋体"/>
          <w:bCs/>
          <w:color w:val="auto"/>
          <w:szCs w:val="21"/>
          <w:highlight w:val="none"/>
          <w:lang w:eastAsia="zh-CN"/>
        </w:rPr>
        <w:t>相关</w:t>
      </w:r>
      <w:r>
        <w:rPr>
          <w:rFonts w:ascii="宋体" w:hAnsi="宋体" w:cs="宋体"/>
          <w:bCs/>
          <w:color w:val="auto"/>
          <w:szCs w:val="21"/>
          <w:highlight w:val="none"/>
        </w:rPr>
        <w:t>部门</w:t>
      </w:r>
      <w:r>
        <w:rPr>
          <w:rFonts w:hint="eastAsia" w:ascii="宋体" w:hAnsi="宋体" w:cs="宋体"/>
          <w:bCs/>
          <w:color w:val="auto"/>
          <w:szCs w:val="21"/>
          <w:highlight w:val="none"/>
          <w:lang w:eastAsia="zh-CN"/>
        </w:rPr>
        <w:t>或采购人委托的有资质的造价咨询单位</w:t>
      </w:r>
      <w:r>
        <w:rPr>
          <w:rFonts w:ascii="宋体" w:hAnsi="宋体" w:cs="宋体"/>
          <w:bCs/>
          <w:color w:val="auto"/>
          <w:szCs w:val="21"/>
          <w:highlight w:val="none"/>
        </w:rPr>
        <w:t>审定后7个工作日内支付至结算总价的97%</w:t>
      </w:r>
      <w:r>
        <w:rPr>
          <w:rFonts w:hint="eastAsia" w:ascii="宋体" w:hAnsi="宋体" w:cs="宋体"/>
          <w:color w:val="auto"/>
          <w:szCs w:val="21"/>
          <w:highlight w:val="none"/>
          <w:lang w:val="zh-CN" w:bidi="zh-CN"/>
        </w:rPr>
        <w:t>，扣除结算总价的</w:t>
      </w:r>
      <w:r>
        <w:rPr>
          <w:rFonts w:ascii="宋体" w:hAnsi="宋体" w:cs="宋体"/>
          <w:color w:val="auto"/>
          <w:szCs w:val="21"/>
          <w:highlight w:val="none"/>
          <w:lang w:val="zh-CN" w:bidi="zh-CN"/>
        </w:rPr>
        <w:t>3%</w:t>
      </w:r>
      <w:r>
        <w:rPr>
          <w:rFonts w:hint="eastAsia" w:ascii="宋体" w:hAnsi="宋体" w:cs="宋体"/>
          <w:color w:val="auto"/>
          <w:szCs w:val="21"/>
          <w:highlight w:val="none"/>
          <w:lang w:val="zh-CN" w:bidi="zh-CN"/>
        </w:rPr>
        <w:t>作为质量保证金，质量保证金退还方式以第</w:t>
      </w:r>
      <w:r>
        <w:rPr>
          <w:rFonts w:hint="eastAsia" w:ascii="宋体" w:hAnsi="宋体" w:cs="宋体"/>
          <w:b/>
          <w:color w:val="auto"/>
          <w:szCs w:val="21"/>
          <w:highlight w:val="none"/>
        </w:rPr>
        <w:t>10.5款约定为准</w:t>
      </w:r>
      <w:r>
        <w:rPr>
          <w:rFonts w:hint="eastAsia" w:ascii="宋体" w:hAnsi="宋体" w:cs="宋体"/>
          <w:color w:val="auto"/>
          <w:szCs w:val="21"/>
          <w:highlight w:val="none"/>
          <w:lang w:val="zh-CN" w:bidi="zh-CN"/>
        </w:rPr>
        <w:t>。</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11.5 发票</w:t>
      </w:r>
    </w:p>
    <w:p>
      <w:pPr>
        <w:adjustRightInd w:val="0"/>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rPr>
        <w:t>甲方向乙方支付相应款项之前，乙方应向甲方提交请款报告及合法、等额的增值税发票，若乙方未提交发票的，甲方有权拒绝付款且不承担逾期付款违约责任。</w:t>
      </w:r>
    </w:p>
    <w:p>
      <w:pPr>
        <w:adjustRightInd w:val="0"/>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乙方需提供真实、有效、合法的正式发票，如提供虚假发票的，甲方有权解除合同，乙方除须向甲方补开合法发票外，还须向甲方支付与发票票面金额等额的违约金。</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违约责任</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12.1 乙方违约责任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乙方在合同履行过程中有下列情形的，乙方应承担相应违约责任：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（1）在具体工程项目中进行转包或分包的，甲方有权解除本合同并要求乙方支付违约金50000元；</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（2）违反约定采购和使用不合格的材料或设备的，甲方有权解除本合同并要求乙方支付违约金50000元；</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（3）因乙方原因导致工程质量不符合相关标准或甲方要求的，甲方有权不支付相应工程款并要求乙方支付工程预算30%的违约金； </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（4）未经甲方同意擅自将已按照合同约定进入施工现场的材料或设备撤离施工现场的，甲方有权要求乙方整改并支付违约金5000元/次；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（5）因乙方原因导致工程逾期竣工的，每逾期1日，应向甲方支付该项工程结算价千分之一的逾期违约金【</w:t>
      </w:r>
      <w:r>
        <w:rPr>
          <w:rFonts w:hint="eastAsia"/>
          <w:color w:val="auto"/>
          <w:szCs w:val="21"/>
          <w:highlight w:val="none"/>
        </w:rPr>
        <w:t>误期时间从该项工程规定竣工日期起直到工程竣工验收各方签章日期之间的天数(扣除甲方批准顺延的工期</w:t>
      </w:r>
      <w:r>
        <w:rPr>
          <w:rFonts w:hint="eastAsia" w:ascii="宋体" w:hAnsi="宋体" w:cs="宋体"/>
          <w:color w:val="auto"/>
          <w:szCs w:val="21"/>
          <w:highlight w:val="none"/>
        </w:rPr>
        <w:t>）】，</w:t>
      </w:r>
      <w:r>
        <w:rPr>
          <w:rFonts w:hint="eastAsia"/>
          <w:color w:val="auto"/>
          <w:szCs w:val="21"/>
          <w:highlight w:val="none"/>
        </w:rPr>
        <w:t>甲方可从应向乙方支付的工程结算款中扣除此项违约金</w:t>
      </w:r>
      <w:r>
        <w:rPr>
          <w:rFonts w:hint="eastAsia" w:ascii="宋体" w:hAnsi="宋体" w:cs="宋体"/>
          <w:color w:val="auto"/>
          <w:szCs w:val="21"/>
          <w:highlight w:val="none"/>
        </w:rPr>
        <w:t>；连续两项工程逾期竣工或逾期竣工的工程累计达到3项以上的，甲方有权解除本合同。</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（6）出现紧急维修工程时连续两次未按时派员到达现场或虽到达现场但未及时进行抢修的，甲方有权解除本合同；</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（7）无正当理由擅自撤换具体工程项目经理的：</w:t>
      </w:r>
    </w:p>
    <w:p>
      <w:pPr>
        <w:adjustRightInd w:val="0"/>
        <w:spacing w:line="360" w:lineRule="auto"/>
        <w:ind w:firstLine="420" w:firstLineChars="200"/>
        <w:rPr>
          <w:rFonts w:hint="eastAsia" w:ascii="宋体" w:hAnsi="宋体" w:cs="宋体"/>
          <w:color w:val="auto"/>
          <w:szCs w:val="21"/>
          <w:highlight w:val="none"/>
        </w:rPr>
      </w:pPr>
      <w:r>
        <w:rPr>
          <w:rFonts w:hint="eastAsia"/>
          <w:color w:val="auto"/>
          <w:szCs w:val="21"/>
          <w:highlight w:val="none"/>
          <w:u w:val="single"/>
        </w:rPr>
        <w:t>乙方必须按投标文件所确定的项目经理进驻现场施工管理，如果项目经理不到位，或在竣工验收前将项目经理撤走，或未经甲方许可而变更项目经理者，均视为违约，承担以下违约责任：a.项目经理不到位又没有得到甲方（或监理方）批假的，每日按人民币600元</w:t>
      </w:r>
      <w:r>
        <w:rPr>
          <w:color w:val="auto"/>
          <w:szCs w:val="21"/>
          <w:highlight w:val="none"/>
          <w:u w:val="single"/>
        </w:rPr>
        <w:t>/</w:t>
      </w:r>
      <w:r>
        <w:rPr>
          <w:rFonts w:hint="eastAsia"/>
          <w:color w:val="auto"/>
          <w:szCs w:val="21"/>
          <w:highlight w:val="none"/>
          <w:u w:val="single"/>
        </w:rPr>
        <w:t>次承担违约责任；B.未经甲方许可而变更项目经理者，</w:t>
      </w:r>
      <w:r>
        <w:rPr>
          <w:rFonts w:hint="eastAsia" w:ascii="宋体" w:hAnsi="宋体" w:cs="宋体"/>
          <w:color w:val="auto"/>
          <w:szCs w:val="21"/>
          <w:highlight w:val="none"/>
        </w:rPr>
        <w:t>甲方有权解除本合同并要求乙方支付违约金</w:t>
      </w:r>
      <w:r>
        <w:rPr>
          <w:rFonts w:ascii="宋体" w:hAnsi="宋体" w:cs="宋体"/>
          <w:color w:val="auto"/>
          <w:szCs w:val="21"/>
          <w:highlight w:val="none"/>
        </w:rPr>
        <w:t>50000元</w:t>
      </w:r>
      <w:r>
        <w:rPr>
          <w:rFonts w:hint="eastAsia" w:ascii="宋体" w:hAnsi="宋体" w:cs="宋体"/>
          <w:color w:val="auto"/>
          <w:szCs w:val="21"/>
          <w:highlight w:val="none"/>
        </w:rPr>
        <w:t>；</w:t>
      </w:r>
    </w:p>
    <w:p>
      <w:pPr>
        <w:spacing w:line="360" w:lineRule="auto"/>
        <w:ind w:firstLine="420" w:firstLineChars="200"/>
        <w:rPr>
          <w:color w:val="auto"/>
          <w:szCs w:val="21"/>
          <w:highlight w:val="none"/>
          <w:u w:val="single"/>
        </w:rPr>
      </w:pPr>
      <w:r>
        <w:rPr>
          <w:rFonts w:hint="eastAsia" w:ascii="宋体" w:hAnsi="宋体" w:cs="宋体"/>
          <w:color w:val="auto"/>
          <w:szCs w:val="21"/>
          <w:highlight w:val="none"/>
        </w:rPr>
        <w:t>（8）</w:t>
      </w:r>
      <w:r>
        <w:rPr>
          <w:color w:val="auto"/>
          <w:szCs w:val="21"/>
          <w:highlight w:val="none"/>
          <w:u w:val="single"/>
        </w:rPr>
        <w:t>若因</w:t>
      </w:r>
      <w:r>
        <w:rPr>
          <w:rFonts w:hint="eastAsia"/>
          <w:color w:val="auto"/>
          <w:szCs w:val="21"/>
          <w:highlight w:val="none"/>
          <w:u w:val="single"/>
        </w:rPr>
        <w:t>乙方</w:t>
      </w:r>
      <w:r>
        <w:rPr>
          <w:color w:val="auto"/>
          <w:szCs w:val="21"/>
          <w:highlight w:val="none"/>
          <w:u w:val="single"/>
        </w:rPr>
        <w:t>自身管理不善、未及时支付农民工工资导致农民工围堵、投诉、上访、散</w:t>
      </w:r>
      <w:r>
        <w:rPr>
          <w:rFonts w:hint="eastAsia"/>
          <w:color w:val="auto"/>
          <w:szCs w:val="21"/>
          <w:highlight w:val="none"/>
          <w:u w:val="single"/>
        </w:rPr>
        <w:t>布</w:t>
      </w:r>
      <w:r>
        <w:rPr>
          <w:color w:val="auto"/>
          <w:szCs w:val="21"/>
          <w:highlight w:val="none"/>
          <w:u w:val="single"/>
        </w:rPr>
        <w:t>不良信息至电视等新闻媒体，对</w:t>
      </w:r>
      <w:r>
        <w:rPr>
          <w:rFonts w:hint="eastAsia"/>
          <w:color w:val="auto"/>
          <w:szCs w:val="21"/>
          <w:highlight w:val="none"/>
          <w:u w:val="single"/>
        </w:rPr>
        <w:t>甲方</w:t>
      </w:r>
      <w:r>
        <w:rPr>
          <w:color w:val="auto"/>
          <w:szCs w:val="21"/>
          <w:highlight w:val="none"/>
          <w:u w:val="single"/>
        </w:rPr>
        <w:t>社会形象造成不良影响，甲方有权视严重程度处罚2万～5万元/次；性质恶劣的情况下，</w:t>
      </w:r>
      <w:r>
        <w:rPr>
          <w:rFonts w:hint="eastAsia"/>
          <w:color w:val="auto"/>
          <w:szCs w:val="21"/>
          <w:highlight w:val="none"/>
          <w:u w:val="single"/>
        </w:rPr>
        <w:t>甲方</w:t>
      </w:r>
      <w:r>
        <w:rPr>
          <w:color w:val="auto"/>
          <w:szCs w:val="21"/>
          <w:highlight w:val="none"/>
          <w:u w:val="single"/>
        </w:rPr>
        <w:t>有权解除合同</w:t>
      </w:r>
      <w:r>
        <w:rPr>
          <w:rFonts w:hint="eastAsia"/>
          <w:color w:val="auto"/>
          <w:szCs w:val="21"/>
          <w:highlight w:val="none"/>
          <w:u w:val="single"/>
        </w:rPr>
        <w:t>；</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（9）具体工程的缺陷责任期及保修期内，未能在合理期限内对工程缺陷进行修复，或拒绝按甲方要求进行修复的；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（10）明确表示或者以其行为表明不履行合同主要义务的；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（11）未能按照合同约定履行其他义务导致甲方遭受损失的。</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12.2 甲方违约责任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甲方在合同履行过程中有下列情形的，甲方应承担相应违约责任：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（1）因甲方原因未能依约按时支付应付款项的，每逾期一日，应向乙方支付应付未付金额万分之五的逾期违约金。</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（2）甲方提供的材料、工程设备的规格、数量或质量不符合合同约定，或因甲方原因导致交货日期延误或交货地点变更等情况的；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（3）因甲方违反合同约定造成暂停施工的；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（4）甲方无正当理由没有在约定期限内发出复工指示，导致乙方无法复工的；</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（5）甲方明确表示或者以其行为表明不履行合同主要义务的，乙方有权解除本合同；</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（6）甲方未能按照合同约定履行其他义务导致乙方无法实现合同目的的，乙方有权解除本合同。</w:t>
      </w:r>
    </w:p>
    <w:bookmarkEnd w:id="410"/>
    <w:bookmarkEnd w:id="411"/>
    <w:p>
      <w:pPr>
        <w:wordWrap w:val="0"/>
        <w:topLinePunct/>
        <w:snapToGrid w:val="0"/>
        <w:spacing w:line="400" w:lineRule="exact"/>
        <w:ind w:firstLine="422" w:firstLineChars="200"/>
        <w:rPr>
          <w:color w:val="auto"/>
          <w:highlight w:val="none"/>
        </w:rPr>
      </w:pPr>
      <w:r>
        <w:rPr>
          <w:rFonts w:hint="eastAsia" w:ascii="宋体" w:hAnsi="宋体" w:cs="宋体"/>
          <w:b/>
          <w:color w:val="auto"/>
          <w:szCs w:val="21"/>
          <w:highlight w:val="none"/>
        </w:rPr>
        <w:t xml:space="preserve">第十三条 </w:t>
      </w:r>
      <w:r>
        <w:rPr>
          <w:rFonts w:hint="eastAsia" w:ascii="宋体"/>
          <w:b/>
          <w:color w:val="auto"/>
          <w:szCs w:val="21"/>
          <w:highlight w:val="none"/>
        </w:rPr>
        <w:t>退出、处罚机制</w:t>
      </w:r>
    </w:p>
    <w:p>
      <w:pPr>
        <w:wordWrap w:val="0"/>
        <w:topLinePunct/>
        <w:snapToGrid w:val="0"/>
        <w:spacing w:line="400" w:lineRule="exact"/>
        <w:ind w:firstLine="420" w:firstLineChars="200"/>
        <w:rPr>
          <w:color w:val="auto"/>
          <w:highlight w:val="none"/>
        </w:rPr>
      </w:pPr>
      <w:r>
        <w:rPr>
          <w:rFonts w:hint="eastAsia"/>
          <w:color w:val="auto"/>
          <w:highlight w:val="none"/>
        </w:rPr>
        <w:t>13.1 评分退出机制（合同解除）：甲方统一制定标准，在乙方每完成一项单项施工后，根据乙方完成情况，对乙方的工作进行评分，总分累计3次低于75分的，甲方有权按合同约定解除其委托服务合同（考核表详见</w:t>
      </w:r>
      <w:r>
        <w:rPr>
          <w:rFonts w:hint="eastAsia" w:ascii="宋体"/>
          <w:color w:val="auto"/>
          <w:szCs w:val="21"/>
          <w:highlight w:val="none"/>
        </w:rPr>
        <w:t>合同附件2</w:t>
      </w:r>
      <w:r>
        <w:rPr>
          <w:rFonts w:hint="eastAsia"/>
          <w:color w:val="auto"/>
          <w:highlight w:val="none"/>
        </w:rPr>
        <w:t>）。</w:t>
      </w:r>
    </w:p>
    <w:p>
      <w:pPr>
        <w:wordWrap w:val="0"/>
        <w:topLinePunct/>
        <w:snapToGrid w:val="0"/>
        <w:spacing w:line="400" w:lineRule="exact"/>
        <w:ind w:firstLine="420" w:firstLineChars="200"/>
        <w:rPr>
          <w:color w:val="auto"/>
          <w:highlight w:val="none"/>
        </w:rPr>
      </w:pPr>
      <w:r>
        <w:rPr>
          <w:rFonts w:hint="eastAsia"/>
          <w:color w:val="auto"/>
          <w:highlight w:val="none"/>
        </w:rPr>
        <w:t>13.2 处罚机制：甲方有权根据校内制定的相关考核办法，在乙方每完成一项单项施工后，根据乙方完成情况，对乙方的工作进行考核，乙方工作考核不合格的，每次扣罚5000元；工程组织管理不到位，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r>
        <w:rPr>
          <w:rFonts w:hint="eastAsia"/>
          <w:color w:val="auto"/>
          <w:highlight w:val="none"/>
        </w:rPr>
        <w:t>，每次扣罚200元(以上罚金从履约保证金中扣除，合同期满后扣除相应违约罚金后剩余部分一次性退回乙方指定银行账户)。</w:t>
      </w:r>
    </w:p>
    <w:p>
      <w:pPr>
        <w:widowControl/>
        <w:wordWrap w:val="0"/>
        <w:topLinePunct/>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其他</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 因本合同发生的争议，向甲方所在地人民法院起诉。</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本合同经甲、乙双方各自法定代表人或授权代表签字（或盖章）并加盖甲乙双方各自工作或合同专用章后生效。</w:t>
      </w:r>
    </w:p>
    <w:p>
      <w:pPr>
        <w:snapToGrid w:val="0"/>
        <w:spacing w:line="360" w:lineRule="auto"/>
        <w:ind w:firstLine="420" w:firstLineChars="200"/>
        <w:rPr>
          <w:b/>
          <w:color w:val="auto"/>
          <w:sz w:val="24"/>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 本合同一式陆份，具有同等法律效力，甲方执肆份，乙方执一份，采购代理机构存档一份。</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以下无正文</w:t>
      </w:r>
    </w:p>
    <w:p>
      <w:pPr>
        <w:spacing w:line="360" w:lineRule="auto"/>
        <w:ind w:firstLine="630" w:firstLineChars="300"/>
        <w:rPr>
          <w:color w:val="auto"/>
          <w:highlight w:val="none"/>
        </w:rPr>
      </w:pPr>
      <w:r>
        <w:rPr>
          <w:rFonts w:hint="eastAsia"/>
          <w:color w:val="auto"/>
          <w:highlight w:val="none"/>
        </w:rPr>
        <w:t xml:space="preserve">甲方：                                   乙方： </w:t>
      </w:r>
    </w:p>
    <w:p>
      <w:pPr>
        <w:spacing w:line="360" w:lineRule="auto"/>
        <w:ind w:firstLine="420" w:firstLineChars="200"/>
        <w:rPr>
          <w:color w:val="auto"/>
          <w:highlight w:val="none"/>
        </w:rPr>
      </w:pPr>
      <w:r>
        <w:rPr>
          <w:rFonts w:hint="eastAsia"/>
          <w:color w:val="auto"/>
          <w:highlight w:val="none"/>
        </w:rPr>
        <w:t xml:space="preserve">  地址：                                   地址： </w:t>
      </w:r>
    </w:p>
    <w:p>
      <w:pPr>
        <w:spacing w:line="360" w:lineRule="auto"/>
        <w:ind w:firstLine="630" w:firstLineChars="300"/>
        <w:rPr>
          <w:color w:val="auto"/>
          <w:highlight w:val="none"/>
        </w:rPr>
      </w:pPr>
      <w:r>
        <w:rPr>
          <w:rFonts w:hint="eastAsia"/>
          <w:color w:val="auto"/>
          <w:highlight w:val="none"/>
        </w:rPr>
        <w:t>邮政编码：                               邮政编码：</w:t>
      </w:r>
    </w:p>
    <w:p>
      <w:pPr>
        <w:spacing w:line="360" w:lineRule="auto"/>
        <w:ind w:firstLine="420" w:firstLineChars="200"/>
        <w:rPr>
          <w:color w:val="auto"/>
          <w:highlight w:val="none"/>
        </w:rPr>
      </w:pPr>
      <w:r>
        <w:rPr>
          <w:rFonts w:hint="eastAsia"/>
          <w:color w:val="auto"/>
          <w:highlight w:val="none"/>
        </w:rPr>
        <w:t xml:space="preserve">  法定代表人：                             法定代表人：</w:t>
      </w:r>
    </w:p>
    <w:p>
      <w:pPr>
        <w:spacing w:line="360" w:lineRule="auto"/>
        <w:ind w:firstLine="420" w:firstLineChars="200"/>
        <w:rPr>
          <w:color w:val="auto"/>
          <w:highlight w:val="none"/>
        </w:rPr>
      </w:pPr>
      <w:r>
        <w:rPr>
          <w:rFonts w:hint="eastAsia"/>
          <w:color w:val="auto"/>
          <w:highlight w:val="none"/>
        </w:rPr>
        <w:t xml:space="preserve">  授权委托代理人：                         授权委托代理人：</w:t>
      </w:r>
    </w:p>
    <w:p>
      <w:pPr>
        <w:spacing w:line="360" w:lineRule="auto"/>
        <w:ind w:firstLine="420" w:firstLineChars="200"/>
        <w:rPr>
          <w:color w:val="auto"/>
          <w:highlight w:val="none"/>
        </w:rPr>
      </w:pPr>
      <w:r>
        <w:rPr>
          <w:rFonts w:hint="eastAsia"/>
          <w:color w:val="auto"/>
          <w:highlight w:val="none"/>
        </w:rPr>
        <w:t xml:space="preserve">  电话：                                   电话：   </w:t>
      </w:r>
    </w:p>
    <w:p>
      <w:pPr>
        <w:spacing w:line="360" w:lineRule="auto"/>
        <w:ind w:firstLine="420" w:firstLineChars="200"/>
        <w:rPr>
          <w:color w:val="auto"/>
          <w:highlight w:val="none"/>
        </w:rPr>
      </w:pPr>
      <w:r>
        <w:rPr>
          <w:rFonts w:hint="eastAsia"/>
          <w:color w:val="auto"/>
          <w:highlight w:val="none"/>
        </w:rPr>
        <w:t xml:space="preserve">  传真：                                   传真：</w:t>
      </w:r>
    </w:p>
    <w:p>
      <w:pPr>
        <w:spacing w:line="360" w:lineRule="auto"/>
        <w:ind w:firstLine="420" w:firstLineChars="200"/>
        <w:rPr>
          <w:rFonts w:ascii="宋体" w:hAnsi="Courier New"/>
          <w:color w:val="auto"/>
          <w:highlight w:val="none"/>
        </w:rPr>
        <w:sectPr>
          <w:pgSz w:w="11907" w:h="16840"/>
          <w:pgMar w:top="1440" w:right="1440" w:bottom="1440" w:left="1797" w:header="851" w:footer="851" w:gutter="0"/>
          <w:cols w:space="720" w:num="1"/>
          <w:docGrid w:linePitch="312" w:charSpace="0"/>
        </w:sectPr>
      </w:pPr>
      <w:r>
        <w:rPr>
          <w:rFonts w:hint="eastAsia"/>
          <w:color w:val="auto"/>
          <w:highlight w:val="none"/>
        </w:rPr>
        <w:t xml:space="preserve">  </w:t>
      </w:r>
      <w:r>
        <w:rPr>
          <w:rFonts w:hint="eastAsia" w:ascii="宋体" w:hAnsi="Courier New"/>
          <w:color w:val="auto"/>
          <w:highlight w:val="none"/>
        </w:rPr>
        <w:t>签订地点：广西南宁市                     签订日期：      年   月   日</w:t>
      </w:r>
    </w:p>
    <w:p>
      <w:pPr>
        <w:pStyle w:val="10"/>
        <w:spacing w:before="156" w:line="220" w:lineRule="auto"/>
        <w:ind w:firstLine="422"/>
        <w:rPr>
          <w:b/>
          <w:color w:val="auto"/>
          <w:highlight w:val="none"/>
        </w:rPr>
      </w:pPr>
      <w:r>
        <w:rPr>
          <w:rFonts w:hint="eastAsia"/>
          <w:b/>
          <w:color w:val="auto"/>
          <w:highlight w:val="none"/>
        </w:rPr>
        <w:t>附件1</w:t>
      </w:r>
    </w:p>
    <w:p>
      <w:pPr>
        <w:spacing w:line="360" w:lineRule="auto"/>
        <w:ind w:firstLine="482"/>
        <w:jc w:val="center"/>
        <w:rPr>
          <w:b/>
          <w:color w:val="auto"/>
          <w:sz w:val="24"/>
          <w:highlight w:val="none"/>
        </w:rPr>
      </w:pPr>
      <w:r>
        <w:rPr>
          <w:rFonts w:hint="eastAsia"/>
          <w:b/>
          <w:color w:val="auto"/>
          <w:sz w:val="24"/>
          <w:highlight w:val="none"/>
        </w:rPr>
        <w:t>工程结算送审承诺书</w:t>
      </w:r>
    </w:p>
    <w:p>
      <w:pPr>
        <w:spacing w:line="360" w:lineRule="auto"/>
        <w:ind w:firstLine="482"/>
        <w:jc w:val="center"/>
        <w:rPr>
          <w:b/>
          <w:color w:val="auto"/>
          <w:sz w:val="24"/>
          <w:highlight w:val="none"/>
        </w:rPr>
      </w:pPr>
    </w:p>
    <w:p>
      <w:pPr>
        <w:spacing w:line="360" w:lineRule="auto"/>
        <w:rPr>
          <w:b/>
          <w:color w:val="auto"/>
          <w:szCs w:val="21"/>
          <w:highlight w:val="none"/>
        </w:rPr>
      </w:pPr>
      <w:r>
        <w:rPr>
          <w:rFonts w:hint="eastAsia"/>
          <w:b/>
          <w:color w:val="auto"/>
          <w:szCs w:val="21"/>
          <w:highlight w:val="none"/>
        </w:rPr>
        <w:t>广西医科大学：</w:t>
      </w:r>
    </w:p>
    <w:p>
      <w:pPr>
        <w:spacing w:line="360" w:lineRule="auto"/>
        <w:ind w:firstLine="420"/>
        <w:rPr>
          <w:color w:val="auto"/>
          <w:szCs w:val="21"/>
          <w:highlight w:val="none"/>
        </w:rPr>
      </w:pPr>
      <w:r>
        <w:rPr>
          <w:rFonts w:hint="eastAsia"/>
          <w:color w:val="auto"/>
          <w:szCs w:val="21"/>
          <w:highlight w:val="none"/>
        </w:rPr>
        <w:t>根据贵校与我公司与年月日签订的《     合同》，我公司承建贵校的项目，该项目已于年月日通过竣工验收，验收结果为合格。我公司现将该项目工程结算资料报送贵校审计（材料清单见附件）并就报审相关事宜承诺如下：</w:t>
      </w:r>
    </w:p>
    <w:p>
      <w:pPr>
        <w:spacing w:line="360" w:lineRule="auto"/>
        <w:ind w:firstLine="420"/>
        <w:rPr>
          <w:color w:val="auto"/>
          <w:szCs w:val="21"/>
          <w:highlight w:val="none"/>
        </w:rPr>
      </w:pPr>
      <w:r>
        <w:rPr>
          <w:rFonts w:hint="eastAsia"/>
          <w:color w:val="auto"/>
          <w:szCs w:val="21"/>
          <w:highlight w:val="none"/>
        </w:rPr>
        <w:t>一、我公司报送的全部结算资料为真实、有效、准确、完整。</w:t>
      </w:r>
    </w:p>
    <w:p>
      <w:pPr>
        <w:spacing w:line="360" w:lineRule="auto"/>
        <w:ind w:firstLine="420"/>
        <w:rPr>
          <w:color w:val="auto"/>
          <w:szCs w:val="21"/>
          <w:highlight w:val="none"/>
        </w:rPr>
      </w:pPr>
      <w:r>
        <w:rPr>
          <w:rFonts w:hint="eastAsia"/>
          <w:color w:val="auto"/>
          <w:szCs w:val="21"/>
          <w:highlight w:val="none"/>
        </w:rPr>
        <w:t>二、对于我公司在本次报送中遗漏的结算资料，我公司将在收到贵校初步审计报告之日起十个日历日内补齐，该期限之后，除贵校要求我公司补充资料之外，我公司将不再向贵校补充提出任何有可能导致工程价款增加的调整或补充结算要求；同时，该期限之后，即使我公司发现仍有结算资料未报送的，我公司也将放弃该部分资料所对应的结算款，不再主张或要求贵校支付该部分结算款。</w:t>
      </w:r>
    </w:p>
    <w:p>
      <w:pPr>
        <w:spacing w:line="360" w:lineRule="auto"/>
        <w:ind w:firstLine="420"/>
        <w:rPr>
          <w:color w:val="auto"/>
          <w:szCs w:val="21"/>
          <w:highlight w:val="none"/>
        </w:rPr>
      </w:pPr>
      <w:r>
        <w:rPr>
          <w:rFonts w:hint="eastAsia"/>
          <w:color w:val="auto"/>
          <w:szCs w:val="21"/>
          <w:highlight w:val="none"/>
        </w:rPr>
        <w:t>三、若贵校在审计过程中发现我公司报审资料中有瞒报、谎报等虚增工程款的情形的，我公司将承担全部责任。</w:t>
      </w:r>
    </w:p>
    <w:p>
      <w:pPr>
        <w:spacing w:line="360" w:lineRule="auto"/>
        <w:ind w:firstLine="420"/>
        <w:rPr>
          <w:color w:val="auto"/>
          <w:szCs w:val="21"/>
          <w:highlight w:val="none"/>
        </w:rPr>
      </w:pPr>
      <w:r>
        <w:rPr>
          <w:rFonts w:hint="eastAsia"/>
          <w:color w:val="auto"/>
          <w:szCs w:val="21"/>
          <w:highlight w:val="none"/>
        </w:rPr>
        <w:t>四、我公司同意贵校对报审资料中所载明的分部（分项）工程进行抽查，若贵校在抽查过程中发现我公司报送的工程量与实际情形不符的，贵校有权按抽查平均误差率计扣工程结算款，即：</w:t>
      </w:r>
    </w:p>
    <w:p>
      <w:pPr>
        <w:spacing w:line="360" w:lineRule="auto"/>
        <w:ind w:firstLine="420"/>
        <w:rPr>
          <w:color w:val="auto"/>
          <w:szCs w:val="21"/>
          <w:highlight w:val="none"/>
        </w:rPr>
      </w:pPr>
      <w:r>
        <w:rPr>
          <w:rFonts w:hint="eastAsia"/>
          <w:color w:val="auto"/>
          <w:szCs w:val="21"/>
          <w:highlight w:val="none"/>
        </w:rPr>
        <w:t>工程结算款＝结算金额×平均误差率</w:t>
      </w:r>
    </w:p>
    <w:p>
      <w:pPr>
        <w:spacing w:line="360" w:lineRule="auto"/>
        <w:ind w:firstLine="420"/>
        <w:rPr>
          <w:color w:val="auto"/>
          <w:szCs w:val="21"/>
          <w:highlight w:val="none"/>
        </w:rPr>
      </w:pPr>
      <w:r>
        <w:rPr>
          <w:rFonts w:hint="eastAsia"/>
          <w:color w:val="auto"/>
          <w:szCs w:val="21"/>
          <w:highlight w:val="none"/>
        </w:rPr>
        <w:t>五、若结算款审减金额（即贵校审定金额少于我公司送审金额的部分）超过送审金额的百分之六（含百分之六）的，我公司同意按照以下方式向贵校计付违约金：</w:t>
      </w:r>
    </w:p>
    <w:p>
      <w:pPr>
        <w:spacing w:line="360" w:lineRule="auto"/>
        <w:ind w:firstLine="420" w:firstLineChars="200"/>
        <w:rPr>
          <w:color w:val="auto"/>
          <w:szCs w:val="21"/>
          <w:highlight w:val="none"/>
        </w:rPr>
      </w:pPr>
      <w:r>
        <w:rPr>
          <w:rFonts w:hint="eastAsia"/>
          <w:color w:val="auto"/>
          <w:szCs w:val="21"/>
          <w:highlight w:val="none"/>
        </w:rPr>
        <w:t>（一）违约金＝送审金额×（审减金额÷送审金额－</w:t>
      </w:r>
      <w:r>
        <w:rPr>
          <w:color w:val="auto"/>
          <w:szCs w:val="21"/>
          <w:highlight w:val="none"/>
        </w:rPr>
        <w:t>6</w:t>
      </w:r>
      <w:r>
        <w:rPr>
          <w:rFonts w:hint="eastAsia"/>
          <w:color w:val="auto"/>
          <w:szCs w:val="21"/>
          <w:highlight w:val="none"/>
        </w:rPr>
        <w:t>%）×10%</w:t>
      </w:r>
    </w:p>
    <w:p>
      <w:pPr>
        <w:spacing w:line="360" w:lineRule="auto"/>
        <w:ind w:firstLine="420" w:firstLineChars="200"/>
        <w:rPr>
          <w:color w:val="auto"/>
          <w:szCs w:val="21"/>
          <w:highlight w:val="none"/>
        </w:rPr>
      </w:pPr>
      <w:r>
        <w:rPr>
          <w:rFonts w:hint="eastAsia"/>
          <w:color w:val="auto"/>
          <w:szCs w:val="21"/>
          <w:highlight w:val="none"/>
        </w:rPr>
        <w:t>（二）贵校有权在实际应付工程结算款总金额中直接扣除该项违约金，我公司不再主张或要求贵校支付该部分款项。</w:t>
      </w:r>
    </w:p>
    <w:p>
      <w:pPr>
        <w:spacing w:line="360" w:lineRule="auto"/>
        <w:ind w:firstLine="420"/>
        <w:rPr>
          <w:color w:val="auto"/>
          <w:szCs w:val="21"/>
          <w:highlight w:val="none"/>
        </w:rPr>
      </w:pPr>
      <w:r>
        <w:rPr>
          <w:rFonts w:hint="eastAsia"/>
          <w:color w:val="auto"/>
          <w:szCs w:val="21"/>
          <w:highlight w:val="none"/>
        </w:rPr>
        <w:t>六、若我公司在《          合同》项下所享有的权利因我公司做出上述承诺而减损的，我公司将不再依照《          合同》的相关约定行使相关权利。</w:t>
      </w:r>
    </w:p>
    <w:p>
      <w:pPr>
        <w:spacing w:line="360" w:lineRule="auto"/>
        <w:ind w:firstLine="420"/>
        <w:rPr>
          <w:color w:val="auto"/>
          <w:szCs w:val="21"/>
          <w:highlight w:val="none"/>
        </w:rPr>
      </w:pPr>
      <w:r>
        <w:rPr>
          <w:rFonts w:hint="eastAsia"/>
          <w:color w:val="auto"/>
          <w:szCs w:val="21"/>
          <w:highlight w:val="none"/>
        </w:rPr>
        <w:t>特此承诺。</w:t>
      </w:r>
    </w:p>
    <w:p>
      <w:pPr>
        <w:spacing w:line="360" w:lineRule="auto"/>
        <w:ind w:firstLine="3570" w:firstLineChars="1700"/>
        <w:rPr>
          <w:color w:val="auto"/>
          <w:szCs w:val="21"/>
          <w:highlight w:val="none"/>
        </w:rPr>
      </w:pPr>
    </w:p>
    <w:p>
      <w:pPr>
        <w:spacing w:line="360" w:lineRule="auto"/>
        <w:ind w:firstLine="3570" w:firstLineChars="1700"/>
        <w:rPr>
          <w:color w:val="auto"/>
          <w:szCs w:val="21"/>
          <w:highlight w:val="none"/>
        </w:rPr>
      </w:pPr>
      <w:r>
        <w:rPr>
          <w:rFonts w:hint="eastAsia"/>
          <w:color w:val="auto"/>
          <w:szCs w:val="21"/>
          <w:highlight w:val="none"/>
        </w:rPr>
        <w:t>施工单位（盖章）：</w:t>
      </w:r>
    </w:p>
    <w:p>
      <w:pPr>
        <w:spacing w:line="360" w:lineRule="auto"/>
        <w:ind w:firstLine="3570" w:firstLineChars="1700"/>
        <w:rPr>
          <w:color w:val="auto"/>
          <w:szCs w:val="21"/>
          <w:highlight w:val="none"/>
        </w:rPr>
      </w:pPr>
      <w:r>
        <w:rPr>
          <w:rFonts w:hint="eastAsia"/>
          <w:color w:val="auto"/>
          <w:szCs w:val="21"/>
          <w:highlight w:val="none"/>
        </w:rPr>
        <w:t>法定代表人（签字）：</w:t>
      </w:r>
    </w:p>
    <w:p>
      <w:pPr>
        <w:pStyle w:val="10"/>
        <w:spacing w:before="156" w:line="220" w:lineRule="auto"/>
        <w:ind w:left="48" w:firstLine="3150" w:firstLineChars="1500"/>
        <w:rPr>
          <w:rFonts w:ascii="宋体" w:hAnsi="Courier New"/>
          <w:color w:val="auto"/>
          <w:highlight w:val="none"/>
        </w:rPr>
        <w:sectPr>
          <w:pgSz w:w="11907" w:h="16840"/>
          <w:pgMar w:top="1440" w:right="1440" w:bottom="1440" w:left="1797" w:header="851" w:footer="851" w:gutter="0"/>
          <w:cols w:space="720" w:num="1"/>
          <w:docGrid w:linePitch="312" w:charSpace="0"/>
        </w:sectPr>
      </w:pPr>
      <w:r>
        <w:rPr>
          <w:rFonts w:hint="eastAsia"/>
          <w:color w:val="auto"/>
          <w:szCs w:val="21"/>
          <w:highlight w:val="none"/>
        </w:rPr>
        <w:t>日期：</w:t>
      </w:r>
    </w:p>
    <w:tbl>
      <w:tblPr>
        <w:tblStyle w:val="23"/>
        <w:tblW w:w="15104" w:type="dxa"/>
        <w:jc w:val="center"/>
        <w:tblLayout w:type="fixed"/>
        <w:tblCellMar>
          <w:top w:w="0" w:type="dxa"/>
          <w:left w:w="108" w:type="dxa"/>
          <w:bottom w:w="0" w:type="dxa"/>
          <w:right w:w="108" w:type="dxa"/>
        </w:tblCellMar>
      </w:tblPr>
      <w:tblGrid>
        <w:gridCol w:w="1005"/>
        <w:gridCol w:w="2205"/>
        <w:gridCol w:w="2638"/>
        <w:gridCol w:w="705"/>
        <w:gridCol w:w="3645"/>
        <w:gridCol w:w="645"/>
        <w:gridCol w:w="3571"/>
        <w:gridCol w:w="690"/>
      </w:tblGrid>
      <w:tr>
        <w:tblPrEx>
          <w:tblCellMar>
            <w:top w:w="0" w:type="dxa"/>
            <w:left w:w="108" w:type="dxa"/>
            <w:bottom w:w="0" w:type="dxa"/>
            <w:right w:w="108" w:type="dxa"/>
          </w:tblCellMar>
        </w:tblPrEx>
        <w:trPr>
          <w:trHeight w:val="38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广西医科大学零星修缮项目施工单位考核表</w:t>
            </w:r>
          </w:p>
        </w:tc>
      </w:tr>
      <w:tr>
        <w:tblPrEx>
          <w:tblCellMar>
            <w:top w:w="0" w:type="dxa"/>
            <w:left w:w="108" w:type="dxa"/>
            <w:bottom w:w="0" w:type="dxa"/>
            <w:right w:w="108" w:type="dxa"/>
          </w:tblCellMar>
        </w:tblPrEx>
        <w:trPr>
          <w:trHeight w:val="275" w:hRule="atLeast"/>
          <w:jc w:val="center"/>
        </w:trPr>
        <w:tc>
          <w:tcPr>
            <w:tcW w:w="5848"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施工单位： </w:t>
            </w:r>
          </w:p>
        </w:tc>
        <w:tc>
          <w:tcPr>
            <w:tcW w:w="9256" w:type="dxa"/>
            <w:gridSpan w:val="5"/>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项目名称： </w:t>
            </w:r>
          </w:p>
        </w:tc>
      </w:tr>
      <w:tr>
        <w:tblPrEx>
          <w:tblCellMar>
            <w:top w:w="0" w:type="dxa"/>
            <w:left w:w="108" w:type="dxa"/>
            <w:bottom w:w="0" w:type="dxa"/>
            <w:right w:w="108" w:type="dxa"/>
          </w:tblCellMar>
        </w:tblPrEx>
        <w:trPr>
          <w:trHeight w:val="275"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ind w:firstLine="42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考核最终评分：</w:t>
            </w:r>
          </w:p>
        </w:tc>
      </w:tr>
      <w:tr>
        <w:tblPrEx>
          <w:tblCellMar>
            <w:top w:w="0" w:type="dxa"/>
            <w:left w:w="108" w:type="dxa"/>
            <w:bottom w:w="0" w:type="dxa"/>
            <w:right w:w="108" w:type="dxa"/>
          </w:tblCellMar>
        </w:tblPrEx>
        <w:trPr>
          <w:trHeight w:val="47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项目前期（满分20分）</w:t>
            </w:r>
          </w:p>
        </w:tc>
      </w:tr>
      <w:tr>
        <w:tblPrEx>
          <w:tblCellMar>
            <w:top w:w="0" w:type="dxa"/>
            <w:left w:w="108" w:type="dxa"/>
            <w:bottom w:w="0" w:type="dxa"/>
            <w:right w:w="108" w:type="dxa"/>
          </w:tblCellMar>
        </w:tblPrEx>
        <w:trPr>
          <w:trHeight w:val="45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25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ind w:firstLine="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★编制修缮方案及预算</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CellMar>
            <w:top w:w="0" w:type="dxa"/>
            <w:left w:w="108" w:type="dxa"/>
            <w:bottom w:w="0" w:type="dxa"/>
            <w:right w:w="108" w:type="dxa"/>
          </w:tblCellMar>
        </w:tblPrEx>
        <w:trPr>
          <w:trHeight w:val="748"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★图纸方案、预算专业性</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方案清晰、图纸准确、预算无缺漏、预算金额准确</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方案图纸不准确、预算不清晰</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无方案、无图纸、无预算</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49"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项目中期（满分40分）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紧急项目进场时间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6小时内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12小时内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24小时内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p>
        </w:tc>
      </w:tr>
      <w:tr>
        <w:tblPrEx>
          <w:tblCellMar>
            <w:top w:w="0" w:type="dxa"/>
            <w:left w:w="108" w:type="dxa"/>
            <w:bottom w:w="0" w:type="dxa"/>
            <w:right w:w="108" w:type="dxa"/>
          </w:tblCellMar>
        </w:tblPrEx>
        <w:trPr>
          <w:trHeight w:val="560"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★工程组织管理</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管理人员到场情况、施工队组协调安排、安全文明施工</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管理人员遥控指挥、施工人员少</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无管理人员</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施工人员散漫</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不佩戴工作证上岗、不佩戴安全帽施工、高空作业时不穿挂安全绳索等</w:t>
            </w:r>
            <w:r>
              <w:rPr>
                <w:rFonts w:hint="eastAsia" w:ascii="宋体" w:hAnsi="宋体" w:cs="宋体"/>
                <w:color w:val="auto"/>
                <w:kern w:val="0"/>
                <w:szCs w:val="21"/>
                <w:highlight w:val="none"/>
                <w:lang w:eastAsia="zh-CN" w:bidi="ar"/>
              </w:rPr>
              <w:t>未按照安全作业规程进行施工的</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p>
        </w:tc>
      </w:tr>
      <w:tr>
        <w:tblPrEx>
          <w:tblCellMar>
            <w:top w:w="0" w:type="dxa"/>
            <w:left w:w="108" w:type="dxa"/>
            <w:bottom w:w="0" w:type="dxa"/>
            <w:right w:w="108" w:type="dxa"/>
          </w:tblCellMar>
        </w:tblPrEx>
        <w:trPr>
          <w:trHeight w:val="1032"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★工程质量</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施工工艺按规范施工，设备材料按预算约定品牌参数供货</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施工工艺随意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未按规范施工</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p>
        </w:tc>
      </w:tr>
      <w:tr>
        <w:tblPrEx>
          <w:tblCellMar>
            <w:top w:w="0" w:type="dxa"/>
            <w:left w:w="108" w:type="dxa"/>
            <w:bottom w:w="0" w:type="dxa"/>
            <w:right w:w="108" w:type="dxa"/>
          </w:tblCellMar>
        </w:tblPrEx>
        <w:trPr>
          <w:trHeight w:val="56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★工程进度</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按期完成</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超总工期30%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超总工期50%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p>
        </w:tc>
      </w:tr>
      <w:tr>
        <w:tblPrEx>
          <w:tblCellMar>
            <w:top w:w="0" w:type="dxa"/>
            <w:left w:w="108" w:type="dxa"/>
            <w:bottom w:w="0" w:type="dxa"/>
            <w:right w:w="108" w:type="dxa"/>
          </w:tblCellMar>
        </w:tblPrEx>
        <w:trPr>
          <w:trHeight w:val="1229"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组织协调情况</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能与建设各方积极主动进行沟通与协调，现场出现的各种问题都能够得到及时有效的解决</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3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与建设各方能进行沟通与协调，个别问题因非监理方的责任不能及时解决，但未对工程实施造成影响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不能与建设各方形成有效沟通与协调，个别问题因非监理方的责任不能解决，给工程实施造成一定影响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w:t>
            </w:r>
          </w:p>
        </w:tc>
      </w:tr>
      <w:tr>
        <w:tblPrEx>
          <w:tblCellMar>
            <w:top w:w="0" w:type="dxa"/>
            <w:left w:w="108" w:type="dxa"/>
            <w:bottom w:w="0" w:type="dxa"/>
            <w:right w:w="108" w:type="dxa"/>
          </w:tblCellMar>
        </w:tblPrEx>
        <w:trPr>
          <w:trHeight w:val="412"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项目后期（满分25分）</w:t>
            </w:r>
          </w:p>
        </w:tc>
      </w:tr>
      <w:tr>
        <w:tblPrEx>
          <w:tblCellMar>
            <w:top w:w="0" w:type="dxa"/>
            <w:left w:w="108" w:type="dxa"/>
            <w:bottom w:w="0" w:type="dxa"/>
            <w:right w:w="108" w:type="dxa"/>
          </w:tblCellMar>
        </w:tblPrEx>
        <w:trPr>
          <w:trHeight w:val="4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34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★结算材料递交时间</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竣工后5天内</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竣工后7天内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竣工后10天内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3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项目结算书准确性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送审不超合同金额</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ind w:firstLine="42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送审超出合同金额3%以内</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送审超出合同金额10%以内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31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项目竣工材料完整性</w:t>
            </w:r>
          </w:p>
        </w:tc>
        <w:tc>
          <w:tcPr>
            <w:tcW w:w="2638"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齐全、完整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3天内完成补充更改</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5天内完成补充更改</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CellMar>
            <w:top w:w="0" w:type="dxa"/>
            <w:left w:w="108" w:type="dxa"/>
            <w:bottom w:w="0" w:type="dxa"/>
            <w:right w:w="108" w:type="dxa"/>
          </w:tblCellMar>
        </w:tblPrEx>
        <w:trPr>
          <w:trHeight w:val="555" w:hRule="atLeast"/>
          <w:jc w:val="center"/>
        </w:trPr>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★项目结算对数</w:t>
            </w:r>
          </w:p>
        </w:tc>
        <w:tc>
          <w:tcPr>
            <w:tcW w:w="2638"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2天答复结算审计意见、积极、配合补充相应材料</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3645"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5天答复结算审计意见，补充相应材料</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571" w:type="dxa"/>
            <w:tcBorders>
              <w:top w:val="single" w:color="000000" w:sz="4" w:space="0"/>
              <w:left w:val="single" w:color="000000" w:sz="4" w:space="0"/>
              <w:bottom w:val="single" w:color="000000" w:sz="4" w:space="0"/>
              <w:right w:val="single" w:color="000000" w:sz="4" w:space="0"/>
            </w:tcBorders>
            <w:vAlign w:val="center"/>
          </w:tcPr>
          <w:p>
            <w:pPr>
              <w:widowControl/>
              <w:ind w:firstLine="42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7天答复结算审计意见，补充相应材料</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CellMar>
            <w:top w:w="0" w:type="dxa"/>
            <w:left w:w="108" w:type="dxa"/>
            <w:bottom w:w="0" w:type="dxa"/>
            <w:right w:w="108" w:type="dxa"/>
          </w:tblCellMar>
        </w:tblPrEx>
        <w:trPr>
          <w:trHeight w:val="170" w:hRule="atLeast"/>
          <w:jc w:val="center"/>
        </w:trPr>
        <w:tc>
          <w:tcPr>
            <w:tcW w:w="1510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使用部门满意程度（15分）</w:t>
            </w:r>
          </w:p>
        </w:tc>
      </w:tr>
      <w:tr>
        <w:tblPrEx>
          <w:tblCellMar>
            <w:top w:w="0" w:type="dxa"/>
            <w:left w:w="108" w:type="dxa"/>
            <w:bottom w:w="0" w:type="dxa"/>
            <w:right w:w="108" w:type="dxa"/>
          </w:tblCellMar>
        </w:tblPrEx>
        <w:trPr>
          <w:trHeight w:val="272"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考核内容</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spacing w:line="200" w:lineRule="exact"/>
              <w:ind w:firstLine="406"/>
              <w:jc w:val="center"/>
              <w:rPr>
                <w:rFonts w:ascii="宋体" w:hAnsi="Courier New"/>
                <w:color w:val="auto"/>
                <w:spacing w:val="-4"/>
                <w:sz w:val="18"/>
                <w:szCs w:val="20"/>
                <w:highlight w:val="none"/>
              </w:rPr>
            </w:pPr>
            <w:r>
              <w:rPr>
                <w:rFonts w:hint="eastAsia" w:ascii="宋体" w:hAnsi="宋体" w:cs="宋体"/>
                <w:b/>
                <w:bCs/>
                <w:color w:val="auto"/>
                <w:spacing w:val="-4"/>
                <w:szCs w:val="21"/>
                <w:highlight w:val="none"/>
                <w:lang w:bidi="ar"/>
              </w:rPr>
              <w:t>考核标准</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得分</w:t>
            </w: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考核标准</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得分</w:t>
            </w:r>
          </w:p>
        </w:tc>
      </w:tr>
      <w:tr>
        <w:tblPrEx>
          <w:tblCellMar>
            <w:top w:w="0" w:type="dxa"/>
            <w:left w:w="108" w:type="dxa"/>
            <w:bottom w:w="0" w:type="dxa"/>
            <w:right w:w="108" w:type="dxa"/>
          </w:tblCellMar>
        </w:tblPrEx>
        <w:trPr>
          <w:trHeight w:val="400"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使用部门满意程度</w:t>
            </w:r>
          </w:p>
        </w:tc>
        <w:tc>
          <w:tcPr>
            <w:tcW w:w="2638" w:type="dxa"/>
            <w:tcBorders>
              <w:top w:val="single" w:color="000000" w:sz="4" w:space="0"/>
              <w:left w:val="single" w:color="000000" w:sz="4" w:space="0"/>
              <w:bottom w:val="single" w:color="000000" w:sz="4" w:space="0"/>
              <w:right w:val="single" w:color="auto" w:sz="4" w:space="0"/>
            </w:tcBorders>
            <w:noWrap/>
            <w:vAlign w:val="center"/>
          </w:tcPr>
          <w:p>
            <w:pPr>
              <w:ind w:firstLine="420"/>
              <w:jc w:val="center"/>
              <w:rPr>
                <w:color w:val="auto"/>
                <w:highlight w:val="none"/>
              </w:rPr>
            </w:pPr>
            <w:r>
              <w:rPr>
                <w:rFonts w:hint="eastAsia"/>
                <w:color w:val="auto"/>
                <w:highlight w:val="none"/>
              </w:rPr>
              <w:t>优（10.1-15分）</w:t>
            </w:r>
          </w:p>
          <w:p>
            <w:pPr>
              <w:ind w:firstLine="404"/>
              <w:rPr>
                <w:rFonts w:hint="eastAsia" w:ascii="宋体" w:hAnsi="宋体" w:cs="宋体"/>
                <w:color w:val="auto"/>
                <w:spacing w:val="-4"/>
                <w:szCs w:val="21"/>
                <w:highlight w:val="none"/>
                <w:lang w:bidi="ar"/>
              </w:rPr>
            </w:pPr>
            <w:r>
              <w:rPr>
                <w:rFonts w:hint="eastAsia" w:ascii="宋体" w:hAnsi="宋体" w:cs="宋体"/>
                <w:color w:val="auto"/>
                <w:spacing w:val="-4"/>
                <w:szCs w:val="21"/>
                <w:highlight w:val="none"/>
                <w:lang w:bidi="ar"/>
              </w:rPr>
              <w:t>主要根据对项目日常工作对接和配合度，服务的及时性、项目管理的规范性、完工后的售后质保服务等方面进行评价，服务质量投诉1次</w:t>
            </w:r>
          </w:p>
        </w:tc>
        <w:tc>
          <w:tcPr>
            <w:tcW w:w="7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b/>
                <w:bCs/>
                <w:color w:val="auto"/>
                <w:kern w:val="0"/>
                <w:szCs w:val="21"/>
                <w:highlight w:val="none"/>
                <w:lang w:bidi="ar"/>
              </w:rPr>
            </w:pPr>
          </w:p>
        </w:tc>
        <w:tc>
          <w:tcPr>
            <w:tcW w:w="3645"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良（5.1-10分）</w:t>
            </w:r>
          </w:p>
          <w:p>
            <w:pPr>
              <w:ind w:firstLine="404"/>
              <w:rPr>
                <w:rFonts w:ascii="宋体" w:hAnsi="Courier New"/>
                <w:color w:val="auto"/>
                <w:spacing w:val="-4"/>
                <w:sz w:val="24"/>
                <w:szCs w:val="20"/>
                <w:highlight w:val="none"/>
                <w:lang w:bidi="ar"/>
              </w:rPr>
            </w:pPr>
            <w:r>
              <w:rPr>
                <w:rFonts w:hint="eastAsia" w:ascii="宋体" w:hAnsi="宋体" w:cs="宋体"/>
                <w:color w:val="auto"/>
                <w:spacing w:val="-4"/>
                <w:szCs w:val="21"/>
                <w:highlight w:val="none"/>
                <w:lang w:bidi="ar"/>
              </w:rPr>
              <w:t>主要根据对项目日常工作对接和配合度，服务的及时性、项目管理的规范性、完工后的售后质保服务等方面进行评价，服务质量投诉2次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c>
          <w:tcPr>
            <w:tcW w:w="3571" w:type="dxa"/>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差（0-5分）</w:t>
            </w:r>
          </w:p>
          <w:p>
            <w:pPr>
              <w:widowControl/>
              <w:ind w:firstLine="420"/>
              <w:jc w:val="center"/>
              <w:textAlignment w:val="center"/>
              <w:rPr>
                <w:rFonts w:ascii="宋体"/>
                <w:color w:val="auto"/>
                <w:kern w:val="0"/>
                <w:sz w:val="24"/>
                <w:szCs w:val="20"/>
                <w:highlight w:val="none"/>
                <w:lang w:bidi="ar"/>
              </w:rPr>
            </w:pPr>
            <w:r>
              <w:rPr>
                <w:rFonts w:hint="eastAsia" w:ascii="宋体" w:hAnsi="宋体" w:cs="宋体"/>
                <w:color w:val="auto"/>
                <w:kern w:val="0"/>
                <w:szCs w:val="21"/>
                <w:highlight w:val="none"/>
                <w:lang w:bidi="ar"/>
              </w:rPr>
              <w:t>主要根据对项目日常工作对接和配合度，服务的及时性、项目管理的规范性、完工后的售后质保服务等方面进行评价，服务质量投诉2次</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Cs w:val="21"/>
                <w:highlight w:val="none"/>
              </w:rPr>
            </w:pPr>
          </w:p>
        </w:tc>
      </w:tr>
    </w:tbl>
    <w:p>
      <w:pPr>
        <w:spacing w:before="156" w:line="220" w:lineRule="auto"/>
        <w:ind w:left="48" w:firstLine="482"/>
        <w:rPr>
          <w:b/>
          <w:color w:val="auto"/>
          <w:sz w:val="24"/>
          <w:highlight w:val="none"/>
        </w:rPr>
      </w:pPr>
    </w:p>
    <w:p>
      <w:pPr>
        <w:spacing w:before="156" w:line="220" w:lineRule="auto"/>
        <w:ind w:left="48" w:firstLine="482"/>
        <w:rPr>
          <w:b/>
          <w:color w:val="auto"/>
          <w:sz w:val="24"/>
          <w:highlight w:val="none"/>
        </w:rPr>
      </w:pPr>
    </w:p>
    <w:p>
      <w:pPr>
        <w:spacing w:before="156" w:line="220" w:lineRule="auto"/>
        <w:ind w:left="48" w:firstLine="482"/>
        <w:rPr>
          <w:b/>
          <w:color w:val="auto"/>
          <w:sz w:val="24"/>
          <w:highlight w:val="none"/>
        </w:rPr>
      </w:pPr>
    </w:p>
    <w:p>
      <w:pPr>
        <w:ind w:firstLine="420"/>
        <w:rPr>
          <w:rFonts w:ascii="宋体" w:hAnsi="Courier New"/>
          <w:color w:val="auto"/>
          <w:highlight w:val="none"/>
        </w:rPr>
        <w:sectPr>
          <w:pgSz w:w="16840" w:h="11907" w:orient="landscape"/>
          <w:pgMar w:top="1797" w:right="1440" w:bottom="1440" w:left="1440" w:header="851" w:footer="851" w:gutter="0"/>
          <w:cols w:space="720" w:num="1"/>
          <w:docGrid w:linePitch="312" w:charSpace="0"/>
        </w:sectPr>
      </w:pPr>
    </w:p>
    <w:p>
      <w:pPr>
        <w:ind w:firstLine="420"/>
        <w:rPr>
          <w:rFonts w:ascii="宋体" w:hAnsi="Courier New"/>
          <w:color w:val="auto"/>
          <w:highlight w:val="none"/>
        </w:rPr>
      </w:pPr>
    </w:p>
    <w:p>
      <w:pPr>
        <w:snapToGrid/>
        <w:spacing w:line="360" w:lineRule="auto"/>
        <w:ind w:firstLine="643"/>
        <w:jc w:val="left"/>
        <w:rPr>
          <w:rFonts w:hint="eastAsia" w:ascii="宋体" w:hAnsi="宋体" w:cs="宋体"/>
          <w:b/>
          <w:bCs/>
          <w:color w:val="auto"/>
          <w:sz w:val="32"/>
          <w:szCs w:val="32"/>
          <w:highlight w:val="none"/>
        </w:rPr>
      </w:pPr>
      <w:r>
        <w:rPr>
          <w:rFonts w:hint="eastAsia" w:ascii="仿宋_GB2312" w:hAnsi="楷体" w:eastAsia="仿宋_GB2312"/>
          <w:b/>
          <w:bCs/>
          <w:color w:val="auto"/>
          <w:sz w:val="28"/>
          <w:szCs w:val="28"/>
          <w:highlight w:val="none"/>
        </w:rPr>
        <w:t>6、7分标适用</w:t>
      </w:r>
    </w:p>
    <w:p>
      <w:pPr>
        <w:adjustRightInd w:val="0"/>
        <w:ind w:firstLine="883"/>
        <w:jc w:val="center"/>
        <w:rPr>
          <w:rFonts w:hint="eastAsia" w:ascii="宋体" w:hAnsi="宋体"/>
          <w:b/>
          <w:color w:val="auto"/>
          <w:sz w:val="44"/>
          <w:szCs w:val="44"/>
          <w:highlight w:val="none"/>
        </w:rPr>
      </w:pPr>
      <w:r>
        <w:rPr>
          <w:rFonts w:hint="eastAsia" w:ascii="宋体" w:hAnsi="宋体"/>
          <w:b/>
          <w:color w:val="auto"/>
          <w:sz w:val="44"/>
          <w:szCs w:val="44"/>
          <w:highlight w:val="none"/>
        </w:rPr>
        <w:t>广西医科大学零星修缮设计服务采购合同</w:t>
      </w:r>
    </w:p>
    <w:p>
      <w:pPr>
        <w:snapToGrid w:val="0"/>
        <w:spacing w:line="360" w:lineRule="exact"/>
        <w:ind w:firstLine="420"/>
        <w:rPr>
          <w:rFonts w:hint="eastAsia" w:ascii="宋体" w:hAnsi="宋体" w:cs="宋体"/>
          <w:color w:val="auto"/>
          <w:szCs w:val="21"/>
          <w:highlight w:val="none"/>
        </w:rPr>
      </w:pPr>
    </w:p>
    <w:p>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pacing w:val="-20"/>
          <w:szCs w:val="21"/>
          <w:highlight w:val="none"/>
        </w:rPr>
        <w:t xml:space="preserve">  采 购 计 划 号</w:t>
      </w:r>
      <w:r>
        <w:rPr>
          <w:rFonts w:hint="eastAsia" w:ascii="宋体" w:hAnsi="宋体" w:cs="宋体"/>
          <w:color w:val="auto"/>
          <w:szCs w:val="21"/>
          <w:highlight w:val="none"/>
          <w:u w:val="single"/>
        </w:rPr>
        <w:t xml:space="preserve">                           </w:t>
      </w:r>
    </w:p>
    <w:p>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项目名称和编号</w:t>
      </w:r>
      <w:r>
        <w:rPr>
          <w:rFonts w:hint="eastAsia" w:ascii="宋体" w:hAnsi="宋体" w:cs="宋体"/>
          <w:color w:val="auto"/>
          <w:szCs w:val="21"/>
          <w:highlight w:val="none"/>
          <w:u w:val="single"/>
        </w:rPr>
        <w:t xml:space="preserve">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 </w:t>
      </w:r>
      <w:r>
        <w:rPr>
          <w:rFonts w:hint="eastAsia" w:ascii="宋体" w:hAnsi="宋体" w:cs="宋体"/>
          <w:color w:val="auto"/>
          <w:szCs w:val="21"/>
          <w:highlight w:val="none"/>
          <w:u w:val="single"/>
        </w:rPr>
        <w:t xml:space="preserve">                       </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依照《中华人民共和国政府采购法》《中华人民共和国民法典》《中华人民共和国建筑法》等法律、行政法规等规范性文件的相关规定，根据零星修缮、设计、监理服务采购的</w:t>
      </w:r>
      <w:r>
        <w:rPr>
          <w:rFonts w:hint="eastAsia" w:ascii="宋体" w:hAnsi="宋体" w:cs="宋体"/>
          <w:color w:val="auto"/>
          <w:szCs w:val="21"/>
          <w:highlight w:val="none"/>
          <w:u w:val="single"/>
        </w:rPr>
        <w:t>06</w:t>
      </w:r>
      <w:r>
        <w:rPr>
          <w:rFonts w:hint="eastAsia" w:ascii="宋体" w:hAnsi="宋体" w:cs="宋体"/>
          <w:color w:val="auto"/>
          <w:szCs w:val="21"/>
          <w:highlight w:val="none"/>
        </w:rPr>
        <w:t>分标采购文件的规定和乙方投标文件及相关承诺，甲、乙双方经协商一致，现就乙方为甲方提供广西医科大学零星修缮设计服务相关事宜签订本合同。</w:t>
      </w:r>
    </w:p>
    <w:p>
      <w:pPr>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第一条 总则</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 词语定义与解释</w:t>
      </w:r>
    </w:p>
    <w:p>
      <w:pPr>
        <w:pStyle w:val="55"/>
        <w:spacing w:after="200" w:line="360" w:lineRule="auto"/>
        <w:ind w:firstLine="420" w:firstLineChars="200"/>
        <w:rPr>
          <w:rFonts w:hint="eastAsia" w:ascii="宋体" w:hAnsi="宋体"/>
          <w:color w:val="auto"/>
          <w:highlight w:val="none"/>
        </w:rPr>
      </w:pPr>
      <w:r>
        <w:rPr>
          <w:rFonts w:hint="eastAsia" w:ascii="宋体" w:hAnsi="宋体"/>
          <w:color w:val="auto"/>
          <w:highlight w:val="none"/>
        </w:rPr>
        <w:t>本合同中词语的定义与解释以《建设工程设计合同示范文本（房屋建筑工程）》（GF-2015-0209）第二部分通用条款第1.1款中所列词语的定义与解释为准。</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1.2法律 </w:t>
      </w:r>
    </w:p>
    <w:p>
      <w:pPr>
        <w:pStyle w:val="55"/>
        <w:spacing w:after="200" w:line="360" w:lineRule="auto"/>
        <w:ind w:firstLine="420" w:firstLineChars="200"/>
        <w:rPr>
          <w:rFonts w:hint="eastAsia" w:ascii="宋体" w:hAnsi="宋体"/>
          <w:color w:val="auto"/>
          <w:highlight w:val="none"/>
        </w:rPr>
      </w:pPr>
      <w:r>
        <w:rPr>
          <w:rFonts w:hint="eastAsia" w:ascii="宋体" w:hAnsi="宋体"/>
          <w:color w:val="auto"/>
          <w:highlight w:val="none"/>
        </w:rPr>
        <w:t>适用于合同的其他规范性文件：《中华人民共和国民法典》、《中华人民共和国建筑法》和《建设工程勘察设计市场管理规定》；国家及地方有关建设工程设计管理法规和规章。</w:t>
      </w:r>
    </w:p>
    <w:p>
      <w:pPr>
        <w:pStyle w:val="55"/>
        <w:spacing w:after="200" w:line="360" w:lineRule="auto"/>
        <w:ind w:firstLine="422" w:firstLineChars="200"/>
        <w:rPr>
          <w:rFonts w:hint="eastAsia" w:ascii="宋体" w:hAnsi="宋体"/>
          <w:color w:val="auto"/>
          <w:highlight w:val="none"/>
        </w:rPr>
      </w:pPr>
      <w:r>
        <w:rPr>
          <w:rFonts w:hint="eastAsia" w:ascii="宋体" w:hAnsi="宋体"/>
          <w:b/>
          <w:color w:val="auto"/>
          <w:highlight w:val="none"/>
        </w:rPr>
        <w:t>1.3 适用于工程的技术标准包括：</w:t>
      </w:r>
      <w:r>
        <w:rPr>
          <w:rFonts w:hint="eastAsia" w:ascii="宋体" w:hAnsi="宋体"/>
          <w:color w:val="auto"/>
          <w:highlight w:val="none"/>
        </w:rPr>
        <w:t xml:space="preserve"> </w:t>
      </w:r>
    </w:p>
    <w:p>
      <w:pPr>
        <w:pStyle w:val="55"/>
        <w:spacing w:after="200" w:line="360" w:lineRule="auto"/>
        <w:ind w:firstLine="420" w:firstLineChars="200"/>
        <w:rPr>
          <w:rFonts w:hint="eastAsia" w:ascii="宋体" w:hAnsi="宋体"/>
          <w:color w:val="auto"/>
          <w:highlight w:val="none"/>
        </w:rPr>
      </w:pPr>
      <w:r>
        <w:rPr>
          <w:rFonts w:hint="eastAsia" w:ascii="宋体" w:hAnsi="宋体"/>
          <w:color w:val="auto"/>
          <w:highlight w:val="none"/>
        </w:rPr>
        <w:t>国家及地方有关建设工程设计现行规范、规则、规程 。</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合同文件组成及优先顺序</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（1）补充协议（如有）；</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（2）采购文件中的项目采购需求及本合同条款；</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（3）中标通知书；</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（4）投标函及其附录；</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（6）图纸；</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（7）其他合同文件。</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图纸与技术标准和要求之间有矛盾或者不一致的，以其中要求较严格的标准为准。甲、乙双方在本合同履行过程中的有关洽商、变更等书面协议或文件视为本合同文件的构成部分。</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保密条款</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甲、乙双方应对在本合同签订或履行过程中所接触的对方信息，包括但不限于知识产权、技术资料、技术诀窍、内部管理及其他相关信息，负有保密义务。</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乙方在使用甲方为乙方及其工作人员提供的数据、资料及甲方相关的业务和技术文档，包括方案设计细节、程序文件、数据结构，以及相关业务系统的文档时，应遵循以下规定：</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（1）应以审慎态度避免泄露、公开或传播甲方的信息；</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（2）未经甲方书面许可，不得对有关信息进行修改、补充、复制；</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（3）未经甲方书面许可，不得将信息以任何方式携带出甲方场所；</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（4）未经甲方书面许可，不得将信息透露给任何其他人；</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（5）甲方以书面形式提出的其他保密措施。</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保密期限不受合同有效期的限制，在合同有效期结束后，信息接受方仍应承担保密义务，直至该等信息成为公开信息。</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 一方如出现泄密行为，泄密方应承担相关的法律责任，包括但是不限于对由此给对方造成的经济损失进行赔偿。</w:t>
      </w:r>
    </w:p>
    <w:p>
      <w:pPr>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第二条 双方的一般义务</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w:t>
      </w:r>
      <w:bookmarkStart w:id="416" w:name="_Toc337558740"/>
      <w:bookmarkStart w:id="417" w:name="_Toc296346540"/>
      <w:bookmarkStart w:id="418" w:name="_Toc296503039"/>
      <w:r>
        <w:rPr>
          <w:rFonts w:hint="eastAsia" w:ascii="宋体" w:hAnsi="宋体" w:cs="宋体"/>
          <w:b w:val="0"/>
          <w:color w:val="auto"/>
          <w:sz w:val="21"/>
          <w:szCs w:val="21"/>
          <w:highlight w:val="none"/>
        </w:rPr>
        <w:t>.1 甲方一般义务</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2.1.1 甲方应遵守法律，并办理法律规定由其办理的许可、核准或备案，包括但不限于建设用地规划许可证、建设工程规划许可证、建设工程方案设计批准、施工图设计审查等许可、核准或备案。</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甲方负责具体工程项目各阶段设计文件向规划设计管理部门的送审报批工作，并负责将报批结果书面通知乙方。</w:t>
      </w:r>
      <w:r>
        <w:rPr>
          <w:rFonts w:hint="eastAsia" w:ascii="宋体" w:hAnsi="宋体" w:cs="宋体"/>
          <w:color w:val="auto"/>
          <w:kern w:val="0"/>
          <w:szCs w:val="21"/>
          <w:highlight w:val="none"/>
        </w:rPr>
        <w:t>因甲方原因未能及时办理完毕前述许可、核准或备案手续，导致设计工作量增加和（或）设计周期延长时，由甲方承担由此增加的设计费用和（或）延长的设计周期。</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2.1.2 甲方应当负责工程设计的所有外部关系（包括但不限于当地政府主管部门等）的协调，为乙方履行合同提供必要的外部条件。</w:t>
      </w:r>
    </w:p>
    <w:bookmarkEnd w:id="416"/>
    <w:bookmarkEnd w:id="417"/>
    <w:bookmarkEnd w:id="418"/>
    <w:p>
      <w:pPr>
        <w:pStyle w:val="6"/>
        <w:keepNext w:val="0"/>
        <w:keepLines w:val="0"/>
        <w:spacing w:before="120" w:after="120" w:line="360" w:lineRule="auto"/>
        <w:ind w:firstLine="420" w:firstLineChars="200"/>
        <w:rPr>
          <w:rFonts w:hint="eastAsia" w:ascii="宋体" w:hAnsi="宋体" w:cs="宋体"/>
          <w:b w:val="0"/>
          <w:color w:val="auto"/>
          <w:sz w:val="21"/>
          <w:szCs w:val="21"/>
          <w:highlight w:val="none"/>
        </w:rPr>
      </w:pPr>
      <w:bookmarkStart w:id="419" w:name="_Toc351203519"/>
      <w:bookmarkStart w:id="420" w:name="_Toc337558747"/>
      <w:bookmarkStart w:id="421" w:name="_Toc296503046"/>
      <w:bookmarkStart w:id="422" w:name="_Toc296346547"/>
      <w:r>
        <w:rPr>
          <w:rFonts w:hint="eastAsia" w:ascii="宋体" w:hAnsi="宋体" w:cs="宋体"/>
          <w:b w:val="0"/>
          <w:color w:val="auto"/>
          <w:sz w:val="21"/>
          <w:szCs w:val="21"/>
          <w:highlight w:val="none"/>
        </w:rPr>
        <w:t>2.2 乙方一般义务</w:t>
      </w:r>
      <w:bookmarkEnd w:id="419"/>
    </w:p>
    <w:bookmarkEnd w:id="420"/>
    <w:bookmarkEnd w:id="421"/>
    <w:bookmarkEnd w:id="422"/>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2.2.1 </w:t>
      </w:r>
      <w:r>
        <w:rPr>
          <w:rFonts w:hint="eastAsia" w:ascii="宋体" w:hAnsi="宋体" w:eastAsia="宋体" w:cs="宋体"/>
          <w:color w:val="auto"/>
          <w:szCs w:val="21"/>
          <w:highlight w:val="none"/>
        </w:rPr>
        <w:t xml:space="preserve"> 乙方应遵守法律和有关技术标准的强制性规定，完成合同约定范围内具体</w:t>
      </w:r>
      <w:r>
        <w:rPr>
          <w:rFonts w:hint="eastAsia" w:ascii="宋体" w:hAnsi="宋体" w:eastAsia="宋体" w:cs="宋体"/>
          <w:color w:val="auto"/>
          <w:szCs w:val="21"/>
          <w:highlight w:val="none"/>
          <w:lang w:eastAsia="zh-CN"/>
        </w:rPr>
        <w:t>内容，</w:t>
      </w:r>
      <w:r>
        <w:rPr>
          <w:rFonts w:ascii="宋体" w:hAnsi="宋体" w:cs="宋体"/>
          <w:bCs/>
          <w:color w:val="auto"/>
          <w:szCs w:val="21"/>
          <w:highlight w:val="none"/>
        </w:rPr>
        <w:t>设计咨询服务具体内容与工作开始时间由采购人视项目具体情况另行明确；具体实施项目以采购人的职能部门下发的任务委托书为准</w:t>
      </w:r>
      <w:r>
        <w:rPr>
          <w:rFonts w:hint="eastAsia" w:ascii="宋体" w:hAnsi="宋体" w:cs="宋体"/>
          <w:bCs/>
          <w:color w:val="auto"/>
          <w:szCs w:val="21"/>
          <w:highlight w:val="none"/>
          <w:lang w:eastAsia="zh-CN"/>
        </w:rPr>
        <w:t>。包括但不限于：（1）编制和评估项目建议书、编制和评估可行性研究报告，以及其他与建设项目前期工作有关的咨询服务。（2）根据采购人的委托，提供编制本校零星修缮建设项目方案设计文件、初步设计文件、设计概算、施工图设计文件（包含平面图及效果图）、施工图预算文件、竣工图文件（包括：建筑、结构、装饰装修、暖通、水电、消防、智能化等专业的施工图纸、竣工图纸设计）。（3）相应提供设计技术交底、解决施工中的设计技术问题、参加试车考核和竣工验收等服务。（4）涉及安全、结构变动消防等施工内容，还须出具设计变更文件。（5）其他与项目相关的要求</w:t>
      </w:r>
      <w:r>
        <w:rPr>
          <w:rFonts w:hint="eastAsia" w:ascii="宋体" w:hAnsi="宋体" w:cs="宋体"/>
          <w:color w:val="auto"/>
          <w:kern w:val="0"/>
          <w:szCs w:val="21"/>
          <w:highlight w:val="none"/>
        </w:rPr>
        <w:t>。</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应配合甲方办理有关许可、核准或备案手续的，因乙方原因造成甲方未能及时办理许可、核准或备案手续，导致设计工作量增加和（或）设计周期延长时，由乙方自行承担由此增加的设计费用和（或）设计周期延长的责任。</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2.2.2 乙方应当完成工程设计其他服务。</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2.2.3 乙方其他义务： （1）乙方应按国家规定的有关技术规范、标准进行设计，按甲方要求的内容、时间及份数向甲方交付设计文件（出现顺延情况的除外），并对提交的设计文件的质量负责。</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（2）设计合理使用年限为 按当前国家规范规定的使用年限。</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乙方对设计文件出现的遗漏或错误负责修改或补充。由于乙方设计错误造成工程质量事故损失的，乙方除负责采取补救措施外，应免收受损失部分的设计费，损失严重的按照甲方的实际损失予以足额赔偿（甲方的实际损失包括但不限于经济损失，为维权而支付的诉讼费、诉讼财产保全保险费、鉴定评估费、律师代理费等，以下均同）。</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乙方交付设计文件后，按规定参加有关上级部门的设计审查，并根据审查结论负责不超出原定范围的内容做必要调整补充。具体工程项目开工后，乙方负责向甲方及施工单位进行设计交底、处理有关设计问题和参加基槽结构竣工等验收。</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（7）除甲方要求外，乙方不得随意修改或变更经主管部门审批后的设计文件；擅自修改或变更设计文件造成甲方损失的一概由乙方负责赔偿，赔偿金按工程实际损失的金额支付给甲方。</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（8）设计文件中选用的国家标准图、部标准图及地方标准图由乙方自行负责解决。</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（9）严格执行国家制订的规范和地方法规，贯彻设计终身责任制的质量要求。</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（10）积极与甲方进行沟通。</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（11）施工图审查阶段派出专人配合甲方工作，及时解决问题，对设计文件进行修改、补充。</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（12）参与组织工程设计图纸技术交底及图纸会审活动，答复有关技术问题，对设计图纸文件出现的遗漏或错误负责修改或补充。</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（13）派出常驻现场的设计代表，以增强现场服务、处理问题和协调沟通的及时性。</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（14）乙方必须配合甲方委托第三方对</w:t>
      </w:r>
      <w:r>
        <w:rPr>
          <w:rFonts w:hint="eastAsia" w:ascii="宋体" w:hAnsi="宋体" w:cs="宋体"/>
          <w:color w:val="auto"/>
          <w:szCs w:val="21"/>
          <w:highlight w:val="none"/>
        </w:rPr>
        <w:t>具体工程项目</w:t>
      </w:r>
      <w:r>
        <w:rPr>
          <w:rFonts w:hint="eastAsia" w:ascii="宋体" w:hAnsi="宋体" w:cs="宋体"/>
          <w:color w:val="auto"/>
          <w:kern w:val="0"/>
          <w:szCs w:val="21"/>
          <w:highlight w:val="none"/>
        </w:rPr>
        <w:t>进行的设计优化并完善相关设计调整变更等事项。</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（15）所有设计变更要求附上相应预算。</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（16）乙方解除合同或甲方因乙方原因解除合同时，如已交付的相应阶段的设计成果无法采用或不予采用的，乙方还应退回已收取的相应阶段设计费用。</w:t>
      </w:r>
    </w:p>
    <w:p>
      <w:pPr>
        <w:pStyle w:val="6"/>
        <w:spacing w:before="120" w:after="120" w:line="360" w:lineRule="auto"/>
        <w:ind w:firstLine="420" w:firstLineChars="200"/>
        <w:rPr>
          <w:rFonts w:hint="eastAsia" w:ascii="宋体" w:hAnsi="宋体" w:cs="宋体"/>
          <w:b w:val="0"/>
          <w:color w:val="auto"/>
          <w:sz w:val="21"/>
          <w:szCs w:val="21"/>
          <w:highlight w:val="none"/>
        </w:rPr>
      </w:pPr>
      <w:bookmarkStart w:id="423" w:name="_Toc296503047"/>
      <w:bookmarkStart w:id="424" w:name="_Toc337558748"/>
      <w:bookmarkStart w:id="425" w:name="_Toc296346548"/>
      <w:r>
        <w:rPr>
          <w:rFonts w:hint="eastAsia" w:ascii="宋体" w:hAnsi="宋体" w:cs="宋体"/>
          <w:b w:val="0"/>
          <w:color w:val="auto"/>
          <w:sz w:val="21"/>
          <w:szCs w:val="21"/>
          <w:highlight w:val="none"/>
        </w:rPr>
        <w:t>2.3项目负责人</w:t>
      </w:r>
    </w:p>
    <w:bookmarkEnd w:id="423"/>
    <w:bookmarkEnd w:id="424"/>
    <w:bookmarkEnd w:id="425"/>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2.3.1 项目负责人应为乙方根据投标文件所确认的人选，并明确项目负责人的姓名、执业资格及等级、注册执业证书编号、联系方式及授权范围等事项，项目负责人经乙方授权后代表乙方负责履行合同。</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2.3.2 乙方更换项目负责人的，应提前</w:t>
      </w:r>
      <w:r>
        <w:rPr>
          <w:rFonts w:hint="eastAsia" w:ascii="宋体" w:hAnsi="宋体"/>
          <w:color w:val="auto"/>
          <w:highlight w:val="none"/>
          <w:u w:val="single"/>
        </w:rPr>
        <w:t xml:space="preserve"> 7  </w:t>
      </w:r>
      <w:r>
        <w:rPr>
          <w:rFonts w:hint="eastAsia" w:ascii="宋体" w:hAnsi="宋体"/>
          <w:color w:val="auto"/>
          <w:highlight w:val="none"/>
        </w:rPr>
        <w:t>天书面通知甲方，并取得甲方书面同意后方可更换。</w:t>
      </w:r>
    </w:p>
    <w:p>
      <w:pPr>
        <w:pStyle w:val="56"/>
        <w:spacing w:line="360" w:lineRule="auto"/>
        <w:rPr>
          <w:rFonts w:hint="eastAsia" w:ascii="宋体" w:hAnsi="宋体"/>
          <w:color w:val="auto"/>
          <w:highlight w:val="none"/>
        </w:rPr>
      </w:pPr>
      <w:r>
        <w:rPr>
          <w:rFonts w:hint="eastAsia" w:ascii="宋体" w:hAnsi="宋体"/>
          <w:color w:val="auto"/>
          <w:highlight w:val="none"/>
        </w:rPr>
        <w:t>乙方擅自更换项目负责人的违约责任：</w:t>
      </w:r>
      <w:r>
        <w:rPr>
          <w:rFonts w:hint="eastAsia" w:ascii="宋体" w:hAnsi="宋体"/>
          <w:color w:val="auto"/>
          <w:highlight w:val="none"/>
          <w:u w:val="single"/>
        </w:rPr>
        <w:t xml:space="preserve"> 未经甲方书面同意，乙方擅自更换项目负责人的视为违约，违约金处50000 元/人•次（人民币）及扣除履约保证金50%（如采用履约保函等形式的，则为兑现保函等额度的50%，下同） </w:t>
      </w:r>
      <w:r>
        <w:rPr>
          <w:rFonts w:hint="eastAsia" w:ascii="宋体" w:hAnsi="宋体"/>
          <w:color w:val="auto"/>
          <w:highlight w:val="none"/>
        </w:rPr>
        <w:t>。</w:t>
      </w:r>
    </w:p>
    <w:p>
      <w:pPr>
        <w:pStyle w:val="56"/>
        <w:spacing w:line="360" w:lineRule="auto"/>
        <w:rPr>
          <w:rFonts w:hint="eastAsia" w:ascii="宋体" w:hAnsi="宋体"/>
          <w:color w:val="auto"/>
          <w:highlight w:val="none"/>
        </w:rPr>
      </w:pPr>
      <w:r>
        <w:rPr>
          <w:rFonts w:hint="eastAsia" w:ascii="宋体" w:hAnsi="宋体"/>
          <w:color w:val="auto"/>
          <w:highlight w:val="none"/>
        </w:rPr>
        <w:t xml:space="preserve">    2.3.3甲方认为项目负责人不称职，无法胜任本项目负责人职位的，有权向乙方发出更换项目负责人的书面通知，乙方应在收到书面更换通知后</w:t>
      </w:r>
      <w:r>
        <w:rPr>
          <w:rFonts w:hint="eastAsia" w:ascii="宋体" w:hAnsi="宋体"/>
          <w:color w:val="auto"/>
          <w:highlight w:val="none"/>
          <w:u w:val="single"/>
        </w:rPr>
        <w:t xml:space="preserve">  7 </w:t>
      </w:r>
      <w:r>
        <w:rPr>
          <w:rFonts w:hint="eastAsia" w:ascii="宋体" w:hAnsi="宋体"/>
          <w:color w:val="auto"/>
          <w:highlight w:val="none"/>
        </w:rPr>
        <w:t>天内更换项目负责人，且更换后项目负责人资格不低于更换前的资格。</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乙方无正当理由拒绝更换项目负责人的违约责任：</w:t>
      </w:r>
      <w:r>
        <w:rPr>
          <w:rFonts w:hint="eastAsia" w:ascii="宋体" w:hAnsi="宋体" w:cs="宋体"/>
          <w:color w:val="auto"/>
          <w:szCs w:val="21"/>
          <w:highlight w:val="none"/>
          <w:u w:val="single"/>
        </w:rPr>
        <w:t xml:space="preserve"> 合同终止，给甲方造成损失的按实际损失赔偿</w:t>
      </w:r>
      <w:r>
        <w:rPr>
          <w:rFonts w:hint="eastAsia" w:ascii="宋体" w:hAnsi="宋体" w:cs="宋体"/>
          <w:color w:val="auto"/>
          <w:szCs w:val="21"/>
          <w:highlight w:val="none"/>
        </w:rPr>
        <w:t>。</w:t>
      </w:r>
    </w:p>
    <w:p>
      <w:pPr>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第三条 设计分包及履约担保</w:t>
      </w:r>
    </w:p>
    <w:p>
      <w:pPr>
        <w:pStyle w:val="6"/>
        <w:spacing w:before="120" w:after="120" w:line="360" w:lineRule="auto"/>
        <w:ind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3.1 设计分包</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3.1.1 设计分包的一般约定</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乙方不得将其承包的全部工程设计转包给第三人，或将其承包的全部工程设计肢解后以分包的名义转包给第三人。</w:t>
      </w:r>
    </w:p>
    <w:p>
      <w:pPr>
        <w:pStyle w:val="6"/>
        <w:spacing w:before="120" w:after="120" w:line="360" w:lineRule="auto"/>
        <w:ind w:firstLine="42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3.2 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乙方是否提供履约担保：乙方在收到中标通知书后，须在 10 日内向甲方提交履约担保。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乙方提供履约担保的形式、金额、期限及退回：</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形式：</w:t>
      </w:r>
      <w:r>
        <w:rPr>
          <w:rFonts w:hint="eastAsia" w:ascii="宋体" w:hAnsi="宋体"/>
          <w:color w:val="auto"/>
          <w:highlight w:val="none"/>
          <w:u w:val="single"/>
        </w:rPr>
        <w:t xml:space="preserve">  </w:t>
      </w:r>
      <w:r>
        <w:rPr>
          <w:rFonts w:hint="eastAsia" w:ascii="宋体" w:hAnsi="宋体"/>
          <w:color w:val="auto"/>
          <w:highlight w:val="none"/>
          <w:u w:val="single"/>
          <w:lang w:val="zh-CN" w:bidi="zh-CN"/>
        </w:rPr>
        <w:t>银行转账、支票、汇票、本票等</w:t>
      </w:r>
      <w:r>
        <w:rPr>
          <w:rFonts w:hint="eastAsia" w:ascii="宋体" w:hAnsi="宋体"/>
          <w:color w:val="auto"/>
          <w:highlight w:val="none"/>
          <w:u w:val="single"/>
        </w:rPr>
        <w:t xml:space="preserve"> </w:t>
      </w:r>
      <w:r>
        <w:rPr>
          <w:rFonts w:hint="eastAsia" w:ascii="宋体" w:hAnsi="宋体"/>
          <w:color w:val="auto"/>
          <w:highlight w:val="none"/>
        </w:rPr>
        <w:t>。</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金额：</w:t>
      </w:r>
      <w:r>
        <w:rPr>
          <w:rFonts w:hint="eastAsia" w:ascii="宋体" w:hAnsi="宋体"/>
          <w:color w:val="auto"/>
          <w:highlight w:val="none"/>
          <w:u w:val="single"/>
        </w:rPr>
        <w:t>履约担保金额为招标文件中规定的对应分标预算金额的</w:t>
      </w:r>
      <w:r>
        <w:rPr>
          <w:rFonts w:ascii="宋体" w:hAnsi="宋体"/>
          <w:color w:val="auto"/>
          <w:highlight w:val="none"/>
          <w:u w:val="single"/>
        </w:rPr>
        <w:t>2%。</w:t>
      </w:r>
      <w:r>
        <w:rPr>
          <w:rFonts w:hint="eastAsia" w:ascii="宋体" w:hAnsi="宋体"/>
          <w:color w:val="auto"/>
          <w:highlight w:val="none"/>
        </w:rPr>
        <w:t>。</w:t>
      </w:r>
    </w:p>
    <w:p>
      <w:pPr>
        <w:widowControl/>
        <w:spacing w:line="360" w:lineRule="auto"/>
        <w:ind w:firstLine="420" w:firstLineChars="200"/>
        <w:jc w:val="left"/>
        <w:rPr>
          <w:rFonts w:hint="eastAsia" w:ascii="宋体" w:hAnsi="宋体" w:cs="宋体"/>
          <w:color w:val="auto"/>
          <w:szCs w:val="21"/>
          <w:highlight w:val="none"/>
          <w:u w:val="single"/>
          <w:lang w:bidi="zh-CN"/>
        </w:rPr>
      </w:pPr>
      <w:r>
        <w:rPr>
          <w:rFonts w:hint="eastAsia" w:ascii="宋体" w:hAnsi="宋体" w:cs="宋体"/>
          <w:color w:val="auto"/>
          <w:szCs w:val="21"/>
          <w:highlight w:val="none"/>
          <w:u w:val="single"/>
          <w:lang w:val="zh-CN" w:bidi="zh-CN"/>
        </w:rPr>
        <w:t>履约保证金退还时间：合同期满且</w:t>
      </w:r>
      <w:r>
        <w:rPr>
          <w:rFonts w:hint="eastAsia" w:ascii="宋体" w:hAnsi="宋体" w:cs="宋体"/>
          <w:color w:val="auto"/>
          <w:szCs w:val="21"/>
          <w:highlight w:val="none"/>
          <w:u w:val="single"/>
          <w:lang w:bidi="zh-CN"/>
        </w:rPr>
        <w:t>乙方</w:t>
      </w:r>
      <w:r>
        <w:rPr>
          <w:rFonts w:hint="eastAsia" w:ascii="宋体" w:hAnsi="宋体" w:cs="宋体"/>
          <w:color w:val="auto"/>
          <w:szCs w:val="21"/>
          <w:highlight w:val="none"/>
          <w:u w:val="single"/>
          <w:lang w:val="zh-CN" w:bidi="zh-CN"/>
        </w:rPr>
        <w:t>在服务期间无违约情况下；履约保证金由</w:t>
      </w:r>
      <w:r>
        <w:rPr>
          <w:rFonts w:hint="eastAsia" w:ascii="宋体" w:hAnsi="宋体" w:cs="宋体"/>
          <w:color w:val="auto"/>
          <w:szCs w:val="21"/>
          <w:highlight w:val="none"/>
          <w:u w:val="single"/>
          <w:lang w:bidi="zh-CN"/>
        </w:rPr>
        <w:t>甲方</w:t>
      </w:r>
      <w:r>
        <w:rPr>
          <w:rFonts w:hint="eastAsia" w:ascii="宋体" w:hAnsi="宋体" w:cs="宋体"/>
          <w:color w:val="auto"/>
          <w:szCs w:val="21"/>
          <w:highlight w:val="none"/>
          <w:u w:val="single"/>
          <w:lang w:val="zh-CN" w:bidi="zh-CN"/>
        </w:rPr>
        <w:t>一次性退回成交供应商指定银行账户。如</w:t>
      </w:r>
      <w:r>
        <w:rPr>
          <w:rFonts w:hint="eastAsia" w:ascii="宋体" w:hAnsi="宋体" w:cs="宋体"/>
          <w:color w:val="auto"/>
          <w:szCs w:val="21"/>
          <w:highlight w:val="none"/>
          <w:u w:val="single"/>
          <w:lang w:bidi="zh-CN"/>
        </w:rPr>
        <w:t>乙方</w:t>
      </w:r>
      <w:r>
        <w:rPr>
          <w:rFonts w:hint="eastAsia" w:ascii="宋体" w:hAnsi="宋体" w:cs="宋体"/>
          <w:color w:val="auto"/>
          <w:szCs w:val="21"/>
          <w:highlight w:val="none"/>
          <w:u w:val="single"/>
          <w:lang w:val="zh-CN" w:bidi="zh-CN"/>
        </w:rPr>
        <w:t>不按双方签订的合同规定履约的，则扣除相应的罚金后剩余部分一次性退回</w:t>
      </w:r>
      <w:r>
        <w:rPr>
          <w:rFonts w:hint="eastAsia" w:ascii="宋体" w:hAnsi="宋体" w:cs="宋体"/>
          <w:color w:val="auto"/>
          <w:szCs w:val="21"/>
          <w:highlight w:val="none"/>
          <w:u w:val="single"/>
          <w:lang w:bidi="zh-CN"/>
        </w:rPr>
        <w:t>乙方</w:t>
      </w:r>
      <w:r>
        <w:rPr>
          <w:rFonts w:hint="eastAsia" w:ascii="宋体" w:hAnsi="宋体" w:cs="宋体"/>
          <w:color w:val="auto"/>
          <w:szCs w:val="21"/>
          <w:highlight w:val="none"/>
          <w:u w:val="single"/>
          <w:lang w:val="zh-CN" w:bidi="zh-CN"/>
        </w:rPr>
        <w:t>指定银行账户。</w:t>
      </w:r>
    </w:p>
    <w:p>
      <w:pPr>
        <w:spacing w:line="360" w:lineRule="auto"/>
        <w:ind w:firstLine="420" w:firstLineChars="200"/>
        <w:jc w:val="left"/>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履约保证金指定账户：</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户名：</w:t>
      </w:r>
      <w:r>
        <w:rPr>
          <w:rFonts w:hint="eastAsia" w:ascii="宋体" w:hAnsi="宋体" w:cs="宋体"/>
          <w:color w:val="auto"/>
          <w:szCs w:val="21"/>
          <w:highlight w:val="none"/>
          <w:u w:val="single"/>
          <w:lang w:val="zh-CN" w:bidi="zh-CN"/>
        </w:rPr>
        <w:t>广西医科大学</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账号：</w:t>
      </w:r>
      <w:r>
        <w:rPr>
          <w:rFonts w:hint="eastAsia" w:ascii="宋体" w:hAnsi="宋体" w:cs="宋体"/>
          <w:color w:val="auto"/>
          <w:szCs w:val="21"/>
          <w:highlight w:val="none"/>
          <w:u w:val="single"/>
          <w:lang w:val="zh-CN" w:bidi="zh-CN"/>
        </w:rPr>
        <w:t>622357485287</w:t>
      </w:r>
    </w:p>
    <w:p>
      <w:pPr>
        <w:spacing w:line="360" w:lineRule="auto"/>
        <w:ind w:firstLine="420" w:firstLineChars="200"/>
        <w:jc w:val="left"/>
        <w:rPr>
          <w:rFonts w:hint="eastAsia" w:ascii="宋体" w:hAnsi="宋体" w:cs="宋体"/>
          <w:color w:val="auto"/>
          <w:szCs w:val="21"/>
          <w:highlight w:val="none"/>
          <w:u w:val="single"/>
          <w:lang w:val="zh-CN" w:bidi="zh-CN"/>
        </w:rPr>
      </w:pPr>
      <w:r>
        <w:rPr>
          <w:rFonts w:hint="eastAsia" w:ascii="宋体" w:hAnsi="宋体" w:cs="宋体"/>
          <w:color w:val="auto"/>
          <w:szCs w:val="21"/>
          <w:highlight w:val="none"/>
          <w:lang w:val="zh-CN" w:bidi="zh-CN"/>
        </w:rPr>
        <w:t>开户银行：</w:t>
      </w:r>
      <w:r>
        <w:rPr>
          <w:rFonts w:hint="eastAsia" w:ascii="宋体" w:hAnsi="宋体" w:cs="宋体"/>
          <w:color w:val="auto"/>
          <w:szCs w:val="21"/>
          <w:highlight w:val="none"/>
          <w:u w:val="single"/>
          <w:lang w:val="zh-CN" w:bidi="zh-CN"/>
        </w:rPr>
        <w:t>中行南宁市医科大支行</w:t>
      </w:r>
    </w:p>
    <w:p>
      <w:pPr>
        <w:adjustRightIn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第四条 工程设计资料</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4.1 提供工程设计资料</w:t>
      </w:r>
    </w:p>
    <w:p>
      <w:pPr>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甲方应当在</w:t>
      </w:r>
      <w:r>
        <w:rPr>
          <w:rFonts w:hint="eastAsia" w:ascii="宋体" w:hAnsi="宋体" w:cs="宋体"/>
          <w:color w:val="auto"/>
          <w:szCs w:val="21"/>
          <w:highlight w:val="none"/>
        </w:rPr>
        <w:t>具体工程项目</w:t>
      </w:r>
      <w:r>
        <w:rPr>
          <w:rFonts w:hint="eastAsia" w:ascii="宋体" w:hAnsi="宋体" w:cs="宋体"/>
          <w:color w:val="auto"/>
          <w:kern w:val="0"/>
          <w:szCs w:val="21"/>
          <w:highlight w:val="none"/>
        </w:rPr>
        <w:t>设计前向乙方提供工程设计所必需的工程设计资料，并对所提供资料的真实性、准确性和完整性负责。</w:t>
      </w:r>
    </w:p>
    <w:p>
      <w:pPr>
        <w:pStyle w:val="5"/>
        <w:spacing w:before="120" w:after="120"/>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bCs w:val="0"/>
          <w:color w:val="auto"/>
          <w:szCs w:val="21"/>
          <w:highlight w:val="none"/>
        </w:rPr>
        <w:t>五条 工程设计要求及内容</w:t>
      </w:r>
    </w:p>
    <w:p>
      <w:pPr>
        <w:pStyle w:val="6"/>
        <w:keepNext w:val="0"/>
        <w:keepLines w:val="0"/>
        <w:spacing w:before="0" w:after="0" w:line="360" w:lineRule="auto"/>
        <w:ind w:firstLine="420" w:firstLineChars="200"/>
        <w:rPr>
          <w:rFonts w:hint="eastAsia" w:ascii="宋体" w:hAnsi="宋体" w:cs="宋体"/>
          <w:b w:val="0"/>
          <w:color w:val="auto"/>
          <w:kern w:val="0"/>
          <w:sz w:val="21"/>
          <w:szCs w:val="21"/>
          <w:highlight w:val="none"/>
        </w:rPr>
      </w:pPr>
      <w:r>
        <w:rPr>
          <w:rFonts w:hint="eastAsia" w:ascii="宋体" w:hAnsi="宋体" w:cs="宋体"/>
          <w:b w:val="0"/>
          <w:color w:val="auto"/>
          <w:sz w:val="21"/>
          <w:szCs w:val="21"/>
          <w:highlight w:val="none"/>
        </w:rPr>
        <w:t xml:space="preserve">5.1 </w:t>
      </w:r>
      <w:r>
        <w:rPr>
          <w:rFonts w:hint="eastAsia" w:ascii="宋体" w:hAnsi="宋体" w:cs="宋体"/>
          <w:b w:val="0"/>
          <w:color w:val="auto"/>
          <w:kern w:val="0"/>
          <w:sz w:val="21"/>
          <w:szCs w:val="21"/>
          <w:highlight w:val="none"/>
        </w:rPr>
        <w:t>乙方应当按法律和技术标准的强制性规定及甲方要求进行工程设计。</w:t>
      </w:r>
    </w:p>
    <w:p>
      <w:pPr>
        <w:spacing w:line="360" w:lineRule="auto"/>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乙方发现甲方提供的工程设计资料有问题的，乙方应当及时通知甲方并经甲方确认。</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5.2 </w:t>
      </w:r>
      <w:r>
        <w:rPr>
          <w:rFonts w:hint="eastAsia" w:ascii="宋体" w:hAnsi="宋体" w:cs="宋体"/>
          <w:color w:val="auto"/>
          <w:kern w:val="0"/>
          <w:szCs w:val="21"/>
          <w:highlight w:val="none"/>
        </w:rPr>
        <w:t>乙方的保证措施</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乙方应做好工程设计的质量与技术管理工作，建立健全工程设计质量保证体系，加强工程设计全过程的质量控制，建立完整的设计文件的设计、复核、审核、会签和批准制度，明确各阶段的责任人。</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 工程设计文件的要求</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5.3.1 工程设计文件的编制应符合法律、技术标准的强制性规定及甲方的要求。</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5.3.2 工程设计依据应完整、准确、可靠，设计方案论证充分，计算成果可靠，并能够实施。</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5.3.3 工程设计文件的深度应满足相应设计阶段的规定要求，并符合国家和行业现行有效的相关规定。</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5.3.4 工程设计文件必须保证工程质量和施工安全等方面的要求，按照有关法律法规规定在工程设计文件中提出保障施工作业人员安全和预防生产安全事故的措施建议。</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5.3.5 应根据法律、技术标准要求，保证房屋建筑工程的合理使用寿命年限，并应在工程设计文件中注明相应的合理使用寿命年限。</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5.4 不合格工程设计文件的处理</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5.4.1 因乙方原因造成工程设计文件不合格的，甲方有权要求乙方采取补救措施，直至达到符合要求的质量标准，并按第14.2款〔乙方违约责任〕的约定承担责任。 </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5.4.2 因甲方原因造成工程设计文件不合格的，乙方应当采取补救措施，直至达到符合要求的质</w:t>
      </w:r>
      <w:r>
        <w:rPr>
          <w:rFonts w:hint="eastAsia" w:ascii="宋体" w:hAnsi="宋体" w:eastAsia="宋体" w:cs="宋体"/>
          <w:color w:val="auto"/>
          <w:kern w:val="2"/>
          <w:sz w:val="21"/>
          <w:szCs w:val="21"/>
          <w:highlight w:val="none"/>
        </w:rPr>
        <w:t>量标准，由此增加的设计费用和（或）设计周期的延长由甲方承担。</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5.5工程设计内容：负责</w:t>
      </w:r>
      <w:r>
        <w:rPr>
          <w:rFonts w:hint="eastAsia" w:ascii="宋体" w:hAnsi="宋体" w:eastAsia="宋体" w:cs="宋体"/>
          <w:color w:val="auto"/>
          <w:kern w:val="2"/>
          <w:sz w:val="21"/>
          <w:szCs w:val="21"/>
          <w:highlight w:val="none"/>
          <w:u w:val="single"/>
          <w:lang w:eastAsia="zh-CN"/>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sz w:val="21"/>
          <w:szCs w:val="21"/>
          <w:highlight w:val="none"/>
        </w:rPr>
        <w:t>具体工程</w:t>
      </w:r>
      <w:r>
        <w:rPr>
          <w:rFonts w:hint="eastAsia" w:ascii="宋体" w:hAnsi="宋体" w:cs="宋体"/>
          <w:color w:val="auto"/>
          <w:sz w:val="21"/>
          <w:szCs w:val="21"/>
          <w:highlight w:val="none"/>
        </w:rPr>
        <w:t>项目</w:t>
      </w:r>
      <w:r>
        <w:rPr>
          <w:rFonts w:hint="eastAsia" w:ascii="宋体" w:hAnsi="宋体" w:eastAsia="宋体" w:cs="宋体"/>
          <w:color w:val="auto"/>
          <w:kern w:val="2"/>
          <w:sz w:val="21"/>
          <w:szCs w:val="21"/>
          <w:highlight w:val="none"/>
        </w:rPr>
        <w:t>提供施工全过程咨询及施工前期方案设计服务。</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（1）工程方案设计、图纸绘制（包含平面图及效果图）、具体工程项目的预算及清单编制；</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（2）工程各方案的比选；</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（3）参与工程设计、施工方案的优化；</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（4）参与工程主要材料选定的建议；</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（5）参与施工过程中设计变更、签证的审核，特别是设计安全、结构变动消防等施工内容的设计变更；</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（6）参与工程竣工验收；</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（7）配合甲方完成各专业设计的顾问工作、配合甲方完成施工全过程咨询工作；</w:t>
      </w:r>
    </w:p>
    <w:p>
      <w:pPr>
        <w:pStyle w:val="52"/>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（8）工程竣工验收后，收集整理各阶段设计相关资料，装订成册移交甲方存档。</w:t>
      </w:r>
    </w:p>
    <w:p>
      <w:pPr>
        <w:spacing w:line="360" w:lineRule="auto"/>
        <w:ind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5.6工程设计范围：依据甲方设计任务书，完成</w:t>
      </w:r>
      <w:r>
        <w:rPr>
          <w:rFonts w:hint="eastAsia" w:ascii="宋体" w:hAnsi="宋体" w:eastAsia="宋体" w:cs="宋体"/>
          <w:color w:val="auto"/>
          <w:sz w:val="21"/>
          <w:szCs w:val="21"/>
          <w:highlight w:val="none"/>
        </w:rPr>
        <w:t>具体工程</w:t>
      </w:r>
      <w:r>
        <w:rPr>
          <w:rFonts w:hint="eastAsia" w:ascii="宋体" w:hAnsi="宋体" w:cs="宋体"/>
          <w:color w:val="auto"/>
          <w:sz w:val="21"/>
          <w:szCs w:val="21"/>
          <w:highlight w:val="none"/>
        </w:rPr>
        <w:t>项目</w:t>
      </w:r>
      <w:r>
        <w:rPr>
          <w:rFonts w:hint="eastAsia" w:ascii="宋体" w:hAnsi="宋体" w:eastAsia="宋体" w:cs="宋体"/>
          <w:color w:val="auto"/>
          <w:kern w:val="2"/>
          <w:sz w:val="21"/>
          <w:szCs w:val="21"/>
          <w:highlight w:val="none"/>
        </w:rPr>
        <w:t>的施工图设计。具体设计包括（包含但不限于以下内容</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szCs w:val="21"/>
          <w:highlight w:val="none"/>
        </w:rPr>
        <w:t>（1）编制和评估项目建议书、编制和评估可行性研究报告，以及其他与建设项目前期工作有关的咨询服务。（2）根据采购人的委托，提供编制本校零星修缮建设项目方案设计文件、初步设计文件、设计概算、施工图设计文件（包含平面图及效果图）、施工图预算文件、竣工图文件（包括：建筑、结构、装饰装修、暖通、水电、消防、智能化等专业的施工图纸、竣工图纸设计）</w:t>
      </w:r>
      <w:r>
        <w:rPr>
          <w:rFonts w:hint="eastAsia" w:ascii="宋体" w:hAnsi="宋体" w:eastAsia="宋体" w:cs="宋体"/>
          <w:bCs/>
          <w:color w:val="auto"/>
          <w:kern w:val="2"/>
          <w:sz w:val="21"/>
          <w:szCs w:val="21"/>
          <w:highlight w:val="none"/>
        </w:rPr>
        <w:t>。</w:t>
      </w:r>
      <w:r>
        <w:rPr>
          <w:rFonts w:hint="eastAsia" w:ascii="宋体" w:hAnsi="宋体" w:eastAsia="宋体" w:cs="宋体"/>
          <w:color w:val="auto"/>
          <w:kern w:val="2"/>
          <w:sz w:val="21"/>
          <w:szCs w:val="21"/>
          <w:highlight w:val="none"/>
        </w:rPr>
        <w:t>施工期间提供设计咨询相关技术服务直至项目竣工验收合格（包括保修期间与设计有关的保修事项）。设计文件编制深度按《建筑工程设计文件编制深度（2016年版）》的要求执行。</w:t>
      </w:r>
    </w:p>
    <w:p>
      <w:pPr>
        <w:pStyle w:val="55"/>
        <w:snapToGrid w:val="0"/>
        <w:spacing w:before="120" w:after="120"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5.7工程设计服务阶段：施工图设计及施工配合两个阶段。</w:t>
      </w:r>
    </w:p>
    <w:p>
      <w:pPr>
        <w:spacing w:line="360" w:lineRule="auto"/>
        <w:ind w:firstLine="420" w:firstLineChars="200"/>
        <w:rPr>
          <w:color w:val="auto"/>
          <w:szCs w:val="21"/>
          <w:highlight w:val="none"/>
        </w:rPr>
      </w:pPr>
      <w:r>
        <w:rPr>
          <w:rFonts w:hint="eastAsia" w:ascii="宋体" w:hAnsi="宋体" w:cs="宋体"/>
          <w:color w:val="auto"/>
          <w:szCs w:val="21"/>
          <w:highlight w:val="none"/>
        </w:rPr>
        <w:t xml:space="preserve">5.8 </w:t>
      </w:r>
      <w:r>
        <w:rPr>
          <w:rFonts w:hint="eastAsia" w:ascii="宋体" w:hAnsi="宋体"/>
          <w:color w:val="auto"/>
          <w:szCs w:val="21"/>
          <w:highlight w:val="none"/>
        </w:rPr>
        <w:t>合同有效期：</w:t>
      </w:r>
      <w:r>
        <w:rPr>
          <w:rFonts w:hint="eastAsia" w:ascii="宋体" w:hAnsi="宋体" w:cs="宋体"/>
          <w:bCs/>
          <w:color w:val="auto"/>
          <w:szCs w:val="21"/>
          <w:highlight w:val="none"/>
        </w:rPr>
        <w:t>自本合同签订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合同有效期内，若甲方应向</w:t>
      </w:r>
      <w:r>
        <w:rPr>
          <w:rFonts w:hint="eastAsia"/>
          <w:color w:val="auto"/>
          <w:szCs w:val="21"/>
          <w:highlight w:val="none"/>
        </w:rPr>
        <w:t>乙方支付</w:t>
      </w:r>
      <w:r>
        <w:rPr>
          <w:rFonts w:hint="eastAsia" w:ascii="宋体" w:hAnsi="宋体" w:cs="宋体"/>
          <w:bCs/>
          <w:color w:val="auto"/>
          <w:szCs w:val="21"/>
          <w:highlight w:val="none"/>
        </w:rPr>
        <w:t>的</w:t>
      </w:r>
      <w:r>
        <w:rPr>
          <w:rFonts w:hint="eastAsia"/>
          <w:color w:val="auto"/>
          <w:szCs w:val="21"/>
          <w:highlight w:val="none"/>
        </w:rPr>
        <w:t>设计费费（含未达到支付条件的设计费）金额累计达到本合同第</w:t>
      </w:r>
      <w:r>
        <w:rPr>
          <w:color w:val="auto"/>
          <w:szCs w:val="21"/>
          <w:highlight w:val="none"/>
        </w:rPr>
        <w:t>10.1.1</w:t>
      </w:r>
      <w:r>
        <w:rPr>
          <w:rFonts w:hint="eastAsia"/>
          <w:color w:val="auto"/>
          <w:szCs w:val="21"/>
          <w:highlight w:val="none"/>
        </w:rPr>
        <w:t>项约定的预算金额的，本合同自动提前终止。</w:t>
      </w:r>
    </w:p>
    <w:p>
      <w:pPr>
        <w:spacing w:line="360" w:lineRule="auto"/>
        <w:ind w:firstLine="420" w:firstLineChars="200"/>
        <w:rPr>
          <w:rFonts w:hint="eastAsia" w:ascii="宋体" w:hAnsi="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w:t>
      </w:r>
      <w:r>
        <w:rPr>
          <w:rFonts w:ascii="宋体" w:hAnsi="宋体" w:cs="宋体"/>
          <w:bCs/>
          <w:color w:val="auto"/>
          <w:szCs w:val="21"/>
          <w:highlight w:val="none"/>
        </w:rPr>
        <w:t>合同</w:t>
      </w:r>
      <w:r>
        <w:rPr>
          <w:rFonts w:hint="eastAsia" w:ascii="宋体" w:hAnsi="宋体" w:cs="宋体"/>
          <w:bCs/>
          <w:color w:val="auto"/>
          <w:szCs w:val="21"/>
          <w:highlight w:val="none"/>
        </w:rPr>
        <w:t>终止</w:t>
      </w:r>
      <w:r>
        <w:rPr>
          <w:rFonts w:ascii="宋体" w:hAnsi="宋体" w:cs="宋体"/>
          <w:bCs/>
          <w:color w:val="auto"/>
          <w:szCs w:val="21"/>
          <w:highlight w:val="none"/>
        </w:rPr>
        <w:t>之日</w:t>
      </w:r>
      <w:r>
        <w:rPr>
          <w:rFonts w:hint="eastAsia" w:ascii="宋体" w:hAnsi="宋体" w:cs="宋体"/>
          <w:bCs/>
          <w:color w:val="auto"/>
          <w:szCs w:val="21"/>
          <w:highlight w:val="none"/>
        </w:rPr>
        <w:t>（含到期终止与提前终止）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color w:val="auto"/>
          <w:szCs w:val="21"/>
          <w:highlight w:val="none"/>
        </w:rPr>
        <w:t>乙方</w:t>
      </w:r>
      <w:r>
        <w:rPr>
          <w:rFonts w:ascii="宋体" w:hAnsi="宋体" w:cs="宋体"/>
          <w:bCs/>
          <w:color w:val="auto"/>
          <w:szCs w:val="21"/>
          <w:highlight w:val="none"/>
        </w:rPr>
        <w:t>在该项目委托书约定的服务期限内</w:t>
      </w:r>
      <w:r>
        <w:rPr>
          <w:rFonts w:hint="eastAsia" w:ascii="宋体" w:hAnsi="宋体" w:cs="宋体"/>
          <w:bCs/>
          <w:color w:val="auto"/>
          <w:szCs w:val="21"/>
          <w:highlight w:val="none"/>
        </w:rPr>
        <w:t>应继续提供设计服务直至</w:t>
      </w:r>
      <w:r>
        <w:rPr>
          <w:rFonts w:hint="eastAsia" w:ascii="宋体" w:hAnsi="宋体" w:cs="宋体"/>
          <w:color w:val="auto"/>
          <w:szCs w:val="21"/>
          <w:highlight w:val="none"/>
        </w:rPr>
        <w:t>完成设计服务工作并出具成果文件/</w:t>
      </w:r>
      <w:r>
        <w:rPr>
          <w:rFonts w:hint="eastAsia" w:ascii="宋体" w:hAnsi="宋体" w:cs="宋体"/>
          <w:bCs/>
          <w:color w:val="auto"/>
          <w:szCs w:val="21"/>
          <w:highlight w:val="none"/>
        </w:rPr>
        <w:t>该项目验收合格（具体根据乙方在该项目中提供的设计服务种类确定）</w:t>
      </w:r>
      <w:r>
        <w:rPr>
          <w:rFonts w:hint="eastAsia" w:ascii="宋体" w:hAnsi="宋体"/>
          <w:color w:val="auto"/>
          <w:szCs w:val="21"/>
          <w:highlight w:val="none"/>
        </w:rPr>
        <w:t>。</w:t>
      </w:r>
    </w:p>
    <w:p>
      <w:pPr>
        <w:pStyle w:val="52"/>
        <w:spacing w:line="360" w:lineRule="auto"/>
        <w:ind w:firstLine="420" w:firstLineChars="200"/>
        <w:rPr>
          <w:rFonts w:hint="eastAsia" w:ascii="宋体" w:hAnsi="宋体" w:eastAsia="宋体" w:cs="宋体"/>
          <w:color w:val="auto"/>
          <w:kern w:val="2"/>
          <w:sz w:val="21"/>
          <w:szCs w:val="21"/>
          <w:highlight w:val="none"/>
        </w:rPr>
      </w:pPr>
    </w:p>
    <w:p>
      <w:pPr>
        <w:pStyle w:val="52"/>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kern w:val="2"/>
          <w:sz w:val="21"/>
          <w:szCs w:val="21"/>
          <w:highlight w:val="none"/>
        </w:rPr>
        <w:t>六条 工程设计进度与周期</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6.1 工程设计进度计划</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6.1.1 工程设计进度计划的编制</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应甲方在发出设计任务5个日历天内提交工程设计进度计划，工程设计进度计划的编制应当符合法律规定和一般工程设计实践惯例，工程设计进度计划经甲方批准后实施。工程设计进度计划是控制工程设计进度的依据，甲方有权按照工程设计进度计划中列明的关键性控制节点检查工程设计进度情况。</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工程设计进度计划中的设计周期应由甲方与乙方协商确定，明确约定各阶段设计任务的完成时间区间，</w:t>
      </w:r>
      <w:r>
        <w:rPr>
          <w:rFonts w:hint="eastAsia" w:ascii="宋体" w:hAnsi="宋体" w:cs="宋体"/>
          <w:color w:val="auto"/>
          <w:szCs w:val="21"/>
          <w:highlight w:val="none"/>
        </w:rPr>
        <w:t>包括各阶段设计过程中乙方与甲方的交流时间，但不包括相关政府部门对设计成果的审批时间及甲方的审查时间。</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6.2 工程设计开始</w:t>
      </w:r>
    </w:p>
    <w:p>
      <w:pPr>
        <w:adjustRightInd w:val="0"/>
        <w:spacing w:line="360" w:lineRule="auto"/>
        <w:ind w:firstLine="438" w:firstLineChars="20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应按照法律规定获得工程设计所需的许可。甲方发出的开始设计通知应符合法律规定，一般应在计划开始设计日期7天前向乙方发出开始工程设计工作通知，工程设计周期自开始设计通知中载明的开始设计的日期起算。</w:t>
      </w:r>
    </w:p>
    <w:p>
      <w:pPr>
        <w:autoSpaceDE w:val="0"/>
        <w:autoSpaceDN w:val="0"/>
        <w:adjustRightInd w:val="0"/>
        <w:spacing w:line="360" w:lineRule="auto"/>
        <w:ind w:firstLine="441" w:firstLineChars="21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乙方应当在收到甲方提供的工程设计资料后，开始工程设计工作。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各设计阶段的开始时间均以乙方收到的甲方发出开始设计工作的书面通知书中载明的</w:t>
      </w:r>
      <w:r>
        <w:rPr>
          <w:rFonts w:hint="eastAsia" w:ascii="宋体" w:hAnsi="宋体" w:cs="宋体"/>
          <w:color w:val="auto"/>
          <w:kern w:val="0"/>
          <w:szCs w:val="21"/>
          <w:highlight w:val="none"/>
        </w:rPr>
        <w:t>开始设计的日期起算。</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6.3 工程设计进度延误</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6.3.1 </w:t>
      </w:r>
      <w:r>
        <w:rPr>
          <w:rFonts w:hint="eastAsia" w:ascii="宋体" w:hAnsi="宋体"/>
          <w:color w:val="auto"/>
          <w:kern w:val="0"/>
          <w:highlight w:val="none"/>
        </w:rPr>
        <w:t>因甲方原因导致工程设计进度延误</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因甲方原因导致工程设计进度延误的其他情形：</w:t>
      </w:r>
      <w:r>
        <w:rPr>
          <w:rFonts w:hint="eastAsia" w:ascii="宋体" w:hAnsi="宋体"/>
          <w:color w:val="auto"/>
          <w:highlight w:val="none"/>
          <w:u w:val="single"/>
        </w:rPr>
        <w:t xml:space="preserve"> 按照国家现行法律法规及规章制度执行 </w:t>
      </w:r>
      <w:r>
        <w:rPr>
          <w:rFonts w:hint="eastAsia" w:ascii="宋体" w:hAnsi="宋体"/>
          <w:color w:val="auto"/>
          <w:highlight w:val="none"/>
        </w:rPr>
        <w:t>。</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乙方应在发生</w:t>
      </w:r>
      <w:r>
        <w:rPr>
          <w:rFonts w:hint="eastAsia" w:ascii="宋体" w:hAnsi="宋体"/>
          <w:color w:val="auto"/>
          <w:kern w:val="0"/>
          <w:highlight w:val="none"/>
        </w:rPr>
        <w:t>进度延误的情形</w:t>
      </w:r>
      <w:r>
        <w:rPr>
          <w:rFonts w:hint="eastAsia" w:ascii="宋体" w:hAnsi="宋体"/>
          <w:color w:val="auto"/>
          <w:highlight w:val="none"/>
        </w:rPr>
        <w:t>后</w:t>
      </w:r>
      <w:r>
        <w:rPr>
          <w:rFonts w:hint="eastAsia" w:ascii="宋体" w:hAnsi="宋体"/>
          <w:color w:val="auto"/>
          <w:highlight w:val="none"/>
          <w:u w:val="single"/>
        </w:rPr>
        <w:t xml:space="preserve"> 7  </w:t>
      </w:r>
      <w:r>
        <w:rPr>
          <w:rFonts w:hint="eastAsia" w:ascii="宋体" w:hAnsi="宋体"/>
          <w:color w:val="auto"/>
          <w:highlight w:val="none"/>
        </w:rPr>
        <w:t>天内向甲方发出要求延期的书面通知，在发生该情形后</w:t>
      </w:r>
      <w:r>
        <w:rPr>
          <w:rFonts w:hint="eastAsia" w:ascii="宋体" w:hAnsi="宋体"/>
          <w:color w:val="auto"/>
          <w:highlight w:val="none"/>
          <w:u w:val="single"/>
        </w:rPr>
        <w:t xml:space="preserve"> 14  </w:t>
      </w:r>
      <w:r>
        <w:rPr>
          <w:rFonts w:hint="eastAsia" w:ascii="宋体" w:hAnsi="宋体"/>
          <w:color w:val="auto"/>
          <w:highlight w:val="none"/>
        </w:rPr>
        <w:t>天内提交要求延期的详细说明。</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甲方收到乙方要求延期的详细说明后，应在</w:t>
      </w:r>
      <w:r>
        <w:rPr>
          <w:rFonts w:hint="eastAsia" w:ascii="宋体" w:hAnsi="宋体"/>
          <w:color w:val="auto"/>
          <w:highlight w:val="none"/>
          <w:u w:val="single"/>
        </w:rPr>
        <w:t xml:space="preserve"> 7  </w:t>
      </w:r>
      <w:r>
        <w:rPr>
          <w:rFonts w:hint="eastAsia" w:ascii="宋体" w:hAnsi="宋体"/>
          <w:color w:val="auto"/>
          <w:highlight w:val="none"/>
        </w:rPr>
        <w:t>天内进行审查并书面答复。</w:t>
      </w:r>
    </w:p>
    <w:p>
      <w:pPr>
        <w:pStyle w:val="56"/>
        <w:spacing w:line="360" w:lineRule="auto"/>
        <w:ind w:firstLine="420" w:firstLineChars="200"/>
        <w:jc w:val="left"/>
        <w:rPr>
          <w:rFonts w:hint="eastAsia" w:ascii="宋体" w:hAnsi="宋体"/>
          <w:color w:val="auto"/>
          <w:kern w:val="0"/>
          <w:highlight w:val="none"/>
        </w:rPr>
      </w:pPr>
      <w:r>
        <w:rPr>
          <w:rFonts w:hint="eastAsia" w:ascii="宋体" w:hAnsi="宋体"/>
          <w:color w:val="auto"/>
          <w:highlight w:val="none"/>
        </w:rPr>
        <w:t>如因甲方原因导致工程设计进度延误的，设计期限予以顺延，甲方不承担违约责任，不另行支付任何赔偿金</w:t>
      </w:r>
      <w:r>
        <w:rPr>
          <w:rFonts w:hint="eastAsia" w:ascii="宋体" w:hAnsi="宋体"/>
          <w:color w:val="auto"/>
          <w:kern w:val="0"/>
          <w:highlight w:val="none"/>
        </w:rPr>
        <w:t>。</w:t>
      </w:r>
    </w:p>
    <w:p>
      <w:pPr>
        <w:pStyle w:val="5"/>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w:t>
      </w:r>
      <w:r>
        <w:rPr>
          <w:rFonts w:hint="eastAsia" w:ascii="宋体" w:hAnsi="宋体" w:cs="宋体"/>
          <w:bCs w:val="0"/>
          <w:color w:val="auto"/>
          <w:szCs w:val="21"/>
          <w:highlight w:val="none"/>
        </w:rPr>
        <w:t>七条 工程设计文件交付</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7.1 工程设计文件交付的内容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7.1.1 工程设计图纸及设计说明。</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7.1.2 甲方可以要求乙方提供</w:t>
      </w:r>
      <w:r>
        <w:rPr>
          <w:rFonts w:hint="eastAsia" w:ascii="宋体" w:hAnsi="宋体" w:cs="宋体"/>
          <w:color w:val="auto"/>
          <w:szCs w:val="21"/>
          <w:highlight w:val="none"/>
        </w:rPr>
        <w:t>具体工程项目</w:t>
      </w:r>
      <w:r>
        <w:rPr>
          <w:rFonts w:hint="eastAsia" w:ascii="宋体" w:hAnsi="宋体" w:cs="宋体"/>
          <w:color w:val="auto"/>
          <w:kern w:val="0"/>
          <w:szCs w:val="21"/>
          <w:highlight w:val="none"/>
        </w:rPr>
        <w:t>各阶段报批稿电子版（图纸为已解密的 CAD 版本）贰套。</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7.2 工程设计文件的交付方式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乙方交付工程设计文件给甲方，甲方应当出具书面签收单，内容包括图纸名称、图纸内容、图纸形式、份数、提交和签收日期、提交人与接收人的亲笔签名。</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7.3 工程设计文件交付的时间和份数</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7.3.1 项目造价为1万元以下项目，乙方须3天内出设计成果文件，六份；</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项目造价为1万元-5万元（不含5万元）项目，乙方须7天内出设计成果文件，六份 ；</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项目造价为5万元-100万元（不含100万元）项目，乙方须10天内出设计成果文件，六份；</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工程变更、签证、索赔等设计服务，乙方须3天内出成果文件，六份。</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7.3.2 乙方完成设计成果文件并通过相关部门审查，交付给甲方之日为设计阶段完成日。甲方签收设计文件后的7日内，甲方应出具设计阶段完成证明；如甲方未在约定的期限内出具证明，视为甲方认可该设计阶段完成的日期。</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工程竣工验收日为设计服务完成日。工程竣工验收后的7日内，甲方应出具设计服务完成证明。如甲方未在约定的期限内出具证明，视为甲方认可该设计服务阶段完成的日期。</w:t>
      </w:r>
    </w:p>
    <w:p>
      <w:pPr>
        <w:spacing w:line="360" w:lineRule="auto"/>
        <w:rPr>
          <w:rFonts w:hint="eastAsia" w:ascii="宋体" w:hAnsi="宋体" w:cs="宋体"/>
          <w:color w:val="auto"/>
          <w:kern w:val="0"/>
          <w:szCs w:val="21"/>
          <w:highlight w:val="none"/>
        </w:rPr>
      </w:pPr>
      <w:r>
        <w:rPr>
          <w:rFonts w:hint="eastAsia" w:ascii="宋体" w:hAnsi="宋体" w:cs="宋体"/>
          <w:b/>
          <w:color w:val="auto"/>
          <w:szCs w:val="21"/>
          <w:highlight w:val="none"/>
        </w:rPr>
        <w:t>第八条 工程设计文件审查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8.1 乙方的工程设计文件应报甲方审查同意。审查的范围和内容在甲方要求中约定。审查的具体标准应符合法律规定、技术标准要求。自甲方收到乙方的工程设计文件以及乙方的通知之日起，甲方对乙方的工程设计文件审查期不超过15天。甲方不同意工程设计文件的，应以书面形式通知乙方，并说明不符合要求的具体内容。乙方应根据甲方的书面说明，对工程设计文件进行修改后重新报送甲方审查，审查期重新起算。审查期满，甲方没有做出审查结论也没有提出异议的，视为乙方的工程设计文件已获甲方同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8.2 乙方的工程设计文件不需要政府有关部门审查或批准的，乙方应当严格按照经甲方审查同意的工程设计文件进行修改。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8.3 工程的设计文件需政府有关部门审查或批准的，甲方应在审查同意乙方的工程设计文件后在20天内，向政府有关部门报送工程设计文件。乙方应予以协助。</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8.4 工程设计审查形式及时间安排：工程设计审查由甲方组织，具体时间安排由甲方另行通知，相关费用由甲方支付，具体按政府有关部门要求执行。</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对于政府有关部门的审查意见，不需要修改甲方要求的，乙方需按该审查意见修改乙方的工程设计文件；需要修改甲方要求的，甲方应重新提出甲方要求，乙方应根据新提出的甲方要求修改乙方的工程设计文件，甲方应当根据第11条〔工程设计变更与索赔〕的约定，向乙方另行支付费用。</w:t>
      </w:r>
    </w:p>
    <w:p>
      <w:pPr>
        <w:pStyle w:val="5"/>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w:t>
      </w:r>
      <w:r>
        <w:rPr>
          <w:rFonts w:hint="eastAsia" w:ascii="宋体" w:hAnsi="宋体" w:cs="宋体"/>
          <w:bCs w:val="0"/>
          <w:color w:val="auto"/>
          <w:szCs w:val="21"/>
          <w:highlight w:val="none"/>
        </w:rPr>
        <w:t>九条 施工现场配合服务</w:t>
      </w:r>
    </w:p>
    <w:p>
      <w:pPr>
        <w:pStyle w:val="56"/>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9.1 乙方派赴现场的工作人员由乙方自行安排，相关费用已包含在设计费中，乙方投标报价时应考虑相关费用 。</w:t>
      </w:r>
    </w:p>
    <w:p>
      <w:pPr>
        <w:pStyle w:val="56"/>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9.2  乙方应当提供设计技术交底、解决施工中设计技术问题和竣工验收服务。乙方应当在交付施工图设计文件并经审查合格后至工程竣工验收时间内提供施工现场配合服务。</w:t>
      </w:r>
    </w:p>
    <w:p>
      <w:pPr>
        <w:pStyle w:val="5"/>
        <w:spacing w:before="120" w:after="120"/>
        <w:rPr>
          <w:rFonts w:hint="eastAsia" w:ascii="宋体" w:hAnsi="宋体" w:cs="宋体"/>
          <w:bCs w:val="0"/>
          <w:color w:val="auto"/>
          <w:szCs w:val="21"/>
          <w:highlight w:val="none"/>
        </w:rPr>
      </w:pPr>
      <w:r>
        <w:rPr>
          <w:rFonts w:hint="eastAsia" w:ascii="宋体" w:hAnsi="宋体" w:cs="宋体"/>
          <w:bCs w:val="0"/>
          <w:color w:val="auto"/>
          <w:szCs w:val="21"/>
          <w:highlight w:val="none"/>
        </w:rPr>
        <w:t>第十条 设计服务费结算价款与支付</w:t>
      </w:r>
    </w:p>
    <w:p>
      <w:pPr>
        <w:pStyle w:val="6"/>
        <w:keepNext w:val="0"/>
        <w:keepLines w:val="0"/>
        <w:autoSpaceDE w:val="0"/>
        <w:autoSpaceDN w:val="0"/>
        <w:spacing w:before="120" w:after="120" w:line="360" w:lineRule="auto"/>
        <w:ind w:firstLine="420" w:firstLineChars="200"/>
        <w:rPr>
          <w:rFonts w:hint="eastAsia" w:ascii="宋体" w:hAnsi="宋体" w:cs="宋体"/>
          <w:b w:val="0"/>
          <w:color w:val="auto"/>
          <w:kern w:val="0"/>
          <w:sz w:val="21"/>
          <w:szCs w:val="21"/>
          <w:highlight w:val="none"/>
        </w:rPr>
      </w:pPr>
      <w:r>
        <w:rPr>
          <w:rFonts w:hint="eastAsia" w:ascii="宋体" w:hAnsi="宋体" w:cs="宋体"/>
          <w:b w:val="0"/>
          <w:color w:val="auto"/>
          <w:sz w:val="21"/>
          <w:szCs w:val="21"/>
          <w:highlight w:val="none"/>
        </w:rPr>
        <w:t>10.1 价款组成</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 xml:space="preserve">10.1.1 </w:t>
      </w:r>
      <w:r>
        <w:rPr>
          <w:rFonts w:hint="eastAsia" w:ascii="宋体" w:hAnsi="宋体" w:cs="宋体"/>
          <w:color w:val="auto"/>
          <w:kern w:val="0"/>
          <w:szCs w:val="21"/>
          <w:highlight w:val="none"/>
        </w:rPr>
        <w:t>甲方在合同有效期内的设计服费务预算金额为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line="360" w:lineRule="auto"/>
        <w:ind w:firstLine="420" w:firstLineChars="200"/>
        <w:rPr>
          <w:rFonts w:hint="eastAsia" w:ascii="宋体" w:hAnsi="宋体"/>
          <w:color w:val="auto"/>
          <w:highlight w:val="none"/>
        </w:rPr>
      </w:pPr>
      <w:r>
        <w:rPr>
          <w:rFonts w:hint="eastAsia" w:ascii="宋体" w:hAnsi="宋体"/>
          <w:color w:val="auto"/>
          <w:kern w:val="0"/>
          <w:highlight w:val="none"/>
        </w:rPr>
        <w:t>10.1.2 价格优惠率：</w:t>
      </w:r>
      <w:r>
        <w:rPr>
          <w:rFonts w:hint="eastAsia" w:ascii="宋体" w:hAnsi="宋体"/>
          <w:color w:val="auto"/>
          <w:kern w:val="0"/>
          <w:highlight w:val="none"/>
          <w:u w:val="single"/>
        </w:rPr>
        <w:t xml:space="preserve">      </w:t>
      </w:r>
      <w:r>
        <w:rPr>
          <w:rFonts w:hint="eastAsia" w:ascii="宋体" w:hAnsi="宋体"/>
          <w:color w:val="auto"/>
          <w:kern w:val="0"/>
          <w:highlight w:val="none"/>
        </w:rPr>
        <w:t>，设计费以具体工程项目最终审定的工程预算控制价</w:t>
      </w:r>
      <w:r>
        <w:rPr>
          <w:rFonts w:hint="eastAsia" w:ascii="宋体" w:hAnsi="宋体"/>
          <w:color w:val="auto"/>
          <w:highlight w:val="none"/>
        </w:rPr>
        <w:t>（</w:t>
      </w:r>
      <w:r>
        <w:rPr>
          <w:rFonts w:hint="eastAsia" w:ascii="宋体" w:hAnsi="宋体"/>
          <w:color w:val="auto"/>
          <w:highlight w:val="none"/>
          <w:lang w:val="zh-CN" w:bidi="zh-CN"/>
        </w:rPr>
        <w:t>甲方委托有资质的造价咨询公司审定</w:t>
      </w:r>
      <w:r>
        <w:rPr>
          <w:rFonts w:hint="eastAsia" w:ascii="宋体" w:hAnsi="宋体"/>
          <w:color w:val="auto"/>
          <w:highlight w:val="none"/>
        </w:rPr>
        <w:t>）</w:t>
      </w:r>
      <w:r>
        <w:rPr>
          <w:rFonts w:hint="eastAsia" w:ascii="宋体" w:hAnsi="宋体"/>
          <w:color w:val="auto"/>
          <w:kern w:val="0"/>
          <w:highlight w:val="none"/>
        </w:rPr>
        <w:t>为计费基数。</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10.1.3  各个具体工程项目结算价：</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①分阶段提供设计服务的情况：</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建筑工程设计各阶段服务费比例表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030"/>
        <w:gridCol w:w="203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项目阶段</w:t>
            </w:r>
          </w:p>
        </w:tc>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方案设计</w:t>
            </w:r>
          </w:p>
        </w:tc>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初步设计</w:t>
            </w:r>
          </w:p>
        </w:tc>
        <w:tc>
          <w:tcPr>
            <w:tcW w:w="2031"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工作量比例</w:t>
            </w:r>
          </w:p>
        </w:tc>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15%</w:t>
            </w:r>
          </w:p>
        </w:tc>
        <w:tc>
          <w:tcPr>
            <w:tcW w:w="2030"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15%</w:t>
            </w:r>
          </w:p>
        </w:tc>
        <w:tc>
          <w:tcPr>
            <w:tcW w:w="2031" w:type="dxa"/>
          </w:tcPr>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70%</w:t>
            </w:r>
          </w:p>
        </w:tc>
      </w:tr>
    </w:tbl>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根据实际业务发生情况，按单个项目据实设计服务阶段比例计取设计服务费。</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lang w:eastAsia="zh-CN"/>
        </w:rPr>
        <w:t>分阶段提供设计服务的</w:t>
      </w:r>
      <w:r>
        <w:rPr>
          <w:rFonts w:hint="eastAsia" w:ascii="宋体" w:hAnsi="宋体" w:cs="宋体"/>
          <w:bCs/>
          <w:color w:val="auto"/>
          <w:spacing w:val="10"/>
          <w:kern w:val="0"/>
          <w:szCs w:val="21"/>
          <w:highlight w:val="none"/>
        </w:rPr>
        <w:t>设计费按具体工程项目最后完成设计阶段（方案设计、初步设计或施工设计）对应的工程费用为计费基数进行计算，即设计服务费结算价=各个具体工程项目按计费标准参照《广西壮族自治区工程建设其他费用定额》（桂建标〔2018〕37号）得出的设计费×（1-价格优惠率）×工作量比例。</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由甲方以银行转账的方式，在以下条件满足后的10个工作日内向乙方支付具体工程项目实际结算设计费的100%：</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a.乙方完成设计服务工作并出具成果文件，经甲方有关部门审查或备案合格；</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b.乙方开具了足额的发票。</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②全过程提供设计服务的情况：</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根据实际业务发生情况，按单个项目据实结算。</w:t>
      </w:r>
    </w:p>
    <w:p>
      <w:pPr>
        <w:spacing w:line="360" w:lineRule="auto"/>
        <w:ind w:firstLine="460" w:firstLineChars="200"/>
        <w:jc w:val="left"/>
        <w:rPr>
          <w:rFonts w:hint="eastAsia"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设计费按具体工程项目的最终审定的工程预算控制价（甲方委托有资质的造价咨询公司审定）为计费基数进行计算。</w:t>
      </w:r>
    </w:p>
    <w:p>
      <w:pPr>
        <w:spacing w:line="360" w:lineRule="auto"/>
        <w:ind w:firstLine="460" w:firstLineChars="200"/>
        <w:jc w:val="left"/>
        <w:rPr>
          <w:rFonts w:hint="eastAsia" w:ascii="宋体" w:hAnsi="宋体" w:cs="宋体"/>
          <w:color w:val="auto"/>
          <w:kern w:val="0"/>
          <w:szCs w:val="21"/>
          <w:highlight w:val="none"/>
        </w:rPr>
      </w:pPr>
      <w:r>
        <w:rPr>
          <w:rFonts w:hint="eastAsia" w:ascii="宋体" w:hAnsi="宋体" w:cs="宋体"/>
          <w:bCs/>
          <w:color w:val="auto"/>
          <w:spacing w:val="10"/>
          <w:kern w:val="0"/>
          <w:szCs w:val="21"/>
          <w:highlight w:val="none"/>
        </w:rPr>
        <w:t>即设计服务费结算价=各个具体工程项目按计费标准参照《广西壮族自治区工程建设其他费用定额》（桂建标〔2018〕37号）得出的设计费×（1-价格优惠率）。</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10.2 预付款：无。</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10.3 进度款支付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10.3.1 根据实际业务发生情况，按单个项目据实结算，单个项目进度款支付：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①分阶段提供设计服务的情况：乙方完成设计服务工作并出具成果文件，经甲方有关部门审查或备案合格，乙方开具了足额的发票后</w:t>
      </w:r>
      <w:r>
        <w:rPr>
          <w:rFonts w:ascii="宋体" w:hAnsi="宋体" w:cs="宋体"/>
          <w:color w:val="auto"/>
          <w:szCs w:val="21"/>
          <w:highlight w:val="none"/>
        </w:rPr>
        <w:t>10</w:t>
      </w:r>
      <w:r>
        <w:rPr>
          <w:rFonts w:hint="eastAsia" w:ascii="宋体" w:hAnsi="宋体" w:cs="宋体"/>
          <w:color w:val="auto"/>
          <w:szCs w:val="21"/>
          <w:highlight w:val="none"/>
        </w:rPr>
        <w:t>个工作日内向乙方支付具体工程项目实际结算设计费的100</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②全过程提供设计服务的情况：乙方完成设计服务工作并出具施工图成果文件，经甲方有关部门审查或备案合格，乙方开具了足额的发票后</w:t>
      </w:r>
      <w:r>
        <w:rPr>
          <w:rFonts w:ascii="宋体" w:hAnsi="宋体" w:cs="宋体"/>
          <w:color w:val="auto"/>
          <w:szCs w:val="21"/>
          <w:highlight w:val="none"/>
        </w:rPr>
        <w:t>10</w:t>
      </w:r>
      <w:r>
        <w:rPr>
          <w:rFonts w:hint="eastAsia" w:ascii="宋体" w:hAnsi="宋体" w:cs="宋体"/>
          <w:color w:val="auto"/>
          <w:szCs w:val="21"/>
          <w:highlight w:val="none"/>
        </w:rPr>
        <w:t>个工作日内向乙方支付具体工程项目实际结算设计费的</w:t>
      </w:r>
      <w:r>
        <w:rPr>
          <w:rFonts w:ascii="宋体" w:hAnsi="宋体" w:cs="宋体"/>
          <w:color w:val="auto"/>
          <w:szCs w:val="21"/>
          <w:highlight w:val="none"/>
        </w:rPr>
        <w:t>60%</w:t>
      </w:r>
      <w:r>
        <w:rPr>
          <w:rFonts w:hint="eastAsia" w:ascii="宋体" w:hAnsi="宋体" w:cs="宋体"/>
          <w:color w:val="auto"/>
          <w:szCs w:val="21"/>
          <w:highlight w:val="none"/>
        </w:rPr>
        <w:t>；工程竣工验收合格后，乙方开具了足额的发票后</w:t>
      </w:r>
      <w:r>
        <w:rPr>
          <w:rFonts w:ascii="宋体" w:hAnsi="宋体" w:cs="宋体"/>
          <w:color w:val="auto"/>
          <w:szCs w:val="21"/>
          <w:highlight w:val="none"/>
        </w:rPr>
        <w:t>10</w:t>
      </w:r>
      <w:r>
        <w:rPr>
          <w:rFonts w:hint="eastAsia" w:ascii="宋体" w:hAnsi="宋体" w:cs="宋体"/>
          <w:color w:val="auto"/>
          <w:szCs w:val="21"/>
          <w:highlight w:val="none"/>
        </w:rPr>
        <w:t>个工作日内，由甲方按程序向乙方付清具体工程项目实际结算设计费的余款。</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乙方需提供真实、有效、合法的正式发票，如提供虚假发票的，甲方有权解除合同，乙方除须向甲方补开合法发票外，还须向甲方支付与发票票面金额等额的违约金。</w:t>
      </w:r>
    </w:p>
    <w:p>
      <w:pPr>
        <w:pStyle w:val="5"/>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第十一条 工程设计变更与索赔</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 甲方变更工程设计的内容、规模、功能、条件等，应当向乙方提供书面要求，乙方在不违反法律规定以及技术标准强制性规定的前提下应当按照甲方要求变更工程设计。</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11.2 甲方变更工程设计的内容、规模、功能、条件或因提交的设计资料存在错误或作较大修改时，甲方应按乙方所耗工作量向乙方增付设计费，乙方可与甲方协商对合同价格和/或完工时间做可共同接受的修改。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11.3 </w:t>
      </w:r>
      <w:r>
        <w:rPr>
          <w:rFonts w:hint="eastAsia" w:ascii="宋体" w:hAnsi="宋体" w:cs="宋体"/>
          <w:color w:val="auto"/>
          <w:szCs w:val="21"/>
          <w:highlight w:val="none"/>
        </w:rPr>
        <w:t>如果由于甲方要求更改而造成的项目复杂性的变更或性质的变更使得乙方的设计工作减少，甲方</w:t>
      </w:r>
      <w:r>
        <w:rPr>
          <w:rFonts w:hint="eastAsia" w:ascii="宋体" w:hAnsi="宋体" w:cs="宋体"/>
          <w:color w:val="auto"/>
          <w:kern w:val="0"/>
          <w:szCs w:val="21"/>
          <w:highlight w:val="none"/>
        </w:rPr>
        <w:t>可与乙方协商对合同价格和/或完工时间做可共同接受的修改。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11.4 基准日期后，与工程设计服务有关的法律、技术标准的强制性规定的颁布及修改，由此增加的设计费用和（或）延长的设计周期由甲方承担。</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11.5 如果发生乙方认为有理由提出增加设计费或延长设计周期的要求事项，乙方应于该事项发生后5天内书面通知甲方。在该事项发生后10天内，乙方应向甲方提供证明乙方要求的书面声明，其中包括乙方关于因该事项引起的设计费和设计周期的变化的详细计算。甲方应在接到乙方书面声明后的5天内，予以书面答复。逾期未答复的，视为甲方同意乙方关于增加设计费或延长设计周期的要求。</w:t>
      </w:r>
    </w:p>
    <w:p>
      <w:pPr>
        <w:pStyle w:val="5"/>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w:t>
      </w:r>
      <w:r>
        <w:rPr>
          <w:rFonts w:hint="eastAsia" w:ascii="宋体" w:hAnsi="宋体" w:cs="宋体"/>
          <w:bCs w:val="0"/>
          <w:color w:val="auto"/>
          <w:szCs w:val="21"/>
          <w:highlight w:val="none"/>
        </w:rPr>
        <w:t>十</w:t>
      </w:r>
      <w:r>
        <w:rPr>
          <w:rFonts w:hint="eastAsia" w:ascii="宋体" w:hAnsi="宋体" w:cs="宋体"/>
          <w:color w:val="auto"/>
          <w:szCs w:val="21"/>
          <w:highlight w:val="none"/>
        </w:rPr>
        <w:t>二条 知识产权</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12.1 甲方提供给乙方的图纸、甲方为实施工程自行编制或委托编制的技术规格书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12.2 乙方为实施工程所编制的文件的著作权属于甲方，甲方可因实施工程的运行、调试、维修、改造等目的而复制、使用此类文件，但不能擅自修改或用于与合同无关的其他事项。</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12.3 合同当事人保证在履行合同过程中不侵犯对方及第三方的知识产权。乙方在工程设计时，因侵犯他人的专利权或其他知识产权所引起的责任，由乙方承担。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 乙方在合同签订前和签订时已确定采用的专利、专有技术的使用费应包含在签约合同价中。</w:t>
      </w:r>
    </w:p>
    <w:p>
      <w:pPr>
        <w:pStyle w:val="5"/>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w:t>
      </w:r>
      <w:r>
        <w:rPr>
          <w:rFonts w:hint="eastAsia" w:ascii="宋体" w:hAnsi="宋体" w:cs="宋体"/>
          <w:bCs w:val="0"/>
          <w:color w:val="auto"/>
          <w:szCs w:val="21"/>
          <w:highlight w:val="none"/>
        </w:rPr>
        <w:t>十三条 违约责任</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13.1 甲方违约责任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甲方在合同履行过程中有下列情形的，应承担相应违约责任：</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13.1.1 在具体工程设计期间，甲方因非乙方原因要求终止项目，乙方未开始设计工作的，不支付任何费用；已开始设计工作的，按实际完成的工作量结算设计费。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13.1.2 甲方未按期限向乙方支付设计费的。逾期超过15天时，乙方有权书面通知甲方中止设计工作。自中止设计工作之日起15天内甲方支付相应费用的，乙方应及时根据甲方要求恢复设计工作；自中止设计工作之日起超过15天后甲方支付相应费用的，乙方有权确定重新恢复设计工作的时间，且设计周期相应延长。</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13.1.3 甲方的上级或设计审批部门对设计文件不进行审批或工程停建、缓建，甲方应在事件发生之日起15天内按第15条</w:t>
      </w:r>
      <w:r>
        <w:rPr>
          <w:rFonts w:hint="eastAsia" w:ascii="宋体" w:hAnsi="宋体" w:cs="宋体"/>
          <w:color w:val="auto"/>
          <w:szCs w:val="21"/>
          <w:highlight w:val="none"/>
        </w:rPr>
        <w:t>〔合同解除〕</w:t>
      </w:r>
      <w:r>
        <w:rPr>
          <w:rFonts w:hint="eastAsia" w:ascii="宋体" w:hAnsi="宋体" w:cs="宋体"/>
          <w:color w:val="auto"/>
          <w:kern w:val="0"/>
          <w:szCs w:val="21"/>
          <w:highlight w:val="none"/>
        </w:rPr>
        <w:t>的期限约定，向乙方按实际完成的工作量结算设计费。</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13.1.4 甲方擅自将乙方的设计文件用于具体工程项目以外的其他工程或交第三方使用时，应承担相应法律责任，并应赔偿乙方因此遭受的损失。</w:t>
      </w:r>
    </w:p>
    <w:p>
      <w:pPr>
        <w:pStyle w:val="6"/>
        <w:keepNext w:val="0"/>
        <w:keepLines w:val="0"/>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13.2 乙方违约责任</w:t>
      </w:r>
    </w:p>
    <w:p>
      <w:pPr>
        <w:adjustRightInd w:val="0"/>
        <w:spacing w:line="360" w:lineRule="auto"/>
        <w:ind w:firstLine="420" w:firstLineChars="200"/>
        <w:rPr>
          <w:color w:val="auto"/>
          <w:highlight w:val="none"/>
        </w:rPr>
      </w:pPr>
      <w:r>
        <w:rPr>
          <w:rFonts w:hint="eastAsia" w:ascii="宋体" w:hAnsi="宋体" w:cs="宋体"/>
          <w:color w:val="auto"/>
          <w:szCs w:val="21"/>
          <w:highlight w:val="none"/>
        </w:rPr>
        <w:t>乙方在合同履行过程中有下列情形的，应承担相应违约责任：</w:t>
      </w:r>
    </w:p>
    <w:p>
      <w:pPr>
        <w:numPr>
          <w:ilvl w:val="255"/>
          <w:numId w:val="0"/>
        </w:num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13.2.1 由于乙方原因，乙方未按甲方要求时间交付设计资料及设计文件的，或不及时提供保修期间设计服务的，应向甲方支付误期赔偿费，每延误一天，应减收应收设计费的万分之五。逾期提交设计资料超过5天的，甲方有权扣除履约保证金50%；逾期超过10天的，甲方有权扣除履约保证金100%并解除该项工程委托。</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13.2.2 因乙方原因导致甲方解除项目委托的，乙方除返还已收费用外还应向甲方支付应收设计费20%的违约金，如违约金不足以弥补甲方损失的，乙方按实际损失额赔偿。</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13.2.3 乙方对设计资料及文件出现的遗漏或错误达3次以上，甲方有权扣除履约保证金30%；5次以上，甲方有权扣除履约保证金50%，10次以上有权扣除履约保证金100%，并负责修改或补充直到满足要求。由于乙方错误造成工程质量事故的，损失按国家现行质量事故评定标准进行赔偿，且除负责采取补救措施外，应免收直接受损失部分的设计费；并按甲方遭受的实际损失足额予以赔偿，甲方一次性扣除履约保证金100%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13.2.4乙方工程设计文件超出主要技术指标控制值比例的违约责任：</w:t>
      </w:r>
      <w:r>
        <w:rPr>
          <w:rFonts w:hint="eastAsia" w:ascii="宋体" w:hAnsi="宋体"/>
          <w:color w:val="auto"/>
          <w:highlight w:val="none"/>
          <w:u w:val="single"/>
        </w:rPr>
        <w:t>依据有关法律、法规给予处理；涉嫌犯罪的，移交司法机关追究刑事责任；甲方一次性扣除</w:t>
      </w:r>
      <w:r>
        <w:rPr>
          <w:rFonts w:hint="eastAsia" w:ascii="宋体" w:hAnsi="宋体"/>
          <w:color w:val="auto"/>
          <w:spacing w:val="2"/>
          <w:highlight w:val="none"/>
          <w:u w:val="single"/>
        </w:rPr>
        <w:t>履约保证金10</w:t>
      </w:r>
      <w:r>
        <w:rPr>
          <w:rFonts w:hint="eastAsia" w:ascii="宋体" w:hAnsi="宋体"/>
          <w:color w:val="auto"/>
          <w:highlight w:val="none"/>
          <w:u w:val="single"/>
        </w:rPr>
        <w:t>0%；给甲方单位造成经济损失的，应予以赔偿</w:t>
      </w:r>
      <w:r>
        <w:rPr>
          <w:rFonts w:hint="eastAsia" w:ascii="宋体" w:hAnsi="宋体"/>
          <w:color w:val="auto"/>
          <w:highlight w:val="none"/>
        </w:rPr>
        <w:t xml:space="preserve"> 。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13.2.5乙方未经甲方同意擅自对工程设计进行分包的违约责任：</w:t>
      </w:r>
      <w:r>
        <w:rPr>
          <w:rFonts w:hint="eastAsia" w:ascii="宋体" w:hAnsi="宋体"/>
          <w:color w:val="auto"/>
          <w:highlight w:val="none"/>
          <w:u w:val="single"/>
        </w:rPr>
        <w:t>扣除</w:t>
      </w:r>
      <w:r>
        <w:rPr>
          <w:rFonts w:hint="eastAsia" w:ascii="宋体" w:hAnsi="宋体"/>
          <w:color w:val="auto"/>
          <w:spacing w:val="2"/>
          <w:highlight w:val="none"/>
          <w:u w:val="single"/>
        </w:rPr>
        <w:t>履约保证金100%并</w:t>
      </w:r>
      <w:r>
        <w:rPr>
          <w:rFonts w:hint="eastAsia" w:ascii="宋体" w:hAnsi="宋体"/>
          <w:color w:val="auto"/>
          <w:highlight w:val="none"/>
          <w:u w:val="single"/>
        </w:rPr>
        <w:t>按</w:t>
      </w:r>
      <w:r>
        <w:rPr>
          <w:rFonts w:hint="eastAsia" w:ascii="宋体" w:hAnsi="宋体"/>
          <w:color w:val="auto"/>
          <w:kern w:val="0"/>
          <w:highlight w:val="none"/>
        </w:rPr>
        <w:t>应收设计费</w:t>
      </w:r>
      <w:r>
        <w:rPr>
          <w:rFonts w:hint="eastAsia" w:ascii="宋体" w:hAnsi="宋体"/>
          <w:color w:val="auto"/>
          <w:highlight w:val="none"/>
          <w:u w:val="single"/>
        </w:rPr>
        <w:t>的 10%支付违约金且甲方有权解除合同</w:t>
      </w:r>
      <w:r>
        <w:rPr>
          <w:rFonts w:hint="eastAsia" w:ascii="宋体" w:hAnsi="宋体"/>
          <w:color w:val="auto"/>
          <w:highlight w:val="none"/>
        </w:rPr>
        <w:t xml:space="preserve">。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13.2.6由于乙方自身原因，在接到甲方通知后 24 小时内不到现场的，由乙方向甲方支付赔偿金 2000 元/次并扣除</w:t>
      </w:r>
      <w:r>
        <w:rPr>
          <w:rFonts w:hint="eastAsia" w:ascii="宋体" w:hAnsi="宋体"/>
          <w:color w:val="auto"/>
          <w:spacing w:val="2"/>
          <w:highlight w:val="none"/>
        </w:rPr>
        <w:t>履约保证金20%</w:t>
      </w:r>
      <w:r>
        <w:rPr>
          <w:rFonts w:hint="eastAsia" w:ascii="宋体" w:hAnsi="宋体"/>
          <w:color w:val="auto"/>
          <w:highlight w:val="none"/>
        </w:rPr>
        <w:t>。在乙方收到甲方合理要求设计变更通知后 48 小时内不答复确认的，由乙方向甲方支付赔偿金 2000 元/次并扣除</w:t>
      </w:r>
      <w:r>
        <w:rPr>
          <w:rFonts w:hint="eastAsia" w:ascii="宋体" w:hAnsi="宋体"/>
          <w:color w:val="auto"/>
          <w:spacing w:val="2"/>
          <w:highlight w:val="none"/>
        </w:rPr>
        <w:t>履约保证金20%</w:t>
      </w:r>
      <w:r>
        <w:rPr>
          <w:rFonts w:hint="eastAsia" w:ascii="宋体" w:hAnsi="宋体"/>
          <w:color w:val="auto"/>
          <w:highlight w:val="none"/>
        </w:rPr>
        <w:t>。乙方收到甲方发出的与工程相关的资料， 应在 48 小时内答复确认，否则乙方需支付赔偿金 2000 元/次并扣除</w:t>
      </w:r>
      <w:r>
        <w:rPr>
          <w:rFonts w:hint="eastAsia" w:ascii="宋体" w:hAnsi="宋体"/>
          <w:color w:val="auto"/>
          <w:spacing w:val="2"/>
          <w:highlight w:val="none"/>
        </w:rPr>
        <w:t>履约保证金20%</w:t>
      </w:r>
      <w:r>
        <w:rPr>
          <w:rFonts w:hint="eastAsia" w:ascii="宋体" w:hAnsi="宋体"/>
          <w:color w:val="auto"/>
          <w:highlight w:val="none"/>
        </w:rPr>
        <w:t xml:space="preserve">。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13.2.7由于乙方违约造成的各项处罚金及赔偿金从设计费余款中扣减。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13.2.8投入具体工程项目设计的技术负责人及专业乙方员须与投标文件中人员安排一致，如</w:t>
      </w:r>
      <w:r>
        <w:rPr>
          <w:rFonts w:hint="eastAsia" w:ascii="宋体" w:hAnsi="宋体"/>
          <w:color w:val="auto"/>
          <w:highlight w:val="none"/>
          <w:u w:val="single"/>
        </w:rPr>
        <w:t>乙方私自变更技术负责人及专业乙方员的视为乙方违约，并在设计费用中扣除相应的违约金，违约金金额为：更换项目负责人 5 万元（人民币）</w:t>
      </w:r>
      <w:r>
        <w:rPr>
          <w:rFonts w:hint="eastAsia" w:ascii="宋体" w:hAnsi="宋体"/>
          <w:color w:val="auto"/>
          <w:spacing w:val="2"/>
          <w:highlight w:val="none"/>
          <w:u w:val="single"/>
        </w:rPr>
        <w:t>/次</w:t>
      </w:r>
      <w:r>
        <w:rPr>
          <w:rFonts w:hint="eastAsia" w:ascii="宋体" w:hAnsi="宋体"/>
          <w:color w:val="auto"/>
          <w:highlight w:val="none"/>
          <w:u w:val="single"/>
        </w:rPr>
        <w:t>并扣除</w:t>
      </w:r>
      <w:r>
        <w:rPr>
          <w:rFonts w:hint="eastAsia" w:ascii="宋体" w:hAnsi="宋体"/>
          <w:color w:val="auto"/>
          <w:spacing w:val="2"/>
          <w:highlight w:val="none"/>
          <w:u w:val="single"/>
        </w:rPr>
        <w:t>履约保证金50%</w:t>
      </w:r>
      <w:r>
        <w:rPr>
          <w:rFonts w:hint="eastAsia" w:ascii="宋体" w:hAnsi="宋体"/>
          <w:color w:val="auto"/>
          <w:highlight w:val="none"/>
          <w:u w:val="single"/>
        </w:rPr>
        <w:t>、更换专业乙方员 3 万元（人民币）</w:t>
      </w:r>
      <w:r>
        <w:rPr>
          <w:rFonts w:hint="eastAsia" w:ascii="宋体" w:hAnsi="宋体"/>
          <w:color w:val="auto"/>
          <w:spacing w:val="2"/>
          <w:highlight w:val="none"/>
          <w:u w:val="single"/>
        </w:rPr>
        <w:t>/次</w:t>
      </w:r>
      <w:r>
        <w:rPr>
          <w:rFonts w:hint="eastAsia" w:ascii="宋体" w:hAnsi="宋体"/>
          <w:color w:val="auto"/>
          <w:highlight w:val="none"/>
          <w:u w:val="single"/>
        </w:rPr>
        <w:t>并扣除</w:t>
      </w:r>
      <w:r>
        <w:rPr>
          <w:rFonts w:hint="eastAsia" w:ascii="宋体" w:hAnsi="宋体"/>
          <w:color w:val="auto"/>
          <w:spacing w:val="2"/>
          <w:highlight w:val="none"/>
          <w:u w:val="single"/>
        </w:rPr>
        <w:t>履约保证金30%</w:t>
      </w:r>
      <w:r>
        <w:rPr>
          <w:rFonts w:hint="eastAsia" w:ascii="宋体" w:hAnsi="宋体"/>
          <w:color w:val="auto"/>
          <w:highlight w:val="none"/>
          <w:u w:val="single"/>
        </w:rPr>
        <w:t>。但经甲方同意更换的除外</w:t>
      </w:r>
      <w:r>
        <w:rPr>
          <w:rFonts w:hint="eastAsia" w:ascii="宋体" w:hAnsi="宋体"/>
          <w:color w:val="auto"/>
          <w:highlight w:val="none"/>
        </w:rPr>
        <w:t xml:space="preserve">。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13.2.9甲方统一制定标准，在乙方每完成一项单项设计服务后，根据甲方完成情况，对乙方多方面进行评分，总分累计3次低于80分的，甲方有权按合同约定解除其委托服务合同（考核表附后）。    </w:t>
      </w:r>
    </w:p>
    <w:p>
      <w:pPr>
        <w:pStyle w:val="56"/>
        <w:spacing w:line="360" w:lineRule="auto"/>
        <w:ind w:firstLine="420" w:firstLineChars="200"/>
        <w:rPr>
          <w:rFonts w:hint="eastAsia" w:ascii="宋体" w:hAnsi="宋体"/>
          <w:color w:val="auto"/>
          <w:highlight w:val="none"/>
        </w:rPr>
      </w:pPr>
      <w:r>
        <w:rPr>
          <w:rFonts w:hint="eastAsia" w:ascii="宋体" w:hAnsi="宋体"/>
          <w:color w:val="auto"/>
          <w:highlight w:val="none"/>
        </w:rPr>
        <w:t>甲方有权根据校内制定的相关考核办法，对乙方的工作进行考核，由于乙方工作考核不合格的每次扣罚合同预算总金额的千分之五。</w:t>
      </w:r>
    </w:p>
    <w:p>
      <w:pPr>
        <w:pStyle w:val="56"/>
        <w:spacing w:line="360" w:lineRule="auto"/>
        <w:ind w:firstLine="420" w:firstLineChars="200"/>
        <w:rPr>
          <w:rFonts w:hint="eastAsia" w:ascii="宋体" w:hAnsi="宋体"/>
          <w:color w:val="auto"/>
          <w:kern w:val="0"/>
          <w:highlight w:val="none"/>
        </w:rPr>
      </w:pPr>
      <w:r>
        <w:rPr>
          <w:rFonts w:hint="eastAsia" w:ascii="宋体" w:hAnsi="宋体"/>
          <w:color w:val="auto"/>
          <w:highlight w:val="none"/>
        </w:rPr>
        <w:t>13.2.10有以下情形之一的，甲方有权解除委托服务合同，并追究乙方相关责任：1、财产被接管或基本账户被冻结的。2、有骗取中标或严重违约或工程质量安全问题，在本行政区域正处在停业整顿或暂停投标期间的。3、被责令停业的。4、服务期间因自身原因造成工程重大安全事故的</w:t>
      </w:r>
      <w:r>
        <w:rPr>
          <w:rFonts w:hint="eastAsia" w:ascii="宋体" w:hAnsi="宋体"/>
          <w:color w:val="auto"/>
          <w:kern w:val="0"/>
          <w:highlight w:val="none"/>
        </w:rPr>
        <w:t>。</w:t>
      </w:r>
    </w:p>
    <w:p>
      <w:pPr>
        <w:pStyle w:val="5"/>
        <w:keepNext w:val="0"/>
        <w:keepLines w:val="0"/>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第十</w:t>
      </w:r>
      <w:r>
        <w:rPr>
          <w:rFonts w:hint="eastAsia" w:ascii="宋体" w:hAnsi="宋体" w:cs="宋体"/>
          <w:bCs w:val="0"/>
          <w:color w:val="auto"/>
          <w:szCs w:val="21"/>
          <w:highlight w:val="none"/>
        </w:rPr>
        <w:t>四条</w:t>
      </w:r>
      <w:r>
        <w:rPr>
          <w:rFonts w:hint="eastAsia" w:ascii="宋体" w:hAnsi="宋体" w:cs="宋体"/>
          <w:color w:val="auto"/>
          <w:szCs w:val="21"/>
          <w:highlight w:val="none"/>
        </w:rPr>
        <w:t xml:space="preserve">  不可抗力 </w:t>
      </w:r>
    </w:p>
    <w:p>
      <w:pPr>
        <w:pStyle w:val="6"/>
        <w:keepNext w:val="0"/>
        <w:keepLines w:val="0"/>
        <w:spacing w:before="120" w:after="120" w:line="360" w:lineRule="auto"/>
        <w:ind w:firstLine="420" w:firstLineChars="200"/>
        <w:rPr>
          <w:rFonts w:hint="eastAsia" w:ascii="宋体" w:hAnsi="宋体" w:cs="宋体"/>
          <w:b w:val="0"/>
          <w:color w:val="auto"/>
          <w:kern w:val="0"/>
          <w:sz w:val="21"/>
          <w:szCs w:val="21"/>
          <w:highlight w:val="none"/>
        </w:rPr>
      </w:pPr>
      <w:r>
        <w:rPr>
          <w:rFonts w:hint="eastAsia" w:ascii="宋体" w:hAnsi="宋体" w:cs="宋体"/>
          <w:b w:val="0"/>
          <w:color w:val="auto"/>
          <w:sz w:val="21"/>
          <w:szCs w:val="21"/>
          <w:highlight w:val="none"/>
        </w:rPr>
        <w:t>14.1 不可抗力的确认</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不可抗力是指合同当事人在签订合同时不可预见，在合同履行过程中不可避免且不能克服的自然灾害和社会性突发事件，如地震、海啸、瘟疫、骚乱、戒严、暴动、战争等。</w:t>
      </w:r>
    </w:p>
    <w:p>
      <w:pPr>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不可抗力发生后，甲方和乙方应收集证明不可抗力发生及不可抗力造成损失的证据，并及时认真统计所造成的损失。合同当事人对是否属于不可抗力或其损失发生争议时，按第16条〔争议解决〕的约定处理。</w:t>
      </w:r>
    </w:p>
    <w:p>
      <w:pPr>
        <w:pStyle w:val="6"/>
        <w:spacing w:before="120" w:after="120" w:line="360" w:lineRule="auto"/>
        <w:ind w:firstLine="420" w:firstLineChars="200"/>
        <w:rPr>
          <w:rFonts w:hint="eastAsia" w:ascii="宋体" w:hAnsi="宋体" w:cs="宋体"/>
          <w:b w:val="0"/>
          <w:color w:val="auto"/>
          <w:kern w:val="0"/>
          <w:sz w:val="21"/>
          <w:szCs w:val="21"/>
          <w:highlight w:val="none"/>
        </w:rPr>
      </w:pPr>
      <w:r>
        <w:rPr>
          <w:rFonts w:hint="eastAsia" w:ascii="宋体" w:hAnsi="宋体" w:cs="宋体"/>
          <w:b w:val="0"/>
          <w:color w:val="auto"/>
          <w:sz w:val="21"/>
          <w:szCs w:val="21"/>
          <w:highlight w:val="none"/>
        </w:rPr>
        <w:t>14.2 不可抗力的通知</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合同一方当事人遇到不可抗力事件，使其履行合同义务受到阻碍时，应立即通知合同另一方当事人，书面说明不可抗力和受阻碍的详细情况，并在合理期限内提供必要的证明。</w:t>
      </w:r>
    </w:p>
    <w:p>
      <w:pPr>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不可抗力持续发生的，合同一方当事人应及时向合同另一方当事人提交中间报告，说明不可抗力和履行合同受阻的情况，并于不可抗力事件结束后28天内提交最终报告及有关资料。</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14.3 不可抗力后果的承担</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不可抗力引起的后果及造成的损失由合同当事人按照法律规定及合同约定各自承担。不可抗力发生前已完成的工程设计应当按照合同约定进行支付。</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因合同一方迟延履行合同义务，在迟延履行期间遭遇不可抗力的，不免除其违约责任。</w:t>
      </w:r>
    </w:p>
    <w:p>
      <w:pPr>
        <w:pStyle w:val="5"/>
        <w:spacing w:before="120" w:after="120"/>
        <w:rPr>
          <w:rFonts w:hint="eastAsia" w:ascii="宋体" w:hAnsi="宋体" w:cs="宋体"/>
          <w:color w:val="auto"/>
          <w:szCs w:val="21"/>
          <w:highlight w:val="none"/>
        </w:rPr>
      </w:pPr>
      <w:r>
        <w:rPr>
          <w:rFonts w:hint="eastAsia" w:ascii="宋体" w:hAnsi="宋体" w:cs="宋体"/>
          <w:color w:val="auto"/>
          <w:szCs w:val="21"/>
          <w:highlight w:val="none"/>
        </w:rPr>
        <w:t>第十五条  设计服务项目委托解除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甲方与乙方协商一致，可以解除项目委托。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有下列情形之一的，合同当事人一方或双方可以解除项目委托：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（1）乙方工程设计文件存在重大质量问题，经甲方催告后,在合理期限内修改后仍不能满足国家现行深度要求或不能达到甲方设计质量要求的，甲方可以解除项目委托；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（2）甲方未按约定支付设计费用，经乙方催告后，在30天内仍未支付的，乙方可以解除项目委托；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（3）暂停设计期限已连续超过180天；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（4）因不可抗力致使项目无法履行；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（5）因一方违约致使项目无法实际履行或实际履行已无必要；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（6）因工程项目条件发生重大变化，使项目设计无法继续履行。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任何一方因故需解除项目委托时，应提前30天书面通知对方，应取得一致意见并形成书面协议。</w:t>
      </w:r>
    </w:p>
    <w:p>
      <w:pPr>
        <w:pStyle w:val="5"/>
        <w:keepNext w:val="0"/>
        <w:keepLines w:val="0"/>
        <w:spacing w:before="120" w:after="120"/>
        <w:rPr>
          <w:rFonts w:hint="eastAsia" w:ascii="宋体" w:hAnsi="宋体" w:cs="宋体"/>
          <w:b w:val="0"/>
          <w:color w:val="auto"/>
          <w:szCs w:val="21"/>
          <w:highlight w:val="none"/>
        </w:rPr>
      </w:pPr>
      <w:r>
        <w:rPr>
          <w:rFonts w:hint="eastAsia" w:ascii="宋体" w:hAnsi="宋体" w:cs="宋体"/>
          <w:color w:val="auto"/>
          <w:szCs w:val="21"/>
          <w:highlight w:val="none"/>
        </w:rPr>
        <w:t>第十六条   争议解决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和解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合同当事人可以就争议自行和解，自行和解达成协议的经双方签字并盖章后作为合同补充文件，双方均应遵照执行。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调解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合同当事人可以就争议请求相关行政主管部门、行业协会或其他第三方进行调解，调解达成协议的，经双方签字并盖章后作为合同补充文件，双方均应遵照执行。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16.3仲裁或诉讼</w:t>
      </w:r>
    </w:p>
    <w:p>
      <w:pPr>
        <w:pStyle w:val="56"/>
        <w:spacing w:after="120" w:line="360" w:lineRule="auto"/>
        <w:ind w:firstLine="420" w:firstLineChars="200"/>
        <w:rPr>
          <w:rFonts w:hint="eastAsia" w:ascii="宋体" w:hAnsi="宋体"/>
          <w:color w:val="auto"/>
          <w:highlight w:val="none"/>
        </w:rPr>
      </w:pPr>
      <w:r>
        <w:rPr>
          <w:rFonts w:hint="eastAsia" w:ascii="宋体" w:hAnsi="宋体"/>
          <w:color w:val="auto"/>
          <w:highlight w:val="none"/>
        </w:rPr>
        <w:t>因合同及合同有关事项发生的争议，按下列第</w:t>
      </w:r>
      <w:r>
        <w:rPr>
          <w:rFonts w:hint="eastAsia" w:ascii="宋体" w:hAnsi="宋体"/>
          <w:color w:val="auto"/>
          <w:highlight w:val="none"/>
          <w:u w:val="single"/>
        </w:rPr>
        <w:t xml:space="preserve"> </w:t>
      </w:r>
      <w:r>
        <w:rPr>
          <w:rFonts w:hint="eastAsia" w:ascii="宋体" w:hAnsi="宋体"/>
          <w:b/>
          <w:color w:val="auto"/>
          <w:highlight w:val="none"/>
          <w:u w:val="single"/>
        </w:rPr>
        <w:t>2</w:t>
      </w:r>
      <w:r>
        <w:rPr>
          <w:rFonts w:hint="eastAsia" w:ascii="宋体" w:hAnsi="宋体"/>
          <w:color w:val="auto"/>
          <w:highlight w:val="none"/>
          <w:u w:val="single"/>
        </w:rPr>
        <w:t xml:space="preserve"> </w:t>
      </w:r>
      <w:r>
        <w:rPr>
          <w:rFonts w:hint="eastAsia" w:ascii="宋体" w:hAnsi="宋体"/>
          <w:color w:val="auto"/>
          <w:highlight w:val="none"/>
        </w:rPr>
        <w:t>种方式解决：</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（1）向</w:t>
      </w:r>
      <w:r>
        <w:rPr>
          <w:rFonts w:hint="eastAsia" w:ascii="宋体" w:hAnsi="宋体"/>
          <w:color w:val="auto"/>
          <w:highlight w:val="none"/>
          <w:u w:val="single"/>
        </w:rPr>
        <w:t xml:space="preserve">  南宁市 </w:t>
      </w:r>
      <w:r>
        <w:rPr>
          <w:rFonts w:hint="eastAsia" w:ascii="宋体" w:hAnsi="宋体"/>
          <w:color w:val="auto"/>
          <w:highlight w:val="none"/>
        </w:rPr>
        <w:t>仲裁委员会申请仲裁；</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（2）向</w:t>
      </w:r>
      <w:r>
        <w:rPr>
          <w:rFonts w:hint="eastAsia" w:ascii="宋体" w:hAnsi="宋体"/>
          <w:color w:val="auto"/>
          <w:highlight w:val="none"/>
          <w:u w:val="single"/>
        </w:rPr>
        <w:t xml:space="preserve">    </w:t>
      </w:r>
      <w:r>
        <w:rPr>
          <w:rFonts w:hint="eastAsia" w:ascii="宋体" w:hAnsi="宋体"/>
          <w:b/>
          <w:color w:val="auto"/>
          <w:highlight w:val="none"/>
          <w:u w:val="single"/>
        </w:rPr>
        <w:t xml:space="preserve">项目所在地 </w:t>
      </w:r>
      <w:r>
        <w:rPr>
          <w:rFonts w:hint="eastAsia" w:ascii="宋体" w:hAnsi="宋体"/>
          <w:color w:val="auto"/>
          <w:highlight w:val="none"/>
          <w:u w:val="single"/>
        </w:rPr>
        <w:t xml:space="preserve">    </w:t>
      </w:r>
      <w:r>
        <w:rPr>
          <w:rFonts w:hint="eastAsia" w:ascii="宋体" w:hAnsi="宋体"/>
          <w:color w:val="auto"/>
          <w:highlight w:val="none"/>
        </w:rPr>
        <w:t>人民法院起诉。</w:t>
      </w:r>
    </w:p>
    <w:p>
      <w:pPr>
        <w:pStyle w:val="6"/>
        <w:spacing w:before="120" w:after="12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16.5争议解决条款效力</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合同有关争议解决的条款独立存在，合同的变更、解除、终止、无效或者被撤销均不影响其效力。 </w:t>
      </w:r>
    </w:p>
    <w:p>
      <w:pPr>
        <w:pStyle w:val="56"/>
        <w:keepNext/>
        <w:keepLines/>
        <w:spacing w:before="120" w:after="120" w:line="360" w:lineRule="auto"/>
        <w:outlineLvl w:val="3"/>
        <w:rPr>
          <w:rFonts w:hint="eastAsia" w:ascii="宋体" w:hAnsi="宋体"/>
          <w:bCs/>
          <w:color w:val="auto"/>
          <w:highlight w:val="none"/>
        </w:rPr>
      </w:pPr>
      <w:r>
        <w:rPr>
          <w:rFonts w:hint="eastAsia" w:ascii="宋体" w:hAnsi="宋体"/>
          <w:b/>
          <w:color w:val="auto"/>
          <w:highlight w:val="none"/>
        </w:rPr>
        <w:t>第十七条  其他</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17.1乙方负责具体工程项目设计阶段、施工阶段、维修阶段项目全过程技术服务。</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17.2具体工程项目实际投入的设计师需与技术标评分标准中的项目组织机构和投入的设计师一致，如在哪一专业出现上述要求的不一致，同时替换的设计师未能达到投标时承诺的设计工程职称，甲方有权不接收设计图纸且不支付替换掉的设计师所负责专业的设计费。 </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17.2 本合同经甲、乙双方各自法定代表人或授权代表签字（或盖章）并加盖甲乙双方各自工作或合同专用章后生效。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17.3 本合同一式</w:t>
      </w:r>
      <w:r>
        <w:rPr>
          <w:rFonts w:hint="eastAsia" w:ascii="宋体" w:hAnsi="宋体"/>
          <w:color w:val="auto"/>
          <w:highlight w:val="none"/>
          <w:u w:val="single"/>
        </w:rPr>
        <w:t xml:space="preserve">   </w:t>
      </w:r>
      <w:r>
        <w:rPr>
          <w:rFonts w:hint="eastAsia" w:ascii="宋体" w:hAnsi="宋体"/>
          <w:color w:val="auto"/>
          <w:highlight w:val="none"/>
        </w:rPr>
        <w:t>份，具有同等法律效力，甲方执</w:t>
      </w:r>
      <w:r>
        <w:rPr>
          <w:rFonts w:hint="eastAsia" w:ascii="宋体" w:hAnsi="宋体"/>
          <w:color w:val="auto"/>
          <w:highlight w:val="none"/>
          <w:u w:val="single"/>
        </w:rPr>
        <w:t xml:space="preserve">   </w:t>
      </w:r>
      <w:r>
        <w:rPr>
          <w:rFonts w:hint="eastAsia" w:ascii="宋体" w:hAnsi="宋体"/>
          <w:color w:val="auto"/>
          <w:highlight w:val="none"/>
        </w:rPr>
        <w:t>份，乙方执</w:t>
      </w:r>
      <w:r>
        <w:rPr>
          <w:rFonts w:hint="eastAsia" w:ascii="宋体" w:hAnsi="宋体"/>
          <w:color w:val="auto"/>
          <w:highlight w:val="none"/>
          <w:u w:val="single"/>
        </w:rPr>
        <w:t xml:space="preserve">   </w:t>
      </w:r>
      <w:r>
        <w:rPr>
          <w:rFonts w:hint="eastAsia" w:ascii="宋体" w:hAnsi="宋体"/>
          <w:color w:val="auto"/>
          <w:highlight w:val="none"/>
        </w:rPr>
        <w:t>份，采购代理机构存档</w:t>
      </w:r>
      <w:r>
        <w:rPr>
          <w:rFonts w:hint="eastAsia" w:ascii="宋体" w:hAnsi="宋体"/>
          <w:color w:val="auto"/>
          <w:highlight w:val="none"/>
          <w:u w:val="single"/>
        </w:rPr>
        <w:t xml:space="preserve">   </w:t>
      </w:r>
      <w:r>
        <w:rPr>
          <w:rFonts w:hint="eastAsia" w:ascii="宋体" w:hAnsi="宋体"/>
          <w:color w:val="auto"/>
          <w:highlight w:val="none"/>
        </w:rPr>
        <w:t xml:space="preserve">份。 </w:t>
      </w:r>
    </w:p>
    <w:p>
      <w:pPr>
        <w:spacing w:line="360" w:lineRule="auto"/>
        <w:ind w:firstLine="630" w:firstLineChars="300"/>
        <w:rPr>
          <w:rFonts w:hint="eastAsia" w:ascii="宋体" w:hAnsi="宋体" w:cs="宋体"/>
          <w:color w:val="auto"/>
          <w:kern w:val="1"/>
          <w:highlight w:val="none"/>
        </w:rPr>
      </w:pPr>
    </w:p>
    <w:p>
      <w:pPr>
        <w:spacing w:line="360" w:lineRule="auto"/>
        <w:ind w:firstLine="630" w:firstLineChars="300"/>
        <w:rPr>
          <w:rFonts w:hint="eastAsia" w:ascii="宋体" w:hAnsi="宋体" w:cs="宋体"/>
          <w:color w:val="auto"/>
          <w:kern w:val="1"/>
          <w:highlight w:val="none"/>
        </w:rPr>
      </w:pPr>
      <w:r>
        <w:rPr>
          <w:rFonts w:hint="eastAsia" w:ascii="宋体" w:hAnsi="宋体" w:cs="宋体"/>
          <w:color w:val="auto"/>
          <w:kern w:val="1"/>
          <w:highlight w:val="none"/>
        </w:rPr>
        <w:t xml:space="preserve">甲方：                                乙方： </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地址：                               地址： </w:t>
      </w:r>
    </w:p>
    <w:p>
      <w:pPr>
        <w:spacing w:line="360" w:lineRule="auto"/>
        <w:ind w:firstLine="630" w:firstLineChars="300"/>
        <w:rPr>
          <w:rFonts w:hint="eastAsia" w:ascii="宋体" w:hAnsi="宋体" w:cs="宋体"/>
          <w:color w:val="auto"/>
          <w:kern w:val="1"/>
          <w:highlight w:val="none"/>
        </w:rPr>
      </w:pPr>
      <w:r>
        <w:rPr>
          <w:rFonts w:hint="eastAsia" w:ascii="宋体" w:hAnsi="宋体" w:cs="宋体"/>
          <w:color w:val="auto"/>
          <w:kern w:val="1"/>
          <w:highlight w:val="none"/>
        </w:rPr>
        <w:t>邮政编码：                           邮政编码：</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法定代表人：                          法定代表人：</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授权委托代理人：                      授权委托代理人：</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电话：                               电话：   </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传真：                            传真：</w:t>
      </w:r>
    </w:p>
    <w:p>
      <w:pPr>
        <w:spacing w:line="360" w:lineRule="auto"/>
        <w:ind w:firstLine="420" w:firstLineChars="200"/>
        <w:rPr>
          <w:rFonts w:hint="eastAsia" w:ascii="宋体" w:hAnsi="宋体" w:cs="宋体"/>
          <w:color w:val="auto"/>
          <w:kern w:val="1"/>
          <w:highlight w:val="none"/>
        </w:rPr>
        <w:sectPr>
          <w:pgSz w:w="11907" w:h="16840"/>
          <w:pgMar w:top="1440" w:right="1440" w:bottom="1440" w:left="1797" w:header="851" w:footer="851" w:gutter="0"/>
          <w:cols w:space="720" w:num="1"/>
          <w:docGrid w:linePitch="312" w:charSpace="0"/>
        </w:sectPr>
      </w:pPr>
      <w:r>
        <w:rPr>
          <w:rFonts w:hint="eastAsia" w:ascii="宋体" w:hAnsi="宋体" w:cs="宋体"/>
          <w:color w:val="auto"/>
          <w:kern w:val="1"/>
          <w:highlight w:val="none"/>
        </w:rPr>
        <w:t xml:space="preserve">  签订地点：                            签订日期：      年  月  日</w:t>
      </w:r>
    </w:p>
    <w:tbl>
      <w:tblPr>
        <w:tblStyle w:val="23"/>
        <w:tblpPr w:leftFromText="180" w:rightFromText="180" w:vertAnchor="text" w:horzAnchor="page" w:tblpX="806" w:tblpY="328"/>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94"/>
        <w:gridCol w:w="3616"/>
        <w:gridCol w:w="933"/>
        <w:gridCol w:w="483"/>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82"/>
              <w:jc w:val="center"/>
              <w:textAlignment w:val="center"/>
              <w:rPr>
                <w:rFonts w:hint="eastAsia" w:ascii="黑体" w:hAnsi="宋体" w:eastAsia="黑体" w:cs="黑体"/>
                <w:b/>
                <w:bCs/>
                <w:color w:val="auto"/>
                <w:sz w:val="44"/>
                <w:szCs w:val="44"/>
                <w:highlight w:val="none"/>
              </w:rPr>
            </w:pPr>
            <w:r>
              <w:rPr>
                <w:rFonts w:hint="eastAsia" w:ascii="宋体" w:hAnsi="宋体" w:cs="宋体"/>
                <w:b/>
                <w:bCs/>
                <w:color w:val="auto"/>
                <w:kern w:val="0"/>
                <w:sz w:val="24"/>
                <w:highlight w:val="none"/>
                <w:lang w:bidi="ar"/>
              </w:rPr>
              <w:t>广西医科大学零星修缮项目设计单位考核表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服务单位：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6" w:type="dxa"/>
            <w:gridSpan w:val="6"/>
            <w:noWrap/>
            <w:vAlign w:val="center"/>
          </w:tcPr>
          <w:p>
            <w:pPr>
              <w:widowControl/>
              <w:tabs>
                <w:tab w:val="left" w:pos="2730"/>
              </w:tabs>
              <w:ind w:right="13" w:rightChars="6" w:firstLine="420"/>
              <w:jc w:val="left"/>
              <w:textAlignment w:val="center"/>
              <w:rPr>
                <w:rFonts w:hint="eastAsia" w:ascii="宋体" w:hAnsi="宋体" w:cs="宋体"/>
                <w:b/>
                <w:bCs/>
                <w:color w:val="auto"/>
                <w:kern w:val="0"/>
                <w:sz w:val="24"/>
                <w:highlight w:val="none"/>
                <w:lang w:bidi="ar"/>
              </w:rPr>
            </w:pPr>
            <w:r>
              <w:rPr>
                <w:rFonts w:hint="eastAsia" w:ascii="宋体" w:hAnsi="宋体" w:cs="宋体"/>
                <w:color w:val="auto"/>
                <w:kern w:val="0"/>
                <w:szCs w:val="21"/>
                <w:highlight w:val="none"/>
                <w:lang w:bidi="ar"/>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94"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考核内容</w:t>
            </w:r>
          </w:p>
        </w:tc>
        <w:tc>
          <w:tcPr>
            <w:tcW w:w="3616"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考核项目</w:t>
            </w:r>
          </w:p>
        </w:tc>
        <w:tc>
          <w:tcPr>
            <w:tcW w:w="93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483"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3641" w:type="dxa"/>
            <w:noWrap/>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94" w:type="dxa"/>
            <w:vMerge w:val="restart"/>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设计、方案论证成果文件(0-60分)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成果文件符合相关国家、地方、行业法律法规和标准规范以及公司相关技术规定的要求</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违反相关国家、地方、行业法律法规和标准规范以及公司相关技术规定，出现一次均不得分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94" w:type="dxa"/>
            <w:vMerge w:val="continue"/>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成果文件组成内容及深度符合相关设计文件编制规定，能实现建设单位所要求的功能需求</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成果文件设计深度不够，设计变更较多，出现一次扣5分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794" w:type="dxa"/>
            <w:vMerge w:val="continue"/>
            <w:noWrap/>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结合业主现有建筑物实际情况、原始图纸及现场出现问题，对建筑结构安全进行评估，并给出合理处理意见</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1)成果文件参考现行标准规范编制，评估准确（10分）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2)未按最新现行标准规范进行评估（3分）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3)不具备评估出具成果文件的能力（0分）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794" w:type="dxa"/>
            <w:vMerge w:val="continue"/>
            <w:noWrap/>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在保证项目安全、质量的前提下，对项目进行优化设计，为业主提供最优的项目方案建议及项目投资建议</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1)提供多个方案、投资估算供业主选择，有论证小组会议材料，投资估算准确（10分）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2)提供多个方案、投资估算供业主选择，投资估算不准确（5分）</w:t>
            </w:r>
          </w:p>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3）只提供方案，不具备投资估算能力（0分）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794" w:type="dxa"/>
            <w:vMerge w:val="continue"/>
            <w:noWrap/>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成果文件参数选用合理，仪表、设备选型合理，各专业接口协调一致，图面清晰、表达合理准确，图集选用合理</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参数选用不合理扣2分，仪表、设备选型不合理扣2分；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各专业间出现一次相矛盾之处扣2分；</w:t>
            </w:r>
          </w:p>
          <w:p>
            <w:pPr>
              <w:numPr>
                <w:ilvl w:val="0"/>
                <w:numId w:val="1"/>
              </w:num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出现一次图面错误扣1分；图集选用不合理扣1分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794" w:type="dxa"/>
            <w:vMerge w:val="continue"/>
            <w:noWrap/>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无指定或变相指定设备生产商的现象</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出现一次不得分，记一次黑名单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794" w:type="dxa"/>
            <w:vMerge w:val="restart"/>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服务质量(0-40分)</w:t>
            </w:r>
          </w:p>
        </w:tc>
        <w:tc>
          <w:tcPr>
            <w:tcW w:w="3616" w:type="dxa"/>
            <w:noWrap/>
            <w:vAlign w:val="center"/>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按建设单位要求，及时踏勘现场</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响应时间在12小时内（5分），24小时内（3分），48小时内（0分）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按合同或委托书的约定及时收集、编撰、整合成果文件</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提交时间在3天内（15分），5天内（10分），7天内（5分），10天内（2分）），超过10天（0分）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进行设计技术交底，及时解决施工现场存在的设计方面的问题</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kern w:val="0"/>
                <w:szCs w:val="21"/>
                <w:highlight w:val="none"/>
                <w:lang w:bidi="ar"/>
              </w:rPr>
              <w:t>技术交底、解决问题不及时，出现一次扣2分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成果文件变更及时、合理、经济</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未及时出具合理变更文件，出现一次扣2分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成果文件的管理情况</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过程文件管理是否有序，是否建立有文件管理档案，收发记录是否齐全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业主交办的设计配合工作和其它事项，并及时反馈信息或提出处理建议</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配合不积极，</w:t>
            </w:r>
            <w:r>
              <w:rPr>
                <w:rFonts w:hint="eastAsia" w:ascii="宋体" w:hAnsi="宋体" w:cs="宋体"/>
                <w:color w:val="auto"/>
                <w:kern w:val="0"/>
                <w:szCs w:val="21"/>
                <w:highlight w:val="none"/>
                <w:lang w:bidi="ar"/>
              </w:rPr>
              <w:t>出现一次扣1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无有责投诉发生</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出现一次，此项不得分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9"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794" w:type="dxa"/>
            <w:vMerge w:val="continue"/>
            <w:noWrap/>
          </w:tcPr>
          <w:p>
            <w:pPr>
              <w:widowControl/>
              <w:tabs>
                <w:tab w:val="left" w:pos="2730"/>
              </w:tabs>
              <w:ind w:right="13" w:rightChars="6" w:firstLine="420"/>
              <w:jc w:val="left"/>
              <w:rPr>
                <w:rFonts w:hint="eastAsia" w:ascii="宋体" w:hAnsi="宋体" w:cs="宋体"/>
                <w:color w:val="auto"/>
                <w:kern w:val="0"/>
                <w:szCs w:val="21"/>
                <w:highlight w:val="none"/>
                <w:lang w:bidi="ar"/>
              </w:rPr>
            </w:pPr>
          </w:p>
        </w:tc>
        <w:tc>
          <w:tcPr>
            <w:tcW w:w="3616" w:type="dxa"/>
            <w:noWrap/>
          </w:tcPr>
          <w:p>
            <w:pPr>
              <w:spacing w:line="32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服务态度到位</w:t>
            </w:r>
          </w:p>
        </w:tc>
        <w:tc>
          <w:tcPr>
            <w:tcW w:w="933" w:type="dxa"/>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83" w:type="dxa"/>
            <w:noWrap/>
            <w:vAlign w:val="center"/>
          </w:tcPr>
          <w:p>
            <w:pPr>
              <w:spacing w:line="320" w:lineRule="exact"/>
              <w:ind w:firstLine="420"/>
              <w:jc w:val="center"/>
              <w:rPr>
                <w:rFonts w:hint="eastAsia" w:ascii="宋体" w:hAnsi="宋体" w:cs="宋体"/>
                <w:color w:val="auto"/>
                <w:szCs w:val="21"/>
                <w:highlight w:val="none"/>
              </w:rPr>
            </w:pPr>
          </w:p>
        </w:tc>
        <w:tc>
          <w:tcPr>
            <w:tcW w:w="3641" w:type="dxa"/>
            <w:noWrap/>
            <w:vAlign w:val="center"/>
          </w:tcPr>
          <w:p>
            <w:pPr>
              <w:spacing w:line="3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服务态度不到位，出现一次扣1分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63" w:type="dxa"/>
            <w:gridSpan w:val="2"/>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673" w:type="dxa"/>
            <w:gridSpan w:val="4"/>
            <w:noWrap/>
            <w:vAlign w:val="center"/>
          </w:tcPr>
          <w:p>
            <w:pPr>
              <w:widowControl/>
              <w:tabs>
                <w:tab w:val="left" w:pos="2730"/>
              </w:tabs>
              <w:ind w:right="13" w:rightChars="6" w:firstLine="420"/>
              <w:jc w:val="left"/>
              <w:textAlignment w:val="center"/>
              <w:rPr>
                <w:rFonts w:hint="eastAsia" w:ascii="宋体" w:hAnsi="宋体" w:cs="宋体"/>
                <w:color w:val="auto"/>
                <w:szCs w:val="21"/>
                <w:highlight w:val="none"/>
              </w:rPr>
            </w:pPr>
          </w:p>
        </w:tc>
      </w:tr>
    </w:tbl>
    <w:p>
      <w:pPr>
        <w:spacing w:line="360" w:lineRule="auto"/>
        <w:ind w:firstLine="643"/>
        <w:rPr>
          <w:rFonts w:hint="eastAsia" w:ascii="宋体" w:hAnsi="宋体" w:cs="宋体"/>
          <w:b/>
          <w:color w:val="auto"/>
          <w:sz w:val="32"/>
          <w:szCs w:val="32"/>
          <w:highlight w:val="none"/>
        </w:rPr>
      </w:pPr>
    </w:p>
    <w:p>
      <w:pPr>
        <w:spacing w:line="520" w:lineRule="exact"/>
        <w:ind w:firstLine="643"/>
        <w:rPr>
          <w:rFonts w:hint="eastAsia" w:ascii="宋体" w:hAnsi="宋体" w:cs="宋体"/>
          <w:b/>
          <w:color w:val="auto"/>
          <w:sz w:val="32"/>
          <w:szCs w:val="32"/>
          <w:highlight w:val="none"/>
        </w:rPr>
      </w:pPr>
    </w:p>
    <w:p>
      <w:pPr>
        <w:keepNext/>
        <w:keepLines/>
        <w:spacing w:line="360" w:lineRule="auto"/>
        <w:ind w:firstLine="643"/>
        <w:jc w:val="center"/>
        <w:outlineLvl w:val="0"/>
        <w:rPr>
          <w:rFonts w:eastAsia="黑体"/>
          <w:b/>
          <w:bCs/>
          <w:color w:val="auto"/>
          <w:kern w:val="44"/>
          <w:sz w:val="32"/>
          <w:szCs w:val="44"/>
          <w:highlight w:val="none"/>
        </w:rPr>
        <w:sectPr>
          <w:pgSz w:w="11907" w:h="16840"/>
          <w:pgMar w:top="1440" w:right="1440" w:bottom="1440" w:left="1797" w:header="851" w:footer="851" w:gutter="0"/>
          <w:cols w:space="720" w:num="1"/>
          <w:docGrid w:linePitch="312" w:charSpace="0"/>
        </w:sectPr>
      </w:pPr>
      <w:bookmarkStart w:id="426" w:name="_Toc935691906"/>
    </w:p>
    <w:bookmarkEnd w:id="426"/>
    <w:p>
      <w:pPr>
        <w:keepNext/>
        <w:keepLines/>
        <w:spacing w:before="340" w:after="330"/>
        <w:ind w:firstLine="562"/>
        <w:jc w:val="left"/>
        <w:outlineLvl w:val="0"/>
        <w:rPr>
          <w:b/>
          <w:color w:val="auto"/>
          <w:kern w:val="44"/>
          <w:sz w:val="28"/>
          <w:szCs w:val="28"/>
          <w:highlight w:val="none"/>
        </w:rPr>
      </w:pPr>
      <w:r>
        <w:rPr>
          <w:rFonts w:hint="eastAsia"/>
          <w:b/>
          <w:color w:val="auto"/>
          <w:kern w:val="44"/>
          <w:sz w:val="28"/>
          <w:szCs w:val="28"/>
          <w:highlight w:val="none"/>
        </w:rPr>
        <w:t>8分标适用</w:t>
      </w:r>
    </w:p>
    <w:p>
      <w:pPr>
        <w:adjustRightInd w:val="0"/>
        <w:ind w:firstLine="883"/>
        <w:jc w:val="center"/>
        <w:rPr>
          <w:rFonts w:hint="eastAsia" w:ascii="宋体" w:hAnsi="宋体"/>
          <w:b/>
          <w:color w:val="auto"/>
          <w:sz w:val="44"/>
          <w:szCs w:val="44"/>
          <w:highlight w:val="none"/>
        </w:rPr>
      </w:pPr>
      <w:r>
        <w:rPr>
          <w:rFonts w:hint="eastAsia" w:ascii="宋体" w:hAnsi="宋体"/>
          <w:b/>
          <w:color w:val="auto"/>
          <w:sz w:val="44"/>
          <w:szCs w:val="44"/>
          <w:highlight w:val="none"/>
        </w:rPr>
        <w:t>广西医科大学零星修缮监理服务采购合同</w:t>
      </w:r>
    </w:p>
    <w:p>
      <w:pPr>
        <w:snapToGrid w:val="0"/>
        <w:spacing w:line="360" w:lineRule="exact"/>
        <w:ind w:right="480" w:firstLine="420"/>
        <w:jc w:val="center"/>
        <w:rPr>
          <w:rFonts w:hint="eastAsia" w:ascii="宋体" w:hAnsi="宋体"/>
          <w:color w:val="auto"/>
          <w:highlight w:val="none"/>
          <w:u w:val="single"/>
        </w:rPr>
      </w:pPr>
      <w:r>
        <w:rPr>
          <w:bCs/>
          <w:color w:val="auto"/>
          <w:szCs w:val="21"/>
          <w:highlight w:val="none"/>
        </w:rPr>
        <w:t xml:space="preserve">                          </w:t>
      </w:r>
      <w:r>
        <w:rPr>
          <w:rFonts w:hint="eastAsia" w:ascii="宋体" w:hAnsi="宋体"/>
          <w:bCs/>
          <w:color w:val="auto"/>
          <w:highlight w:val="none"/>
        </w:rPr>
        <w:t xml:space="preserve"> </w:t>
      </w:r>
    </w:p>
    <w:p>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pacing w:val="-20"/>
          <w:szCs w:val="21"/>
          <w:highlight w:val="none"/>
        </w:rPr>
        <w:t xml:space="preserve">  采 购 计 划 号</w:t>
      </w:r>
      <w:r>
        <w:rPr>
          <w:rFonts w:hint="eastAsia" w:ascii="宋体" w:hAnsi="宋体" w:cs="宋体"/>
          <w:color w:val="auto"/>
          <w:szCs w:val="21"/>
          <w:highlight w:val="none"/>
          <w:u w:val="single"/>
        </w:rPr>
        <w:t xml:space="preserve">                           </w:t>
      </w:r>
    </w:p>
    <w:p>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项目名称和编号</w:t>
      </w:r>
      <w:r>
        <w:rPr>
          <w:rFonts w:hint="eastAsia" w:ascii="宋体" w:hAnsi="宋体" w:cs="宋体"/>
          <w:color w:val="auto"/>
          <w:szCs w:val="21"/>
          <w:highlight w:val="none"/>
          <w:u w:val="single"/>
        </w:rPr>
        <w:t xml:space="preserve">                        </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 </w:t>
      </w:r>
      <w:r>
        <w:rPr>
          <w:rFonts w:hint="eastAsia" w:ascii="宋体" w:hAnsi="宋体" w:cs="宋体"/>
          <w:color w:val="auto"/>
          <w:szCs w:val="21"/>
          <w:highlight w:val="none"/>
          <w:u w:val="single"/>
        </w:rPr>
        <w:t xml:space="preserve">                       </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依照《中华人民共和国政府采购法》《中华人民共和国民法典》《中华人民共和国建筑法》等法律、行政法规等规范性文件的相关规定，根据零星修缮、设计、监理服务（两年）采购的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分标采购文件的规定和乙方投标文件及相关承诺，甲、乙双方经协商一致，现就乙方为甲方提供广西医科大学零星修缮监理服务相关事宜签订本合同。</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第一条 总则</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 词语定义与解释</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本合同中词语的定义与解释以《建设工程监理合同（示范文本）》（ＧＦ－2012－0202）第二部分通用条款第1.1款中所列词语的定义与解释为准。</w:t>
      </w:r>
    </w:p>
    <w:p>
      <w:pPr>
        <w:pStyle w:val="22"/>
        <w:adjustRightInd w:val="0"/>
        <w:spacing w:line="360" w:lineRule="auto"/>
        <w:ind w:firstLine="406"/>
        <w:rPr>
          <w:rFonts w:hint="eastAsia" w:hAnsi="宋体" w:cs="宋体"/>
          <w:b/>
          <w:color w:val="auto"/>
          <w:sz w:val="21"/>
          <w:szCs w:val="21"/>
          <w:highlight w:val="none"/>
        </w:rPr>
      </w:pPr>
      <w:r>
        <w:rPr>
          <w:rFonts w:hint="eastAsia" w:hAnsi="宋体" w:cs="宋体"/>
          <w:b/>
          <w:color w:val="auto"/>
          <w:sz w:val="21"/>
          <w:szCs w:val="21"/>
          <w:highlight w:val="none"/>
        </w:rPr>
        <w:t>1.2 合同文件组成及优先顺序</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（1）补充协议（如有）；</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（2）采购文件中的项目采购需求及本合同条款；</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（3）中标通知书；</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（4）投标函及其附录；</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（6）图纸；</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（7）其他合同文件。</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图纸与技术标准和要求之间有矛盾或者不一致的，以其中要求较严格的标准为准。甲、乙双方在本合同履行过程中的有关洽商、变更等书面协议或文件视为本合同文件的构成部分。</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 保密条款</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1.3.1 甲、乙双方应对在本合同签订或履行过程中所接触的对方信息，包括但不限于知识产权、技术资料、技术诀窍、内部管理及其他相关信息，负有保密义务。</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1.3.2 乙方在使用甲方为乙方及其工作人员提供的数据、资料及甲方相关的业务和技术文档，包括方案设计细节、程序文件、数据结构，以及相关业务系统的文档时，应遵循以下规定：</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（1）应以审慎态度避免泄露、公开或传播甲方的信息；</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（2）未经甲方书面许可，不得对有关信息进行修改、补充、复制；</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（3）未经甲方书面许可，不得将信息以任何方式携带出甲方场所；</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（4）未经甲方书面许可，不得将信息透露给任何其他人；</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（5）甲方以书面形式提出的其他保密措施。</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1.3.3 保密期限不受合同有效期的限制，在合同有效期结束后，信息接受方仍应承担保密义务，直至该等信息成为公开信息。</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1.3.4 一方如出现泄密行为，泄密方应承担相关的法律责任，包括但是不限于对由此给对方造成的经济损失进行赔偿。</w:t>
      </w:r>
    </w:p>
    <w:p>
      <w:pPr>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不可抗力</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若合同双方因不可抗力而导致合同实施延误或合同无法实施，不应该承担误期赔偿或不能履行合同义务的责任。</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本条所述的“不可抗力”系指那些双方不可预见、不可避免、不可克服的客观情况，但不包括双方的违约或疏忽。这些事件包括但不限于：战争、严重火灾、洪水、台风、地震、疫情等。</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在不可抗力事件发生后，受不可抗力影响的一方应及时将不可抗力情况通知对方，在不可抗力事件结束后3日内以书面形式将不可抗力的情况和原因通知对方，并提供相应的证明文件。合同双方应尽可能继续履行合同义务，并积极寻求采取合理的措施履行不受不可抗力影响的其他事项，通过友好协商在合理的时间内达成进一步履行的协议。</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第二条  双方的一般义务</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2.1乙方的义务</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监理的范围和工作内容包括：</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(1)收到具体工程项目设计文件后编制监理规划，并在第一次工地会议7天前报甲方。根据有关规定和监理工作需要，编制监理实施细则；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(2)熟悉工程设计文件，并参加由甲方主持的图纸会审和设计交底会议；</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(3)参加由甲方主持的第一次工地会议；主持监理例会并根据工程需要主持或参加专题会议：</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(4)审查施工承包人提交的施工组织设计，重点审查其中的质量安全技术措施、专项施工方案与工程建设强制性标准的符合性；</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(5)检查施工承包人工程质量、安全生产管理制度及组织机构和人员资格；</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(6)检查施工承包人专职安全生产管理人员的配备情况；</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(7)审查施工承包人提交的施工进度计划，核查承包人对施工进度计划的调整；</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(8)检查施工承包人的试验室；</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(9)审核施工分包人资质条件；</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(10)查验施工承包人的施工测量放线成果；</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(11)审查工程开工条件，对条件具备的签发开工令；</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(12)审查施工承包人报送的工程材料、构配件、设备质量证明文件的有效性和符合性，并按规定对用于工程的材料采取平行检验或见证取样方式进行抽检；</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(13)审核施工承包人提交的工程款支付申请，签发或出具工程款支付证书，并报甲方审核、批准；</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(14)在巡视、旁站和检验过程中，发现工程质量、施工安全存在事故隐患的，要求施工承包人整改并报甲方；</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(15)经甲方同意，签发工程暂停令和复工令；</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(16)审查施工承包人提交的采用新材料、新工艺、新技术、新设备的论证材料及相关验收标准；</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(17)验收隐蔽工程、分部分项工程；</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(18)审查施工承包人提交的工程变更申请，协调处理施工进度调整、费用索赔、合同争议等事项；</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(19)审查施工承包人提交的竣工验收申请，编写工程质量评估报告；</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(20)参加工程竣工验收，签署竣工验收意见；</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(21)审查施工承包人提交的竣工结算申请并报甲方；</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(22)编制、整理工程监理归档文件并报甲方。</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（23）履约担保</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乙方是否提供履约担保：乙方在收到中标通知书后，须在 10 日内向甲方提交履约担保。</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乙方提供履约担保的形式、金额、期限及退回：</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lang w:val="zh-CN"/>
        </w:rPr>
        <w:t>银行转账、支票、汇票、本票等</w:t>
      </w:r>
      <w:r>
        <w:rPr>
          <w:rFonts w:hint="eastAsia" w:ascii="宋体" w:hAnsi="宋体" w:cs="宋体"/>
          <w:color w:val="auto"/>
          <w:szCs w:val="21"/>
          <w:highlight w:val="none"/>
        </w:rPr>
        <w:t>。</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金额：</w:t>
      </w:r>
      <w:r>
        <w:rPr>
          <w:rFonts w:hint="eastAsia" w:ascii="宋体" w:hAnsi="宋体" w:cs="宋体"/>
          <w:color w:val="auto"/>
          <w:szCs w:val="21"/>
          <w:highlight w:val="none"/>
          <w:u w:val="single"/>
        </w:rPr>
        <w:t>履约担保金额为招标文件中规定的对应分标预算金额的</w:t>
      </w:r>
      <w:r>
        <w:rPr>
          <w:rFonts w:ascii="宋体" w:hAnsi="宋体" w:cs="宋体"/>
          <w:color w:val="auto"/>
          <w:szCs w:val="21"/>
          <w:highlight w:val="none"/>
          <w:u w:val="single"/>
        </w:rPr>
        <w:t>2%。</w:t>
      </w:r>
      <w:r>
        <w:rPr>
          <w:rFonts w:hint="eastAsia" w:ascii="宋体" w:hAnsi="宋体" w:cs="宋体"/>
          <w:color w:val="auto"/>
          <w:szCs w:val="21"/>
          <w:highlight w:val="none"/>
        </w:rPr>
        <w:t>。</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zh-CN"/>
        </w:rPr>
        <w:t>履约保证金退还时间：合同期满且</w:t>
      </w:r>
      <w:r>
        <w:rPr>
          <w:rFonts w:hint="eastAsia" w:ascii="宋体" w:hAnsi="宋体" w:cs="宋体"/>
          <w:color w:val="auto"/>
          <w:szCs w:val="21"/>
          <w:highlight w:val="none"/>
        </w:rPr>
        <w:t>乙方</w:t>
      </w:r>
      <w:r>
        <w:rPr>
          <w:rFonts w:hint="eastAsia" w:ascii="宋体" w:hAnsi="宋体" w:cs="宋体"/>
          <w:color w:val="auto"/>
          <w:szCs w:val="21"/>
          <w:highlight w:val="none"/>
          <w:lang w:val="zh-CN"/>
        </w:rPr>
        <w:t>在服务期间无违约情况下；履约保证金由</w:t>
      </w:r>
      <w:r>
        <w:rPr>
          <w:rFonts w:hint="eastAsia" w:ascii="宋体" w:hAnsi="宋体" w:cs="宋体"/>
          <w:color w:val="auto"/>
          <w:szCs w:val="21"/>
          <w:highlight w:val="none"/>
        </w:rPr>
        <w:t>甲方</w:t>
      </w:r>
      <w:r>
        <w:rPr>
          <w:rFonts w:hint="eastAsia" w:ascii="宋体" w:hAnsi="宋体" w:cs="宋体"/>
          <w:color w:val="auto"/>
          <w:szCs w:val="21"/>
          <w:highlight w:val="none"/>
          <w:lang w:val="zh-CN"/>
        </w:rPr>
        <w:t>一次性退回成交供应商指定银行账户。如</w:t>
      </w:r>
      <w:r>
        <w:rPr>
          <w:rFonts w:hint="eastAsia" w:ascii="宋体" w:hAnsi="宋体" w:cs="宋体"/>
          <w:color w:val="auto"/>
          <w:szCs w:val="21"/>
          <w:highlight w:val="none"/>
        </w:rPr>
        <w:t>乙方</w:t>
      </w:r>
      <w:r>
        <w:rPr>
          <w:rFonts w:hint="eastAsia" w:ascii="宋体" w:hAnsi="宋体" w:cs="宋体"/>
          <w:color w:val="auto"/>
          <w:szCs w:val="21"/>
          <w:highlight w:val="none"/>
          <w:lang w:val="zh-CN"/>
        </w:rPr>
        <w:t>不按双方签订的合同规定履约的，则扣除相应的罚金后剩余部分一次性退回</w:t>
      </w:r>
      <w:r>
        <w:rPr>
          <w:rFonts w:hint="eastAsia" w:ascii="宋体" w:hAnsi="宋体" w:cs="宋体"/>
          <w:color w:val="auto"/>
          <w:szCs w:val="21"/>
          <w:highlight w:val="none"/>
        </w:rPr>
        <w:t>乙方</w:t>
      </w:r>
      <w:r>
        <w:rPr>
          <w:rFonts w:hint="eastAsia" w:ascii="宋体" w:hAnsi="宋体" w:cs="宋体"/>
          <w:color w:val="auto"/>
          <w:szCs w:val="21"/>
          <w:highlight w:val="none"/>
          <w:lang w:val="zh-CN"/>
        </w:rPr>
        <w:t>指定银行账户。</w:t>
      </w:r>
    </w:p>
    <w:p>
      <w:pPr>
        <w:spacing w:line="360" w:lineRule="auto"/>
        <w:ind w:firstLine="525" w:firstLineChars="250"/>
        <w:rPr>
          <w:rFonts w:hint="eastAsia" w:ascii="宋体" w:hAnsi="宋体" w:cs="宋体"/>
          <w:color w:val="auto"/>
          <w:szCs w:val="21"/>
          <w:highlight w:val="none"/>
          <w:lang w:val="zh-CN"/>
        </w:rPr>
      </w:pPr>
      <w:r>
        <w:rPr>
          <w:rFonts w:hint="eastAsia" w:ascii="宋体" w:hAnsi="宋体" w:cs="宋体"/>
          <w:color w:val="auto"/>
          <w:szCs w:val="21"/>
          <w:highlight w:val="none"/>
          <w:lang w:val="zh-CN"/>
        </w:rPr>
        <w:t>履约保证金指定账户：</w:t>
      </w:r>
    </w:p>
    <w:p>
      <w:pPr>
        <w:spacing w:line="360" w:lineRule="auto"/>
        <w:ind w:firstLine="525" w:firstLineChars="250"/>
        <w:rPr>
          <w:rFonts w:hint="eastAsia" w:ascii="宋体" w:hAnsi="宋体" w:cs="宋体"/>
          <w:color w:val="auto"/>
          <w:szCs w:val="21"/>
          <w:highlight w:val="none"/>
          <w:lang w:val="zh-CN"/>
        </w:rPr>
      </w:pPr>
      <w:r>
        <w:rPr>
          <w:rFonts w:hint="eastAsia" w:ascii="宋体" w:hAnsi="宋体" w:cs="宋体"/>
          <w:color w:val="auto"/>
          <w:szCs w:val="21"/>
          <w:highlight w:val="none"/>
          <w:lang w:val="zh-CN"/>
        </w:rPr>
        <w:t>户名：</w:t>
      </w:r>
      <w:r>
        <w:rPr>
          <w:rFonts w:hint="eastAsia" w:ascii="宋体" w:hAnsi="宋体" w:cs="宋体"/>
          <w:color w:val="auto"/>
          <w:szCs w:val="21"/>
          <w:highlight w:val="none"/>
          <w:u w:val="single"/>
          <w:lang w:val="zh-CN"/>
        </w:rPr>
        <w:t>广西医科大学</w:t>
      </w:r>
    </w:p>
    <w:p>
      <w:pPr>
        <w:spacing w:line="360" w:lineRule="auto"/>
        <w:ind w:firstLine="525" w:firstLineChars="250"/>
        <w:rPr>
          <w:rFonts w:hint="eastAsia" w:ascii="宋体" w:hAnsi="宋体" w:cs="宋体"/>
          <w:color w:val="auto"/>
          <w:szCs w:val="21"/>
          <w:highlight w:val="none"/>
          <w:lang w:val="zh-CN"/>
        </w:rPr>
      </w:pPr>
      <w:r>
        <w:rPr>
          <w:rFonts w:hint="eastAsia" w:ascii="宋体" w:hAnsi="宋体" w:cs="宋体"/>
          <w:color w:val="auto"/>
          <w:szCs w:val="21"/>
          <w:highlight w:val="none"/>
          <w:lang w:val="zh-CN"/>
        </w:rPr>
        <w:t>账号：</w:t>
      </w:r>
      <w:r>
        <w:rPr>
          <w:rFonts w:hint="eastAsia" w:ascii="宋体" w:hAnsi="宋体" w:cs="宋体"/>
          <w:color w:val="auto"/>
          <w:szCs w:val="21"/>
          <w:highlight w:val="none"/>
          <w:u w:val="single"/>
          <w:lang w:val="zh-CN"/>
        </w:rPr>
        <w:t>622357485287</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zh-CN"/>
        </w:rPr>
        <w:t>开户银行：</w:t>
      </w:r>
      <w:r>
        <w:rPr>
          <w:rFonts w:hint="eastAsia" w:ascii="宋体" w:hAnsi="宋体" w:cs="宋体"/>
          <w:color w:val="auto"/>
          <w:szCs w:val="21"/>
          <w:highlight w:val="none"/>
          <w:u w:val="single"/>
          <w:lang w:val="zh-CN"/>
        </w:rPr>
        <w:t>中行南宁市医科大支行</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2.2 甲方的义务</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（1）告知：甲方应在甲方与承包人签订的合同中明确乙方、总监理工程师和授予项目监理机构的权限。如有变更，应及时通知承包人。</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（2）提供资料：甲方应按照附录B约定，无偿向乙方提供工程有关的资料。在具体工程项目履行过程中，甲方应及时向乙方提供最新的与工程有关的资料。</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（3）提供工作条件：甲方应为乙方完成监理与相关服务提供必要的条件。</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（4）甲方应负责协调工程建设中所有外部关系，为乙方履行义务提供必要的外部条件。</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（5）甲方应授权一名熟悉工程情况的代表，负责与乙方联系。甲方应在具体工程项目正式委托乙方后7天内，将甲方代表的姓名和职责书面告知乙方。当甲方更换甲方代表时，应提前7天通知乙方。</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（6）甲方意见或要求：在本合同约定的监理与相关服务工作范围内，甲方对承包人的任何意见或要求应通知乙方，由乙方向承包人发出相应指令。</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（7）答复：甲方应在7天内，对乙方以书面形式提交并要求作出决定的事宜，给予书面答复。逾期未答复的，视为甲方认可。</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（8）支付：甲方应按本合同约定，向乙方支付酬金。</w:t>
      </w:r>
    </w:p>
    <w:p>
      <w:pP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第三条 监理服务范围</w:t>
      </w:r>
    </w:p>
    <w:p>
      <w:pPr>
        <w:spacing w:line="360" w:lineRule="auto"/>
        <w:ind w:firstLine="527" w:firstLineChars="250"/>
        <w:rPr>
          <w:rFonts w:hint="eastAsia" w:ascii="宋体" w:hAnsi="宋体" w:cs="宋体"/>
          <w:color w:val="auto"/>
          <w:szCs w:val="21"/>
          <w:highlight w:val="none"/>
        </w:rPr>
      </w:pPr>
      <w:r>
        <w:rPr>
          <w:rFonts w:hint="eastAsia" w:ascii="宋体" w:hAnsi="宋体" w:cs="宋体"/>
          <w:b/>
          <w:bCs/>
          <w:color w:val="auto"/>
          <w:szCs w:val="21"/>
          <w:highlight w:val="none"/>
        </w:rPr>
        <w:t>3.1、服务事项及服务期限</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3.1.1 甲方经公开招标方式确定乙方作为广西医科大学零星修缮监理服务采购服务单位，为校本部及武鸣校区小额零星工程等项目提供施工全过程阶段监理服务。</w:t>
      </w:r>
    </w:p>
    <w:p>
      <w:pPr>
        <w:spacing w:line="360" w:lineRule="auto"/>
        <w:ind w:firstLine="420" w:firstLineChars="200"/>
        <w:rPr>
          <w:color w:val="auto"/>
          <w:szCs w:val="21"/>
          <w:highlight w:val="none"/>
        </w:rPr>
      </w:pPr>
      <w:r>
        <w:rPr>
          <w:rFonts w:hint="eastAsia" w:ascii="宋体" w:hAnsi="宋体" w:cs="宋体"/>
          <w:color w:val="auto"/>
          <w:szCs w:val="21"/>
          <w:highlight w:val="none"/>
        </w:rPr>
        <w:t xml:space="preserve">3.1.2 </w:t>
      </w:r>
      <w:bookmarkStart w:id="427" w:name="_Hlk202282415"/>
      <w:r>
        <w:rPr>
          <w:rFonts w:hint="eastAsia" w:ascii="宋体" w:hAnsi="宋体"/>
          <w:color w:val="auto"/>
          <w:szCs w:val="21"/>
          <w:highlight w:val="none"/>
        </w:rPr>
        <w:t>合同有效期：</w:t>
      </w:r>
      <w:r>
        <w:rPr>
          <w:rFonts w:hint="eastAsia" w:ascii="宋体" w:hAnsi="宋体" w:cs="宋体"/>
          <w:bCs/>
          <w:color w:val="auto"/>
          <w:szCs w:val="21"/>
          <w:highlight w:val="none"/>
        </w:rPr>
        <w:t>自本合同签订</w:t>
      </w:r>
      <w:r>
        <w:rPr>
          <w:rFonts w:ascii="宋体" w:hAnsi="宋体" w:cs="宋体"/>
          <w:bCs/>
          <w:color w:val="auto"/>
          <w:szCs w:val="21"/>
          <w:highlight w:val="none"/>
        </w:rPr>
        <w:t>之日起2年。</w:t>
      </w:r>
      <w:r>
        <w:rPr>
          <w:rFonts w:hint="eastAsia" w:ascii="宋体" w:hAnsi="宋体"/>
          <w:color w:val="auto"/>
          <w:szCs w:val="21"/>
          <w:highlight w:val="none"/>
        </w:rPr>
        <w:t>合同有效期内，若甲方应向</w:t>
      </w:r>
      <w:r>
        <w:rPr>
          <w:rFonts w:hint="eastAsia"/>
          <w:color w:val="auto"/>
          <w:szCs w:val="21"/>
          <w:highlight w:val="none"/>
        </w:rPr>
        <w:t>乙方支付</w:t>
      </w:r>
      <w:r>
        <w:rPr>
          <w:rFonts w:hint="eastAsia" w:ascii="宋体" w:hAnsi="宋体" w:cs="宋体"/>
          <w:bCs/>
          <w:color w:val="auto"/>
          <w:szCs w:val="21"/>
          <w:highlight w:val="none"/>
        </w:rPr>
        <w:t>的</w:t>
      </w:r>
      <w:r>
        <w:rPr>
          <w:rFonts w:hint="eastAsia"/>
          <w:color w:val="auto"/>
          <w:szCs w:val="21"/>
          <w:highlight w:val="none"/>
        </w:rPr>
        <w:t>监理费（含未达到支付条件的监理费）金额累计达到本合同第5.1.1项约定的预算金额的，本合同自动提前终止。</w:t>
      </w:r>
    </w:p>
    <w:p>
      <w:pPr>
        <w:spacing w:line="360" w:lineRule="auto"/>
        <w:ind w:firstLine="420" w:firstLineChars="200"/>
        <w:rPr>
          <w:rFonts w:hint="eastAsia" w:ascii="宋体" w:hAnsi="宋体" w:cs="宋体"/>
          <w:color w:val="auto"/>
          <w:szCs w:val="21"/>
          <w:highlight w:val="none"/>
        </w:rPr>
      </w:pPr>
      <w:r>
        <w:rPr>
          <w:rFonts w:hint="eastAsia"/>
          <w:color w:val="auto"/>
          <w:szCs w:val="21"/>
          <w:highlight w:val="none"/>
        </w:rPr>
        <w:t>对于</w:t>
      </w:r>
      <w:r>
        <w:rPr>
          <w:rFonts w:hint="eastAsia" w:ascii="宋体" w:hAnsi="宋体" w:cs="宋体"/>
          <w:bCs/>
          <w:color w:val="auto"/>
          <w:szCs w:val="21"/>
          <w:highlight w:val="none"/>
        </w:rPr>
        <w:t>在合同有效期内已立项、但截至</w:t>
      </w:r>
      <w:r>
        <w:rPr>
          <w:rFonts w:ascii="宋体" w:hAnsi="宋体" w:cs="宋体"/>
          <w:bCs/>
          <w:color w:val="auto"/>
          <w:szCs w:val="21"/>
          <w:highlight w:val="none"/>
        </w:rPr>
        <w:t>合同</w:t>
      </w:r>
      <w:r>
        <w:rPr>
          <w:rFonts w:hint="eastAsia" w:ascii="宋体" w:hAnsi="宋体" w:cs="宋体"/>
          <w:bCs/>
          <w:color w:val="auto"/>
          <w:szCs w:val="21"/>
          <w:highlight w:val="none"/>
        </w:rPr>
        <w:t>终止</w:t>
      </w:r>
      <w:r>
        <w:rPr>
          <w:rFonts w:ascii="宋体" w:hAnsi="宋体" w:cs="宋体"/>
          <w:bCs/>
          <w:color w:val="auto"/>
          <w:szCs w:val="21"/>
          <w:highlight w:val="none"/>
        </w:rPr>
        <w:t>之日</w:t>
      </w:r>
      <w:r>
        <w:rPr>
          <w:rFonts w:hint="eastAsia" w:ascii="宋体" w:hAnsi="宋体" w:cs="宋体"/>
          <w:bCs/>
          <w:color w:val="auto"/>
          <w:szCs w:val="21"/>
          <w:highlight w:val="none"/>
        </w:rPr>
        <w:t>（含到期终止与提前终止）</w:t>
      </w:r>
      <w:r>
        <w:rPr>
          <w:rFonts w:ascii="宋体" w:hAnsi="宋体" w:cs="宋体"/>
          <w:bCs/>
          <w:color w:val="auto"/>
          <w:szCs w:val="21"/>
          <w:highlight w:val="none"/>
        </w:rPr>
        <w:t>仍未完成的</w:t>
      </w:r>
      <w:r>
        <w:rPr>
          <w:rFonts w:hint="eastAsia" w:ascii="宋体" w:hAnsi="宋体" w:cs="宋体"/>
          <w:bCs/>
          <w:color w:val="auto"/>
          <w:szCs w:val="21"/>
          <w:highlight w:val="none"/>
        </w:rPr>
        <w:t>项目</w:t>
      </w:r>
      <w:r>
        <w:rPr>
          <w:rFonts w:ascii="宋体" w:hAnsi="宋体" w:cs="宋体"/>
          <w:bCs/>
          <w:color w:val="auto"/>
          <w:szCs w:val="21"/>
          <w:highlight w:val="none"/>
        </w:rPr>
        <w:t>，</w:t>
      </w:r>
      <w:r>
        <w:rPr>
          <w:rFonts w:hint="eastAsia"/>
          <w:color w:val="auto"/>
          <w:szCs w:val="21"/>
          <w:highlight w:val="none"/>
        </w:rPr>
        <w:t>乙方</w:t>
      </w:r>
      <w:r>
        <w:rPr>
          <w:rFonts w:ascii="宋体" w:hAnsi="宋体" w:cs="宋体"/>
          <w:bCs/>
          <w:color w:val="auto"/>
          <w:szCs w:val="21"/>
          <w:highlight w:val="none"/>
        </w:rPr>
        <w:t>在该项目委托书约定的服务期限内</w:t>
      </w:r>
      <w:r>
        <w:rPr>
          <w:rFonts w:hint="eastAsia" w:ascii="宋体" w:hAnsi="宋体" w:cs="宋体"/>
          <w:bCs/>
          <w:color w:val="auto"/>
          <w:szCs w:val="21"/>
          <w:highlight w:val="none"/>
        </w:rPr>
        <w:t>应继续提供监理服务直至该项目验收合格</w:t>
      </w:r>
      <w:r>
        <w:rPr>
          <w:rFonts w:hint="eastAsia" w:ascii="宋体" w:hAnsi="宋体"/>
          <w:color w:val="auto"/>
          <w:szCs w:val="21"/>
          <w:highlight w:val="none"/>
        </w:rPr>
        <w:t>。</w:t>
      </w:r>
      <w:bookmarkEnd w:id="427"/>
    </w:p>
    <w:p>
      <w:pPr>
        <w:spacing w:line="360" w:lineRule="auto"/>
        <w:ind w:firstLine="527" w:firstLineChars="250"/>
        <w:rPr>
          <w:rFonts w:hint="eastAsia" w:ascii="宋体" w:hAnsi="宋体" w:cs="宋体"/>
          <w:b/>
          <w:bCs/>
          <w:color w:val="auto"/>
          <w:szCs w:val="21"/>
          <w:highlight w:val="none"/>
        </w:rPr>
      </w:pPr>
      <w:r>
        <w:rPr>
          <w:rFonts w:hint="eastAsia" w:ascii="宋体" w:hAnsi="宋体" w:cs="宋体"/>
          <w:b/>
          <w:bCs/>
          <w:color w:val="auto"/>
          <w:szCs w:val="21"/>
          <w:highlight w:val="none"/>
        </w:rPr>
        <w:t>第四条 违约责任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4.1 乙方的违约责任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乙方未履行本合同义务的，应承担相应的责任。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4.1.1 因乙方违反本合同约定给甲方造成损失的，乙方应当赔偿甲方损失。赔偿金额的确定方法为赔偿金=直接经济损失×正常工作酬金÷建筑安装工程费。乙方承担部分赔偿责任的，其承担赔偿金额由双方协商确定。</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4.1.2 乙方向甲方的索赔不成立时，乙方应赔偿甲方由此发生的费用。</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4.2 甲方的违约责任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甲方未履行本合同义务的，应承担相应的责任。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4.2.1 甲方违反本合同约定造成乙方损失的，甲方应予以赔偿。</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4.2.2 甲方向乙方的索赔不成立时，应赔偿乙方由此引起的费用。</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因不可抗力导致本合同全部或部分不能履行时，双方各自承担其因此而造成的损失、损害。</w:t>
      </w:r>
    </w:p>
    <w:p>
      <w:pPr>
        <w:spacing w:line="360" w:lineRule="auto"/>
        <w:ind w:firstLine="527" w:firstLineChars="250"/>
        <w:rPr>
          <w:rFonts w:hint="eastAsia" w:ascii="宋体" w:hAnsi="宋体" w:cs="宋体"/>
          <w:b/>
          <w:bCs/>
          <w:color w:val="auto"/>
          <w:szCs w:val="21"/>
          <w:highlight w:val="none"/>
        </w:rPr>
      </w:pPr>
      <w:r>
        <w:rPr>
          <w:rFonts w:hint="eastAsia" w:ascii="宋体" w:hAnsi="宋体" w:cs="宋体"/>
          <w:b/>
          <w:bCs/>
          <w:color w:val="auto"/>
          <w:szCs w:val="21"/>
          <w:highlight w:val="none"/>
        </w:rPr>
        <w:t>第五条 监理服务结算价款及付款方式</w:t>
      </w:r>
    </w:p>
    <w:p>
      <w:pPr>
        <w:pStyle w:val="6"/>
        <w:keepNext w:val="0"/>
        <w:keepLines w:val="0"/>
        <w:autoSpaceDE w:val="0"/>
        <w:autoSpaceDN w:val="0"/>
        <w:spacing w:before="120" w:after="120" w:line="360" w:lineRule="auto"/>
        <w:ind w:firstLine="420" w:firstLineChars="200"/>
        <w:rPr>
          <w:rFonts w:hint="eastAsia" w:ascii="宋体" w:hAnsi="宋体" w:cs="宋体"/>
          <w:b w:val="0"/>
          <w:color w:val="auto"/>
          <w:kern w:val="0"/>
          <w:sz w:val="21"/>
          <w:szCs w:val="21"/>
          <w:highlight w:val="none"/>
        </w:rPr>
      </w:pPr>
      <w:r>
        <w:rPr>
          <w:rFonts w:hint="eastAsia" w:ascii="宋体" w:hAnsi="宋体" w:cs="宋体"/>
          <w:b w:val="0"/>
          <w:color w:val="auto"/>
          <w:sz w:val="21"/>
          <w:szCs w:val="21"/>
          <w:highlight w:val="none"/>
        </w:rPr>
        <w:t>5.1价款组成</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 xml:space="preserve">5.1.1 </w:t>
      </w:r>
      <w:r>
        <w:rPr>
          <w:rFonts w:hint="eastAsia" w:ascii="宋体" w:hAnsi="宋体" w:cs="宋体"/>
          <w:color w:val="auto"/>
          <w:kern w:val="0"/>
          <w:szCs w:val="21"/>
          <w:highlight w:val="none"/>
        </w:rPr>
        <w:t>甲方在本合同期限内的监理费预算金额为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pStyle w:val="55"/>
        <w:snapToGrid w:val="0"/>
        <w:spacing w:before="120" w:after="120"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5.1.2  价格优惠率：</w:t>
      </w:r>
      <w:r>
        <w:rPr>
          <w:rFonts w:hint="eastAsia" w:ascii="宋体" w:hAnsi="宋体"/>
          <w:color w:val="auto"/>
          <w:kern w:val="0"/>
          <w:highlight w:val="none"/>
          <w:u w:val="single"/>
        </w:rPr>
        <w:t xml:space="preserve">      </w:t>
      </w:r>
      <w:r>
        <w:rPr>
          <w:rFonts w:hint="eastAsia" w:ascii="宋体" w:hAnsi="宋体"/>
          <w:color w:val="auto"/>
          <w:kern w:val="0"/>
          <w:highlight w:val="none"/>
        </w:rPr>
        <w:t>，监理费以</w:t>
      </w:r>
      <w:r>
        <w:rPr>
          <w:rFonts w:hint="eastAsia" w:ascii="宋体" w:hAnsi="宋体"/>
          <w:color w:val="auto"/>
          <w:highlight w:val="none"/>
        </w:rPr>
        <w:t>具体工程项目的最终审定的竣工结算（审计部门或</w:t>
      </w:r>
      <w:r>
        <w:rPr>
          <w:rFonts w:hint="eastAsia" w:ascii="宋体" w:hAnsi="宋体"/>
          <w:color w:val="auto"/>
          <w:highlight w:val="none"/>
          <w:lang w:val="zh-CN" w:bidi="zh-CN"/>
        </w:rPr>
        <w:t>甲方委托有资质的造价咨询公司审定</w:t>
      </w:r>
      <w:r>
        <w:rPr>
          <w:rFonts w:hint="eastAsia" w:ascii="宋体" w:hAnsi="宋体"/>
          <w:color w:val="auto"/>
          <w:highlight w:val="none"/>
        </w:rPr>
        <w:t>）为计费基数。</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5.1.3  各个具体工程项目结算价=各个具体工程项目按计费标准参照《广西壮族自治区工程建设其他费用定额》（桂建标〔2018〕37号）得出的监理费×（1-价格优惠率），例如：某具体工程项目按计费标准参照《广西壮族自治区工程建设其他费用定额》（桂建标〔2018〕37号）得出的监理费为100万，结算价=100万×（1-价格优惠率10%）=90万元。</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5.2 预付款：无。</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5.3 进度款支付</w:t>
      </w:r>
    </w:p>
    <w:p>
      <w:pPr>
        <w:wordWrap w:val="0"/>
        <w:topLinePunct/>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根据实际业务发生情况，按单个项目据实结算。单个项目结算具体为：监理费按具体工程项目的最终审定的竣工结算（审计部门或</w:t>
      </w:r>
      <w:r>
        <w:rPr>
          <w:rFonts w:hint="eastAsia" w:ascii="宋体" w:hAnsi="宋体" w:cs="宋体"/>
          <w:color w:val="auto"/>
          <w:szCs w:val="21"/>
          <w:highlight w:val="none"/>
          <w:lang w:val="zh-CN" w:bidi="zh-CN"/>
        </w:rPr>
        <w:t>甲方委托有资质的造价咨询公司审定</w:t>
      </w:r>
      <w:r>
        <w:rPr>
          <w:rFonts w:hint="eastAsia" w:ascii="宋体" w:hAnsi="宋体" w:cs="宋体"/>
          <w:color w:val="auto"/>
          <w:szCs w:val="21"/>
          <w:highlight w:val="none"/>
        </w:rPr>
        <w:t>）为计费基数进行计算，由甲方以银行转账的方式，在以下条件满足后的10个工作日内向乙方支付具体工程项目</w:t>
      </w:r>
      <w:r>
        <w:rPr>
          <w:rFonts w:hint="eastAsia" w:ascii="宋体" w:hAnsi="宋体"/>
          <w:color w:val="auto"/>
          <w:szCs w:val="21"/>
          <w:highlight w:val="none"/>
          <w:u w:val="single"/>
        </w:rPr>
        <w:t>实际结算监理费的100%</w:t>
      </w:r>
      <w:r>
        <w:rPr>
          <w:rFonts w:hint="eastAsia" w:ascii="宋体" w:hAnsi="宋体" w:cs="宋体"/>
          <w:color w:val="auto"/>
          <w:szCs w:val="21"/>
          <w:highlight w:val="none"/>
        </w:rPr>
        <w:t>：</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工程竣工验收合格；</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甲乙双方根据约定的结算方法进行了监理费结算，并经双方确认；</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乙方开具了足额的发票。</w:t>
      </w:r>
    </w:p>
    <w:p>
      <w:pPr>
        <w:numPr>
          <w:ilvl w:val="255"/>
          <w:numId w:val="0"/>
        </w:num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某项目监理费=《广西壮族自治区工程建设其他费用定额》（桂建标〔2018〕37号）得出的监理费×（1-价格优惠率）</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乙方需提供真实、有效、合法的正式发票，如提供虚假发票的，甲方有权解除合同，乙方除须向甲方补开合法发票外，还须向甲方支付与发票票面金额等额的违约金。</w:t>
      </w:r>
    </w:p>
    <w:p>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 xml:space="preserve">    乙方未按约履行监理职责或有其他违约行为的，甲方有权暂停支付当次应付款，直至乙方按甲方要求完成整改或纠正违约行为或消除存在的违约状态。</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本协议履行中，乙方应承担的违约金、赔偿金、其他责任费用等，甲方有权直接以应付的报酬中抵扣。</w:t>
      </w:r>
    </w:p>
    <w:p>
      <w:pPr>
        <w:spacing w:line="360" w:lineRule="auto"/>
        <w:ind w:firstLine="527" w:firstLineChars="250"/>
        <w:rPr>
          <w:rFonts w:hint="eastAsia" w:ascii="宋体" w:hAnsi="宋体" w:cs="宋体"/>
          <w:b/>
          <w:bCs/>
          <w:color w:val="auto"/>
          <w:szCs w:val="21"/>
          <w:highlight w:val="none"/>
        </w:rPr>
      </w:pPr>
      <w:r>
        <w:rPr>
          <w:rFonts w:hint="eastAsia" w:ascii="宋体" w:hAnsi="宋体" w:cs="宋体"/>
          <w:b/>
          <w:bCs/>
          <w:color w:val="auto"/>
          <w:szCs w:val="21"/>
          <w:highlight w:val="none"/>
        </w:rPr>
        <w:t>第六条 合同生效、变更、暂停、解除与终止</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6.1 生效</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甲方和乙方的法定代表人或其授权代理人在协议书上签字并盖单位章后本合同生效。</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6.2变更</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6.2.1 任何一方提出变更请求时，双方经协商一致后可进行变更。</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 暂停与解除</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6.3.1 在本合同有效期内，由于双方无法预见和控制的原因导致本合同全部或部分无法继续履行或继续履行已无意义，经双方协商一致，可以解除本合同或乙方的部分义务。在解除之前，乙方应作出合理安排，使开支减至最小。</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因解除本合同或解除乙方的部分义务导致乙方遭受的损失，除依法可以免除责任的情况外，应由甲方予以补偿，补偿金额由双方协商确定。</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解除本合同的协议必须采取书面形式，协议未达成之前，本合同仍然有效。</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6.3.2 在本合同有效期内，因非乙方的原因导致具体工程项目施工全部或部分暂停，甲方可通知乙方要求暂停全部或部分工作。乙方应立即安排停止工作，并将开支减至最小。除不可抗力外，由此导致乙方遭受的损失应由甲方予以补偿。</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在具体工程项目实施过程中，暂停部分监理与相关服务时间超过182天，乙方可发出解除合同约定的该部分义务的通知；暂停全部工作时间超过182天，乙方可发出解除合同的通知，自通知到达甲方时解除具体项目委托合同。甲方应将监理与相关服务的酬金支付至合同解除日，且应承担第4.2 款约定的责任。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6.3.3 当乙方无正当理由未履行具体工程项目约定的义务时，甲方应通知乙方限期改正。 若甲方在乙方接到通知后的7天内未收到乙方书面形式的合理解释，则可在7天内发出解除项目委托的通知，自通知到达乙方时项目委托解除。甲方应将监理与相关服务的酬金支付至限期改正通知到达乙方之日，但乙方应承担第4.1款约定的责任。</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6.3.4 因不可抗力致使本合同部分或全部不能履行时，一方应立即通知另一方，可暂停或解除本合同。</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6.3.5本合同解除后，本合同约定的有关结算、清理、争议解决方式的条件仍然有效。</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6.4 终止</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以下条件全部满足时，本合同即告终止：</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(1)乙方完成本合同约定的全部工作；</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(2)甲方与乙方结清并支付全部酬金。</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第七条  争议解决</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7.1 协商</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双方应本着诚信原则协商解决彼此间的争议。</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7.2 调解</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如果双方不能在14天内或双方商定的其他时间内解决本合同争议，本合同争议进行调解时，可提交第三方进行调解。</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7.3仲裁或诉讼</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合同争议的最终解决方式为下列第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项且所在地 </w:t>
      </w:r>
      <w:r>
        <w:rPr>
          <w:rFonts w:hint="eastAsia" w:ascii="宋体" w:hAnsi="宋体" w:cs="宋体"/>
          <w:color w:val="auto"/>
          <w:szCs w:val="21"/>
          <w:highlight w:val="none"/>
        </w:rPr>
        <w:t>仲裁委员会进行仲裁</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(2）向甲方所在地人民法院提起诉讼。</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第八条  其他</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8.1 甲方统一制定标准，在乙方每完成一项单项施工后，根据乙方完成情况，对乙方的多方面进行评分，总分累计3次低于80分的，甲方有权按合同约定解除其委托服务合同(考核表附后)。甲方有权根据校内制定的相关考核办法，对乙方的工作进行考核，学校授权委托实施的具体工程项目出现考核表中C级考核标准情况的，每项给予500元处罚。</w:t>
      </w: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有以下情形之一的，甲方有权解除委托服务合同，并追究乙方相关责任：1、财产被接管或基本账户被冻结的。2、有骗取中标或严重违约或工程质量安全问题，在本行政区域正处在停业整顿或暂停投标期间的。3、被责令停业的。4、施工期间因自身原因造成工程重大安全事故。</w:t>
      </w:r>
    </w:p>
    <w:p>
      <w:pPr>
        <w:pStyle w:val="56"/>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8.2 本合同经甲、乙双方各自法定代表人或授权代表签字（或盖章）并加盖甲乙双方各自工作或合同专用章后生效。</w:t>
      </w:r>
    </w:p>
    <w:p>
      <w:pPr>
        <w:spacing w:line="360" w:lineRule="auto"/>
        <w:ind w:firstLine="420" w:firstLineChars="200"/>
        <w:jc w:val="left"/>
        <w:rPr>
          <w:rFonts w:hint="eastAsia" w:ascii="宋体" w:hAnsi="宋体" w:cs="宋体"/>
          <w:color w:val="auto"/>
          <w:kern w:val="1"/>
          <w:highlight w:val="none"/>
        </w:rPr>
      </w:pPr>
      <w:r>
        <w:rPr>
          <w:rFonts w:hint="eastAsia" w:ascii="宋体" w:hAnsi="宋体"/>
          <w:color w:val="auto"/>
          <w:highlight w:val="none"/>
        </w:rPr>
        <w:t>8.3 本合同一式</w:t>
      </w:r>
      <w:r>
        <w:rPr>
          <w:rFonts w:hint="eastAsia" w:ascii="宋体" w:hAnsi="宋体"/>
          <w:color w:val="auto"/>
          <w:highlight w:val="none"/>
          <w:u w:val="single"/>
        </w:rPr>
        <w:t xml:space="preserve">   </w:t>
      </w:r>
      <w:r>
        <w:rPr>
          <w:rFonts w:hint="eastAsia" w:ascii="宋体" w:hAnsi="宋体"/>
          <w:color w:val="auto"/>
          <w:highlight w:val="none"/>
        </w:rPr>
        <w:t>份，具有同等法律效力，甲方执</w:t>
      </w:r>
      <w:r>
        <w:rPr>
          <w:rFonts w:hint="eastAsia" w:ascii="宋体" w:hAnsi="宋体"/>
          <w:color w:val="auto"/>
          <w:highlight w:val="none"/>
          <w:u w:val="single"/>
        </w:rPr>
        <w:t xml:space="preserve">   </w:t>
      </w:r>
      <w:r>
        <w:rPr>
          <w:rFonts w:hint="eastAsia" w:ascii="宋体" w:hAnsi="宋体"/>
          <w:color w:val="auto"/>
          <w:highlight w:val="none"/>
        </w:rPr>
        <w:t>份，乙方执</w:t>
      </w:r>
      <w:r>
        <w:rPr>
          <w:rFonts w:hint="eastAsia" w:ascii="宋体" w:hAnsi="宋体"/>
          <w:color w:val="auto"/>
          <w:highlight w:val="none"/>
          <w:u w:val="single"/>
        </w:rPr>
        <w:t xml:space="preserve">   </w:t>
      </w:r>
      <w:r>
        <w:rPr>
          <w:rFonts w:hint="eastAsia" w:ascii="宋体" w:hAnsi="宋体"/>
          <w:color w:val="auto"/>
          <w:highlight w:val="none"/>
        </w:rPr>
        <w:t>份，采购代理机构存档</w:t>
      </w:r>
      <w:r>
        <w:rPr>
          <w:rFonts w:hint="eastAsia" w:ascii="宋体" w:hAnsi="宋体"/>
          <w:color w:val="auto"/>
          <w:highlight w:val="none"/>
          <w:u w:val="single"/>
        </w:rPr>
        <w:t xml:space="preserve">   </w:t>
      </w:r>
      <w:r>
        <w:rPr>
          <w:rFonts w:hint="eastAsia" w:ascii="宋体" w:hAnsi="宋体"/>
          <w:color w:val="auto"/>
          <w:highlight w:val="none"/>
        </w:rPr>
        <w:t>份。</w:t>
      </w:r>
    </w:p>
    <w:p>
      <w:pPr>
        <w:spacing w:line="360" w:lineRule="auto"/>
        <w:ind w:firstLine="420" w:firstLineChars="200"/>
        <w:rPr>
          <w:rFonts w:hint="eastAsia" w:ascii="宋体" w:hAnsi="宋体" w:cs="宋体"/>
          <w:color w:val="auto"/>
          <w:kern w:val="1"/>
          <w:highlight w:val="none"/>
        </w:rPr>
      </w:pPr>
    </w:p>
    <w:p>
      <w:pPr>
        <w:spacing w:line="360" w:lineRule="auto"/>
        <w:ind w:firstLine="420" w:firstLineChars="200"/>
        <w:rPr>
          <w:rFonts w:hint="eastAsia" w:ascii="宋体" w:hAnsi="宋体" w:cs="宋体"/>
          <w:color w:val="auto"/>
          <w:kern w:val="1"/>
          <w:highlight w:val="none"/>
        </w:rPr>
      </w:pPr>
    </w:p>
    <w:p>
      <w:pPr>
        <w:spacing w:line="360" w:lineRule="auto"/>
        <w:ind w:firstLine="630" w:firstLineChars="300"/>
        <w:rPr>
          <w:rFonts w:hint="eastAsia" w:ascii="宋体" w:hAnsi="宋体" w:cs="宋体"/>
          <w:color w:val="auto"/>
          <w:kern w:val="1"/>
          <w:highlight w:val="none"/>
        </w:rPr>
      </w:pPr>
      <w:r>
        <w:rPr>
          <w:rFonts w:hint="eastAsia" w:ascii="宋体" w:hAnsi="宋体" w:cs="宋体"/>
          <w:color w:val="auto"/>
          <w:kern w:val="1"/>
          <w:highlight w:val="none"/>
        </w:rPr>
        <w:t xml:space="preserve">甲方：                                乙方： </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地址：                               地址： </w:t>
      </w:r>
    </w:p>
    <w:p>
      <w:pPr>
        <w:spacing w:line="360" w:lineRule="auto"/>
        <w:ind w:firstLine="630" w:firstLineChars="300"/>
        <w:rPr>
          <w:rFonts w:hint="eastAsia" w:ascii="宋体" w:hAnsi="宋体" w:cs="宋体"/>
          <w:color w:val="auto"/>
          <w:kern w:val="1"/>
          <w:highlight w:val="none"/>
        </w:rPr>
      </w:pPr>
      <w:r>
        <w:rPr>
          <w:rFonts w:hint="eastAsia" w:ascii="宋体" w:hAnsi="宋体" w:cs="宋体"/>
          <w:color w:val="auto"/>
          <w:kern w:val="1"/>
          <w:highlight w:val="none"/>
        </w:rPr>
        <w:t>邮政编码：                          邮政编码：</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法定代表人：                          法定代表人：</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授权委托代理人：                       授权委托代理人：</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电话：                                电话：   </w:t>
      </w:r>
    </w:p>
    <w:p>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 xml:space="preserve">  传真：                           传真：</w:t>
      </w:r>
    </w:p>
    <w:p>
      <w:pPr>
        <w:keepNext/>
        <w:keepLines/>
        <w:spacing w:line="360" w:lineRule="auto"/>
        <w:ind w:firstLine="630" w:firstLineChars="300"/>
        <w:outlineLvl w:val="0"/>
        <w:rPr>
          <w:rFonts w:hint="eastAsia" w:ascii="宋体" w:hAnsi="宋体" w:cs="宋体"/>
          <w:color w:val="auto"/>
          <w:kern w:val="0"/>
          <w:highlight w:val="none"/>
        </w:rPr>
        <w:sectPr>
          <w:footerReference r:id="rId6" w:type="default"/>
          <w:pgSz w:w="11907" w:h="16840"/>
          <w:pgMar w:top="1440" w:right="1440" w:bottom="1440" w:left="1797" w:header="567" w:footer="591" w:gutter="0"/>
          <w:cols w:space="720" w:num="1"/>
          <w:docGrid w:linePitch="312" w:charSpace="0"/>
        </w:sectPr>
      </w:pPr>
      <w:r>
        <w:rPr>
          <w:rFonts w:hint="eastAsia" w:ascii="宋体" w:hAnsi="宋体" w:cs="宋体"/>
          <w:color w:val="auto"/>
          <w:kern w:val="0"/>
          <w:highlight w:val="none"/>
        </w:rPr>
        <w:t>签订地点：                            签订日期：      年  月  日</w:t>
      </w:r>
    </w:p>
    <w:tbl>
      <w:tblPr>
        <w:tblStyle w:val="5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4"/>
        <w:gridCol w:w="1978"/>
        <w:gridCol w:w="3104"/>
        <w:gridCol w:w="578"/>
        <w:gridCol w:w="3252"/>
        <w:gridCol w:w="657"/>
        <w:gridCol w:w="3146"/>
        <w:gridCol w:w="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5000" w:type="pct"/>
            <w:gridSpan w:val="8"/>
          </w:tcPr>
          <w:p>
            <w:pPr>
              <w:spacing w:before="79" w:line="219" w:lineRule="auto"/>
              <w:ind w:left="5538" w:firstLine="410"/>
              <w:rPr>
                <w:rFonts w:ascii="宋体" w:hAnsi="宋体" w:eastAsia="Times New Roman" w:cs="宋体"/>
                <w:color w:val="auto"/>
                <w:szCs w:val="21"/>
                <w:highlight w:val="none"/>
                <w:lang w:eastAsia="zh-CN"/>
              </w:rPr>
            </w:pPr>
            <w:r>
              <w:rPr>
                <w:rFonts w:hint="eastAsia" w:ascii="宋体" w:hAnsi="宋体" w:eastAsia="Times New Roman" w:cs="宋体"/>
                <w:b/>
                <w:bCs/>
                <w:color w:val="auto"/>
                <w:spacing w:val="-3"/>
                <w:szCs w:val="21"/>
                <w:highlight w:val="none"/>
                <w:lang w:eastAsia="zh-CN"/>
              </w:rPr>
              <w:t>广西医科大学零星修缮项目监理单位考核表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046" w:type="pct"/>
            <w:gridSpan w:val="3"/>
          </w:tcPr>
          <w:p>
            <w:pPr>
              <w:spacing w:before="128" w:line="219" w:lineRule="auto"/>
              <w:ind w:left="95" w:firstLine="416"/>
              <w:rPr>
                <w:rFonts w:ascii="宋体" w:hAnsi="宋体" w:eastAsia="Times New Roman" w:cs="宋体"/>
                <w:color w:val="auto"/>
                <w:szCs w:val="21"/>
                <w:highlight w:val="none"/>
                <w:lang w:eastAsia="en-US"/>
              </w:rPr>
            </w:pPr>
            <w:r>
              <w:rPr>
                <w:rFonts w:hint="eastAsia" w:ascii="宋体" w:hAnsi="宋体" w:eastAsia="Times New Roman" w:cs="宋体"/>
                <w:color w:val="auto"/>
                <w:spacing w:val="-1"/>
                <w:szCs w:val="21"/>
                <w:highlight w:val="none"/>
                <w:lang w:eastAsia="en-US"/>
              </w:rPr>
              <w:t>服务单位：</w:t>
            </w:r>
          </w:p>
        </w:tc>
        <w:tc>
          <w:tcPr>
            <w:tcW w:w="2953" w:type="pct"/>
            <w:gridSpan w:val="5"/>
          </w:tcPr>
          <w:p>
            <w:pPr>
              <w:spacing w:before="129" w:line="220" w:lineRule="auto"/>
              <w:ind w:left="94" w:firstLine="500"/>
              <w:rPr>
                <w:rFonts w:ascii="宋体" w:hAnsi="宋体" w:eastAsia="Times New Roman" w:cs="宋体"/>
                <w:color w:val="auto"/>
                <w:szCs w:val="21"/>
                <w:highlight w:val="none"/>
                <w:lang w:eastAsia="en-US"/>
              </w:rPr>
            </w:pPr>
            <w:r>
              <w:rPr>
                <w:rFonts w:hint="eastAsia" w:ascii="宋体" w:hAnsi="宋体" w:eastAsia="Times New Roman" w:cs="宋体"/>
                <w:color w:val="auto"/>
                <w:spacing w:val="20"/>
                <w:szCs w:val="21"/>
                <w:highlight w:val="none"/>
                <w:lang w:eastAsia="en-US"/>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116" w:line="221" w:lineRule="auto"/>
              <w:ind w:left="138"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5"/>
                <w:szCs w:val="21"/>
                <w:highlight w:val="none"/>
                <w:lang w:eastAsia="en-US"/>
              </w:rPr>
              <w:t>序号</w:t>
            </w:r>
          </w:p>
        </w:tc>
        <w:tc>
          <w:tcPr>
            <w:tcW w:w="708" w:type="pct"/>
          </w:tcPr>
          <w:p>
            <w:pPr>
              <w:keepNext w:val="0"/>
              <w:keepLines w:val="0"/>
              <w:pageBreakBefore w:val="0"/>
              <w:widowControl w:val="0"/>
              <w:kinsoku/>
              <w:wordWrap/>
              <w:overflowPunct/>
              <w:topLinePunct w:val="0"/>
              <w:autoSpaceDE/>
              <w:autoSpaceDN/>
              <w:bidi w:val="0"/>
              <w:adjustRightInd/>
              <w:snapToGrid/>
              <w:spacing w:before="115" w:line="219" w:lineRule="auto"/>
              <w:ind w:left="684"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4"/>
                <w:szCs w:val="21"/>
                <w:highlight w:val="none"/>
                <w:lang w:eastAsia="en-US"/>
              </w:rPr>
              <w:t>考核内容</w:t>
            </w:r>
          </w:p>
        </w:tc>
        <w:tc>
          <w:tcPr>
            <w:tcW w:w="1110" w:type="pct"/>
          </w:tcPr>
          <w:p>
            <w:pPr>
              <w:keepNext w:val="0"/>
              <w:keepLines w:val="0"/>
              <w:pageBreakBefore w:val="0"/>
              <w:widowControl w:val="0"/>
              <w:kinsoku/>
              <w:wordWrap/>
              <w:overflowPunct/>
              <w:topLinePunct w:val="0"/>
              <w:autoSpaceDE/>
              <w:autoSpaceDN/>
              <w:bidi w:val="0"/>
              <w:adjustRightInd/>
              <w:snapToGrid/>
              <w:spacing w:before="115" w:line="219" w:lineRule="auto"/>
              <w:ind w:left="104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3"/>
                <w:szCs w:val="21"/>
                <w:highlight w:val="none"/>
                <w:lang w:eastAsia="en-US"/>
              </w:rPr>
              <w:t>考核标准(A级)</w:t>
            </w:r>
          </w:p>
        </w:tc>
        <w:tc>
          <w:tcPr>
            <w:tcW w:w="207" w:type="pct"/>
          </w:tcPr>
          <w:p>
            <w:pPr>
              <w:keepNext w:val="0"/>
              <w:keepLines w:val="0"/>
              <w:pageBreakBefore w:val="0"/>
              <w:widowControl w:val="0"/>
              <w:kinsoku/>
              <w:wordWrap/>
              <w:overflowPunct/>
              <w:topLinePunct w:val="0"/>
              <w:autoSpaceDE/>
              <w:autoSpaceDN/>
              <w:bidi w:val="0"/>
              <w:adjustRightInd/>
              <w:snapToGrid/>
              <w:spacing w:before="115" w:line="219" w:lineRule="auto"/>
              <w:ind w:left="107"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5"/>
                <w:szCs w:val="21"/>
                <w:highlight w:val="none"/>
                <w:lang w:eastAsia="en-US"/>
              </w:rPr>
              <w:t>得分</w:t>
            </w:r>
          </w:p>
        </w:tc>
        <w:tc>
          <w:tcPr>
            <w:tcW w:w="1164" w:type="pct"/>
          </w:tcPr>
          <w:p>
            <w:pPr>
              <w:keepNext w:val="0"/>
              <w:keepLines w:val="0"/>
              <w:pageBreakBefore w:val="0"/>
              <w:widowControl w:val="0"/>
              <w:kinsoku/>
              <w:wordWrap/>
              <w:overflowPunct/>
              <w:topLinePunct w:val="0"/>
              <w:autoSpaceDE/>
              <w:autoSpaceDN/>
              <w:bidi w:val="0"/>
              <w:adjustRightInd/>
              <w:snapToGrid/>
              <w:spacing w:before="115" w:line="219" w:lineRule="auto"/>
              <w:ind w:left="1137"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2"/>
                <w:szCs w:val="21"/>
                <w:highlight w:val="none"/>
                <w:lang w:eastAsia="en-US"/>
              </w:rPr>
              <w:t>考核标准(B级)</w:t>
            </w:r>
          </w:p>
        </w:tc>
        <w:tc>
          <w:tcPr>
            <w:tcW w:w="235" w:type="pct"/>
          </w:tcPr>
          <w:p>
            <w:pPr>
              <w:keepNext w:val="0"/>
              <w:keepLines w:val="0"/>
              <w:pageBreakBefore w:val="0"/>
              <w:widowControl w:val="0"/>
              <w:kinsoku/>
              <w:wordWrap/>
              <w:overflowPunct/>
              <w:topLinePunct w:val="0"/>
              <w:autoSpaceDE/>
              <w:autoSpaceDN/>
              <w:bidi w:val="0"/>
              <w:adjustRightInd/>
              <w:snapToGrid/>
              <w:spacing w:before="115" w:line="219" w:lineRule="auto"/>
              <w:ind w:left="159"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5"/>
                <w:szCs w:val="21"/>
                <w:highlight w:val="none"/>
                <w:lang w:eastAsia="en-US"/>
              </w:rPr>
              <w:t>得分</w:t>
            </w:r>
          </w:p>
        </w:tc>
        <w:tc>
          <w:tcPr>
            <w:tcW w:w="1126" w:type="pct"/>
          </w:tcPr>
          <w:p>
            <w:pPr>
              <w:keepNext w:val="0"/>
              <w:keepLines w:val="0"/>
              <w:pageBreakBefore w:val="0"/>
              <w:widowControl w:val="0"/>
              <w:kinsoku/>
              <w:wordWrap/>
              <w:overflowPunct/>
              <w:topLinePunct w:val="0"/>
              <w:autoSpaceDE/>
              <w:autoSpaceDN/>
              <w:bidi w:val="0"/>
              <w:adjustRightInd/>
              <w:snapToGrid/>
              <w:spacing w:before="115" w:line="219" w:lineRule="auto"/>
              <w:ind w:left="1080"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2"/>
                <w:szCs w:val="21"/>
                <w:highlight w:val="none"/>
                <w:lang w:eastAsia="en-US"/>
              </w:rPr>
              <w:t>考核标准(C级)</w:t>
            </w:r>
          </w:p>
        </w:tc>
        <w:tc>
          <w:tcPr>
            <w:tcW w:w="219" w:type="pct"/>
          </w:tcPr>
          <w:p>
            <w:pPr>
              <w:keepNext w:val="0"/>
              <w:keepLines w:val="0"/>
              <w:pageBreakBefore w:val="0"/>
              <w:widowControl w:val="0"/>
              <w:kinsoku/>
              <w:wordWrap/>
              <w:overflowPunct/>
              <w:topLinePunct w:val="0"/>
              <w:autoSpaceDE/>
              <w:autoSpaceDN/>
              <w:bidi w:val="0"/>
              <w:adjustRightInd/>
              <w:snapToGrid/>
              <w:spacing w:before="115" w:line="219" w:lineRule="auto"/>
              <w:ind w:left="132"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b/>
                <w:bCs/>
                <w:color w:val="auto"/>
                <w:spacing w:val="-5"/>
                <w:szCs w:val="21"/>
                <w:highlight w:val="none"/>
                <w:lang w:eastAsia="en-U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3" w:line="183" w:lineRule="auto"/>
              <w:ind w:left="295" w:firstLine="0"/>
              <w:textAlignment w:val="auto"/>
              <w:rPr>
                <w:rFonts w:hint="eastAsia" w:ascii="宋体" w:hAnsi="宋体" w:eastAsia="Times New Roman" w:cs="宋体"/>
                <w:color w:val="auto"/>
                <w:szCs w:val="21"/>
                <w:highlight w:val="none"/>
                <w:lang w:val="en-US" w:eastAsia="zh-CN"/>
              </w:rPr>
            </w:pPr>
            <w:r>
              <w:rPr>
                <w:rFonts w:hint="eastAsia" w:ascii="宋体" w:hAnsi="宋体" w:eastAsia="Times New Roman" w:cs="宋体"/>
                <w:color w:val="auto"/>
                <w:szCs w:val="21"/>
                <w:highlight w:val="none"/>
                <w:lang w:val="en-US" w:eastAsia="zh-CN"/>
              </w:rPr>
              <w:t>1</w:t>
            </w:r>
          </w:p>
        </w:tc>
        <w:tc>
          <w:tcPr>
            <w:tcW w:w="708" w:type="pct"/>
          </w:tcPr>
          <w:p>
            <w:pPr>
              <w:spacing w:before="79" w:line="310" w:lineRule="exact"/>
              <w:ind w:left="471" w:firstLine="436"/>
              <w:rPr>
                <w:rFonts w:ascii="宋体" w:hAnsi="宋体" w:eastAsia="Times New Roman" w:cs="宋体"/>
                <w:color w:val="auto"/>
                <w:szCs w:val="21"/>
                <w:highlight w:val="none"/>
                <w:lang w:eastAsia="zh-CN"/>
              </w:rPr>
            </w:pPr>
            <w:r>
              <w:rPr>
                <w:rFonts w:hint="eastAsia" w:ascii="宋体" w:hAnsi="宋体" w:eastAsia="Times New Roman" w:cs="宋体"/>
                <w:color w:val="auto"/>
                <w:spacing w:val="4"/>
                <w:position w:val="7"/>
                <w:szCs w:val="21"/>
                <w:highlight w:val="none"/>
                <w:lang w:eastAsia="zh-CN"/>
              </w:rPr>
              <w:t>专业监理人员</w:t>
            </w:r>
            <w:r>
              <w:rPr>
                <w:rFonts w:hint="eastAsia" w:ascii="宋体" w:hAnsi="宋体" w:eastAsia="Times New Roman" w:cs="宋体"/>
                <w:color w:val="auto"/>
                <w:spacing w:val="-2"/>
                <w:szCs w:val="21"/>
                <w:highlight w:val="none"/>
                <w:lang w:eastAsia="zh-CN"/>
              </w:rPr>
              <w:t>配备情况</w:t>
            </w:r>
          </w:p>
        </w:tc>
        <w:tc>
          <w:tcPr>
            <w:tcW w:w="1110" w:type="pct"/>
          </w:tcPr>
          <w:p>
            <w:pPr>
              <w:spacing w:before="58" w:line="247" w:lineRule="auto"/>
              <w:ind w:left="121" w:right="177"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项目机构健全，人员人数落实到位</w:t>
            </w:r>
            <w:r>
              <w:rPr>
                <w:rFonts w:hint="eastAsia" w:ascii="宋体" w:hAnsi="宋体" w:eastAsia="Times New Roman" w:cs="宋体"/>
                <w:color w:val="auto"/>
                <w:spacing w:val="2"/>
                <w:szCs w:val="21"/>
                <w:highlight w:val="none"/>
                <w:lang w:eastAsia="zh-CN"/>
              </w:rPr>
              <w:t xml:space="preserve"> </w:t>
            </w:r>
            <w:r>
              <w:rPr>
                <w:rFonts w:hint="eastAsia" w:ascii="宋体" w:hAnsi="宋体" w:eastAsia="Times New Roman" w:cs="宋体"/>
                <w:color w:val="auto"/>
                <w:spacing w:val="1"/>
                <w:szCs w:val="21"/>
                <w:highlight w:val="none"/>
                <w:lang w:eastAsia="zh-CN"/>
              </w:rPr>
              <w:t>现场管理高效有序</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7</w:t>
            </w:r>
          </w:p>
        </w:tc>
        <w:tc>
          <w:tcPr>
            <w:tcW w:w="1164" w:type="pct"/>
          </w:tcPr>
          <w:p>
            <w:pPr>
              <w:spacing w:before="46" w:line="252" w:lineRule="auto"/>
              <w:ind w:left="134" w:right="134"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项目机构基本健全，人员人数基本落</w:t>
            </w:r>
            <w:r>
              <w:rPr>
                <w:rFonts w:hint="eastAsia" w:ascii="宋体" w:hAnsi="宋体" w:eastAsia="Times New Roman" w:cs="宋体"/>
                <w:color w:val="auto"/>
                <w:spacing w:val="8"/>
                <w:szCs w:val="21"/>
                <w:highlight w:val="none"/>
                <w:lang w:eastAsia="zh-CN"/>
              </w:rPr>
              <w:t xml:space="preserve"> </w:t>
            </w:r>
            <w:r>
              <w:rPr>
                <w:rFonts w:hint="eastAsia" w:ascii="宋体" w:hAnsi="宋体" w:eastAsia="Times New Roman" w:cs="宋体"/>
                <w:color w:val="auto"/>
                <w:szCs w:val="21"/>
                <w:highlight w:val="none"/>
                <w:lang w:eastAsia="zh-CN"/>
              </w:rPr>
              <w:t>实到位，现场管理基本有序</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c>
          <w:tcPr>
            <w:tcW w:w="1126" w:type="pct"/>
          </w:tcPr>
          <w:p>
            <w:pPr>
              <w:spacing w:before="46" w:line="252" w:lineRule="auto"/>
              <w:ind w:left="147" w:right="69"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项目机构不健全，人员人数不足，不</w:t>
            </w:r>
            <w:r>
              <w:rPr>
                <w:rFonts w:hint="eastAsia" w:ascii="宋体" w:hAnsi="宋体" w:eastAsia="Times New Roman" w:cs="宋体"/>
                <w:color w:val="auto"/>
                <w:spacing w:val="1"/>
                <w:szCs w:val="21"/>
                <w:highlight w:val="none"/>
                <w:lang w:eastAsia="zh-CN"/>
              </w:rPr>
              <w:t>能满足现场管理需要</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3" w:line="183" w:lineRule="auto"/>
              <w:ind w:left="295" w:firstLine="0"/>
              <w:textAlignment w:val="auto"/>
              <w:rPr>
                <w:rFonts w:hint="eastAsia"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2</w:t>
            </w:r>
          </w:p>
        </w:tc>
        <w:tc>
          <w:tcPr>
            <w:tcW w:w="708" w:type="pct"/>
          </w:tcPr>
          <w:p>
            <w:pPr>
              <w:spacing w:before="49" w:line="220" w:lineRule="auto"/>
              <w:ind w:left="361" w:firstLine="436"/>
              <w:rPr>
                <w:rFonts w:ascii="宋体" w:hAnsi="宋体" w:eastAsia="Times New Roman" w:cs="宋体"/>
                <w:color w:val="auto"/>
                <w:szCs w:val="21"/>
                <w:highlight w:val="none"/>
                <w:lang w:eastAsia="zh-CN"/>
              </w:rPr>
            </w:pPr>
            <w:r>
              <w:rPr>
                <w:rFonts w:hint="eastAsia" w:ascii="宋体" w:hAnsi="宋体" w:eastAsia="Times New Roman" w:cs="宋体"/>
                <w:color w:val="auto"/>
                <w:spacing w:val="4"/>
                <w:szCs w:val="21"/>
                <w:highlight w:val="none"/>
                <w:lang w:eastAsia="zh-CN"/>
              </w:rPr>
              <w:t>★项目监理人员</w:t>
            </w:r>
            <w:r>
              <w:rPr>
                <w:rFonts w:hint="eastAsia" w:ascii="宋体" w:hAnsi="宋体" w:eastAsia="Times New Roman" w:cs="宋体"/>
                <w:color w:val="auto"/>
                <w:spacing w:val="1"/>
                <w:szCs w:val="21"/>
                <w:highlight w:val="none"/>
                <w:lang w:eastAsia="zh-CN"/>
              </w:rPr>
              <w:t>到岗在岗情况</w:t>
            </w:r>
          </w:p>
        </w:tc>
        <w:tc>
          <w:tcPr>
            <w:tcW w:w="1110" w:type="pct"/>
          </w:tcPr>
          <w:p>
            <w:pPr>
              <w:spacing w:before="57" w:line="247" w:lineRule="auto"/>
              <w:ind w:right="626" w:firstLine="424"/>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项目出勤率达到85%以上</w:t>
            </w:r>
            <w:r>
              <w:rPr>
                <w:rFonts w:hint="eastAsia" w:ascii="宋体" w:hAnsi="宋体" w:eastAsia="Times New Roman" w:cs="宋体"/>
                <w:color w:val="auto"/>
                <w:spacing w:val="4"/>
                <w:szCs w:val="21"/>
                <w:highlight w:val="none"/>
                <w:lang w:eastAsia="zh-CN"/>
              </w:rPr>
              <w:t>(以项目工期作为基数)</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7</w:t>
            </w:r>
          </w:p>
        </w:tc>
        <w:tc>
          <w:tcPr>
            <w:tcW w:w="1164" w:type="pct"/>
          </w:tcPr>
          <w:p>
            <w:pPr>
              <w:spacing w:before="37" w:line="219" w:lineRule="auto"/>
              <w:ind w:left="84"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项目出勤率达到65%以上，监理人员遥</w:t>
            </w:r>
            <w:r>
              <w:rPr>
                <w:rFonts w:hint="eastAsia" w:ascii="宋体" w:hAnsi="宋体" w:eastAsia="Times New Roman" w:cs="宋体"/>
                <w:color w:val="auto"/>
                <w:spacing w:val="3"/>
                <w:szCs w:val="21"/>
                <w:highlight w:val="none"/>
                <w:lang w:eastAsia="zh-CN"/>
              </w:rPr>
              <w:t>控指挥(以项目工期作为基数)</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c>
          <w:tcPr>
            <w:tcW w:w="1126" w:type="pct"/>
          </w:tcPr>
          <w:p>
            <w:pPr>
              <w:spacing w:before="67" w:line="219" w:lineRule="auto"/>
              <w:ind w:left="127" w:firstLine="424"/>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项目出勤率达到45%以上，监理人员</w:t>
            </w:r>
            <w:r>
              <w:rPr>
                <w:rFonts w:hint="eastAsia" w:ascii="宋体" w:hAnsi="宋体" w:eastAsia="Times New Roman" w:cs="宋体"/>
                <w:color w:val="auto"/>
                <w:spacing w:val="3"/>
                <w:szCs w:val="21"/>
                <w:highlight w:val="none"/>
                <w:lang w:eastAsia="zh-CN"/>
              </w:rPr>
              <w:t>散漫(以项目工期作为基数)</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3" w:line="183" w:lineRule="auto"/>
              <w:ind w:left="29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3</w:t>
            </w:r>
          </w:p>
        </w:tc>
        <w:tc>
          <w:tcPr>
            <w:tcW w:w="708" w:type="pct"/>
          </w:tcPr>
          <w:p>
            <w:pPr>
              <w:spacing w:before="210" w:line="220" w:lineRule="auto"/>
              <w:ind w:left="151" w:firstLine="420"/>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★项目安全控制情况</w:t>
            </w:r>
          </w:p>
        </w:tc>
        <w:tc>
          <w:tcPr>
            <w:tcW w:w="1110" w:type="pct"/>
          </w:tcPr>
          <w:p>
            <w:pPr>
              <w:spacing w:before="40" w:line="250" w:lineRule="auto"/>
              <w:ind w:left="132" w:right="145" w:firstLine="424"/>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安全管理受控，安全隐患能及时消</w:t>
            </w:r>
            <w:r>
              <w:rPr>
                <w:rFonts w:hint="eastAsia" w:ascii="宋体" w:hAnsi="宋体" w:eastAsia="Times New Roman" w:cs="宋体"/>
                <w:color w:val="auto"/>
                <w:szCs w:val="21"/>
                <w:highlight w:val="none"/>
                <w:lang w:eastAsia="zh-CN"/>
              </w:rPr>
              <w:t>除</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10</w:t>
            </w:r>
          </w:p>
        </w:tc>
        <w:tc>
          <w:tcPr>
            <w:tcW w:w="1164" w:type="pct"/>
          </w:tcPr>
          <w:p>
            <w:pPr>
              <w:spacing w:before="48" w:line="242" w:lineRule="auto"/>
              <w:ind w:left="104" w:right="134"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安全管理基本受控，安全隐患基本</w:t>
            </w:r>
            <w:r>
              <w:rPr>
                <w:rFonts w:hint="eastAsia" w:ascii="宋体" w:hAnsi="宋体" w:eastAsia="Times New Roman" w:cs="宋体"/>
                <w:color w:val="auto"/>
                <w:spacing w:val="3"/>
                <w:szCs w:val="21"/>
                <w:highlight w:val="none"/>
                <w:lang w:eastAsia="zh-CN"/>
              </w:rPr>
              <w:t>能消除</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1126" w:type="pct"/>
          </w:tcPr>
          <w:p>
            <w:pPr>
              <w:spacing w:before="59" w:line="238" w:lineRule="auto"/>
              <w:ind w:left="106" w:right="69"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安全管理混乱，无安全管理体系，不</w:t>
            </w:r>
            <w:r>
              <w:rPr>
                <w:rFonts w:hint="eastAsia" w:ascii="宋体" w:hAnsi="宋体" w:eastAsia="Times New Roman" w:cs="宋体"/>
                <w:color w:val="auto"/>
                <w:spacing w:val="10"/>
                <w:szCs w:val="21"/>
                <w:highlight w:val="none"/>
                <w:lang w:eastAsia="zh-CN"/>
              </w:rPr>
              <w:t xml:space="preserve"> </w:t>
            </w:r>
            <w:r>
              <w:rPr>
                <w:rFonts w:hint="eastAsia" w:ascii="宋体" w:hAnsi="宋体" w:eastAsia="Times New Roman" w:cs="宋体"/>
                <w:color w:val="auto"/>
                <w:spacing w:val="1"/>
                <w:szCs w:val="21"/>
                <w:highlight w:val="none"/>
                <w:lang w:eastAsia="zh-CN"/>
              </w:rPr>
              <w:t>能有效对现场安全进行控制</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4" w:line="183" w:lineRule="auto"/>
              <w:ind w:left="29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c>
          <w:tcPr>
            <w:tcW w:w="708" w:type="pct"/>
          </w:tcPr>
          <w:p>
            <w:pPr>
              <w:spacing w:before="211" w:line="220" w:lineRule="auto"/>
              <w:ind w:left="151" w:firstLine="420"/>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★项目质量控制情况</w:t>
            </w:r>
          </w:p>
        </w:tc>
        <w:tc>
          <w:tcPr>
            <w:tcW w:w="1110" w:type="pct"/>
          </w:tcPr>
          <w:p>
            <w:pPr>
              <w:spacing w:before="31" w:line="255" w:lineRule="auto"/>
              <w:ind w:left="121" w:right="175"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质量控制体系运作有效，各分部分</w:t>
            </w:r>
            <w:r>
              <w:rPr>
                <w:rFonts w:hint="eastAsia" w:ascii="宋体" w:hAnsi="宋体" w:eastAsia="Times New Roman" w:cs="宋体"/>
                <w:color w:val="auto"/>
                <w:spacing w:val="4"/>
                <w:szCs w:val="21"/>
                <w:highlight w:val="none"/>
                <w:lang w:eastAsia="zh-CN"/>
              </w:rPr>
              <w:t xml:space="preserve"> </w:t>
            </w:r>
            <w:r>
              <w:rPr>
                <w:rFonts w:hint="eastAsia" w:ascii="宋体" w:hAnsi="宋体" w:eastAsia="Times New Roman" w:cs="宋体"/>
                <w:color w:val="auto"/>
                <w:spacing w:val="1"/>
                <w:szCs w:val="21"/>
                <w:highlight w:val="none"/>
                <w:lang w:eastAsia="zh-CN"/>
              </w:rPr>
              <w:t>项工程质量受控</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12</w:t>
            </w:r>
          </w:p>
        </w:tc>
        <w:tc>
          <w:tcPr>
            <w:tcW w:w="1164" w:type="pct"/>
          </w:tcPr>
          <w:p>
            <w:pPr>
              <w:spacing w:before="38" w:line="246" w:lineRule="auto"/>
              <w:ind w:left="104" w:right="132"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质量控制体系运作基本有效，各分部</w:t>
            </w:r>
            <w:r>
              <w:rPr>
                <w:rFonts w:hint="eastAsia" w:ascii="宋体" w:hAnsi="宋体" w:eastAsia="Times New Roman" w:cs="宋体"/>
                <w:color w:val="auto"/>
                <w:spacing w:val="-1"/>
                <w:szCs w:val="21"/>
                <w:highlight w:val="none"/>
                <w:lang w:eastAsia="zh-CN"/>
              </w:rPr>
              <w:t>分项工程质量基本受控</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8</w:t>
            </w:r>
          </w:p>
        </w:tc>
        <w:tc>
          <w:tcPr>
            <w:tcW w:w="1126" w:type="pct"/>
          </w:tcPr>
          <w:p>
            <w:pPr>
              <w:spacing w:before="40" w:line="251" w:lineRule="auto"/>
              <w:ind w:left="106" w:right="69" w:firstLine="420"/>
              <w:rPr>
                <w:rFonts w:ascii="宋体" w:hAnsi="宋体" w:eastAsia="Times New Roman" w:cs="宋体"/>
                <w:color w:val="auto"/>
                <w:szCs w:val="21"/>
                <w:highlight w:val="none"/>
                <w:lang w:eastAsia="zh-CN"/>
              </w:rPr>
            </w:pPr>
            <w:r>
              <w:rPr>
                <w:rFonts w:hint="eastAsia" w:ascii="宋体" w:hAnsi="宋体" w:eastAsia="Times New Roman" w:cs="宋体"/>
                <w:color w:val="auto"/>
                <w:szCs w:val="21"/>
                <w:highlight w:val="none"/>
                <w:lang w:eastAsia="zh-CN"/>
              </w:rPr>
              <w:t>质量控制混乱，无质量管理体系，不</w:t>
            </w:r>
            <w:r>
              <w:rPr>
                <w:rFonts w:hint="eastAsia" w:ascii="宋体" w:hAnsi="宋体" w:eastAsia="Times New Roman" w:cs="宋体"/>
                <w:color w:val="auto"/>
                <w:spacing w:val="1"/>
                <w:szCs w:val="21"/>
                <w:highlight w:val="none"/>
                <w:lang w:eastAsia="zh-CN"/>
              </w:rPr>
              <w:t>能有效对现场质量进行控制</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6" w:line="182" w:lineRule="auto"/>
              <w:ind w:left="29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708" w:type="pct"/>
          </w:tcPr>
          <w:p>
            <w:pPr>
              <w:spacing w:before="212" w:line="220" w:lineRule="auto"/>
              <w:ind w:left="151" w:firstLine="420"/>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★项目进度控制情况</w:t>
            </w:r>
          </w:p>
        </w:tc>
        <w:tc>
          <w:tcPr>
            <w:tcW w:w="1110" w:type="pct"/>
          </w:tcPr>
          <w:p>
            <w:pPr>
              <w:spacing w:before="211" w:line="219" w:lineRule="auto"/>
              <w:ind w:left="1312" w:firstLine="412"/>
              <w:rPr>
                <w:rFonts w:ascii="宋体" w:hAnsi="宋体" w:eastAsia="Times New Roman" w:cs="宋体"/>
                <w:color w:val="auto"/>
                <w:szCs w:val="21"/>
                <w:highlight w:val="none"/>
                <w:lang w:eastAsia="en-US"/>
              </w:rPr>
            </w:pPr>
            <w:r>
              <w:rPr>
                <w:rFonts w:hint="eastAsia" w:ascii="宋体" w:hAnsi="宋体" w:eastAsia="Times New Roman" w:cs="宋体"/>
                <w:color w:val="auto"/>
                <w:spacing w:val="-2"/>
                <w:szCs w:val="21"/>
                <w:highlight w:val="none"/>
                <w:lang w:eastAsia="en-US"/>
              </w:rPr>
              <w:t>按期完成</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12</w:t>
            </w:r>
          </w:p>
        </w:tc>
        <w:tc>
          <w:tcPr>
            <w:tcW w:w="1164" w:type="pct"/>
          </w:tcPr>
          <w:p>
            <w:pPr>
              <w:spacing w:before="212" w:line="220" w:lineRule="auto"/>
              <w:ind w:left="1234" w:firstLine="416"/>
              <w:rPr>
                <w:rFonts w:ascii="宋体" w:hAnsi="宋体" w:eastAsia="Times New Roman" w:cs="宋体"/>
                <w:color w:val="auto"/>
                <w:szCs w:val="21"/>
                <w:highlight w:val="none"/>
                <w:lang w:eastAsia="en-US"/>
              </w:rPr>
            </w:pPr>
            <w:r>
              <w:rPr>
                <w:rFonts w:hint="eastAsia" w:ascii="宋体" w:hAnsi="宋体" w:eastAsia="Times New Roman" w:cs="宋体"/>
                <w:color w:val="auto"/>
                <w:spacing w:val="-1"/>
                <w:szCs w:val="21"/>
                <w:highlight w:val="none"/>
                <w:lang w:eastAsia="en-US"/>
              </w:rPr>
              <w:t>超总工期30%</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8</w:t>
            </w:r>
          </w:p>
        </w:tc>
        <w:tc>
          <w:tcPr>
            <w:tcW w:w="1126" w:type="pct"/>
          </w:tcPr>
          <w:p>
            <w:pPr>
              <w:spacing w:before="212" w:line="220" w:lineRule="auto"/>
              <w:ind w:left="1176" w:firstLine="416"/>
              <w:rPr>
                <w:rFonts w:ascii="宋体" w:hAnsi="宋体" w:eastAsia="Times New Roman" w:cs="宋体"/>
                <w:color w:val="auto"/>
                <w:szCs w:val="21"/>
                <w:highlight w:val="none"/>
                <w:lang w:eastAsia="en-US"/>
              </w:rPr>
            </w:pPr>
            <w:r>
              <w:rPr>
                <w:rFonts w:hint="eastAsia" w:ascii="宋体" w:hAnsi="宋体" w:eastAsia="Times New Roman" w:cs="宋体"/>
                <w:color w:val="auto"/>
                <w:spacing w:val="-1"/>
                <w:szCs w:val="21"/>
                <w:highlight w:val="none"/>
                <w:lang w:eastAsia="en-US"/>
              </w:rPr>
              <w:t>超总工期50%</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before="266" w:line="183" w:lineRule="auto"/>
              <w:ind w:left="29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6</w:t>
            </w:r>
          </w:p>
        </w:tc>
        <w:tc>
          <w:tcPr>
            <w:tcW w:w="708" w:type="pct"/>
          </w:tcPr>
          <w:p>
            <w:pPr>
              <w:spacing w:before="213" w:line="220" w:lineRule="auto"/>
              <w:ind w:left="261" w:firstLine="424"/>
              <w:rPr>
                <w:rFonts w:ascii="宋体" w:hAnsi="宋体" w:eastAsia="Times New Roman" w:cs="宋体"/>
                <w:color w:val="auto"/>
                <w:szCs w:val="21"/>
                <w:highlight w:val="none"/>
                <w:lang w:eastAsia="en-US"/>
              </w:rPr>
            </w:pPr>
            <w:r>
              <w:rPr>
                <w:rFonts w:hint="eastAsia" w:ascii="宋体" w:hAnsi="宋体" w:eastAsia="Times New Roman" w:cs="宋体"/>
                <w:color w:val="auto"/>
                <w:spacing w:val="1"/>
                <w:szCs w:val="21"/>
                <w:highlight w:val="none"/>
                <w:lang w:eastAsia="en-US"/>
              </w:rPr>
              <w:t>项目投资控制情况</w:t>
            </w:r>
          </w:p>
        </w:tc>
        <w:tc>
          <w:tcPr>
            <w:tcW w:w="1110" w:type="pct"/>
          </w:tcPr>
          <w:p>
            <w:pPr>
              <w:spacing w:before="212" w:line="219" w:lineRule="auto"/>
              <w:ind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施工单位送审结算不超合同金额</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10</w:t>
            </w:r>
          </w:p>
        </w:tc>
        <w:tc>
          <w:tcPr>
            <w:tcW w:w="1164"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施工单位送审结算超出合同金额3%以 内</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1126"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施工单位送审结算超出合同金额10% 以内</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line="258"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9" w:lineRule="auto"/>
              <w:ind w:firstLine="0"/>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before="68" w:line="182" w:lineRule="auto"/>
              <w:ind w:left="295" w:firstLine="0"/>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7</w:t>
            </w:r>
          </w:p>
        </w:tc>
        <w:tc>
          <w:tcPr>
            <w:tcW w:w="708" w:type="pct"/>
          </w:tcPr>
          <w:p>
            <w:pPr>
              <w:spacing w:line="462" w:lineRule="auto"/>
              <w:ind w:firstLine="420"/>
              <w:rPr>
                <w:rFonts w:ascii="宋体" w:hAnsi="宋体" w:eastAsia="Times New Roman" w:cs="宋体"/>
                <w:color w:val="auto"/>
                <w:szCs w:val="21"/>
                <w:highlight w:val="none"/>
                <w:lang w:eastAsia="en-US"/>
              </w:rPr>
            </w:pPr>
          </w:p>
          <w:p>
            <w:pPr>
              <w:spacing w:before="68" w:line="219" w:lineRule="auto"/>
              <w:ind w:left="151" w:firstLine="420"/>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★项目资料管理情况</w:t>
            </w:r>
          </w:p>
        </w:tc>
        <w:tc>
          <w:tcPr>
            <w:tcW w:w="1110" w:type="pct"/>
            <w:vAlign w:val="center"/>
          </w:tcPr>
          <w:p>
            <w:pPr>
              <w:spacing w:before="62" w:line="219" w:lineRule="auto"/>
              <w:ind w:firstLine="432"/>
              <w:rPr>
                <w:rFonts w:ascii="宋体" w:hAnsi="宋体" w:eastAsia="Times New Roman" w:cs="宋体"/>
                <w:color w:val="auto"/>
                <w:szCs w:val="21"/>
                <w:highlight w:val="none"/>
                <w:lang w:eastAsia="zh-CN"/>
              </w:rPr>
            </w:pPr>
            <w:r>
              <w:rPr>
                <w:rFonts w:hint="eastAsia" w:ascii="宋体" w:hAnsi="宋体" w:eastAsia="Times New Roman" w:cs="宋体"/>
                <w:color w:val="auto"/>
                <w:spacing w:val="3"/>
                <w:szCs w:val="21"/>
                <w:highlight w:val="none"/>
                <w:lang w:eastAsia="zh-CN"/>
              </w:rPr>
              <w:t>项目现场踏勘工作记录、影像材料、</w:t>
            </w:r>
            <w:r>
              <w:rPr>
                <w:rFonts w:hint="eastAsia" w:ascii="宋体" w:hAnsi="宋体" w:eastAsia="Times New Roman" w:cs="宋体"/>
                <w:color w:val="auto"/>
                <w:szCs w:val="21"/>
                <w:highlight w:val="none"/>
                <w:lang w:eastAsia="zh-CN"/>
              </w:rPr>
              <w:t>监理资料真实、完整，且能及时按要求进行收集、编撰、整合归档，</w:t>
            </w:r>
            <w:r>
              <w:rPr>
                <w:rFonts w:hint="eastAsia" w:ascii="宋体" w:hAnsi="宋体" w:eastAsia="Times New Roman" w:cs="宋体"/>
                <w:color w:val="auto"/>
                <w:spacing w:val="2"/>
                <w:szCs w:val="21"/>
                <w:highlight w:val="none"/>
                <w:lang w:eastAsia="zh-CN"/>
              </w:rPr>
              <w:t>递交归档时间在半个月内</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10</w:t>
            </w:r>
          </w:p>
        </w:tc>
        <w:tc>
          <w:tcPr>
            <w:tcW w:w="1164"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项目现场踏勘工作记录、影像材料、监理资料真实、完整，且基本及时按要求进行收集、编撰、整合归档，递交归档时间在1个月内</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1126"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项目现场踏勘工作记录、影像材料、监理资料真实、完整，但不能及时按要求进行收集、编撰、整合归档，递交归档时间在3个月内</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8</w:t>
            </w:r>
          </w:p>
        </w:tc>
        <w:tc>
          <w:tcPr>
            <w:tcW w:w="708" w:type="pct"/>
          </w:tcPr>
          <w:p>
            <w:pPr>
              <w:spacing w:line="314" w:lineRule="auto"/>
              <w:ind w:firstLine="420"/>
              <w:rPr>
                <w:rFonts w:ascii="宋体" w:hAnsi="宋体" w:eastAsia="Times New Roman" w:cs="宋体"/>
                <w:color w:val="auto"/>
                <w:szCs w:val="21"/>
                <w:highlight w:val="none"/>
                <w:lang w:eastAsia="en-US"/>
              </w:rPr>
            </w:pPr>
          </w:p>
          <w:p>
            <w:pPr>
              <w:spacing w:before="68" w:line="219" w:lineRule="auto"/>
              <w:ind w:left="471" w:firstLine="412"/>
              <w:rPr>
                <w:rFonts w:ascii="宋体" w:hAnsi="宋体" w:eastAsia="Times New Roman" w:cs="宋体"/>
                <w:color w:val="auto"/>
                <w:szCs w:val="21"/>
                <w:highlight w:val="none"/>
                <w:lang w:eastAsia="en-US"/>
              </w:rPr>
            </w:pPr>
            <w:r>
              <w:rPr>
                <w:rFonts w:hint="eastAsia" w:ascii="宋体" w:hAnsi="宋体" w:eastAsia="Times New Roman" w:cs="宋体"/>
                <w:color w:val="auto"/>
                <w:spacing w:val="-2"/>
                <w:szCs w:val="21"/>
                <w:highlight w:val="none"/>
                <w:lang w:eastAsia="en-US"/>
              </w:rPr>
              <w:t>项目合同管理</w:t>
            </w:r>
          </w:p>
        </w:tc>
        <w:tc>
          <w:tcPr>
            <w:tcW w:w="1110"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能有效协调合同的争议及款项拨付的事宜</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7</w:t>
            </w:r>
          </w:p>
        </w:tc>
        <w:tc>
          <w:tcPr>
            <w:tcW w:w="1164"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基本能协调合同的争议及款项拨付的事宜</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4</w:t>
            </w:r>
          </w:p>
        </w:tc>
        <w:tc>
          <w:tcPr>
            <w:tcW w:w="1126"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不能有效协调合同的争议及款项拨 付的事宜</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9</w:t>
            </w:r>
          </w:p>
        </w:tc>
        <w:tc>
          <w:tcPr>
            <w:tcW w:w="708" w:type="pct"/>
          </w:tcPr>
          <w:p>
            <w:pPr>
              <w:spacing w:line="306" w:lineRule="auto"/>
              <w:ind w:firstLine="420"/>
              <w:rPr>
                <w:rFonts w:ascii="宋体" w:hAnsi="宋体" w:eastAsia="Times New Roman" w:cs="宋体"/>
                <w:color w:val="auto"/>
                <w:szCs w:val="21"/>
                <w:highlight w:val="none"/>
                <w:lang w:eastAsia="en-US"/>
              </w:rPr>
            </w:pPr>
          </w:p>
          <w:p>
            <w:pPr>
              <w:spacing w:before="68" w:line="220" w:lineRule="auto"/>
              <w:ind w:left="471" w:firstLine="412"/>
              <w:rPr>
                <w:rFonts w:ascii="宋体" w:hAnsi="宋体" w:eastAsia="Times New Roman" w:cs="宋体"/>
                <w:color w:val="auto"/>
                <w:szCs w:val="21"/>
                <w:highlight w:val="none"/>
                <w:lang w:eastAsia="en-US"/>
              </w:rPr>
            </w:pPr>
            <w:r>
              <w:rPr>
                <w:rFonts w:hint="eastAsia" w:ascii="宋体" w:hAnsi="宋体" w:eastAsia="Times New Roman" w:cs="宋体"/>
                <w:color w:val="auto"/>
                <w:spacing w:val="-2"/>
                <w:szCs w:val="21"/>
                <w:highlight w:val="none"/>
                <w:lang w:eastAsia="en-US"/>
              </w:rPr>
              <w:t>组织协调情况</w:t>
            </w:r>
          </w:p>
        </w:tc>
        <w:tc>
          <w:tcPr>
            <w:tcW w:w="1110"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能与建设各方积极主动进行沟通与协调，现场出现的各种问题都能够得到及时有效的解决</w:t>
            </w:r>
          </w:p>
        </w:tc>
        <w:tc>
          <w:tcPr>
            <w:tcW w:w="20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10</w:t>
            </w:r>
          </w:p>
        </w:tc>
        <w:tc>
          <w:tcPr>
            <w:tcW w:w="1164"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与建设各方能进行沟通与协调，个别问题因非监理方的责任不能及时解决，给工程实施造成一定影响</w:t>
            </w:r>
          </w:p>
        </w:tc>
        <w:tc>
          <w:tcPr>
            <w:tcW w:w="235"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5</w:t>
            </w:r>
          </w:p>
        </w:tc>
        <w:tc>
          <w:tcPr>
            <w:tcW w:w="1126" w:type="pct"/>
          </w:tcPr>
          <w:p>
            <w:pPr>
              <w:spacing w:before="212" w:line="219" w:lineRule="auto"/>
              <w:ind w:firstLine="416"/>
              <w:rPr>
                <w:rFonts w:ascii="宋体" w:hAnsi="宋体" w:eastAsia="Times New Roman" w:cs="宋体"/>
                <w:color w:val="auto"/>
                <w:spacing w:val="-1"/>
                <w:szCs w:val="21"/>
                <w:highlight w:val="none"/>
                <w:lang w:eastAsia="zh-CN"/>
              </w:rPr>
            </w:pPr>
            <w:r>
              <w:rPr>
                <w:rFonts w:hint="eastAsia" w:ascii="宋体" w:hAnsi="宋体" w:eastAsia="Times New Roman" w:cs="宋体"/>
                <w:color w:val="auto"/>
                <w:spacing w:val="-1"/>
                <w:szCs w:val="21"/>
                <w:highlight w:val="none"/>
                <w:lang w:eastAsia="zh-CN"/>
              </w:rPr>
              <w:t>不能与建设各方形成有效沟通与协调，个别问题因非监理方的责任不能解决，给工程实施造成恶劣影响</w:t>
            </w:r>
          </w:p>
        </w:tc>
        <w:tc>
          <w:tcPr>
            <w:tcW w:w="219"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227" w:type="pct"/>
          </w:tcPr>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p>
          <w:p>
            <w:pPr>
              <w:keepNext w:val="0"/>
              <w:keepLines w:val="0"/>
              <w:pageBreakBefore w:val="0"/>
              <w:widowControl w:val="0"/>
              <w:kinsoku/>
              <w:wordWrap/>
              <w:overflowPunct/>
              <w:topLinePunct w:val="0"/>
              <w:autoSpaceDE/>
              <w:autoSpaceDN/>
              <w:bidi w:val="0"/>
              <w:adjustRightInd/>
              <w:snapToGrid/>
              <w:spacing w:line="258" w:lineRule="auto"/>
              <w:ind w:firstLine="0"/>
              <w:jc w:val="center"/>
              <w:textAlignment w:val="auto"/>
              <w:rPr>
                <w:rFonts w:ascii="宋体" w:hAnsi="宋体" w:eastAsia="Times New Roman" w:cs="宋体"/>
                <w:color w:val="auto"/>
                <w:szCs w:val="21"/>
                <w:highlight w:val="none"/>
                <w:lang w:eastAsia="en-US"/>
              </w:rPr>
            </w:pPr>
            <w:r>
              <w:rPr>
                <w:rFonts w:hint="eastAsia" w:ascii="宋体" w:hAnsi="宋体" w:eastAsia="Times New Roman" w:cs="宋体"/>
                <w:color w:val="auto"/>
                <w:szCs w:val="21"/>
                <w:highlight w:val="none"/>
                <w:lang w:eastAsia="en-US"/>
              </w:rPr>
              <w:t>10</w:t>
            </w:r>
          </w:p>
        </w:tc>
        <w:tc>
          <w:tcPr>
            <w:tcW w:w="708" w:type="pct"/>
          </w:tcPr>
          <w:p>
            <w:pPr>
              <w:spacing w:line="242" w:lineRule="auto"/>
              <w:ind w:firstLine="420"/>
              <w:rPr>
                <w:rFonts w:ascii="宋体" w:hAnsi="宋体" w:eastAsia="Times New Roman" w:cs="宋体"/>
                <w:color w:val="auto"/>
                <w:szCs w:val="21"/>
                <w:highlight w:val="none"/>
                <w:lang w:eastAsia="en-US"/>
              </w:rPr>
            </w:pPr>
          </w:p>
          <w:p>
            <w:pPr>
              <w:spacing w:line="243" w:lineRule="auto"/>
              <w:ind w:firstLine="420"/>
              <w:rPr>
                <w:rFonts w:ascii="宋体" w:hAnsi="宋体" w:eastAsia="Times New Roman" w:cs="宋体"/>
                <w:color w:val="auto"/>
                <w:szCs w:val="21"/>
                <w:highlight w:val="none"/>
                <w:lang w:eastAsia="en-US"/>
              </w:rPr>
            </w:pPr>
          </w:p>
          <w:p>
            <w:pPr>
              <w:spacing w:before="68" w:line="219" w:lineRule="auto"/>
              <w:ind w:left="261" w:firstLine="424"/>
              <w:rPr>
                <w:rFonts w:ascii="宋体" w:hAnsi="宋体" w:eastAsia="Times New Roman" w:cs="宋体"/>
                <w:color w:val="auto"/>
                <w:szCs w:val="21"/>
                <w:highlight w:val="none"/>
                <w:lang w:eastAsia="en-US"/>
              </w:rPr>
            </w:pPr>
            <w:r>
              <w:rPr>
                <w:rFonts w:hint="eastAsia" w:ascii="宋体" w:hAnsi="宋体" w:eastAsia="Times New Roman" w:cs="宋体"/>
                <w:color w:val="auto"/>
                <w:spacing w:val="1"/>
                <w:szCs w:val="21"/>
                <w:highlight w:val="none"/>
                <w:lang w:eastAsia="en-US"/>
              </w:rPr>
              <w:t>使用部门满意程度</w:t>
            </w:r>
          </w:p>
        </w:tc>
        <w:tc>
          <w:tcPr>
            <w:tcW w:w="1110" w:type="pct"/>
          </w:tcPr>
          <w:p>
            <w:pPr>
              <w:spacing w:before="146" w:line="219" w:lineRule="auto"/>
              <w:ind w:left="1042" w:firstLine="436"/>
              <w:rPr>
                <w:rFonts w:ascii="宋体" w:hAnsi="宋体" w:eastAsia="Times New Roman" w:cs="宋体"/>
                <w:color w:val="auto"/>
                <w:szCs w:val="21"/>
                <w:highlight w:val="none"/>
                <w:lang w:eastAsia="zh-CN"/>
              </w:rPr>
            </w:pPr>
            <w:r>
              <w:rPr>
                <w:rFonts w:hint="eastAsia" w:ascii="宋体" w:hAnsi="宋体" w:eastAsia="Times New Roman" w:cs="宋体"/>
                <w:color w:val="auto"/>
                <w:spacing w:val="4"/>
                <w:szCs w:val="21"/>
                <w:highlight w:val="none"/>
                <w:lang w:eastAsia="zh-CN"/>
              </w:rPr>
              <w:t>优(10.1-15分)</w:t>
            </w:r>
          </w:p>
          <w:p>
            <w:pPr>
              <w:spacing w:before="50" w:line="219" w:lineRule="auto"/>
              <w:ind w:left="151"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主要根据对项目日常工作对接和配</w:t>
            </w:r>
            <w:r>
              <w:rPr>
                <w:rFonts w:hint="eastAsia" w:ascii="宋体" w:hAnsi="宋体" w:eastAsia="Times New Roman" w:cs="宋体"/>
                <w:color w:val="auto"/>
                <w:spacing w:val="1"/>
                <w:szCs w:val="21"/>
                <w:highlight w:val="none"/>
                <w:lang w:eastAsia="zh-CN"/>
              </w:rPr>
              <w:t>合度，服务的及时性、项目管理的</w:t>
            </w:r>
            <w:r>
              <w:rPr>
                <w:rFonts w:hint="eastAsia" w:ascii="宋体" w:hAnsi="宋体" w:eastAsia="Times New Roman" w:cs="宋体"/>
                <w:color w:val="auto"/>
                <w:spacing w:val="-1"/>
                <w:szCs w:val="21"/>
                <w:highlight w:val="none"/>
                <w:lang w:eastAsia="zh-CN"/>
              </w:rPr>
              <w:t>规范性、完工后的售后质保服务等</w:t>
            </w:r>
            <w:r>
              <w:rPr>
                <w:rFonts w:hint="eastAsia" w:ascii="宋体" w:hAnsi="宋体" w:eastAsia="Times New Roman" w:cs="宋体"/>
                <w:color w:val="auto"/>
                <w:szCs w:val="21"/>
                <w:highlight w:val="none"/>
                <w:lang w:eastAsia="zh-CN"/>
              </w:rPr>
              <w:t>方面进行评价，服务质量投诉1次</w:t>
            </w:r>
          </w:p>
        </w:tc>
        <w:tc>
          <w:tcPr>
            <w:tcW w:w="207" w:type="pct"/>
          </w:tcPr>
          <w:p>
            <w:pPr>
              <w:ind w:firstLine="420"/>
              <w:rPr>
                <w:rFonts w:ascii="宋体" w:hAnsi="宋体" w:eastAsia="Times New Roman" w:cs="宋体"/>
                <w:color w:val="auto"/>
                <w:szCs w:val="21"/>
                <w:highlight w:val="none"/>
                <w:lang w:eastAsia="zh-CN"/>
              </w:rPr>
            </w:pPr>
          </w:p>
        </w:tc>
        <w:tc>
          <w:tcPr>
            <w:tcW w:w="1164" w:type="pct"/>
          </w:tcPr>
          <w:p>
            <w:pPr>
              <w:spacing w:before="77" w:line="220" w:lineRule="auto"/>
              <w:ind w:left="1184" w:firstLine="436"/>
              <w:rPr>
                <w:rFonts w:ascii="宋体" w:hAnsi="宋体" w:eastAsia="Times New Roman" w:cs="宋体"/>
                <w:color w:val="auto"/>
                <w:szCs w:val="21"/>
                <w:highlight w:val="none"/>
                <w:lang w:eastAsia="zh-CN"/>
              </w:rPr>
            </w:pPr>
            <w:r>
              <w:rPr>
                <w:rFonts w:hint="eastAsia" w:ascii="宋体" w:hAnsi="宋体" w:eastAsia="Times New Roman" w:cs="宋体"/>
                <w:color w:val="auto"/>
                <w:spacing w:val="4"/>
                <w:szCs w:val="21"/>
                <w:highlight w:val="none"/>
                <w:lang w:eastAsia="zh-CN"/>
              </w:rPr>
              <w:t>良(5.1-10分)</w:t>
            </w:r>
          </w:p>
          <w:p>
            <w:pPr>
              <w:spacing w:before="48" w:line="263" w:lineRule="auto"/>
              <w:ind w:left="134" w:right="151"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主要根据对项目日常工作对接和配合度，服务的及时性、项目管理的规范</w:t>
            </w:r>
            <w:r>
              <w:rPr>
                <w:rFonts w:hint="eastAsia" w:ascii="宋体" w:hAnsi="宋体" w:eastAsia="Times New Roman" w:cs="宋体"/>
                <w:color w:val="auto"/>
                <w:spacing w:val="7"/>
                <w:szCs w:val="21"/>
                <w:highlight w:val="none"/>
                <w:lang w:eastAsia="zh-CN"/>
              </w:rPr>
              <w:t xml:space="preserve"> </w:t>
            </w:r>
            <w:r>
              <w:rPr>
                <w:rFonts w:hint="eastAsia" w:ascii="宋体" w:hAnsi="宋体" w:eastAsia="Times New Roman" w:cs="宋体"/>
                <w:color w:val="auto"/>
                <w:spacing w:val="-1"/>
                <w:szCs w:val="21"/>
                <w:highlight w:val="none"/>
                <w:lang w:eastAsia="zh-CN"/>
              </w:rPr>
              <w:t>性、完工后的售后质保服务等方面进</w:t>
            </w:r>
            <w:r>
              <w:rPr>
                <w:rFonts w:hint="eastAsia" w:ascii="宋体" w:hAnsi="宋体" w:eastAsia="Times New Roman" w:cs="宋体"/>
                <w:color w:val="auto"/>
                <w:spacing w:val="4"/>
                <w:szCs w:val="21"/>
                <w:highlight w:val="none"/>
                <w:lang w:eastAsia="zh-CN"/>
              </w:rPr>
              <w:t xml:space="preserve"> </w:t>
            </w:r>
            <w:r>
              <w:rPr>
                <w:rFonts w:hint="eastAsia" w:ascii="宋体" w:hAnsi="宋体" w:eastAsia="Times New Roman" w:cs="宋体"/>
                <w:color w:val="auto"/>
                <w:spacing w:val="-1"/>
                <w:szCs w:val="21"/>
                <w:highlight w:val="none"/>
                <w:lang w:eastAsia="zh-CN"/>
              </w:rPr>
              <w:t>行评价，服务质量投诉2次</w:t>
            </w:r>
          </w:p>
        </w:tc>
        <w:tc>
          <w:tcPr>
            <w:tcW w:w="235" w:type="pct"/>
          </w:tcPr>
          <w:p>
            <w:pPr>
              <w:ind w:firstLine="420"/>
              <w:rPr>
                <w:rFonts w:ascii="宋体" w:hAnsi="宋体" w:eastAsia="Times New Roman" w:cs="宋体"/>
                <w:color w:val="auto"/>
                <w:szCs w:val="21"/>
                <w:highlight w:val="none"/>
                <w:lang w:eastAsia="zh-CN"/>
              </w:rPr>
            </w:pPr>
          </w:p>
        </w:tc>
        <w:tc>
          <w:tcPr>
            <w:tcW w:w="1126" w:type="pct"/>
          </w:tcPr>
          <w:p>
            <w:pPr>
              <w:spacing w:before="67" w:line="220" w:lineRule="auto"/>
              <w:ind w:left="1287" w:firstLine="440"/>
              <w:rPr>
                <w:rFonts w:ascii="宋体" w:hAnsi="宋体" w:eastAsia="Times New Roman" w:cs="宋体"/>
                <w:color w:val="auto"/>
                <w:szCs w:val="21"/>
                <w:highlight w:val="none"/>
                <w:lang w:eastAsia="zh-CN"/>
              </w:rPr>
            </w:pPr>
            <w:r>
              <w:rPr>
                <w:rFonts w:hint="eastAsia" w:ascii="宋体" w:hAnsi="宋体" w:eastAsia="Times New Roman" w:cs="宋体"/>
                <w:color w:val="auto"/>
                <w:spacing w:val="5"/>
                <w:szCs w:val="21"/>
                <w:highlight w:val="none"/>
                <w:lang w:eastAsia="zh-CN"/>
              </w:rPr>
              <w:t>差(0-5分)</w:t>
            </w:r>
          </w:p>
          <w:p>
            <w:pPr>
              <w:spacing w:before="89" w:line="219" w:lineRule="auto"/>
              <w:ind w:left="186" w:firstLine="416"/>
              <w:rPr>
                <w:rFonts w:ascii="宋体" w:hAnsi="宋体" w:eastAsia="Times New Roman" w:cs="宋体"/>
                <w:color w:val="auto"/>
                <w:szCs w:val="21"/>
                <w:highlight w:val="none"/>
                <w:lang w:eastAsia="zh-CN"/>
              </w:rPr>
            </w:pPr>
            <w:r>
              <w:rPr>
                <w:rFonts w:hint="eastAsia" w:ascii="宋体" w:hAnsi="宋体" w:eastAsia="Times New Roman" w:cs="宋体"/>
                <w:color w:val="auto"/>
                <w:spacing w:val="-1"/>
                <w:szCs w:val="21"/>
                <w:highlight w:val="none"/>
                <w:lang w:eastAsia="zh-CN"/>
              </w:rPr>
              <w:t>主要根据对项目日常工作对接和配合度，服务的及时性、项目管理的规</w:t>
            </w:r>
            <w:r>
              <w:rPr>
                <w:rFonts w:hint="eastAsia" w:ascii="宋体" w:hAnsi="宋体" w:eastAsia="Times New Roman" w:cs="宋体"/>
                <w:color w:val="auto"/>
                <w:szCs w:val="21"/>
                <w:highlight w:val="none"/>
                <w:lang w:eastAsia="zh-CN"/>
              </w:rPr>
              <w:t>范性、完工后的售后质保服务等方面进行评价，服务质量投诉3次及以上</w:t>
            </w:r>
          </w:p>
        </w:tc>
        <w:tc>
          <w:tcPr>
            <w:tcW w:w="219" w:type="pct"/>
          </w:tcPr>
          <w:p>
            <w:pPr>
              <w:ind w:firstLine="420"/>
              <w:rPr>
                <w:rFonts w:ascii="宋体" w:hAnsi="宋体" w:eastAsia="Times New Roman" w:cs="宋体"/>
                <w:color w:val="auto"/>
                <w:szCs w:val="21"/>
                <w:highlight w:val="none"/>
                <w:lang w:eastAsia="zh-CN"/>
              </w:rPr>
            </w:pPr>
          </w:p>
        </w:tc>
      </w:tr>
    </w:tbl>
    <w:p>
      <w:pPr>
        <w:keepNext/>
        <w:keepLines/>
        <w:spacing w:line="360" w:lineRule="auto"/>
        <w:ind w:firstLine="630" w:firstLineChars="300"/>
        <w:outlineLvl w:val="0"/>
        <w:rPr>
          <w:rFonts w:hint="eastAsia" w:ascii="宋体" w:hAnsi="宋体" w:cs="宋体"/>
          <w:color w:val="auto"/>
          <w:kern w:val="0"/>
          <w:highlight w:val="none"/>
        </w:rPr>
        <w:sectPr>
          <w:pgSz w:w="16840" w:h="11907" w:orient="landscape"/>
          <w:pgMar w:top="1797" w:right="1440" w:bottom="1440" w:left="1440" w:header="567" w:footer="591" w:gutter="0"/>
          <w:cols w:space="720" w:num="1"/>
          <w:docGrid w:linePitch="312" w:charSpace="0"/>
        </w:sectPr>
      </w:pPr>
    </w:p>
    <w:bookmarkEnd w:id="407"/>
    <w:bookmarkEnd w:id="408"/>
    <w:bookmarkEnd w:id="409"/>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outlineLvl w:val="0"/>
        <w:rPr>
          <w:rFonts w:ascii="Times New Roman" w:hAnsi="Times New Roman"/>
          <w:b/>
          <w:color w:val="auto"/>
          <w:sz w:val="36"/>
          <w:highlight w:val="none"/>
        </w:rPr>
      </w:pPr>
      <w:bookmarkStart w:id="428" w:name="_Toc11043"/>
      <w:bookmarkStart w:id="429" w:name="_Toc20296"/>
      <w:bookmarkStart w:id="430" w:name="_Toc32149"/>
      <w:bookmarkStart w:id="431" w:name="_Toc2517"/>
      <w:bookmarkStart w:id="432" w:name="_Toc19350"/>
      <w:bookmarkStart w:id="433" w:name="_Toc26884"/>
      <w:bookmarkStart w:id="434" w:name="_Toc5736"/>
      <w:bookmarkStart w:id="435" w:name="_Toc9123"/>
      <w:bookmarkStart w:id="436" w:name="_Toc19106"/>
      <w:bookmarkStart w:id="437" w:name="_Toc26390"/>
      <w:bookmarkStart w:id="438" w:name="_Toc2377"/>
      <w:bookmarkStart w:id="439" w:name="_Toc20832"/>
      <w:bookmarkStart w:id="440" w:name="_Toc24704"/>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428"/>
      <w:bookmarkEnd w:id="429"/>
      <w:bookmarkEnd w:id="430"/>
      <w:bookmarkEnd w:id="431"/>
      <w:bookmarkEnd w:id="432"/>
      <w:bookmarkEnd w:id="433"/>
      <w:bookmarkEnd w:id="434"/>
      <w:bookmarkEnd w:id="435"/>
      <w:bookmarkEnd w:id="436"/>
      <w:bookmarkEnd w:id="437"/>
      <w:bookmarkEnd w:id="438"/>
      <w:bookmarkEnd w:id="439"/>
      <w:bookmarkEnd w:id="440"/>
    </w:p>
    <w:p>
      <w:pPr>
        <w:widowControl/>
        <w:spacing w:beforeAutospacing="1" w:line="360" w:lineRule="auto"/>
        <w:ind w:firstLine="420"/>
        <w:jc w:val="left"/>
        <w:rPr>
          <w:rFonts w:hint="eastAsia" w:ascii="宋体" w:hAnsi="宋体"/>
          <w:color w:val="auto"/>
          <w:szCs w:val="20"/>
          <w:highlight w:val="none"/>
        </w:rPr>
        <w:sectPr>
          <w:pgSz w:w="11905" w:h="16838"/>
          <w:pgMar w:top="1134" w:right="1134" w:bottom="1134" w:left="1134" w:header="850" w:footer="850" w:gutter="0"/>
          <w:cols w:space="0" w:num="1"/>
          <w:titlePg/>
          <w:docGrid w:linePitch="331" w:charSpace="0"/>
        </w:sectPr>
      </w:pPr>
    </w:p>
    <w:p>
      <w:pPr>
        <w:pStyle w:val="14"/>
        <w:ind w:firstLine="562"/>
        <w:jc w:val="center"/>
        <w:outlineLvl w:val="1"/>
        <w:rPr>
          <w:rFonts w:hint="eastAsia" w:hAnsi="宋体"/>
          <w:b/>
          <w:bCs/>
          <w:color w:val="auto"/>
          <w:sz w:val="28"/>
          <w:szCs w:val="28"/>
          <w:highlight w:val="none"/>
        </w:rPr>
      </w:pPr>
      <w:bookmarkStart w:id="441" w:name="_Toc32370"/>
      <w:bookmarkStart w:id="442" w:name="_Toc24486"/>
      <w:bookmarkStart w:id="443" w:name="_Toc32508"/>
      <w:bookmarkStart w:id="444" w:name="_Toc7817"/>
      <w:bookmarkStart w:id="445" w:name="_Toc20281"/>
      <w:bookmarkStart w:id="446" w:name="_Toc23486"/>
      <w:bookmarkStart w:id="447" w:name="_Toc16890"/>
      <w:bookmarkStart w:id="448" w:name="_Toc4270"/>
      <w:bookmarkStart w:id="449" w:name="_Toc21700"/>
      <w:bookmarkStart w:id="450" w:name="_Toc11854"/>
      <w:r>
        <w:rPr>
          <w:rFonts w:hint="eastAsia" w:hAnsi="宋体"/>
          <w:b/>
          <w:bCs/>
          <w:color w:val="auto"/>
          <w:sz w:val="28"/>
          <w:szCs w:val="28"/>
          <w:highlight w:val="none"/>
        </w:rPr>
        <w:t>第一节 资格证明文件格式</w:t>
      </w:r>
      <w:bookmarkEnd w:id="441"/>
      <w:bookmarkEnd w:id="442"/>
      <w:bookmarkEnd w:id="443"/>
      <w:bookmarkEnd w:id="444"/>
      <w:bookmarkEnd w:id="445"/>
      <w:bookmarkEnd w:id="446"/>
      <w:bookmarkEnd w:id="447"/>
      <w:bookmarkEnd w:id="448"/>
      <w:bookmarkEnd w:id="449"/>
      <w:bookmarkEnd w:id="450"/>
    </w:p>
    <w:p>
      <w:pPr>
        <w:pStyle w:val="14"/>
        <w:spacing w:line="360" w:lineRule="auto"/>
        <w:ind w:firstLine="600"/>
        <w:rPr>
          <w:rFonts w:hint="eastAsia" w:hAnsi="宋体"/>
          <w:color w:val="auto"/>
          <w:sz w:val="30"/>
          <w:highlight w:val="none"/>
        </w:rPr>
      </w:pPr>
    </w:p>
    <w:p>
      <w:pPr>
        <w:pStyle w:val="7"/>
        <w:ind w:left="0" w:firstLine="562"/>
        <w:jc w:val="left"/>
        <w:rPr>
          <w:rFonts w:hint="eastAsia" w:hAnsi="宋体"/>
          <w:color w:val="auto"/>
          <w:sz w:val="30"/>
          <w:highlight w:val="none"/>
        </w:rPr>
      </w:pPr>
      <w:r>
        <w:rPr>
          <w:rFonts w:hint="eastAsia" w:hAnsi="宋体" w:cs="宋体"/>
          <w:b/>
          <w:bCs/>
          <w:color w:val="auto"/>
          <w:sz w:val="28"/>
          <w:szCs w:val="28"/>
          <w:highlight w:val="none"/>
        </w:rPr>
        <w:t>1.资格证明文件封面的格式（参照此格式自拟）：</w:t>
      </w:r>
    </w:p>
    <w:p>
      <w:pPr>
        <w:ind w:firstLine="420"/>
        <w:rPr>
          <w:color w:val="auto"/>
          <w:highlight w:val="none"/>
        </w:rPr>
      </w:pPr>
    </w:p>
    <w:p>
      <w:pPr>
        <w:snapToGrid w:val="0"/>
        <w:spacing w:before="120" w:beforeLines="50" w:after="50"/>
        <w:ind w:firstLine="48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ind w:firstLine="480"/>
        <w:rPr>
          <w:rFonts w:hint="eastAsia" w:ascii="宋体" w:hAnsi="宋体"/>
          <w:color w:val="auto"/>
          <w:sz w:val="24"/>
          <w:szCs w:val="20"/>
          <w:highlight w:val="none"/>
        </w:rPr>
      </w:pPr>
    </w:p>
    <w:p>
      <w:pPr>
        <w:snapToGrid w:val="0"/>
        <w:spacing w:before="120" w:beforeLines="50" w:after="50"/>
        <w:ind w:firstLine="643"/>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bCs/>
          <w:color w:val="auto"/>
          <w:sz w:val="24"/>
          <w:highlight w:val="none"/>
        </w:rPr>
        <w:t>：</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r>
        <w:rPr>
          <w:rFonts w:hint="eastAsia" w:ascii="宋体" w:hAnsi="宋体"/>
          <w:color w:val="auto"/>
          <w:sz w:val="24"/>
          <w:highlight w:val="none"/>
        </w:rPr>
        <w:t>年  月  日</w:t>
      </w:r>
    </w:p>
    <w:p>
      <w:pPr>
        <w:widowControl/>
        <w:spacing w:line="360" w:lineRule="auto"/>
        <w:ind w:firstLine="600"/>
        <w:jc w:val="left"/>
        <w:rPr>
          <w:rFonts w:hint="eastAsia" w:ascii="宋体" w:hAnsi="宋体"/>
          <w:color w:val="auto"/>
          <w:sz w:val="30"/>
          <w:szCs w:val="20"/>
          <w:highlight w:val="none"/>
        </w:rPr>
        <w:sectPr>
          <w:pgSz w:w="11905" w:h="16838"/>
          <w:pgMar w:top="1134" w:right="1134" w:bottom="1134" w:left="1134" w:header="850" w:footer="850" w:gutter="0"/>
          <w:cols w:space="0" w:num="1"/>
          <w:titlePg/>
          <w:docGrid w:linePitch="331" w:charSpace="0"/>
        </w:sectPr>
      </w:pPr>
    </w:p>
    <w:p>
      <w:pPr>
        <w:ind w:firstLine="562"/>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pPr>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pPr>
        <w:spacing w:line="360" w:lineRule="auto"/>
        <w:ind w:firstLine="480"/>
        <w:rPr>
          <w:rFonts w:hint="eastAsia" w:ascii="仿宋_GB2312" w:hAnsi="仿宋" w:eastAsia="仿宋_GB2312" w:cs="仿宋_GB2312"/>
          <w:b/>
          <w:bCs/>
          <w:color w:val="auto"/>
          <w:sz w:val="24"/>
          <w:highlight w:val="none"/>
        </w:rPr>
      </w:pPr>
    </w:p>
    <w:p>
      <w:pPr>
        <w:snapToGrid w:val="0"/>
        <w:spacing w:line="360" w:lineRule="auto"/>
        <w:ind w:firstLine="640"/>
        <w:rPr>
          <w:rFonts w:hint="eastAsia" w:ascii="仿宋_GB2312" w:hAnsi="仿宋" w:eastAsia="仿宋_GB2312" w:cs="仿宋_GB2312"/>
          <w:b/>
          <w:color w:val="auto"/>
          <w:kern w:val="0"/>
          <w:sz w:val="32"/>
          <w:szCs w:val="32"/>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right="480" w:firstLine="64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firstLine="64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ind w:firstLine="562"/>
        <w:jc w:val="left"/>
        <w:rPr>
          <w:b/>
          <w:color w:val="auto"/>
          <w:sz w:val="30"/>
          <w:szCs w:val="30"/>
          <w:highlight w:val="none"/>
        </w:rPr>
      </w:pPr>
      <w:r>
        <w:rPr>
          <w:rFonts w:hint="eastAsia" w:ascii="宋体" w:hAnsi="宋体" w:cs="宋体"/>
          <w:b/>
          <w:color w:val="auto"/>
          <w:sz w:val="28"/>
          <w:szCs w:val="28"/>
          <w:highlight w:val="none"/>
        </w:rPr>
        <w:t>3.中小企业声明函的格式：</w:t>
      </w:r>
    </w:p>
    <w:p>
      <w:pPr>
        <w:ind w:firstLine="602"/>
        <w:jc w:val="center"/>
        <w:rPr>
          <w:b/>
          <w:color w:val="auto"/>
          <w:sz w:val="30"/>
          <w:szCs w:val="30"/>
          <w:highlight w:val="none"/>
        </w:rPr>
      </w:pPr>
    </w:p>
    <w:p>
      <w:pPr>
        <w:ind w:firstLine="602"/>
        <w:jc w:val="center"/>
        <w:rPr>
          <w:b/>
          <w:color w:val="auto"/>
          <w:sz w:val="30"/>
          <w:szCs w:val="30"/>
          <w:highlight w:val="none"/>
        </w:rPr>
      </w:pPr>
      <w:r>
        <w:rPr>
          <w:rFonts w:hint="eastAsia"/>
          <w:b/>
          <w:color w:val="auto"/>
          <w:sz w:val="30"/>
          <w:szCs w:val="30"/>
          <w:highlight w:val="none"/>
        </w:rPr>
        <w:t>中小企业声明函</w:t>
      </w:r>
    </w:p>
    <w:p>
      <w:pPr>
        <w:ind w:firstLine="404" w:firstLineChars="200"/>
        <w:rPr>
          <w:rFonts w:hint="eastAsia" w:hAnsi="宋体"/>
          <w:color w:val="auto"/>
          <w:spacing w:val="-4"/>
          <w:szCs w:val="21"/>
          <w:highlight w:val="none"/>
        </w:rPr>
      </w:pP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20" w:firstLineChars="200"/>
        <w:rPr>
          <w:rFonts w:hint="eastAsia" w:ascii="宋体" w:hAnsi="宋体"/>
          <w:color w:val="auto"/>
          <w:szCs w:val="21"/>
          <w:highlight w:val="none"/>
        </w:rPr>
      </w:pPr>
    </w:p>
    <w:p>
      <w:pPr>
        <w:snapToGrid w:val="0"/>
        <w:spacing w:line="360" w:lineRule="auto"/>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pPr>
        <w:spacing w:line="360" w:lineRule="auto"/>
        <w:ind w:firstLine="406" w:firstLineChars="200"/>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pPr>
        <w:spacing w:line="360" w:lineRule="auto"/>
        <w:ind w:firstLine="406" w:firstLineChars="200"/>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4、小型、微型企业提供中型企业提供的服务的，视同为中型企业。</w:t>
      </w:r>
    </w:p>
    <w:p>
      <w:pPr>
        <w:rPr>
          <w:rFonts w:hint="eastAsia" w:ascii="宋体" w:hAnsi="宋体" w:cs="宋体"/>
          <w:b/>
          <w:bCs/>
          <w:color w:val="auto"/>
          <w:highlight w:val="none"/>
        </w:rPr>
        <w:sectPr>
          <w:pgSz w:w="11905" w:h="16838"/>
          <w:pgMar w:top="1134" w:right="1134" w:bottom="1134" w:left="1134" w:header="850" w:footer="850" w:gutter="0"/>
          <w:cols w:space="0" w:num="1"/>
          <w:titlePg/>
          <w:docGrid w:linePitch="331" w:charSpace="0"/>
        </w:sectPr>
      </w:pPr>
    </w:p>
    <w:p>
      <w:pPr>
        <w:ind w:firstLine="56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4.残疾人福利性单位声明函的格式：</w:t>
      </w:r>
    </w:p>
    <w:p>
      <w:pPr>
        <w:ind w:firstLine="562"/>
        <w:jc w:val="left"/>
        <w:rPr>
          <w:rFonts w:hint="eastAsia" w:hAnsi="宋体" w:cs="宋体"/>
          <w:b/>
          <w:color w:val="auto"/>
          <w:sz w:val="28"/>
          <w:szCs w:val="28"/>
          <w:highlight w:val="none"/>
        </w:rPr>
      </w:pPr>
    </w:p>
    <w:p>
      <w:pPr>
        <w:ind w:firstLine="562"/>
        <w:jc w:val="left"/>
        <w:rPr>
          <w:rFonts w:hint="eastAsia" w:hAnsi="宋体" w:cs="宋体"/>
          <w:b/>
          <w:color w:val="auto"/>
          <w:sz w:val="28"/>
          <w:szCs w:val="28"/>
          <w:highlight w:val="none"/>
          <w:lang w:val="en"/>
        </w:rPr>
      </w:pPr>
    </w:p>
    <w:p>
      <w:pPr>
        <w:spacing w:line="360" w:lineRule="auto"/>
        <w:ind w:firstLine="602"/>
        <w:jc w:val="center"/>
        <w:rPr>
          <w:rFonts w:ascii="宋体" w:hAnsi="Courier New"/>
          <w:b/>
          <w:color w:val="auto"/>
          <w:sz w:val="30"/>
          <w:szCs w:val="30"/>
          <w:highlight w:val="none"/>
        </w:rPr>
      </w:pPr>
      <w:r>
        <w:rPr>
          <w:rFonts w:hint="eastAsia" w:ascii="宋体" w:hAnsi="Courier New"/>
          <w:b/>
          <w:color w:val="auto"/>
          <w:sz w:val="30"/>
          <w:szCs w:val="30"/>
          <w:highlight w:val="none"/>
        </w:rPr>
        <w:t>残疾人福利性单位声明函</w:t>
      </w:r>
    </w:p>
    <w:p>
      <w:pPr>
        <w:spacing w:line="360" w:lineRule="auto"/>
        <w:ind w:firstLine="602"/>
        <w:jc w:val="center"/>
        <w:rPr>
          <w:rFonts w:ascii="宋体" w:hAnsi="Courier New"/>
          <w:b/>
          <w:color w:val="auto"/>
          <w:sz w:val="30"/>
          <w:szCs w:val="30"/>
          <w:highlight w:val="none"/>
        </w:rPr>
      </w:pPr>
    </w:p>
    <w:p>
      <w:pPr>
        <w:spacing w:line="360" w:lineRule="auto"/>
        <w:ind w:firstLine="600"/>
        <w:jc w:val="left"/>
        <w:rPr>
          <w:rFonts w:hint="eastAsia" w:ascii="宋体" w:hAnsi="宋体" w:cs="宋体"/>
          <w:color w:val="auto"/>
          <w:sz w:val="24"/>
          <w:highlight w:val="none"/>
        </w:rPr>
      </w:pPr>
      <w:r>
        <w:rPr>
          <w:rFonts w:hint="eastAsia" w:ascii="宋体" w:hAnsi="Courier New"/>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jc w:val="left"/>
        <w:rPr>
          <w:rFonts w:hint="eastAsia" w:ascii="宋体" w:hAnsi="宋体" w:cs="宋体"/>
          <w:b/>
          <w:color w:val="auto"/>
          <w:szCs w:val="21"/>
          <w:highlight w:val="none"/>
        </w:rPr>
      </w:pPr>
    </w:p>
    <w:p>
      <w:pPr>
        <w:spacing w:line="360" w:lineRule="auto"/>
        <w:jc w:val="left"/>
        <w:rPr>
          <w:rFonts w:hint="eastAsia" w:ascii="宋体" w:hAnsi="宋体" w:cs="宋体"/>
          <w:b/>
          <w:color w:val="auto"/>
          <w:szCs w:val="21"/>
          <w:highlight w:val="none"/>
        </w:rPr>
      </w:pPr>
    </w:p>
    <w:p>
      <w:pPr>
        <w:snapToGrid w:val="0"/>
        <w:spacing w:line="360" w:lineRule="auto"/>
        <w:ind w:left="1491"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left="976" w:hanging="976" w:hangingChars="488"/>
        <w:rPr>
          <w:rFonts w:hint="eastAsia" w:ascii="宋体" w:hAnsi="宋体" w:cs="宋体"/>
          <w:color w:val="auto"/>
          <w:sz w:val="20"/>
          <w:szCs w:val="20"/>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0"/>
        <w:ind w:firstLine="420"/>
        <w:rPr>
          <w:rFonts w:hint="eastAsia" w:ascii="宋体" w:hAnsi="宋体"/>
          <w:color w:val="auto"/>
          <w:szCs w:val="21"/>
          <w:highlight w:val="none"/>
          <w:lang w:val="zh-CN"/>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rFonts w:hint="eastAsia" w:ascii="宋体" w:hAnsi="宋体" w:cs="宋体"/>
          <w:b/>
          <w:color w:val="auto"/>
          <w:kern w:val="0"/>
          <w:sz w:val="32"/>
          <w:szCs w:val="32"/>
          <w:highlight w:val="none"/>
        </w:rPr>
      </w:pPr>
    </w:p>
    <w:p>
      <w:pPr>
        <w:pStyle w:val="10"/>
        <w:ind w:firstLine="643"/>
        <w:rPr>
          <w:color w:val="auto"/>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声明函的格式</w:t>
      </w:r>
      <w:r>
        <w:rPr>
          <w:rFonts w:hint="eastAsia"/>
          <w:color w:val="auto"/>
          <w:sz w:val="28"/>
          <w:szCs w:val="28"/>
          <w:highlight w:val="none"/>
        </w:rPr>
        <w:t>：</w:t>
      </w:r>
    </w:p>
    <w:p>
      <w:pPr>
        <w:snapToGrid w:val="0"/>
        <w:spacing w:before="50" w:after="120" w:afterLines="50"/>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声明函</w:t>
      </w:r>
    </w:p>
    <w:p>
      <w:pPr>
        <w:tabs>
          <w:tab w:val="left" w:pos="7200"/>
        </w:tabs>
        <w:spacing w:line="360" w:lineRule="auto"/>
        <w:ind w:firstLine="420"/>
        <w:rPr>
          <w:rFonts w:hint="eastAsia" w:ascii="宋体" w:hAnsi="宋体"/>
          <w:color w:val="auto"/>
          <w:szCs w:val="21"/>
          <w:highlight w:val="none"/>
          <w:u w:val="single"/>
        </w:rPr>
      </w:pPr>
      <w:r>
        <w:rPr>
          <w:rFonts w:hint="eastAsia" w:ascii="宋体" w:hAnsi="宋体"/>
          <w:color w:val="auto"/>
          <w:szCs w:val="21"/>
          <w:highlight w:val="none"/>
        </w:rPr>
        <w:t>致：</w:t>
      </w:r>
      <w:bookmarkStart w:id="451" w:name="PO_3000001866_PM031_5"/>
      <w:r>
        <w:rPr>
          <w:rFonts w:hint="eastAsia" w:ascii="宋体" w:hAnsi="宋体"/>
          <w:color w:val="auto"/>
          <w:szCs w:val="21"/>
          <w:highlight w:val="none"/>
          <w:u w:val="single"/>
        </w:rPr>
        <w:t>广西科联招标中心有限公司</w:t>
      </w:r>
      <w:bookmarkEnd w:id="451"/>
      <w:r>
        <w:rPr>
          <w:rFonts w:hint="eastAsia" w:ascii="宋体" w:hAnsi="宋体"/>
          <w:color w:val="auto"/>
          <w:szCs w:val="21"/>
          <w:highlight w:val="none"/>
          <w:u w:val="single"/>
        </w:rPr>
        <w:t xml:space="preserve"> </w:t>
      </w:r>
    </w:p>
    <w:p>
      <w:pPr>
        <w:pStyle w:val="15"/>
        <w:spacing w:line="360" w:lineRule="auto"/>
        <w:ind w:firstLine="420" w:firstLineChars="200"/>
        <w:rPr>
          <w:color w:val="auto"/>
          <w:sz w:val="21"/>
          <w:szCs w:val="21"/>
          <w:highlight w:val="none"/>
        </w:rPr>
      </w:pPr>
      <w:r>
        <w:rPr>
          <w:rFonts w:hint="eastAsia" w:ascii="宋体" w:hAnsi="宋体" w:cs="宋体"/>
          <w:i/>
          <w:iCs/>
          <w:color w:val="auto"/>
          <w:sz w:val="21"/>
          <w:szCs w:val="21"/>
          <w:highlight w:val="none"/>
          <w:u w:val="single"/>
        </w:rPr>
        <w:t>（投标人名称）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）项目的投标，为便于贵方公正、择优地确定中标人，我方就本次投标有关事项郑重声明如下：</w:t>
      </w:r>
    </w:p>
    <w:p>
      <w:pPr>
        <w:pStyle w:val="15"/>
        <w:spacing w:line="360" w:lineRule="auto"/>
        <w:ind w:firstLine="420" w:firstLineChars="200"/>
        <w:rPr>
          <w:color w:val="auto"/>
          <w:sz w:val="21"/>
          <w:szCs w:val="21"/>
          <w:highlight w:val="none"/>
        </w:rPr>
      </w:pPr>
      <w:r>
        <w:rPr>
          <w:rFonts w:hint="eastAsia" w:ascii="宋体" w:hAnsi="宋体" w:cs="宋体"/>
          <w:color w:val="auto"/>
          <w:sz w:val="21"/>
          <w:szCs w:val="21"/>
          <w:highlight w:val="none"/>
        </w:rPr>
        <w:t>1、我方向贵方提交的所有投标文件、资料都是准确的和真实的。</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auto"/>
        <w:ind w:firstLine="420" w:firstLineChars="200"/>
        <w:contextualSpacing/>
        <w:rPr>
          <w:rFonts w:hint="eastAsia"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15"/>
        <w:spacing w:line="360" w:lineRule="auto"/>
        <w:ind w:firstLine="420"/>
        <w:rPr>
          <w:color w:val="auto"/>
          <w:sz w:val="21"/>
          <w:szCs w:val="21"/>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pPr>
        <w:tabs>
          <w:tab w:val="left" w:pos="939"/>
        </w:tabs>
        <w:spacing w:line="360" w:lineRule="auto"/>
        <w:ind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pPr>
        <w:snapToGrid w:val="0"/>
        <w:spacing w:line="360" w:lineRule="auto"/>
        <w:jc w:val="left"/>
        <w:rPr>
          <w:rFonts w:hint="eastAsia" w:ascii="宋体" w:hAnsi="宋体"/>
          <w:color w:val="auto"/>
          <w:szCs w:val="21"/>
          <w:highlight w:val="none"/>
        </w:rPr>
      </w:pPr>
      <w:r>
        <w:rPr>
          <w:rFonts w:hint="eastAsia" w:ascii="宋体" w:hAnsi="宋体"/>
          <w:b/>
          <w:color w:val="auto"/>
          <w:szCs w:val="21"/>
          <w:highlight w:val="none"/>
        </w:rPr>
        <w:t xml:space="preserve">   注： 如为联合体投标，盖章处须加盖联合体各方公章，否则</w:t>
      </w:r>
      <w:r>
        <w:rPr>
          <w:rFonts w:hint="eastAsia" w:ascii="宋体" w:hAnsi="宋体" w:cs="宋体"/>
          <w:b/>
          <w:bCs/>
          <w:color w:val="auto"/>
          <w:szCs w:val="21"/>
          <w:highlight w:val="none"/>
        </w:rPr>
        <w:t>其投标文件作无效响应处理</w:t>
      </w:r>
      <w:r>
        <w:rPr>
          <w:rFonts w:hint="eastAsia" w:ascii="宋体" w:hAnsi="宋体"/>
          <w:b/>
          <w:color w:val="auto"/>
          <w:szCs w:val="21"/>
          <w:highlight w:val="none"/>
        </w:rPr>
        <w:t>。</w:t>
      </w:r>
    </w:p>
    <w:p>
      <w:pPr>
        <w:snapToGrid w:val="0"/>
        <w:spacing w:before="50" w:after="240" w:afterLines="100" w:line="360" w:lineRule="auto"/>
        <w:ind w:firstLine="480"/>
        <w:jc w:val="left"/>
        <w:rPr>
          <w:rFonts w:hint="eastAsia" w:ascii="宋体" w:hAnsi="宋体" w:cs="宋体"/>
          <w:color w:val="auto"/>
          <w:sz w:val="24"/>
          <w:highlight w:val="none"/>
        </w:rPr>
      </w:pPr>
      <w:r>
        <w:rPr>
          <w:rFonts w:hint="eastAsia" w:ascii="宋体" w:hAnsi="宋体"/>
          <w:color w:val="auto"/>
          <w:sz w:val="24"/>
          <w:highlight w:val="none"/>
        </w:rPr>
        <w:t xml:space="preserve">                                     </w:t>
      </w:r>
    </w:p>
    <w:p>
      <w:pPr>
        <w:snapToGrid w:val="0"/>
        <w:spacing w:before="50" w:after="240" w:afterLines="100" w:line="360" w:lineRule="auto"/>
        <w:ind w:left="7428" w:leftChars="2223" w:hanging="2760" w:hangingChars="1150"/>
        <w:jc w:val="left"/>
        <w:rPr>
          <w:rFonts w:hint="eastAsia" w:ascii="宋体" w:hAnsi="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olor w:val="auto"/>
          <w:szCs w:val="21"/>
          <w:highlight w:val="none"/>
        </w:rPr>
        <w:t xml:space="preserve">                                     年    月    日</w:t>
      </w:r>
    </w:p>
    <w:p>
      <w:pPr>
        <w:pStyle w:val="10"/>
        <w:ind w:firstLine="420"/>
        <w:rPr>
          <w:rFonts w:hint="eastAsia" w:ascii="宋体" w:hAnsi="宋体"/>
          <w:color w:val="auto"/>
          <w:szCs w:val="21"/>
          <w:highlight w:val="none"/>
        </w:rPr>
      </w:pPr>
    </w:p>
    <w:p>
      <w:pPr>
        <w:pStyle w:val="10"/>
        <w:ind w:firstLine="420"/>
        <w:rPr>
          <w:rFonts w:hint="eastAsia" w:ascii="宋体" w:hAnsi="宋体"/>
          <w:color w:val="auto"/>
          <w:szCs w:val="21"/>
          <w:highlight w:val="none"/>
        </w:rPr>
      </w:pPr>
    </w:p>
    <w:p>
      <w:pPr>
        <w:ind w:firstLine="602"/>
        <w:rPr>
          <w:b/>
          <w:bCs/>
          <w:color w:val="auto"/>
          <w:sz w:val="30"/>
          <w:szCs w:val="30"/>
          <w:highlight w:val="none"/>
        </w:rPr>
      </w:pPr>
      <w:r>
        <w:rPr>
          <w:rFonts w:hint="eastAsia"/>
          <w:b/>
          <w:bCs/>
          <w:color w:val="auto"/>
          <w:sz w:val="30"/>
          <w:szCs w:val="30"/>
          <w:highlight w:val="none"/>
        </w:rPr>
        <w:br w:type="page"/>
      </w:r>
    </w:p>
    <w:p>
      <w:pPr>
        <w:pStyle w:val="7"/>
        <w:ind w:left="0" w:firstLine="562"/>
        <w:jc w:val="left"/>
        <w:rPr>
          <w:color w:val="auto"/>
          <w:highlight w:val="none"/>
        </w:rPr>
      </w:pPr>
      <w:r>
        <w:rPr>
          <w:rFonts w:hint="eastAsia" w:hAnsi="宋体" w:cs="宋体"/>
          <w:b/>
          <w:bCs/>
          <w:color w:val="auto"/>
          <w:sz w:val="28"/>
          <w:szCs w:val="28"/>
          <w:highlight w:val="none"/>
        </w:rPr>
        <w:t>6.联合体投标协议书的格式：</w:t>
      </w:r>
    </w:p>
    <w:p>
      <w:pPr>
        <w:pStyle w:val="14"/>
        <w:spacing w:line="600" w:lineRule="exact"/>
        <w:ind w:firstLine="562"/>
        <w:jc w:val="center"/>
        <w:rPr>
          <w:rFonts w:hint="eastAsia" w:hAnsi="宋体" w:cs="宋体"/>
          <w:b/>
          <w:bCs/>
          <w:color w:val="auto"/>
          <w:sz w:val="28"/>
          <w:szCs w:val="28"/>
          <w:highlight w:val="none"/>
        </w:rPr>
      </w:pPr>
    </w:p>
    <w:p>
      <w:pPr>
        <w:pStyle w:val="14"/>
        <w:spacing w:line="600" w:lineRule="exact"/>
        <w:ind w:firstLine="562"/>
        <w:jc w:val="center"/>
        <w:rPr>
          <w:rFonts w:hint="eastAsia" w:hAnsi="宋体" w:cs="宋体"/>
          <w:color w:val="auto"/>
          <w:sz w:val="28"/>
          <w:szCs w:val="28"/>
          <w:highlight w:val="none"/>
        </w:rPr>
      </w:pPr>
      <w:r>
        <w:rPr>
          <w:rFonts w:hint="eastAsia" w:hAnsi="宋体" w:cs="宋体"/>
          <w:b/>
          <w:bCs/>
          <w:color w:val="auto"/>
          <w:sz w:val="28"/>
          <w:szCs w:val="28"/>
          <w:highlight w:val="none"/>
        </w:rPr>
        <w:t>联合体投标协议书</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452" w:name="PO_3000001919_PM031_1"/>
      <w:r>
        <w:rPr>
          <w:rFonts w:hint="eastAsia" w:ascii="宋体" w:hAnsi="宋体" w:cs="宋体"/>
          <w:color w:val="auto"/>
          <w:kern w:val="0"/>
          <w:szCs w:val="21"/>
          <w:highlight w:val="none"/>
          <w:u w:val="single"/>
        </w:rPr>
        <w:t>广西科联招标中心有限公司</w:t>
      </w:r>
      <w:bookmarkEnd w:id="452"/>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4"/>
        <w:spacing w:line="360" w:lineRule="auto"/>
        <w:ind w:firstLine="420" w:firstLineChars="200"/>
        <w:rPr>
          <w:rFonts w:hint="eastAsia"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autoSpaceDE w:val="0"/>
        <w:autoSpaceDN w:val="0"/>
        <w:adjustRightInd w:val="0"/>
        <w:spacing w:line="360" w:lineRule="auto"/>
        <w:ind w:firstLine="420"/>
        <w:jc w:val="left"/>
        <w:rPr>
          <w:rFonts w:hint="eastAsia" w:ascii="宋体" w:hAnsi="宋体" w:cs="宋体"/>
          <w:color w:val="auto"/>
          <w:kern w:val="0"/>
          <w:szCs w:val="21"/>
          <w:highlight w:val="none"/>
        </w:rPr>
      </w:pP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autoSpaceDE w:val="0"/>
        <w:autoSpaceDN w:val="0"/>
        <w:adjustRightInd w:val="0"/>
        <w:spacing w:line="360" w:lineRule="auto"/>
        <w:ind w:firstLine="420"/>
        <w:jc w:val="left"/>
        <w:rPr>
          <w:rFonts w:hint="eastAsia" w:ascii="宋体" w:hAnsi="宋体" w:cs="宋体"/>
          <w:color w:val="auto"/>
          <w:kern w:val="0"/>
          <w:szCs w:val="21"/>
          <w:highlight w:val="none"/>
        </w:rPr>
      </w:pPr>
    </w:p>
    <w:p>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pPr>
        <w:pStyle w:val="14"/>
        <w:spacing w:line="360" w:lineRule="auto"/>
        <w:ind w:firstLine="420"/>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（签字）</w:t>
      </w:r>
    </w:p>
    <w:p>
      <w:pPr>
        <w:pStyle w:val="8"/>
        <w:overflowPunct w:val="0"/>
        <w:spacing w:line="360" w:lineRule="auto"/>
        <w:ind w:firstLineChars="175"/>
        <w:rPr>
          <w:rFonts w:hint="eastAsia" w:ascii="宋体" w:hAnsi="宋体" w:cs="宋体"/>
          <w:color w:val="auto"/>
          <w:sz w:val="24"/>
          <w:highlight w:val="none"/>
        </w:rPr>
      </w:pPr>
      <w:r>
        <w:rPr>
          <w:rFonts w:hint="eastAsia" w:ascii="宋体" w:hAnsi="宋体" w:cs="宋体"/>
          <w:color w:val="auto"/>
          <w:sz w:val="24"/>
          <w:highlight w:val="none"/>
        </w:rPr>
        <w:t>……</w:t>
      </w:r>
    </w:p>
    <w:p>
      <w:pPr>
        <w:pStyle w:val="8"/>
        <w:overflowPunct w:val="0"/>
        <w:spacing w:line="360" w:lineRule="auto"/>
        <w:ind w:firstLineChars="175"/>
        <w:rPr>
          <w:rFonts w:hint="eastAsia" w:ascii="宋体" w:hAnsi="宋体" w:cs="宋体"/>
          <w:color w:val="auto"/>
          <w:sz w:val="24"/>
          <w:highlight w:val="none"/>
        </w:rPr>
      </w:pPr>
    </w:p>
    <w:p>
      <w:pPr>
        <w:pStyle w:val="8"/>
        <w:overflowPunct w:val="0"/>
        <w:spacing w:line="360" w:lineRule="auto"/>
        <w:ind w:firstLine="7140" w:firstLineChars="2975"/>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pPr>
        <w:pStyle w:val="14"/>
        <w:spacing w:line="600" w:lineRule="exact"/>
        <w:ind w:firstLine="420"/>
        <w:jc w:val="center"/>
        <w:rPr>
          <w:rFonts w:hint="eastAsia" w:hAnsi="宋体" w:cs="宋体"/>
          <w:color w:val="auto"/>
          <w:kern w:val="0"/>
          <w:szCs w:val="21"/>
          <w:highlight w:val="none"/>
        </w:rPr>
      </w:pPr>
    </w:p>
    <w:p>
      <w:pPr>
        <w:pStyle w:val="14"/>
        <w:ind w:firstLine="420"/>
        <w:rPr>
          <w:rFonts w:hint="eastAsia" w:hAnsi="宋体"/>
          <w:color w:val="auto"/>
          <w:szCs w:val="21"/>
          <w:highlight w:val="none"/>
        </w:rPr>
      </w:pPr>
    </w:p>
    <w:p>
      <w:pPr>
        <w:pStyle w:val="14"/>
        <w:ind w:firstLine="562"/>
        <w:jc w:val="center"/>
        <w:outlineLvl w:val="1"/>
        <w:rPr>
          <w:rFonts w:hint="eastAsia" w:hAnsi="宋体"/>
          <w:b/>
          <w:bCs/>
          <w:color w:val="auto"/>
          <w:sz w:val="28"/>
          <w:szCs w:val="28"/>
          <w:highlight w:val="none"/>
        </w:rPr>
      </w:pPr>
      <w:bookmarkStart w:id="453" w:name="_Toc6839"/>
      <w:bookmarkStart w:id="454" w:name="_Toc12624"/>
      <w:bookmarkStart w:id="455" w:name="_Toc13159"/>
      <w:bookmarkStart w:id="456" w:name="_Toc3944"/>
      <w:bookmarkStart w:id="457" w:name="_Toc31528"/>
      <w:bookmarkStart w:id="458" w:name="_Toc20777"/>
      <w:bookmarkStart w:id="459" w:name="_Toc2566"/>
      <w:bookmarkStart w:id="460" w:name="_Toc16062"/>
      <w:bookmarkStart w:id="461" w:name="_Toc19686838"/>
      <w:bookmarkStart w:id="462" w:name="_Toc8189"/>
      <w:bookmarkStart w:id="463" w:name="_Toc24133"/>
    </w:p>
    <w:p>
      <w:pPr>
        <w:pStyle w:val="14"/>
        <w:ind w:firstLine="562"/>
        <w:jc w:val="center"/>
        <w:outlineLvl w:val="1"/>
        <w:rPr>
          <w:rFonts w:hint="eastAsia" w:hAnsi="宋体"/>
          <w:b/>
          <w:bCs/>
          <w:color w:val="auto"/>
          <w:sz w:val="28"/>
          <w:szCs w:val="28"/>
          <w:highlight w:val="none"/>
        </w:rPr>
      </w:pPr>
      <w:r>
        <w:rPr>
          <w:rFonts w:hint="eastAsia" w:hAnsi="宋体"/>
          <w:b/>
          <w:bCs/>
          <w:color w:val="auto"/>
          <w:sz w:val="28"/>
          <w:szCs w:val="28"/>
          <w:highlight w:val="none"/>
        </w:rPr>
        <w:t>第二节 商务文件格式</w:t>
      </w:r>
      <w:bookmarkEnd w:id="453"/>
      <w:bookmarkEnd w:id="454"/>
      <w:bookmarkEnd w:id="455"/>
      <w:bookmarkEnd w:id="456"/>
      <w:bookmarkEnd w:id="457"/>
      <w:bookmarkEnd w:id="458"/>
      <w:bookmarkEnd w:id="459"/>
      <w:bookmarkEnd w:id="460"/>
      <w:bookmarkEnd w:id="461"/>
      <w:bookmarkEnd w:id="462"/>
      <w:bookmarkEnd w:id="463"/>
    </w:p>
    <w:p>
      <w:pPr>
        <w:snapToGrid w:val="0"/>
        <w:spacing w:before="120" w:beforeLines="50" w:after="50"/>
        <w:ind w:firstLine="600"/>
        <w:rPr>
          <w:rFonts w:hint="eastAsia" w:ascii="宋体" w:hAnsi="宋体"/>
          <w:color w:val="auto"/>
          <w:sz w:val="30"/>
          <w:szCs w:val="20"/>
          <w:highlight w:val="none"/>
        </w:rPr>
      </w:pPr>
    </w:p>
    <w:p>
      <w:pPr>
        <w:pStyle w:val="15"/>
        <w:ind w:firstLine="562"/>
        <w:rPr>
          <w:color w:val="auto"/>
          <w:highlight w:val="none"/>
        </w:rPr>
      </w:pPr>
      <w:r>
        <w:rPr>
          <w:rFonts w:hint="eastAsia" w:ascii="宋体" w:hAnsi="宋体" w:cs="宋体"/>
          <w:b/>
          <w:color w:val="auto"/>
          <w:sz w:val="28"/>
          <w:szCs w:val="28"/>
          <w:highlight w:val="none"/>
        </w:rPr>
        <w:t>1.商务文件封面的格式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pPr>
        <w:snapToGrid w:val="0"/>
        <w:spacing w:before="120" w:beforeLines="50" w:after="50"/>
        <w:ind w:firstLine="48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pPr>
        <w:snapToGrid w:val="0"/>
        <w:spacing w:before="120" w:beforeLines="50" w:after="50"/>
        <w:ind w:firstLine="480"/>
        <w:rPr>
          <w:rFonts w:hint="eastAsia" w:ascii="宋体" w:hAnsi="宋体"/>
          <w:color w:val="auto"/>
          <w:sz w:val="24"/>
          <w:szCs w:val="20"/>
          <w:highlight w:val="none"/>
        </w:rPr>
      </w:pPr>
    </w:p>
    <w:p>
      <w:pPr>
        <w:snapToGrid w:val="0"/>
        <w:spacing w:before="120" w:beforeLines="50" w:after="50"/>
        <w:ind w:firstLine="643"/>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项目编号：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120" w:beforeLines="50" w:after="50"/>
        <w:ind w:firstLine="540" w:firstLineChars="225"/>
        <w:rPr>
          <w:rFonts w:hint="eastAsia" w:ascii="宋体" w:hAnsi="宋体"/>
          <w:bCs/>
          <w:color w:val="auto"/>
          <w:sz w:val="24"/>
          <w:szCs w:val="20"/>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48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480"/>
        <w:rPr>
          <w:rFonts w:hint="eastAsia" w:ascii="宋体" w:hAnsi="宋体"/>
          <w:color w:val="auto"/>
          <w:sz w:val="24"/>
          <w:highlight w:val="none"/>
        </w:rPr>
      </w:pPr>
    </w:p>
    <w:p>
      <w:pPr>
        <w:snapToGrid w:val="0"/>
        <w:spacing w:before="120" w:beforeLines="50" w:after="50"/>
        <w:ind w:firstLine="480"/>
        <w:rPr>
          <w:rFonts w:hint="eastAsia" w:ascii="宋体" w:hAnsi="宋体"/>
          <w:color w:val="auto"/>
          <w:sz w:val="24"/>
          <w:highlight w:val="none"/>
        </w:rPr>
      </w:pPr>
    </w:p>
    <w:p>
      <w:pPr>
        <w:snapToGrid w:val="0"/>
        <w:spacing w:before="120" w:beforeLines="50" w:after="50"/>
        <w:ind w:firstLine="480"/>
        <w:rPr>
          <w:rFonts w:hint="eastAsia" w:ascii="宋体" w:hAnsi="宋体"/>
          <w:color w:val="auto"/>
          <w:sz w:val="24"/>
          <w:highlight w:val="none"/>
        </w:rPr>
      </w:pPr>
    </w:p>
    <w:p>
      <w:pPr>
        <w:snapToGrid w:val="0"/>
        <w:spacing w:before="120" w:beforeLines="50" w:after="50"/>
        <w:ind w:firstLine="480"/>
        <w:rPr>
          <w:rFonts w:hint="eastAsia" w:ascii="宋体" w:hAnsi="宋体"/>
          <w:color w:val="auto"/>
          <w:sz w:val="24"/>
          <w:highlight w:val="none"/>
        </w:rPr>
      </w:pPr>
    </w:p>
    <w:p>
      <w:pPr>
        <w:snapToGrid w:val="0"/>
        <w:spacing w:before="120" w:beforeLines="50" w:after="50"/>
        <w:ind w:firstLine="4329" w:firstLineChars="1804"/>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360" w:lineRule="auto"/>
        <w:ind w:right="420" w:firstLine="480"/>
        <w:rPr>
          <w:rFonts w:hint="eastAsia" w:ascii="仿宋_GB2312" w:hAnsi="仿宋" w:eastAsia="仿宋_GB2312" w:cs="仿宋_GB2312"/>
          <w:b/>
          <w:color w:val="auto"/>
          <w:kern w:val="0"/>
          <w:sz w:val="36"/>
          <w:szCs w:val="36"/>
          <w:highlight w:val="none"/>
        </w:rPr>
      </w:pPr>
      <w:r>
        <w:rPr>
          <w:rFonts w:hint="eastAsia" w:ascii="宋体" w:hAnsi="宋体"/>
          <w:color w:val="auto"/>
          <w:sz w:val="24"/>
          <w:szCs w:val="20"/>
          <w:highlight w:val="none"/>
        </w:rPr>
        <w:t xml:space="preserve"> </w:t>
      </w:r>
    </w:p>
    <w:p>
      <w:pPr>
        <w:ind w:firstLine="480"/>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pacing w:line="360" w:lineRule="auto"/>
        <w:ind w:right="420" w:firstLine="562"/>
        <w:rPr>
          <w:rFonts w:hint="eastAsia"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pPr>
        <w:ind w:firstLine="480"/>
        <w:jc w:val="left"/>
        <w:rPr>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b/>
          <w:bCs/>
          <w:color w:val="auto"/>
          <w:sz w:val="30"/>
          <w:szCs w:val="30"/>
          <w:highlight w:val="none"/>
        </w:rPr>
        <w:br w:type="page"/>
      </w:r>
    </w:p>
    <w:p>
      <w:pPr>
        <w:snapToGrid w:val="0"/>
        <w:spacing w:before="120" w:beforeLines="50" w:after="50"/>
        <w:ind w:firstLine="562"/>
        <w:rPr>
          <w:b/>
          <w:bCs/>
          <w:color w:val="auto"/>
          <w:sz w:val="30"/>
          <w:szCs w:val="30"/>
          <w:highlight w:val="none"/>
        </w:rPr>
      </w:pPr>
      <w:r>
        <w:rPr>
          <w:rFonts w:hint="eastAsia" w:ascii="宋体" w:hAnsi="宋体" w:cs="宋体"/>
          <w:b/>
          <w:bCs/>
          <w:color w:val="auto"/>
          <w:sz w:val="28"/>
          <w:szCs w:val="28"/>
          <w:highlight w:val="none"/>
        </w:rPr>
        <w:t>3.无串通投标行为的承诺函的格式：</w:t>
      </w:r>
    </w:p>
    <w:p>
      <w:pPr>
        <w:snapToGrid w:val="0"/>
        <w:spacing w:before="120" w:beforeLines="50" w:after="50"/>
        <w:ind w:left="420" w:firstLine="643"/>
        <w:jc w:val="center"/>
        <w:rPr>
          <w:rFonts w:hint="eastAsia" w:ascii="宋体" w:hAnsi="宋体"/>
          <w:b/>
          <w:color w:val="auto"/>
          <w:sz w:val="32"/>
          <w:szCs w:val="32"/>
          <w:highlight w:val="none"/>
        </w:rPr>
      </w:pPr>
    </w:p>
    <w:p>
      <w:pPr>
        <w:snapToGrid w:val="0"/>
        <w:spacing w:before="120" w:beforeLines="50" w:after="50"/>
        <w:ind w:left="420"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参加本项目无</w:t>
      </w:r>
      <w:r>
        <w:rPr>
          <w:rFonts w:hint="eastAsia"/>
          <w:b/>
          <w:bCs/>
          <w:color w:val="auto"/>
          <w:sz w:val="32"/>
          <w:szCs w:val="32"/>
          <w:highlight w:val="none"/>
        </w:rPr>
        <w:t>串通投</w:t>
      </w:r>
      <w:r>
        <w:rPr>
          <w:rFonts w:hint="eastAsia" w:ascii="宋体" w:hAnsi="宋体"/>
          <w:b/>
          <w:color w:val="auto"/>
          <w:sz w:val="32"/>
          <w:szCs w:val="32"/>
          <w:highlight w:val="none"/>
        </w:rPr>
        <w:t>标行为的承诺函</w:t>
      </w:r>
    </w:p>
    <w:p>
      <w:pPr>
        <w:snapToGrid w:val="0"/>
        <w:spacing w:before="120" w:beforeLines="50" w:after="50"/>
        <w:rPr>
          <w:rFonts w:hint="eastAsia" w:ascii="宋体" w:hAnsi="宋体"/>
          <w:b/>
          <w:color w:val="auto"/>
          <w:szCs w:val="21"/>
          <w:highlight w:val="none"/>
        </w:rPr>
      </w:pPr>
    </w:p>
    <w:p>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pPr>
        <w:snapToGrid w:val="0"/>
        <w:spacing w:line="360" w:lineRule="auto"/>
        <w:ind w:firstLine="411" w:firstLineChars="196"/>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.不同投标人的投标保证金从同一单位或者个人账户转出。</w:t>
      </w:r>
    </w:p>
    <w:p>
      <w:pPr>
        <w:snapToGrid w:val="0"/>
        <w:spacing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3.投标人之间协商报价、技术方案等投标文件的实质性内容；</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pPr>
        <w:snapToGrid w:val="0"/>
        <w:spacing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10"/>
        <w:ind w:firstLine="420"/>
        <w:rPr>
          <w:color w:val="auto"/>
          <w:highlight w:val="none"/>
        </w:rPr>
      </w:pPr>
    </w:p>
    <w:p>
      <w:pPr>
        <w:snapToGrid w:val="0"/>
        <w:spacing w:line="360" w:lineRule="auto"/>
        <w:ind w:firstLine="4935" w:firstLineChars="2350"/>
        <w:rPr>
          <w:rFonts w:hint="eastAsia" w:ascii="宋体" w:hAnsi="宋体" w:cs="宋体"/>
          <w:color w:val="auto"/>
          <w:kern w:val="0"/>
          <w:sz w:val="24"/>
          <w:highlight w:val="none"/>
        </w:rPr>
      </w:pPr>
      <w:r>
        <w:rPr>
          <w:rFonts w:hAnsi="宋体"/>
          <w:color w:val="auto"/>
          <w:szCs w:val="21"/>
          <w:highlight w:val="none"/>
        </w:rPr>
        <w:t xml:space="preserve">  </w:t>
      </w: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pStyle w:val="14"/>
        <w:snapToGrid w:val="0"/>
        <w:spacing w:before="295" w:after="295" w:line="360" w:lineRule="auto"/>
        <w:ind w:firstLine="482"/>
        <w:rPr>
          <w:rFonts w:hint="eastAsia" w:hAnsi="宋体"/>
          <w:b/>
          <w:color w:val="auto"/>
          <w:sz w:val="24"/>
          <w:highlight w:val="none"/>
        </w:rPr>
      </w:pPr>
      <w:r>
        <w:rPr>
          <w:rFonts w:hint="eastAsia" w:hAnsi="宋体"/>
          <w:b/>
          <w:color w:val="auto"/>
          <w:sz w:val="24"/>
          <w:highlight w:val="none"/>
        </w:rPr>
        <w:br w:type="page"/>
      </w:r>
      <w:r>
        <w:rPr>
          <w:rFonts w:hint="eastAsia" w:hAnsi="宋体" w:cs="宋体"/>
          <w:b/>
          <w:bCs/>
          <w:color w:val="auto"/>
          <w:sz w:val="28"/>
          <w:szCs w:val="28"/>
          <w:highlight w:val="none"/>
        </w:rPr>
        <w:t>4.法定代表人身份证明的格式：</w:t>
      </w:r>
    </w:p>
    <w:p>
      <w:pPr>
        <w:spacing w:before="240" w:beforeLines="100" w:after="120" w:afterLines="50"/>
        <w:ind w:left="540" w:firstLine="643"/>
        <w:jc w:val="center"/>
        <w:rPr>
          <w:rFonts w:ascii="宋体" w:hAnsi="Courier New"/>
          <w:b/>
          <w:color w:val="auto"/>
          <w:sz w:val="32"/>
          <w:szCs w:val="32"/>
          <w:highlight w:val="none"/>
        </w:rPr>
      </w:pPr>
    </w:p>
    <w:p>
      <w:pPr>
        <w:spacing w:before="240" w:beforeLines="100" w:after="120" w:afterLines="50"/>
        <w:ind w:left="540" w:firstLine="643"/>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firstLine="48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i/>
          <w:iCs/>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firstLine="480"/>
        <w:rPr>
          <w:rFonts w:hint="eastAsia" w:ascii="宋体" w:hAnsi="宋体"/>
          <w:color w:val="auto"/>
          <w:sz w:val="24"/>
          <w:highlight w:val="none"/>
        </w:rPr>
      </w:pPr>
    </w:p>
    <w:p>
      <w:pPr>
        <w:spacing w:line="500" w:lineRule="exact"/>
        <w:ind w:left="540" w:firstLine="480"/>
        <w:rPr>
          <w:rFonts w:hint="eastAsia" w:ascii="宋体" w:hAnsi="宋体"/>
          <w:color w:val="auto"/>
          <w:sz w:val="24"/>
          <w:highlight w:val="none"/>
        </w:rPr>
      </w:pPr>
    </w:p>
    <w:p>
      <w:pPr>
        <w:spacing w:line="500" w:lineRule="exact"/>
        <w:ind w:left="540" w:firstLine="48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firstLine="480"/>
        <w:rPr>
          <w:rFonts w:hint="eastAsia" w:ascii="宋体" w:hAnsi="宋体"/>
          <w:color w:val="auto"/>
          <w:sz w:val="24"/>
          <w:highlight w:val="none"/>
        </w:rPr>
      </w:pPr>
    </w:p>
    <w:p>
      <w:pPr>
        <w:snapToGrid w:val="0"/>
        <w:spacing w:line="360" w:lineRule="auto"/>
        <w:ind w:firstLine="4935" w:firstLineChars="2350"/>
        <w:rPr>
          <w:rFonts w:hint="eastAsia" w:ascii="宋体" w:hAnsi="宋体" w:cs="宋体"/>
          <w:color w:val="auto"/>
          <w:kern w:val="0"/>
          <w:sz w:val="24"/>
          <w:highlight w:val="none"/>
        </w:rPr>
      </w:pPr>
      <w:r>
        <w:rPr>
          <w:rFonts w:hAnsi="宋体"/>
          <w:color w:val="auto"/>
          <w:szCs w:val="21"/>
          <w:highlight w:val="none"/>
        </w:rPr>
        <w:t xml:space="preserve">  </w:t>
      </w: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20" w:beforeLines="50" w:after="50"/>
        <w:ind w:firstLine="482"/>
        <w:jc w:val="center"/>
        <w:rPr>
          <w:rFonts w:hint="eastAsia" w:ascii="宋体" w:hAnsi="宋体"/>
          <w:b/>
          <w:color w:val="auto"/>
          <w:sz w:val="24"/>
          <w:highlight w:val="none"/>
        </w:rPr>
      </w:pPr>
    </w:p>
    <w:p>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pPr>
        <w:snapToGrid w:val="0"/>
        <w:spacing w:before="120" w:beforeLines="50" w:after="50"/>
        <w:ind w:firstLine="600" w:firstLineChars="250"/>
        <w:jc w:val="left"/>
        <w:rPr>
          <w:rFonts w:hint="eastAsia" w:ascii="宋体" w:hAnsi="宋体"/>
          <w:color w:val="auto"/>
          <w:sz w:val="24"/>
          <w:highlight w:val="none"/>
        </w:rPr>
      </w:pPr>
    </w:p>
    <w:p>
      <w:pPr>
        <w:snapToGrid w:val="0"/>
        <w:spacing w:before="120" w:beforeLines="50" w:after="50"/>
        <w:ind w:firstLine="602" w:firstLineChars="250"/>
        <w:jc w:val="left"/>
        <w:rPr>
          <w:rFonts w:hint="eastAsia" w:ascii="宋体" w:hAnsi="宋体"/>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pPr>
              <w:spacing w:line="360" w:lineRule="auto"/>
              <w:ind w:firstLine="482"/>
              <w:rPr>
                <w:rFonts w:ascii="宋体"/>
                <w:b/>
                <w:color w:val="auto"/>
                <w:sz w:val="24"/>
                <w:highlight w:val="none"/>
              </w:rPr>
            </w:pPr>
          </w:p>
          <w:p>
            <w:pPr>
              <w:spacing w:line="360" w:lineRule="auto"/>
              <w:ind w:firstLine="482"/>
              <w:rPr>
                <w:rFonts w:ascii="宋体"/>
                <w:b/>
                <w:color w:val="auto"/>
                <w:sz w:val="24"/>
                <w:highlight w:val="none"/>
              </w:rPr>
            </w:pPr>
            <w:r>
              <w:rPr>
                <w:rFonts w:hint="eastAsia" w:ascii="宋体"/>
                <w:b/>
                <w:color w:val="auto"/>
                <w:sz w:val="24"/>
                <w:highlight w:val="none"/>
              </w:rPr>
              <w:t>法定代表人有效身份证复印件粘贴处（正、反面）</w:t>
            </w:r>
          </w:p>
        </w:tc>
      </w:tr>
    </w:tbl>
    <w:p>
      <w:pPr>
        <w:pStyle w:val="14"/>
        <w:snapToGrid w:val="0"/>
        <w:spacing w:before="295" w:after="295" w:line="360" w:lineRule="auto"/>
        <w:ind w:firstLine="482"/>
        <w:jc w:val="left"/>
        <w:rPr>
          <w:rFonts w:hint="eastAsia" w:hAnsi="宋体"/>
          <w:b/>
          <w:color w:val="auto"/>
          <w:sz w:val="32"/>
          <w:szCs w:val="32"/>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cs="宋体"/>
          <w:b/>
          <w:bCs/>
          <w:color w:val="auto"/>
          <w:sz w:val="30"/>
          <w:szCs w:val="30"/>
          <w:highlight w:val="none"/>
        </w:rPr>
        <w:t>5.法定代表人授权委托书的格式：</w:t>
      </w:r>
    </w:p>
    <w:p>
      <w:pPr>
        <w:snapToGrid w:val="0"/>
        <w:spacing w:before="120" w:beforeLines="50" w:after="50"/>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法定代表人授权委托书（如有委托时）</w:t>
      </w:r>
    </w:p>
    <w:p>
      <w:pPr>
        <w:snapToGrid w:val="0"/>
        <w:spacing w:before="120" w:beforeLines="50" w:after="50"/>
        <w:ind w:firstLine="482"/>
        <w:jc w:val="center"/>
        <w:rPr>
          <w:rFonts w:hint="eastAsia" w:ascii="宋体" w:hAnsi="宋体"/>
          <w:b/>
          <w:color w:val="auto"/>
          <w:sz w:val="24"/>
          <w:highlight w:val="none"/>
        </w:rPr>
      </w:pPr>
    </w:p>
    <w:p>
      <w:pPr>
        <w:pStyle w:val="14"/>
        <w:spacing w:line="360" w:lineRule="auto"/>
        <w:ind w:firstLine="42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bookmarkStart w:id="464" w:name="PO_3000001866_PM031_7"/>
      <w:r>
        <w:rPr>
          <w:rFonts w:hint="eastAsia" w:ascii="Times New Roman" w:hAnsi="Times New Roman"/>
          <w:color w:val="auto"/>
          <w:highlight w:val="none"/>
          <w:u w:val="single"/>
        </w:rPr>
        <w:t>广西科联招标中心有限公司</w:t>
      </w:r>
      <w:bookmarkEnd w:id="464"/>
      <w:r>
        <w:rPr>
          <w:rFonts w:ascii="Times New Roman" w:hAnsi="Times New Roman"/>
          <w:color w:val="auto"/>
          <w:highlight w:val="none"/>
          <w:u w:val="single"/>
        </w:rPr>
        <w:t xml:space="preserve"> </w:t>
      </w:r>
    </w:p>
    <w:p>
      <w:pPr>
        <w:pStyle w:val="14"/>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i/>
          <w:iCs/>
          <w:color w:val="auto"/>
          <w:highlight w:val="none"/>
          <w:u w:val="single"/>
        </w:rPr>
        <w:t>（项目名称）</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pPr>
        <w:pStyle w:val="14"/>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pPr>
        <w:pStyle w:val="14"/>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4"/>
        <w:spacing w:line="360" w:lineRule="auto"/>
        <w:ind w:firstLine="420"/>
        <w:rPr>
          <w:rFonts w:ascii="Times New Roman" w:hAnsi="Times New Roman"/>
          <w:color w:val="auto"/>
          <w:highlight w:val="none"/>
        </w:rPr>
      </w:pP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投标人名称（或联合体投标</w:t>
      </w:r>
      <w:r>
        <w:rPr>
          <w:rFonts w:hint="eastAsia" w:cs="宋体"/>
          <w:color w:val="auto"/>
          <w:kern w:val="0"/>
          <w:szCs w:val="21"/>
          <w:highlight w:val="none"/>
        </w:rPr>
        <w:t>牵头人名称</w:t>
      </w:r>
      <w:r>
        <w:rPr>
          <w:rFonts w:hint="eastAsia" w:ascii="Times New Roman" w:hAnsi="Times New Roman"/>
          <w:color w:val="auto"/>
          <w:highlight w:val="none"/>
        </w:rPr>
        <w:t>）（盖公章）：</w:t>
      </w:r>
      <w:r>
        <w:rPr>
          <w:rFonts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pPr>
        <w:pStyle w:val="14"/>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pPr>
        <w:pStyle w:val="14"/>
        <w:spacing w:line="360" w:lineRule="auto"/>
        <w:ind w:firstLine="420"/>
        <w:rPr>
          <w:rFonts w:ascii="Times New Roman" w:hAnsi="Times New Roman"/>
          <w:color w:val="auto"/>
          <w:highlight w:val="none"/>
          <w:u w:val="single"/>
        </w:rPr>
      </w:pPr>
    </w:p>
    <w:p>
      <w:pPr>
        <w:pStyle w:val="14"/>
        <w:spacing w:line="360" w:lineRule="auto"/>
        <w:ind w:firstLine="420"/>
        <w:rPr>
          <w:rFonts w:hint="eastAsia"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（盖公章）：</w:t>
      </w:r>
      <w:r>
        <w:rPr>
          <w:rFonts w:hint="eastAsia" w:hAnsi="宋体" w:cs="宋体"/>
          <w:color w:val="auto"/>
          <w:highlight w:val="none"/>
          <w:u w:val="single"/>
        </w:rPr>
        <w:t xml:space="preserve">                                    </w:t>
      </w:r>
    </w:p>
    <w:p>
      <w:pPr>
        <w:pStyle w:val="14"/>
        <w:spacing w:line="360" w:lineRule="auto"/>
        <w:ind w:firstLine="420"/>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pPr>
        <w:pStyle w:val="7"/>
        <w:spacing w:line="360" w:lineRule="auto"/>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pPr>
        <w:spacing w:line="360" w:lineRule="auto"/>
        <w:ind w:firstLine="420" w:firstLineChars="200"/>
        <w:rPr>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pPr>
        <w:pStyle w:val="14"/>
        <w:spacing w:line="360" w:lineRule="auto"/>
        <w:ind w:firstLine="420"/>
        <w:rPr>
          <w:rFonts w:hint="eastAsia" w:hAnsi="宋体" w:cs="宋体"/>
          <w:color w:val="auto"/>
          <w:highlight w:val="none"/>
          <w:u w:val="single"/>
        </w:rPr>
      </w:pP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p>
    <w:p>
      <w:pPr>
        <w:pStyle w:val="7"/>
        <w:spacing w:line="360" w:lineRule="auto"/>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p>
    <w:p>
      <w:pPr>
        <w:spacing w:line="360" w:lineRule="auto"/>
        <w:ind w:firstLine="420" w:firstLineChars="200"/>
        <w:rPr>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p>
    <w:p>
      <w:pPr>
        <w:pStyle w:val="14"/>
        <w:spacing w:line="360" w:lineRule="auto"/>
        <w:ind w:firstLine="420" w:firstLineChars="200"/>
        <w:rPr>
          <w:color w:val="auto"/>
          <w:highlight w:val="none"/>
        </w:rPr>
      </w:pPr>
      <w:r>
        <w:rPr>
          <w:rFonts w:hint="eastAsia"/>
          <w:color w:val="auto"/>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60" w:lineRule="auto"/>
        <w:ind w:firstLine="420" w:firstLineChars="200"/>
        <w:jc w:val="left"/>
        <w:rPr>
          <w:rFonts w:ascii="宋体"/>
          <w:b/>
          <w:color w:val="auto"/>
          <w:sz w:val="24"/>
          <w:highlight w:val="none"/>
        </w:rPr>
      </w:pPr>
      <w:r>
        <w:rPr>
          <w:rFonts w:hint="eastAsia" w:ascii="宋体" w:hAnsi="宋体" w:cs="宋体"/>
          <w:color w:val="auto"/>
          <w:szCs w:val="21"/>
          <w:highlight w:val="none"/>
        </w:rPr>
        <w:t>4. 若为联合体投标须各方签字或盖章。</w:t>
      </w:r>
    </w:p>
    <w:p>
      <w:pPr>
        <w:ind w:firstLine="482"/>
        <w:rPr>
          <w:rFonts w:ascii="宋体"/>
          <w:b/>
          <w:color w:val="auto"/>
          <w:sz w:val="24"/>
          <w:highlight w:val="none"/>
        </w:rPr>
      </w:pPr>
      <w:r>
        <w:rPr>
          <w:rFonts w:hint="eastAsia" w:ascii="宋体"/>
          <w:b/>
          <w:color w:val="auto"/>
          <w:sz w:val="24"/>
          <w:highlight w:val="none"/>
        </w:rPr>
        <w:br w:type="page"/>
      </w:r>
    </w:p>
    <w:p>
      <w:pPr>
        <w:spacing w:line="360" w:lineRule="auto"/>
        <w:ind w:firstLine="482"/>
        <w:rPr>
          <w:b/>
          <w:color w:val="auto"/>
          <w:sz w:val="24"/>
          <w:highlight w:val="none"/>
        </w:rPr>
      </w:pPr>
      <w:r>
        <w:rPr>
          <w:rFonts w:hint="eastAsia" w:ascii="宋体"/>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pPr>
              <w:spacing w:line="360" w:lineRule="auto"/>
              <w:ind w:firstLine="482"/>
              <w:rPr>
                <w:rFonts w:ascii="宋体"/>
                <w:b/>
                <w:color w:val="auto"/>
                <w:sz w:val="24"/>
                <w:highlight w:val="none"/>
              </w:rPr>
            </w:pPr>
          </w:p>
          <w:p>
            <w:pPr>
              <w:spacing w:line="360" w:lineRule="auto"/>
              <w:ind w:firstLine="482"/>
              <w:rPr>
                <w:rFonts w:ascii="宋体"/>
                <w:b/>
                <w:color w:val="auto"/>
                <w:sz w:val="24"/>
                <w:highlight w:val="none"/>
              </w:rPr>
            </w:pPr>
            <w:r>
              <w:rPr>
                <w:rFonts w:hint="eastAsia"/>
                <w:b/>
                <w:bCs/>
                <w:color w:val="auto"/>
                <w:sz w:val="24"/>
                <w:highlight w:val="none"/>
              </w:rPr>
              <w:t>委托代理人有效</w:t>
            </w:r>
            <w:r>
              <w:rPr>
                <w:rFonts w:hint="eastAsia" w:ascii="宋体"/>
                <w:b/>
                <w:color w:val="auto"/>
                <w:sz w:val="24"/>
                <w:highlight w:val="none"/>
              </w:rPr>
              <w:t>身份证复印件粘贴处（正、反面）</w:t>
            </w:r>
          </w:p>
        </w:tc>
      </w:tr>
    </w:tbl>
    <w:p>
      <w:pPr>
        <w:snapToGrid w:val="0"/>
        <w:spacing w:before="50" w:after="120" w:afterLines="50" w:line="360" w:lineRule="auto"/>
        <w:ind w:firstLine="420"/>
        <w:jc w:val="left"/>
        <w:rPr>
          <w:rFonts w:hint="eastAsia" w:ascii="仿宋_GB2312" w:hAnsi="仿宋_GB2312" w:eastAsia="仿宋_GB2312" w:cs="仿宋_GB2312"/>
          <w:color w:val="auto"/>
          <w:szCs w:val="21"/>
          <w:highlight w:val="none"/>
        </w:rPr>
      </w:pPr>
    </w:p>
    <w:p>
      <w:pPr>
        <w:snapToGrid w:val="0"/>
        <w:spacing w:before="120" w:beforeLines="50" w:after="50"/>
        <w:ind w:firstLine="566" w:firstLineChars="236"/>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660" w:firstLineChars="236"/>
        <w:rPr>
          <w:rFonts w:hint="eastAsia" w:ascii="宋体" w:hAnsi="宋体"/>
          <w:color w:val="auto"/>
          <w:sz w:val="28"/>
          <w:szCs w:val="28"/>
          <w:highlight w:val="none"/>
        </w:rPr>
      </w:pPr>
    </w:p>
    <w:p>
      <w:pPr>
        <w:snapToGrid w:val="0"/>
        <w:spacing w:before="120" w:beforeLines="50" w:after="50"/>
        <w:ind w:firstLine="566" w:firstLineChars="236"/>
        <w:rPr>
          <w:rFonts w:hint="eastAsia" w:ascii="宋体" w:hAnsi="宋体"/>
          <w:color w:val="auto"/>
          <w:highlight w:val="none"/>
        </w:rPr>
      </w:pPr>
      <w:r>
        <w:rPr>
          <w:rFonts w:hint="eastAsia" w:ascii="宋体" w:hAnsi="宋体"/>
          <w:color w:val="auto"/>
          <w:sz w:val="24"/>
          <w:highlight w:val="none"/>
        </w:rPr>
        <w:br w:type="page"/>
      </w:r>
    </w:p>
    <w:p>
      <w:pPr>
        <w:ind w:firstLine="562"/>
        <w:jc w:val="left"/>
        <w:rPr>
          <w:b/>
          <w:bCs/>
          <w:color w:val="auto"/>
          <w:sz w:val="30"/>
          <w:szCs w:val="30"/>
          <w:highlight w:val="none"/>
        </w:rPr>
      </w:pPr>
      <w:r>
        <w:rPr>
          <w:rFonts w:hint="eastAsia" w:ascii="宋体" w:hAnsi="宋体" w:cs="宋体"/>
          <w:b/>
          <w:color w:val="auto"/>
          <w:sz w:val="28"/>
          <w:szCs w:val="28"/>
          <w:highlight w:val="none"/>
        </w:rPr>
        <w:t>6.商务条款偏离表的格式：</w:t>
      </w:r>
    </w:p>
    <w:p>
      <w:pPr>
        <w:ind w:firstLine="602"/>
        <w:jc w:val="center"/>
        <w:rPr>
          <w:b/>
          <w:bCs/>
          <w:color w:val="auto"/>
          <w:sz w:val="30"/>
          <w:szCs w:val="30"/>
          <w:highlight w:val="none"/>
        </w:rPr>
      </w:pPr>
    </w:p>
    <w:p>
      <w:pPr>
        <w:ind w:firstLine="602"/>
        <w:jc w:val="center"/>
        <w:rPr>
          <w:b/>
          <w:bCs/>
          <w:color w:val="auto"/>
          <w:sz w:val="30"/>
          <w:szCs w:val="30"/>
          <w:highlight w:val="none"/>
        </w:rPr>
      </w:pPr>
      <w:r>
        <w:rPr>
          <w:rFonts w:hint="eastAsia"/>
          <w:b/>
          <w:bCs/>
          <w:color w:val="auto"/>
          <w:sz w:val="30"/>
          <w:szCs w:val="30"/>
          <w:highlight w:val="none"/>
        </w:rPr>
        <w:t>商务条款偏离表</w:t>
      </w:r>
    </w:p>
    <w:p>
      <w:pPr>
        <w:spacing w:line="360" w:lineRule="auto"/>
        <w:ind w:firstLine="480"/>
        <w:contextualSpacing/>
        <w:rPr>
          <w:rFonts w:hint="eastAsia" w:ascii="宋体" w:hAnsi="宋体" w:cs="宋体"/>
          <w:color w:val="auto"/>
          <w:sz w:val="24"/>
          <w:highlight w:val="none"/>
        </w:rPr>
      </w:pPr>
    </w:p>
    <w:p>
      <w:pPr>
        <w:spacing w:line="360" w:lineRule="auto"/>
        <w:ind w:firstLine="48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480"/>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4"/>
        <w:spacing w:line="480" w:lineRule="auto"/>
        <w:ind w:left="-422" w:leftChars="-201" w:firstLine="480"/>
        <w:rPr>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r>
        <w:rPr>
          <w:rFonts w:hint="eastAsia"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宋体" w:hAnsi="宋体" w:cs="宋体"/>
                <w:color w:val="auto"/>
                <w:szCs w:val="21"/>
                <w:highlight w:val="none"/>
              </w:rPr>
            </w:pPr>
          </w:p>
        </w:tc>
      </w:tr>
    </w:tbl>
    <w:p>
      <w:pPr>
        <w:pStyle w:val="14"/>
        <w:spacing w:line="360" w:lineRule="auto"/>
        <w:ind w:left="-708" w:leftChars="-337" w:firstLine="420"/>
        <w:rPr>
          <w:rFonts w:ascii="Times New Roman" w:hAnsi="Times New Roman"/>
          <w:color w:val="auto"/>
          <w:highlight w:val="none"/>
        </w:rPr>
      </w:pPr>
    </w:p>
    <w:p>
      <w:pPr>
        <w:pStyle w:val="14"/>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注：</w:t>
      </w:r>
    </w:p>
    <w:p>
      <w:pPr>
        <w:pStyle w:val="14"/>
        <w:spacing w:line="360" w:lineRule="auto"/>
        <w:ind w:firstLine="420" w:firstLineChars="200"/>
        <w:rPr>
          <w:rFonts w:hint="eastAsia" w:hAnsi="宋体" w:cs="宋体"/>
          <w:color w:val="auto"/>
          <w:highlight w:val="none"/>
        </w:rPr>
      </w:pPr>
      <w:r>
        <w:rPr>
          <w:rFonts w:hint="eastAsia" w:hAnsi="宋体" w:cs="宋体"/>
          <w:color w:val="auto"/>
          <w:highlight w:val="none"/>
        </w:rPr>
        <w:t>1.表格内容均需按要求填写并加盖投标人公章。</w:t>
      </w:r>
    </w:p>
    <w:p>
      <w:pPr>
        <w:pStyle w:val="14"/>
        <w:spacing w:line="360" w:lineRule="auto"/>
        <w:ind w:left="-424" w:leftChars="-202" w:firstLine="840" w:firstLineChars="400"/>
        <w:rPr>
          <w:rFonts w:hint="eastAsia"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pPr>
        <w:pStyle w:val="14"/>
        <w:spacing w:line="360" w:lineRule="auto"/>
        <w:ind w:left="-603" w:leftChars="-287" w:firstLine="945" w:firstLineChars="450"/>
        <w:rPr>
          <w:rFonts w:hint="eastAsia" w:hAnsi="宋体" w:cs="宋体"/>
          <w:color w:val="auto"/>
          <w:highlight w:val="none"/>
        </w:rPr>
      </w:pPr>
      <w:r>
        <w:rPr>
          <w:rFonts w:hint="eastAsia" w:hAnsi="宋体" w:cs="宋体"/>
          <w:color w:val="auto"/>
          <w:highlight w:val="none"/>
        </w:rPr>
        <w:t>3.当投标文件的商务内容低于招标文件要求时，投标人应当如实写明“负偏离”。</w:t>
      </w:r>
    </w:p>
    <w:p>
      <w:pPr>
        <w:pStyle w:val="14"/>
        <w:spacing w:line="360" w:lineRule="auto"/>
        <w:ind w:left="-708" w:leftChars="-337" w:firstLine="1050" w:firstLineChars="500"/>
        <w:rPr>
          <w:rFonts w:hint="eastAsia" w:hAnsi="宋体" w:cs="宋体"/>
          <w:color w:val="auto"/>
          <w:szCs w:val="21"/>
          <w:highlight w:val="none"/>
        </w:rPr>
      </w:pPr>
    </w:p>
    <w:p>
      <w:pPr>
        <w:snapToGrid w:val="0"/>
        <w:spacing w:before="50" w:after="50"/>
        <w:ind w:firstLine="480"/>
        <w:rPr>
          <w:rFonts w:hint="eastAsia" w:ascii="宋体" w:hAnsi="宋体"/>
          <w:color w:val="auto"/>
          <w:sz w:val="24"/>
          <w:highlight w:val="none"/>
        </w:rPr>
      </w:pPr>
    </w:p>
    <w:p>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ind w:firstLine="420"/>
        <w:rPr>
          <w:color w:val="auto"/>
          <w:highlight w:val="none"/>
        </w:rPr>
      </w:pPr>
    </w:p>
    <w:p>
      <w:pPr>
        <w:widowControl/>
        <w:ind w:firstLine="602"/>
        <w:jc w:val="left"/>
        <w:rPr>
          <w:b/>
          <w:bCs/>
          <w:color w:val="auto"/>
          <w:sz w:val="30"/>
          <w:szCs w:val="30"/>
          <w:highlight w:val="none"/>
        </w:rPr>
        <w:sectPr>
          <w:pgSz w:w="11905" w:h="16838"/>
          <w:pgMar w:top="1134" w:right="1134" w:bottom="1134" w:left="1134" w:header="850" w:footer="850" w:gutter="0"/>
          <w:cols w:space="0" w:num="1"/>
          <w:titlePg/>
          <w:docGrid w:linePitch="331" w:charSpace="0"/>
        </w:sectPr>
      </w:pPr>
    </w:p>
    <w:p>
      <w:pPr>
        <w:pStyle w:val="14"/>
        <w:ind w:firstLine="562"/>
        <w:jc w:val="center"/>
        <w:outlineLvl w:val="1"/>
        <w:rPr>
          <w:rFonts w:hint="eastAsia" w:hAnsi="宋体"/>
          <w:b/>
          <w:bCs/>
          <w:color w:val="auto"/>
          <w:sz w:val="28"/>
          <w:szCs w:val="28"/>
          <w:highlight w:val="none"/>
        </w:rPr>
      </w:pPr>
      <w:bookmarkStart w:id="465" w:name="_Toc24098"/>
      <w:bookmarkStart w:id="466" w:name="_Toc17437"/>
      <w:bookmarkStart w:id="467" w:name="_Toc24407"/>
      <w:bookmarkStart w:id="468" w:name="_Toc10435"/>
      <w:bookmarkStart w:id="469" w:name="_Toc585"/>
      <w:bookmarkStart w:id="470" w:name="_Toc19686839"/>
      <w:bookmarkStart w:id="471" w:name="_Toc23685"/>
      <w:bookmarkStart w:id="472" w:name="_Toc1161"/>
      <w:bookmarkStart w:id="473" w:name="_Toc27757"/>
      <w:bookmarkStart w:id="474" w:name="_Toc10197"/>
      <w:bookmarkStart w:id="475" w:name="_Toc8889"/>
      <w:r>
        <w:rPr>
          <w:rFonts w:hint="eastAsia" w:hAnsi="宋体"/>
          <w:b/>
          <w:bCs/>
          <w:color w:val="auto"/>
          <w:sz w:val="28"/>
          <w:szCs w:val="28"/>
          <w:highlight w:val="none"/>
        </w:rPr>
        <w:t>第三节 技术文件格式</w:t>
      </w:r>
      <w:bookmarkEnd w:id="465"/>
      <w:bookmarkEnd w:id="466"/>
      <w:bookmarkEnd w:id="467"/>
      <w:bookmarkEnd w:id="468"/>
      <w:bookmarkEnd w:id="469"/>
      <w:bookmarkEnd w:id="470"/>
      <w:bookmarkEnd w:id="471"/>
      <w:bookmarkEnd w:id="472"/>
      <w:bookmarkEnd w:id="473"/>
      <w:bookmarkEnd w:id="474"/>
      <w:bookmarkEnd w:id="475"/>
    </w:p>
    <w:p>
      <w:pPr>
        <w:snapToGrid w:val="0"/>
        <w:spacing w:before="120" w:beforeLines="50" w:after="50"/>
        <w:ind w:firstLine="48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562"/>
        <w:rPr>
          <w:rFonts w:hint="eastAsia" w:ascii="宋体" w:hAnsi="宋体"/>
          <w:color w:val="auto"/>
          <w:sz w:val="24"/>
          <w:highlight w:val="none"/>
        </w:rPr>
      </w:pPr>
      <w:r>
        <w:rPr>
          <w:rFonts w:hint="eastAsia" w:ascii="宋体" w:hAnsi="宋体" w:cs="宋体"/>
          <w:b/>
          <w:color w:val="auto"/>
          <w:sz w:val="28"/>
          <w:szCs w:val="28"/>
          <w:highlight w:val="none"/>
        </w:rPr>
        <w:t>1. 技术文件封面的格式（参照此格式自拟）：</w:t>
      </w:r>
    </w:p>
    <w:p>
      <w:pPr>
        <w:snapToGrid w:val="0"/>
        <w:spacing w:before="120" w:beforeLines="50" w:after="50"/>
        <w:ind w:firstLine="1200" w:firstLineChars="50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ind w:firstLine="480"/>
        <w:rPr>
          <w:rFonts w:hint="eastAsia" w:ascii="宋体" w:hAnsi="宋体"/>
          <w:color w:val="auto"/>
          <w:sz w:val="24"/>
          <w:szCs w:val="20"/>
          <w:highlight w:val="none"/>
        </w:rPr>
      </w:pPr>
    </w:p>
    <w:p>
      <w:pPr>
        <w:snapToGrid w:val="0"/>
        <w:spacing w:before="120" w:beforeLines="50" w:after="50"/>
        <w:ind w:firstLine="643"/>
        <w:jc w:val="center"/>
        <w:rPr>
          <w:rFonts w:hint="eastAsia" w:ascii="宋体" w:hAnsi="宋体"/>
          <w:b/>
          <w:bCs/>
          <w:color w:val="auto"/>
          <w:sz w:val="32"/>
          <w:szCs w:val="32"/>
          <w:highlight w:val="none"/>
        </w:rPr>
      </w:pPr>
    </w:p>
    <w:p>
      <w:pPr>
        <w:snapToGrid w:val="0"/>
        <w:spacing w:before="120" w:beforeLines="50" w:after="50"/>
        <w:ind w:firstLine="643"/>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ind w:firstLine="48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ind w:firstLine="480"/>
        <w:jc w:val="center"/>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p>
    <w:p>
      <w:pPr>
        <w:snapToGrid w:val="0"/>
        <w:spacing w:before="120" w:beforeLines="50" w:after="50"/>
        <w:ind w:firstLine="480"/>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480"/>
        <w:jc w:val="center"/>
        <w:rPr>
          <w:rFonts w:hint="eastAsia" w:ascii="宋体" w:hAnsi="宋体"/>
          <w:color w:val="auto"/>
          <w:sz w:val="24"/>
          <w:szCs w:val="20"/>
          <w:highlight w:val="none"/>
        </w:rPr>
      </w:pPr>
    </w:p>
    <w:p>
      <w:pPr>
        <w:ind w:firstLine="482"/>
        <w:jc w:val="center"/>
        <w:rPr>
          <w:rFonts w:hint="eastAsia" w:ascii="宋体" w:hAnsi="宋体"/>
          <w:b/>
          <w:bCs/>
          <w:color w:val="auto"/>
          <w:sz w:val="24"/>
          <w:highlight w:val="none"/>
        </w:rPr>
      </w:pPr>
      <w:r>
        <w:rPr>
          <w:rFonts w:hint="eastAsia" w:ascii="宋体" w:hAnsi="宋体"/>
          <w:b/>
          <w:bCs/>
          <w:color w:val="auto"/>
          <w:sz w:val="24"/>
          <w:highlight w:val="none"/>
        </w:rPr>
        <w:br w:type="page"/>
      </w:r>
    </w:p>
    <w:p>
      <w:pPr>
        <w:numPr>
          <w:ilvl w:val="0"/>
          <w:numId w:val="6"/>
        </w:numPr>
        <w:snapToGrid w:val="0"/>
        <w:spacing w:before="120" w:beforeLines="50" w:after="50"/>
        <w:ind w:left="142" w:firstLine="562"/>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pPr>
        <w:snapToGrid w:val="0"/>
        <w:spacing w:before="120" w:beforeLines="50" w:after="50"/>
        <w:ind w:left="142" w:firstLine="480"/>
        <w:jc w:val="left"/>
        <w:rPr>
          <w:rFonts w:hint="eastAsia" w:ascii="宋体" w:hAnsi="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pPr>
        <w:snapToGrid w:val="0"/>
        <w:spacing w:before="120" w:beforeLines="50" w:after="50"/>
        <w:ind w:firstLine="482"/>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r>
        <w:rPr>
          <w:rFonts w:hint="eastAsia" w:ascii="宋体" w:hAnsi="宋体" w:cs="宋体"/>
          <w:b/>
          <w:color w:val="auto"/>
          <w:sz w:val="28"/>
          <w:szCs w:val="28"/>
          <w:highlight w:val="none"/>
        </w:rPr>
        <w:t>3. 服务要求偏离表</w:t>
      </w:r>
      <w:r>
        <w:rPr>
          <w:rFonts w:hint="eastAsia" w:hAnsi="宋体" w:cs="宋体"/>
          <w:b/>
          <w:color w:val="auto"/>
          <w:sz w:val="28"/>
          <w:szCs w:val="28"/>
          <w:highlight w:val="none"/>
        </w:rPr>
        <w:t>的</w:t>
      </w:r>
      <w:r>
        <w:rPr>
          <w:rFonts w:hint="eastAsia" w:ascii="宋体" w:hAnsi="宋体" w:cs="宋体"/>
          <w:b/>
          <w:color w:val="auto"/>
          <w:sz w:val="28"/>
          <w:szCs w:val="28"/>
          <w:highlight w:val="none"/>
        </w:rPr>
        <w:t>格式</w:t>
      </w:r>
      <w:r>
        <w:rPr>
          <w:rFonts w:hint="eastAsia" w:hAnsi="宋体" w:cs="宋体"/>
          <w:b/>
          <w:color w:val="auto"/>
          <w:sz w:val="28"/>
          <w:szCs w:val="28"/>
          <w:highlight w:val="none"/>
        </w:rPr>
        <w:t>：</w:t>
      </w:r>
    </w:p>
    <w:p>
      <w:pPr>
        <w:pStyle w:val="14"/>
        <w:spacing w:line="500" w:lineRule="exact"/>
        <w:ind w:firstLine="602"/>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服务要求偏离表</w:t>
      </w:r>
    </w:p>
    <w:p>
      <w:pPr>
        <w:pStyle w:val="14"/>
        <w:spacing w:line="440" w:lineRule="exact"/>
        <w:ind w:firstLine="420" w:firstLineChars="200"/>
        <w:rPr>
          <w:color w:val="auto"/>
          <w:highlight w:val="none"/>
        </w:rPr>
      </w:pPr>
    </w:p>
    <w:p>
      <w:pPr>
        <w:spacing w:line="360" w:lineRule="auto"/>
        <w:ind w:firstLine="48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4"/>
        <w:spacing w:line="600" w:lineRule="exact"/>
        <w:ind w:firstLine="480"/>
        <w:rPr>
          <w:rFonts w:hint="eastAsia"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pPr>
        <w:pStyle w:val="7"/>
        <w:ind w:firstLine="420"/>
        <w:rPr>
          <w:color w:val="auto"/>
          <w:highlight w:val="none"/>
        </w:rPr>
      </w:pPr>
    </w:p>
    <w:p>
      <w:pPr>
        <w:pStyle w:val="7"/>
        <w:ind w:left="0" w:firstLine="480"/>
        <w:rPr>
          <w:rFonts w:hint="eastAsia" w:ascii="宋体" w:hAnsi="宋体" w:cs="宋体"/>
          <w:color w:val="auto"/>
          <w:sz w:val="24"/>
          <w:highlight w:val="none"/>
          <w:u w:val="single"/>
        </w:rPr>
      </w:pPr>
      <w:r>
        <w:rPr>
          <w:rFonts w:hint="eastAsia" w:hAnsi="宋体" w:cs="宋体"/>
          <w:color w:val="auto"/>
          <w:sz w:val="24"/>
          <w:szCs w:val="20"/>
          <w:highlight w:val="none"/>
        </w:rPr>
        <w:t>所投</w:t>
      </w:r>
      <w:r>
        <w:rPr>
          <w:rFonts w:hint="eastAsia" w:ascii="宋体" w:hAnsi="宋体" w:cs="宋体"/>
          <w:color w:val="auto"/>
          <w:sz w:val="24"/>
          <w:szCs w:val="20"/>
          <w:highlight w:val="none"/>
        </w:rPr>
        <w:t>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ind w:firstLine="420"/>
        <w:rPr>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招标文件采购需求中的服务内容</w:t>
            </w:r>
          </w:p>
        </w:tc>
        <w:tc>
          <w:tcPr>
            <w:tcW w:w="34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r>
              <w:rPr>
                <w:rFonts w:hint="eastAsia" w:ascii="宋体" w:hAnsi="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1"/>
                <w:highlight w:val="none"/>
              </w:rPr>
            </w:pPr>
          </w:p>
        </w:tc>
      </w:tr>
    </w:tbl>
    <w:p>
      <w:pPr>
        <w:pStyle w:val="14"/>
        <w:spacing w:line="360" w:lineRule="auto"/>
        <w:ind w:firstLine="420"/>
        <w:rPr>
          <w:rFonts w:hint="eastAsia" w:hAnsi="宋体" w:cs="宋体"/>
          <w:color w:val="auto"/>
          <w:szCs w:val="21"/>
          <w:highlight w:val="none"/>
        </w:rPr>
      </w:pPr>
    </w:p>
    <w:p>
      <w:pPr>
        <w:pStyle w:val="14"/>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pPr>
        <w:pStyle w:val="14"/>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1.表格内容均需按要求填写并加盖投标人公章。</w:t>
      </w:r>
    </w:p>
    <w:p>
      <w:pPr>
        <w:pStyle w:val="14"/>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采购需求”中“服务要求”的服务内容作出明确响应，并作出偏离说明。“偏离说明”一栏应当选择“正偏离”或“负偏离”或“无偏离”进行填写。</w:t>
      </w:r>
    </w:p>
    <w:p>
      <w:pPr>
        <w:pStyle w:val="14"/>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p>
    <w:p>
      <w:pPr>
        <w:pStyle w:val="7"/>
        <w:ind w:firstLine="420"/>
        <w:rPr>
          <w:rFonts w:hint="eastAsia" w:hAnsi="宋体" w:cs="宋体"/>
          <w:color w:val="auto"/>
          <w:szCs w:val="21"/>
          <w:highlight w:val="none"/>
        </w:rPr>
      </w:pPr>
    </w:p>
    <w:p>
      <w:pPr>
        <w:ind w:firstLine="420"/>
        <w:rPr>
          <w:rFonts w:hint="eastAsia" w:hAnsi="宋体" w:cs="宋体"/>
          <w:color w:val="auto"/>
          <w:szCs w:val="21"/>
          <w:highlight w:val="none"/>
        </w:rPr>
      </w:pPr>
    </w:p>
    <w:p>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ind w:firstLine="600"/>
        <w:jc w:val="left"/>
        <w:rPr>
          <w:rFonts w:hint="eastAsia" w:ascii="宋体" w:hAnsi="宋体"/>
          <w:color w:val="auto"/>
          <w:sz w:val="30"/>
          <w:szCs w:val="20"/>
          <w:highlight w:val="none"/>
        </w:rPr>
        <w:sectPr>
          <w:pgSz w:w="11905" w:h="16838"/>
          <w:pgMar w:top="1134" w:right="1134" w:bottom="1134" w:left="1134" w:header="850" w:footer="850" w:gutter="0"/>
          <w:cols w:space="0" w:num="1"/>
          <w:titlePg/>
          <w:docGrid w:linePitch="331" w:charSpace="0"/>
        </w:sectPr>
      </w:pPr>
    </w:p>
    <w:p>
      <w:pPr>
        <w:snapToGrid w:val="0"/>
        <w:spacing w:before="120" w:beforeLines="50" w:after="50"/>
        <w:ind w:left="142" w:firstLine="562"/>
        <w:jc w:val="left"/>
        <w:rPr>
          <w:rFonts w:hint="eastAsia" w:ascii="宋体" w:hAnsi="宋体"/>
          <w:b/>
          <w:color w:val="auto"/>
          <w:sz w:val="32"/>
          <w:szCs w:val="32"/>
          <w:highlight w:val="none"/>
        </w:rPr>
      </w:pPr>
      <w:r>
        <w:rPr>
          <w:rFonts w:hint="eastAsia" w:ascii="宋体" w:hAnsi="宋体" w:cs="宋体"/>
          <w:b/>
          <w:color w:val="auto"/>
          <w:sz w:val="28"/>
          <w:szCs w:val="28"/>
          <w:highlight w:val="none"/>
        </w:rPr>
        <w:t>4. 售后服务机构情况表、售后服务人员情况表的格式</w:t>
      </w:r>
      <w:r>
        <w:rPr>
          <w:rFonts w:hint="eastAsia" w:ascii="宋体" w:hAnsi="宋体" w:cs="宋体"/>
          <w:b/>
          <w:bCs/>
          <w:color w:val="auto"/>
          <w:sz w:val="30"/>
          <w:szCs w:val="30"/>
          <w:highlight w:val="none"/>
        </w:rPr>
        <w:t>：</w:t>
      </w:r>
    </w:p>
    <w:p>
      <w:pPr>
        <w:snapToGrid w:val="0"/>
        <w:spacing w:before="120" w:beforeLines="50" w:after="50"/>
        <w:ind w:left="142" w:firstLine="643"/>
        <w:jc w:val="center"/>
        <w:rPr>
          <w:rFonts w:hint="eastAsia" w:ascii="宋体" w:hAnsi="宋体"/>
          <w:b/>
          <w:color w:val="auto"/>
          <w:sz w:val="32"/>
          <w:szCs w:val="32"/>
          <w:highlight w:val="none"/>
        </w:rPr>
      </w:pPr>
    </w:p>
    <w:p>
      <w:pPr>
        <w:autoSpaceDE w:val="0"/>
        <w:autoSpaceDN w:val="0"/>
        <w:spacing w:line="360" w:lineRule="auto"/>
        <w:ind w:firstLine="48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（如有要求，参照此格式自制）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bl>
    <w:p>
      <w:pPr>
        <w:autoSpaceDE w:val="0"/>
        <w:autoSpaceDN w:val="0"/>
        <w:spacing w:line="360" w:lineRule="auto"/>
        <w:ind w:firstLine="48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ind w:firstLine="480"/>
        <w:rPr>
          <w:rFonts w:hint="eastAsia" w:ascii="仿宋_GB2312" w:hAnsi="仿宋" w:eastAsia="仿宋_GB2312" w:cs="仿宋_GB2312"/>
          <w:color w:val="auto"/>
          <w:kern w:val="0"/>
          <w:sz w:val="24"/>
          <w:highlight w:val="none"/>
        </w:rPr>
      </w:pPr>
    </w:p>
    <w:p>
      <w:pPr>
        <w:autoSpaceDE w:val="0"/>
        <w:autoSpaceDN w:val="0"/>
        <w:spacing w:line="360" w:lineRule="auto"/>
        <w:ind w:firstLine="480"/>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（如有要求，参照此格式自制）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r>
    </w:tbl>
    <w:p>
      <w:pPr>
        <w:snapToGrid w:val="0"/>
        <w:spacing w:before="120" w:beforeLines="50" w:after="50"/>
        <w:ind w:left="142" w:firstLine="643"/>
        <w:jc w:val="center"/>
        <w:rPr>
          <w:rFonts w:hint="eastAsia" w:ascii="宋体" w:hAnsi="宋体"/>
          <w:b/>
          <w:color w:val="auto"/>
          <w:sz w:val="32"/>
          <w:szCs w:val="32"/>
          <w:highlight w:val="none"/>
        </w:rPr>
      </w:pPr>
    </w:p>
    <w:p>
      <w:pPr>
        <w:snapToGrid w:val="0"/>
        <w:spacing w:before="120" w:beforeLines="50" w:line="360" w:lineRule="auto"/>
        <w:ind w:right="480" w:firstLine="3967" w:firstLineChars="1653"/>
        <w:rPr>
          <w:rFonts w:hint="eastAsia" w:ascii="宋体" w:hAnsi="宋体"/>
          <w:color w:val="auto"/>
          <w:sz w:val="24"/>
          <w:highlight w:val="none"/>
        </w:rPr>
      </w:pPr>
    </w:p>
    <w:p>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spacing w:line="360" w:lineRule="auto"/>
        <w:ind w:firstLine="480"/>
        <w:jc w:val="left"/>
        <w:rPr>
          <w:rFonts w:hint="eastAsia" w:ascii="宋体" w:hAnsi="宋体"/>
          <w:color w:val="auto"/>
          <w:sz w:val="24"/>
          <w:highlight w:val="none"/>
        </w:rPr>
        <w:sectPr>
          <w:pgSz w:w="11905" w:h="16838"/>
          <w:pgMar w:top="1134" w:right="1134" w:bottom="1134" w:left="1134" w:header="850" w:footer="850" w:gutter="0"/>
          <w:cols w:space="0" w:num="1"/>
          <w:titlePg/>
          <w:docGrid w:linePitch="331" w:charSpace="0"/>
        </w:sectPr>
      </w:pPr>
    </w:p>
    <w:p>
      <w:pPr>
        <w:pStyle w:val="18"/>
        <w:snapToGrid w:val="0"/>
        <w:ind w:left="562" w:hanging="562"/>
        <w:rPr>
          <w:rFonts w:hint="eastAsia" w:ascii="宋体" w:hAnsi="宋体" w:cs="宋体"/>
          <w:i/>
          <w:iCs/>
          <w:color w:val="auto"/>
          <w:sz w:val="24"/>
          <w:highlight w:val="none"/>
        </w:rPr>
      </w:pPr>
      <w:r>
        <w:rPr>
          <w:rFonts w:hint="eastAsia" w:ascii="宋体" w:hAnsi="宋体" w:cs="宋体"/>
          <w:b/>
          <w:color w:val="auto"/>
          <w:szCs w:val="28"/>
          <w:highlight w:val="none"/>
        </w:rPr>
        <w:t>5. 项目实施人员一览表的格式</w:t>
      </w:r>
      <w:r>
        <w:rPr>
          <w:rFonts w:hint="eastAsia" w:ascii="宋体" w:hAnsi="宋体" w:cs="宋体"/>
          <w:b/>
          <w:bCs/>
          <w:color w:val="auto"/>
          <w:sz w:val="30"/>
          <w:szCs w:val="30"/>
          <w:highlight w:val="none"/>
        </w:rPr>
        <w:t>：</w:t>
      </w:r>
    </w:p>
    <w:p>
      <w:pPr>
        <w:snapToGrid w:val="0"/>
        <w:spacing w:before="120" w:beforeLines="50" w:after="50"/>
        <w:ind w:left="142" w:firstLine="643"/>
        <w:jc w:val="left"/>
        <w:rPr>
          <w:rFonts w:hint="eastAsia" w:ascii="宋体" w:hAnsi="宋体"/>
          <w:b/>
          <w:color w:val="auto"/>
          <w:sz w:val="32"/>
          <w:szCs w:val="32"/>
          <w:highlight w:val="none"/>
        </w:rPr>
      </w:pPr>
    </w:p>
    <w:p>
      <w:pPr>
        <w:snapToGrid w:val="0"/>
        <w:spacing w:before="120" w:beforeLines="50" w:after="50"/>
        <w:ind w:left="142"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r>
        <w:rPr>
          <w:rFonts w:hint="eastAsia" w:ascii="宋体" w:hAnsi="宋体"/>
          <w:b/>
          <w:i/>
          <w:iCs/>
          <w:color w:val="auto"/>
          <w:sz w:val="32"/>
          <w:szCs w:val="32"/>
          <w:highlight w:val="none"/>
        </w:rPr>
        <w:t>（如有要求）</w:t>
      </w:r>
    </w:p>
    <w:p>
      <w:pPr>
        <w:spacing w:line="360" w:lineRule="auto"/>
        <w:ind w:firstLine="480"/>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4"/>
        <w:ind w:firstLine="480"/>
        <w:rPr>
          <w:color w:val="auto"/>
          <w:sz w:val="24"/>
          <w:szCs w:val="24"/>
          <w:highlight w:val="none"/>
        </w:rPr>
      </w:pPr>
    </w:p>
    <w:p>
      <w:pPr>
        <w:pStyle w:val="14"/>
        <w:ind w:firstLine="480"/>
        <w:rPr>
          <w:color w:val="auto"/>
          <w:sz w:val="24"/>
          <w:szCs w:val="24"/>
          <w:highlight w:val="none"/>
        </w:rPr>
      </w:pPr>
      <w:r>
        <w:rPr>
          <w:rFonts w:hint="eastAsia"/>
          <w:color w:val="auto"/>
          <w:sz w:val="24"/>
          <w:szCs w:val="24"/>
          <w:highlight w:val="none"/>
        </w:rPr>
        <w:t>所投分标（此处有分标时填写具体分标号，无分标时填写“无”）：</w:t>
      </w:r>
      <w:r>
        <w:rPr>
          <w:rFonts w:hint="eastAsia"/>
          <w:color w:val="auto"/>
          <w:sz w:val="24"/>
          <w:szCs w:val="24"/>
          <w:highlight w:val="none"/>
          <w:u w:val="single"/>
        </w:rPr>
        <w:t xml:space="preserve">        </w:t>
      </w:r>
    </w:p>
    <w:p>
      <w:pPr>
        <w:keepNext/>
        <w:autoSpaceDE w:val="0"/>
        <w:autoSpaceDN w:val="0"/>
        <w:spacing w:line="360" w:lineRule="auto"/>
        <w:ind w:firstLine="48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48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rFonts w:hint="eastAsia" w:ascii="仿宋_GB2312" w:hAnsi="仿宋" w:eastAsia="仿宋_GB2312" w:cs="仿宋_GB2312"/>
                <w:color w:val="auto"/>
                <w:sz w:val="24"/>
                <w:highlight w:val="none"/>
              </w:rPr>
            </w:pPr>
          </w:p>
        </w:tc>
      </w:tr>
    </w:tbl>
    <w:p>
      <w:pPr>
        <w:autoSpaceDE w:val="0"/>
        <w:autoSpaceDN w:val="0"/>
        <w:spacing w:line="360" w:lineRule="auto"/>
        <w:ind w:firstLine="48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pPr>
        <w:autoSpaceDE w:val="0"/>
        <w:autoSpaceDN w:val="0"/>
        <w:spacing w:line="360" w:lineRule="auto"/>
        <w:ind w:firstLine="48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（参照此格式自制）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firstLine="480"/>
              <w:rPr>
                <w:rFonts w:hint="eastAsia" w:ascii="仿宋_GB2312" w:hAnsi="仿宋" w:eastAsia="仿宋_GB2312" w:cs="仿宋_GB2312"/>
                <w:color w:val="auto"/>
                <w:sz w:val="24"/>
                <w:highlight w:val="none"/>
              </w:rPr>
            </w:pPr>
          </w:p>
        </w:tc>
      </w:tr>
    </w:tbl>
    <w:p>
      <w:pPr>
        <w:spacing w:line="360" w:lineRule="auto"/>
        <w:ind w:firstLine="480"/>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注：投标人可参照上述的格式自行编制，并注明所在投标技术文件页码。</w:t>
      </w: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autoSpaceDE w:val="0"/>
        <w:autoSpaceDN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pPr>
        <w:snapToGrid w:val="0"/>
        <w:spacing w:before="50" w:after="50"/>
        <w:ind w:firstLine="480"/>
        <w:rPr>
          <w:rFonts w:hint="eastAsia" w:ascii="宋体" w:hAnsi="宋体"/>
          <w:color w:val="auto"/>
          <w:sz w:val="24"/>
          <w:highlight w:val="none"/>
        </w:rPr>
      </w:pPr>
    </w:p>
    <w:p>
      <w:pPr>
        <w:pStyle w:val="14"/>
        <w:ind w:firstLine="562"/>
        <w:jc w:val="center"/>
        <w:outlineLvl w:val="1"/>
        <w:rPr>
          <w:rFonts w:hint="eastAsia" w:hAnsi="宋体"/>
          <w:b/>
          <w:bCs/>
          <w:color w:val="auto"/>
          <w:sz w:val="28"/>
          <w:szCs w:val="28"/>
          <w:highlight w:val="none"/>
        </w:rPr>
      </w:pPr>
      <w:bookmarkStart w:id="476" w:name="_Toc22926"/>
      <w:bookmarkStart w:id="477" w:name="_Toc31920"/>
      <w:bookmarkStart w:id="478" w:name="_Toc17719"/>
      <w:bookmarkStart w:id="479" w:name="_Toc30951"/>
      <w:bookmarkStart w:id="480" w:name="_Toc9015"/>
      <w:bookmarkStart w:id="481" w:name="_Toc12675"/>
      <w:bookmarkStart w:id="482" w:name="_Toc1343"/>
      <w:bookmarkStart w:id="483" w:name="_Toc3481"/>
      <w:bookmarkStart w:id="484" w:name="_Toc28617"/>
      <w:bookmarkStart w:id="485" w:name="_Toc12868"/>
      <w:r>
        <w:rPr>
          <w:rFonts w:hint="eastAsia" w:hAnsi="宋体"/>
          <w:b/>
          <w:bCs/>
          <w:color w:val="auto"/>
          <w:sz w:val="28"/>
          <w:szCs w:val="28"/>
          <w:highlight w:val="none"/>
        </w:rPr>
        <w:t>第四节 报价文件格式</w:t>
      </w:r>
      <w:bookmarkEnd w:id="476"/>
      <w:bookmarkEnd w:id="477"/>
      <w:bookmarkEnd w:id="478"/>
      <w:bookmarkEnd w:id="479"/>
      <w:bookmarkEnd w:id="480"/>
      <w:bookmarkEnd w:id="481"/>
      <w:bookmarkEnd w:id="482"/>
      <w:bookmarkEnd w:id="483"/>
      <w:bookmarkEnd w:id="484"/>
      <w:bookmarkEnd w:id="485"/>
    </w:p>
    <w:p>
      <w:pPr>
        <w:snapToGrid w:val="0"/>
        <w:spacing w:before="120" w:beforeLines="50" w:after="50" w:line="400" w:lineRule="exact"/>
        <w:ind w:firstLine="480"/>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olor w:val="auto"/>
          <w:sz w:val="24"/>
          <w:highlight w:val="none"/>
        </w:rPr>
        <w:t xml:space="preserve">                                </w:t>
      </w:r>
    </w:p>
    <w:p>
      <w:pPr>
        <w:snapToGrid w:val="0"/>
        <w:spacing w:before="120" w:beforeLines="50" w:after="50" w:line="400" w:lineRule="exact"/>
        <w:ind w:firstLine="480"/>
        <w:rPr>
          <w:rFonts w:hint="eastAsia" w:ascii="宋体" w:hAnsi="宋体"/>
          <w:color w:val="auto"/>
          <w:sz w:val="24"/>
          <w:highlight w:val="none"/>
        </w:rPr>
      </w:pPr>
    </w:p>
    <w:p>
      <w:pPr>
        <w:snapToGrid w:val="0"/>
        <w:spacing w:before="120" w:beforeLines="50" w:after="50" w:line="400" w:lineRule="exact"/>
        <w:ind w:firstLine="48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line="400" w:lineRule="exact"/>
        <w:ind w:firstLine="480"/>
        <w:jc w:val="center"/>
        <w:rPr>
          <w:rFonts w:hint="eastAsia" w:ascii="宋体" w:hAnsi="宋体"/>
          <w:bCs/>
          <w:color w:val="auto"/>
          <w:sz w:val="24"/>
          <w:szCs w:val="20"/>
          <w:highlight w:val="none"/>
        </w:rPr>
      </w:pPr>
    </w:p>
    <w:p>
      <w:pPr>
        <w:snapToGrid w:val="0"/>
        <w:spacing w:before="120" w:beforeLines="50" w:after="50" w:line="400" w:lineRule="exact"/>
        <w:ind w:firstLine="643"/>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ind w:firstLine="480"/>
        <w:rPr>
          <w:rFonts w:hint="eastAsia" w:ascii="宋体" w:hAnsi="宋体"/>
          <w:bCs/>
          <w:color w:val="auto"/>
          <w:sz w:val="24"/>
          <w:szCs w:val="20"/>
          <w:highlight w:val="none"/>
        </w:rPr>
      </w:pPr>
    </w:p>
    <w:p>
      <w:pPr>
        <w:snapToGrid w:val="0"/>
        <w:spacing w:before="120" w:beforeLines="50" w:after="50" w:line="400" w:lineRule="exact"/>
        <w:ind w:firstLine="480"/>
        <w:rPr>
          <w:rFonts w:hint="eastAsia" w:ascii="宋体" w:hAnsi="宋体"/>
          <w:bCs/>
          <w:color w:val="auto"/>
          <w:sz w:val="24"/>
          <w:szCs w:val="20"/>
          <w:highlight w:val="none"/>
        </w:rPr>
      </w:pPr>
    </w:p>
    <w:p>
      <w:pPr>
        <w:snapToGrid w:val="0"/>
        <w:spacing w:before="120" w:beforeLines="50" w:after="50" w:line="400" w:lineRule="exact"/>
        <w:ind w:firstLine="480"/>
        <w:rPr>
          <w:rFonts w:hint="eastAsia" w:ascii="宋体" w:hAnsi="宋体"/>
          <w:bCs/>
          <w:color w:val="auto"/>
          <w:sz w:val="24"/>
          <w:szCs w:val="20"/>
          <w:highlight w:val="none"/>
        </w:rPr>
      </w:pPr>
    </w:p>
    <w:p>
      <w:pPr>
        <w:snapToGrid w:val="0"/>
        <w:spacing w:before="120" w:beforeLines="50" w:after="50" w:line="400" w:lineRule="exact"/>
        <w:ind w:firstLine="48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所投分标（如有则填写，无分标时填写“无”或者留空）：</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pStyle w:val="8"/>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ind w:firstLine="480"/>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line="400" w:lineRule="exact"/>
        <w:ind w:firstLine="3120" w:firstLineChars="1300"/>
        <w:rPr>
          <w:rFonts w:hint="eastAsia" w:ascii="宋体" w:hAnsi="宋体"/>
          <w:color w:val="auto"/>
          <w:sz w:val="24"/>
          <w:highlight w:val="none"/>
        </w:rPr>
      </w:pPr>
    </w:p>
    <w:p>
      <w:pPr>
        <w:snapToGrid w:val="0"/>
        <w:spacing w:before="120" w:beforeLines="50" w:after="50" w:line="400" w:lineRule="exact"/>
        <w:ind w:firstLine="4320" w:firstLineChars="1800"/>
        <w:rPr>
          <w:rFonts w:hint="eastAsia" w:ascii="宋体" w:hAnsi="宋体"/>
          <w:color w:val="auto"/>
          <w:sz w:val="24"/>
          <w:highlight w:val="none"/>
        </w:rPr>
      </w:pPr>
      <w:r>
        <w:rPr>
          <w:rFonts w:hint="eastAsia" w:ascii="宋体" w:hAnsi="宋体"/>
          <w:color w:val="auto"/>
          <w:sz w:val="24"/>
          <w:highlight w:val="none"/>
        </w:rPr>
        <w:t xml:space="preserve">  年  月  日</w:t>
      </w:r>
    </w:p>
    <w:p>
      <w:pPr>
        <w:widowControl/>
        <w:ind w:firstLine="480"/>
        <w:jc w:val="left"/>
        <w:rPr>
          <w:rFonts w:hint="eastAsia" w:ascii="宋体" w:hAnsi="宋体"/>
          <w:color w:val="auto"/>
          <w:sz w:val="24"/>
          <w:highlight w:val="none"/>
        </w:rPr>
        <w:sectPr>
          <w:pgSz w:w="11905" w:h="16838"/>
          <w:pgMar w:top="1134" w:right="1134" w:bottom="1134" w:left="1134" w:header="850" w:footer="850" w:gutter="0"/>
          <w:cols w:space="0" w:num="1"/>
          <w:titlePg/>
          <w:docGrid w:linePitch="331" w:charSpace="0"/>
        </w:sectPr>
      </w:pPr>
    </w:p>
    <w:p>
      <w:pPr>
        <w:snapToGrid w:val="0"/>
        <w:spacing w:before="120" w:beforeLines="50" w:after="50" w:line="360" w:lineRule="auto"/>
        <w:ind w:firstLine="562"/>
        <w:jc w:val="left"/>
        <w:rPr>
          <w:rFonts w:hint="eastAsia"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120" w:afterLines="50" w:line="360" w:lineRule="auto"/>
        <w:ind w:firstLine="560"/>
        <w:jc w:val="left"/>
        <w:rPr>
          <w:rFonts w:hint="eastAsia"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500" w:lineRule="exact"/>
        <w:ind w:firstLine="602"/>
        <w:jc w:val="center"/>
        <w:rPr>
          <w:b/>
          <w:bCs/>
          <w:color w:val="auto"/>
          <w:sz w:val="30"/>
          <w:szCs w:val="30"/>
          <w:highlight w:val="none"/>
        </w:rPr>
      </w:pPr>
      <w:r>
        <w:rPr>
          <w:rFonts w:hint="eastAsia"/>
          <w:b/>
          <w:bCs/>
          <w:color w:val="auto"/>
          <w:sz w:val="30"/>
          <w:szCs w:val="30"/>
          <w:highlight w:val="none"/>
        </w:rPr>
        <w:br w:type="page"/>
      </w:r>
    </w:p>
    <w:p>
      <w:pPr>
        <w:pStyle w:val="14"/>
        <w:spacing w:line="500" w:lineRule="exact"/>
        <w:ind w:firstLine="562"/>
        <w:jc w:val="left"/>
        <w:rPr>
          <w:rFonts w:ascii="Times New Roman" w:hAnsi="Times New Roman"/>
          <w:b/>
          <w:bCs/>
          <w:color w:val="auto"/>
          <w:sz w:val="30"/>
          <w:szCs w:val="30"/>
          <w:highlight w:val="none"/>
        </w:rPr>
      </w:pPr>
      <w:r>
        <w:rPr>
          <w:rFonts w:hint="eastAsia" w:hAnsi="宋体" w:cs="宋体"/>
          <w:b/>
          <w:bCs/>
          <w:color w:val="auto"/>
          <w:sz w:val="28"/>
          <w:szCs w:val="28"/>
          <w:highlight w:val="none"/>
        </w:rPr>
        <w:t>3.投标函的格式：</w:t>
      </w:r>
    </w:p>
    <w:p>
      <w:pPr>
        <w:pStyle w:val="14"/>
        <w:spacing w:line="500" w:lineRule="exact"/>
        <w:ind w:firstLine="602"/>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w:t>
      </w:r>
    </w:p>
    <w:p>
      <w:pPr>
        <w:pStyle w:val="14"/>
        <w:spacing w:line="440" w:lineRule="exact"/>
        <w:ind w:firstLine="420" w:firstLineChars="200"/>
        <w:rPr>
          <w:rFonts w:ascii="Times New Roman" w:hAnsi="Times New Roman"/>
          <w:color w:val="auto"/>
          <w:highlight w:val="none"/>
        </w:rPr>
      </w:pPr>
    </w:p>
    <w:p>
      <w:pPr>
        <w:pStyle w:val="14"/>
        <w:spacing w:line="360" w:lineRule="auto"/>
        <w:ind w:firstLine="420"/>
        <w:rPr>
          <w:rFonts w:ascii="Times New Roman" w:hAnsi="Times New Roman"/>
          <w:color w:val="auto"/>
          <w:highlight w:val="none"/>
        </w:rPr>
      </w:pPr>
      <w:r>
        <w:rPr>
          <w:rFonts w:hint="eastAsia" w:ascii="Times New Roman" w:hAnsi="Times New Roman"/>
          <w:color w:val="auto"/>
          <w:highlight w:val="none"/>
        </w:rPr>
        <w:t>致：</w:t>
      </w:r>
      <w:bookmarkStart w:id="486" w:name="PO_3000001866_PM031_4"/>
      <w:r>
        <w:rPr>
          <w:rFonts w:hint="eastAsia" w:ascii="Times New Roman" w:hAnsi="Times New Roman"/>
          <w:color w:val="auto"/>
          <w:highlight w:val="none"/>
          <w:u w:val="single"/>
        </w:rPr>
        <w:t>广西科联招标中心有限公司</w:t>
      </w:r>
      <w:bookmarkEnd w:id="486"/>
    </w:p>
    <w:p>
      <w:pPr>
        <w:pStyle w:val="14"/>
        <w:spacing w:line="360" w:lineRule="auto"/>
        <w:ind w:firstLine="420" w:firstLineChars="200"/>
        <w:rPr>
          <w:color w:val="auto"/>
          <w:highlight w:val="none"/>
        </w:rPr>
      </w:pPr>
      <w:r>
        <w:rPr>
          <w:rFonts w:hint="eastAsia"/>
          <w:color w:val="auto"/>
          <w:highlight w:val="none"/>
        </w:rPr>
        <w:t>我方已仔细阅读了贵方组织的</w:t>
      </w:r>
      <w:r>
        <w:rPr>
          <w:rFonts w:hint="eastAsia" w:hAnsi="宋体" w:cs="宋体"/>
          <w:i/>
          <w:iCs/>
          <w:color w:val="auto"/>
          <w:highlight w:val="none"/>
          <w:u w:val="single"/>
        </w:rPr>
        <w:t>（项目名称）</w:t>
      </w:r>
      <w:r>
        <w:rPr>
          <w:rFonts w:ascii="Times New Roman" w:hAnsi="Times New Roman"/>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pPr>
        <w:pStyle w:val="14"/>
        <w:spacing w:line="360" w:lineRule="auto"/>
        <w:ind w:firstLine="420" w:firstLineChars="200"/>
        <w:rPr>
          <w:color w:val="auto"/>
          <w:highlight w:val="none"/>
        </w:rPr>
      </w:pPr>
      <w:r>
        <w:rPr>
          <w:rFonts w:hint="eastAsia"/>
          <w:color w:val="auto"/>
          <w:highlight w:val="none"/>
        </w:rPr>
        <w:t>一、报价文件电子版（包含按投标人须知前附表要求提交的全部文件）；</w:t>
      </w:r>
    </w:p>
    <w:p>
      <w:pPr>
        <w:pStyle w:val="14"/>
        <w:spacing w:line="360" w:lineRule="auto"/>
        <w:ind w:firstLine="420"/>
        <w:rPr>
          <w:color w:val="auto"/>
          <w:highlight w:val="none"/>
        </w:rPr>
      </w:pPr>
      <w:r>
        <w:rPr>
          <w:rFonts w:hint="eastAsia"/>
          <w:color w:val="auto"/>
          <w:highlight w:val="none"/>
        </w:rPr>
        <w:t>二、资格文件电子版（包含按投标人须知前附表要求提交的全部文件）；</w:t>
      </w:r>
    </w:p>
    <w:p>
      <w:pPr>
        <w:pStyle w:val="14"/>
        <w:spacing w:line="360" w:lineRule="auto"/>
        <w:ind w:firstLine="420"/>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文件电子版（包含按投标人须知前附表要求提交的全部文件）；</w:t>
      </w:r>
    </w:p>
    <w:p>
      <w:pPr>
        <w:pStyle w:val="14"/>
        <w:spacing w:line="360" w:lineRule="auto"/>
        <w:ind w:firstLine="420"/>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电子版（包含按投标人须知前附表要求提交的全部文件）；</w:t>
      </w:r>
    </w:p>
    <w:p>
      <w:pPr>
        <w:pStyle w:val="14"/>
        <w:spacing w:line="360" w:lineRule="auto"/>
        <w:ind w:firstLine="420"/>
        <w:rPr>
          <w:rFonts w:ascii="Times New Roman" w:hAnsi="Times New Roman"/>
          <w:color w:val="auto"/>
          <w:highlight w:val="none"/>
        </w:rPr>
      </w:pPr>
      <w:r>
        <w:rPr>
          <w:rFonts w:hint="eastAsia"/>
          <w:color w:val="auto"/>
          <w:highlight w:val="none"/>
        </w:rPr>
        <w:t>据此函，我方</w:t>
      </w:r>
      <w:r>
        <w:rPr>
          <w:color w:val="auto"/>
          <w:highlight w:val="none"/>
        </w:rPr>
        <w:t>兹</w:t>
      </w:r>
      <w:r>
        <w:rPr>
          <w:rFonts w:hint="eastAsia"/>
          <w:color w:val="auto"/>
          <w:highlight w:val="none"/>
        </w:rPr>
        <w:t>宣布：</w:t>
      </w:r>
    </w:p>
    <w:p>
      <w:pPr>
        <w:pStyle w:val="14"/>
        <w:spacing w:line="360" w:lineRule="auto"/>
        <w:ind w:firstLine="420" w:firstLineChars="200"/>
        <w:rPr>
          <w:rFonts w:ascii="Times New Roman" w:hAnsi="Times New Roman"/>
          <w:color w:val="auto"/>
          <w:highlight w:val="none"/>
        </w:rPr>
      </w:pPr>
      <w:r>
        <w:rPr>
          <w:rFonts w:hint="eastAsia"/>
          <w:color w:val="auto"/>
          <w:highlight w:val="none"/>
        </w:rPr>
        <w:t>1、我方愿意以投标时提供</w:t>
      </w:r>
      <w:r>
        <w:rPr>
          <w:rFonts w:hint="eastAsia" w:hAnsi="宋体" w:cs="宋体"/>
          <w:color w:val="auto"/>
          <w:highlight w:val="none"/>
        </w:rPr>
        <w:t>的开标一览表中的投标总</w:t>
      </w:r>
      <w:r>
        <w:rPr>
          <w:rFonts w:hint="eastAsia" w:hAnsi="宋体" w:cs="宋体"/>
          <w:color w:val="auto"/>
          <w:szCs w:val="22"/>
          <w:highlight w:val="none"/>
        </w:rPr>
        <w:t>报价，在承诺的提交服务成果时间内</w:t>
      </w:r>
      <w:r>
        <w:rPr>
          <w:rFonts w:hint="eastAsia"/>
          <w:color w:val="auto"/>
          <w:highlight w:val="none"/>
        </w:rPr>
        <w:t>提供本项目</w:t>
      </w:r>
      <w:r>
        <w:rPr>
          <w:rFonts w:hint="eastAsia" w:hAnsi="Times New Roman"/>
          <w:color w:val="auto"/>
          <w:highlight w:val="none"/>
        </w:rPr>
        <w:t>招标文件“第二章  采购需求”的“服务要求”中</w:t>
      </w:r>
      <w:r>
        <w:rPr>
          <w:rFonts w:hint="eastAsia"/>
          <w:color w:val="auto"/>
          <w:highlight w:val="none"/>
        </w:rPr>
        <w:t>的相应的采购内容</w:t>
      </w:r>
      <w:r>
        <w:rPr>
          <w:rFonts w:hint="eastAsia" w:hAnsi="宋体" w:cs="宋体"/>
          <w:color w:val="auto"/>
          <w:highlight w:val="none"/>
        </w:rPr>
        <w:t>，具体详见开标一览表</w:t>
      </w:r>
      <w:r>
        <w:rPr>
          <w:rFonts w:hint="eastAsia"/>
          <w:color w:val="auto"/>
          <w:highlight w:val="none"/>
        </w:rPr>
        <w:t>。</w:t>
      </w:r>
    </w:p>
    <w:p>
      <w:pPr>
        <w:pStyle w:val="14"/>
        <w:spacing w:line="360" w:lineRule="auto"/>
        <w:ind w:firstLine="420" w:firstLineChars="200"/>
        <w:rPr>
          <w:color w:val="auto"/>
          <w:highlight w:val="none"/>
          <w:u w:val="single"/>
        </w:rPr>
      </w:pPr>
      <w:r>
        <w:rPr>
          <w:rFonts w:hint="eastAsia"/>
          <w:color w:val="auto"/>
          <w:highlight w:val="none"/>
        </w:rPr>
        <w:t>2、我方同意自本项目招标文件“第三章 投标人须知”第一节 投标人须知前附表 第21.1项规定的投标截止时间（开标时间）起遵循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pPr>
        <w:pStyle w:val="14"/>
        <w:spacing w:line="360" w:lineRule="auto"/>
        <w:ind w:firstLine="420" w:firstLineChars="200"/>
        <w:rPr>
          <w:color w:val="auto"/>
          <w:highlight w:val="none"/>
          <w:u w:val="single"/>
        </w:rPr>
      </w:pPr>
      <w:r>
        <w:rPr>
          <w:rFonts w:hint="eastAsia"/>
          <w:color w:val="auto"/>
          <w:highlight w:val="none"/>
        </w:rPr>
        <w:t>3、我方</w:t>
      </w:r>
      <w:r>
        <w:rPr>
          <w:rFonts w:hint="eastAsia"/>
          <w:color w:val="auto"/>
          <w:highlight w:val="none"/>
          <w:lang w:val="zh-CN"/>
        </w:rPr>
        <w:t>在此声明</w:t>
      </w:r>
      <w:r>
        <w:rPr>
          <w:rFonts w:hint="eastAsia"/>
          <w:color w:val="auto"/>
          <w:highlight w:val="none"/>
        </w:rPr>
        <w:t>所递交的投标文件及有关资料都是内容完整、真实和准确的。</w:t>
      </w:r>
    </w:p>
    <w:p>
      <w:pPr>
        <w:pStyle w:val="14"/>
        <w:spacing w:line="360" w:lineRule="auto"/>
        <w:ind w:firstLine="420" w:firstLineChars="200"/>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pPr>
        <w:pStyle w:val="14"/>
        <w:spacing w:line="360" w:lineRule="auto"/>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pPr>
        <w:pStyle w:val="14"/>
        <w:spacing w:line="360" w:lineRule="auto"/>
        <w:ind w:firstLine="420" w:firstLineChars="200"/>
        <w:rPr>
          <w:color w:val="auto"/>
          <w:highlight w:val="none"/>
        </w:rPr>
      </w:pPr>
      <w:r>
        <w:rPr>
          <w:rFonts w:hint="eastAsia"/>
          <w:color w:val="auto"/>
          <w:highlight w:val="none"/>
        </w:rPr>
        <w:t>6、我方已详细审核招标文件，我方知道必须放弃提出含糊不清或误解问题的权利。</w:t>
      </w:r>
    </w:p>
    <w:p>
      <w:pPr>
        <w:pStyle w:val="14"/>
        <w:spacing w:line="360" w:lineRule="auto"/>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pPr>
        <w:pStyle w:val="14"/>
        <w:spacing w:line="360" w:lineRule="auto"/>
        <w:ind w:firstLine="420" w:firstLineChars="200"/>
        <w:rPr>
          <w:color w:val="auto"/>
          <w:highlight w:val="none"/>
        </w:rPr>
      </w:pPr>
      <w:r>
        <w:rPr>
          <w:rFonts w:hint="eastAsia"/>
          <w:color w:val="auto"/>
          <w:highlight w:val="none"/>
        </w:rPr>
        <w:t>8、我方完全理解贵方不一定接受投标报价最低的投标人为中标人的行为。</w:t>
      </w:r>
    </w:p>
    <w:p>
      <w:pPr>
        <w:pStyle w:val="14"/>
        <w:spacing w:line="360" w:lineRule="auto"/>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7"/>
        </w:numPr>
        <w:tabs>
          <w:tab w:val="left" w:pos="840"/>
          <w:tab w:val="clear" w:pos="1140"/>
        </w:tabs>
        <w:spacing w:line="360" w:lineRule="auto"/>
        <w:ind w:left="1060" w:leftChars="0" w:hanging="720" w:firstLineChars="0"/>
        <w:rPr>
          <w:rFonts w:hint="eastAsia" w:hAnsi="宋体"/>
          <w:color w:val="auto"/>
          <w:highlight w:val="none"/>
        </w:rPr>
      </w:pPr>
      <w:r>
        <w:rPr>
          <w:rFonts w:hint="eastAsia" w:hAnsi="宋体"/>
          <w:color w:val="auto"/>
          <w:highlight w:val="none"/>
        </w:rPr>
        <w:t>提供虚假材料谋取中标、成交的；</w:t>
      </w:r>
    </w:p>
    <w:p>
      <w:pPr>
        <w:pStyle w:val="14"/>
        <w:numPr>
          <w:ilvl w:val="0"/>
          <w:numId w:val="7"/>
        </w:numPr>
        <w:tabs>
          <w:tab w:val="left" w:pos="840"/>
          <w:tab w:val="clear" w:pos="1140"/>
        </w:tabs>
        <w:spacing w:line="360" w:lineRule="auto"/>
        <w:ind w:left="1060" w:leftChars="0" w:hanging="720" w:firstLineChars="0"/>
        <w:rPr>
          <w:rFonts w:hint="eastAsia" w:hAnsi="宋体"/>
          <w:color w:val="auto"/>
          <w:highlight w:val="none"/>
        </w:rPr>
      </w:pPr>
      <w:r>
        <w:rPr>
          <w:rFonts w:hint="eastAsia" w:hAnsi="宋体"/>
          <w:color w:val="auto"/>
          <w:highlight w:val="none"/>
        </w:rPr>
        <w:t>采取不正当手段诋毁、排挤其他供应商的；</w:t>
      </w:r>
    </w:p>
    <w:p>
      <w:pPr>
        <w:pStyle w:val="14"/>
        <w:numPr>
          <w:ilvl w:val="0"/>
          <w:numId w:val="7"/>
        </w:numPr>
        <w:tabs>
          <w:tab w:val="left" w:pos="840"/>
          <w:tab w:val="clear" w:pos="1140"/>
        </w:tabs>
        <w:spacing w:line="360" w:lineRule="auto"/>
        <w:ind w:left="1060" w:leftChars="0" w:hanging="720" w:firstLineChars="0"/>
        <w:rPr>
          <w:color w:val="auto"/>
          <w:highlight w:val="none"/>
        </w:rPr>
      </w:pPr>
      <w:r>
        <w:rPr>
          <w:rFonts w:hint="eastAsia" w:hAnsi="宋体"/>
          <w:color w:val="auto"/>
          <w:highlight w:val="none"/>
        </w:rPr>
        <w:t>与采购人、其他供应商或者采购代理机构恶意串通的；</w:t>
      </w:r>
    </w:p>
    <w:p>
      <w:pPr>
        <w:pStyle w:val="14"/>
        <w:numPr>
          <w:ilvl w:val="0"/>
          <w:numId w:val="7"/>
        </w:numPr>
        <w:tabs>
          <w:tab w:val="left" w:pos="840"/>
          <w:tab w:val="clear" w:pos="1140"/>
        </w:tabs>
        <w:spacing w:line="360" w:lineRule="auto"/>
        <w:ind w:left="1060" w:leftChars="0" w:hanging="720" w:firstLineChars="0"/>
        <w:rPr>
          <w:color w:val="auto"/>
          <w:highlight w:val="none"/>
        </w:rPr>
      </w:pPr>
      <w:r>
        <w:rPr>
          <w:rFonts w:hint="eastAsia" w:hAnsi="宋体"/>
          <w:color w:val="auto"/>
          <w:highlight w:val="none"/>
        </w:rPr>
        <w:t>向采购人、采购代理机构行贿或者提供其他不正当利益的；</w:t>
      </w:r>
    </w:p>
    <w:p>
      <w:pPr>
        <w:pStyle w:val="14"/>
        <w:numPr>
          <w:ilvl w:val="0"/>
          <w:numId w:val="7"/>
        </w:numPr>
        <w:tabs>
          <w:tab w:val="left" w:pos="840"/>
          <w:tab w:val="clear" w:pos="1140"/>
        </w:tabs>
        <w:spacing w:line="360" w:lineRule="auto"/>
        <w:ind w:left="1060" w:leftChars="0" w:hanging="720" w:firstLineChars="0"/>
        <w:rPr>
          <w:color w:val="auto"/>
          <w:highlight w:val="none"/>
        </w:rPr>
      </w:pPr>
      <w:r>
        <w:rPr>
          <w:rFonts w:hint="eastAsia" w:hAnsi="宋体"/>
          <w:color w:val="auto"/>
          <w:highlight w:val="none"/>
        </w:rPr>
        <w:t>在招标采购过程中与采购人进行协商谈判的；</w:t>
      </w:r>
    </w:p>
    <w:p>
      <w:pPr>
        <w:pStyle w:val="14"/>
        <w:numPr>
          <w:ilvl w:val="0"/>
          <w:numId w:val="7"/>
        </w:numPr>
        <w:tabs>
          <w:tab w:val="left" w:pos="840"/>
          <w:tab w:val="clear" w:pos="1140"/>
        </w:tabs>
        <w:spacing w:line="360" w:lineRule="auto"/>
        <w:ind w:left="1060" w:leftChars="0" w:hanging="720" w:firstLineChars="0"/>
        <w:rPr>
          <w:color w:val="auto"/>
          <w:highlight w:val="none"/>
        </w:rPr>
      </w:pPr>
      <w:r>
        <w:rPr>
          <w:rFonts w:hint="eastAsia" w:hAnsi="宋体"/>
          <w:color w:val="auto"/>
          <w:highlight w:val="none"/>
        </w:rPr>
        <w:t>拒绝有关部门监督检查或提供虚假情况的。</w:t>
      </w:r>
    </w:p>
    <w:p>
      <w:pPr>
        <w:pStyle w:val="14"/>
        <w:spacing w:line="360" w:lineRule="auto"/>
        <w:ind w:firstLine="420"/>
        <w:rPr>
          <w:color w:val="auto"/>
          <w:highlight w:val="none"/>
        </w:rPr>
      </w:pPr>
      <w:r>
        <w:rPr>
          <w:rFonts w:hint="eastAsia"/>
          <w:color w:val="auto"/>
          <w:highlight w:val="none"/>
        </w:rPr>
        <w:t>10、以上事项如有虚假或者隐瞒，我方愿意承担一切后果，并不再寻求任何旨在减轻或者免除法律责任的辩解。</w:t>
      </w:r>
    </w:p>
    <w:p>
      <w:pPr>
        <w:pStyle w:val="14"/>
        <w:spacing w:line="360" w:lineRule="auto"/>
        <w:ind w:firstLine="420"/>
        <w:rPr>
          <w:color w:val="auto"/>
          <w:highlight w:val="none"/>
        </w:rPr>
      </w:pPr>
      <w:r>
        <w:rPr>
          <w:rFonts w:hint="eastAsia"/>
          <w:color w:val="auto"/>
          <w:highlight w:val="none"/>
        </w:rPr>
        <w:t>11、与本投标有关的一切正式往来信函请寄：</w:t>
      </w:r>
    </w:p>
    <w:p>
      <w:pPr>
        <w:pStyle w:val="14"/>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pPr>
        <w:pStyle w:val="14"/>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pPr>
        <w:pStyle w:val="14"/>
        <w:spacing w:line="360" w:lineRule="auto"/>
        <w:ind w:firstLine="420"/>
        <w:rPr>
          <w:color w:val="auto"/>
          <w:highlight w:val="none"/>
          <w:u w:val="single"/>
        </w:rPr>
      </w:pPr>
      <w:r>
        <w:rPr>
          <w:rFonts w:hint="eastAsia"/>
          <w:color w:val="auto"/>
          <w:highlight w:val="none"/>
        </w:rPr>
        <w:t>传真：</w:t>
      </w:r>
      <w:r>
        <w:rPr>
          <w:rFonts w:hint="eastAsia"/>
          <w:color w:val="auto"/>
          <w:highlight w:val="none"/>
          <w:u w:val="single"/>
        </w:rPr>
        <w:t>　　　　　　　　　　　　　　　　　　　　　　　　　　　　</w:t>
      </w:r>
    </w:p>
    <w:p>
      <w:pPr>
        <w:pStyle w:val="7"/>
        <w:spacing w:line="360" w:lineRule="auto"/>
        <w:ind w:left="0" w:firstLine="420" w:firstLineChars="200"/>
        <w:rPr>
          <w:color w:val="auto"/>
          <w:highlight w:val="none"/>
        </w:rPr>
      </w:pPr>
      <w:r>
        <w:rPr>
          <w:rFonts w:hint="eastAsia"/>
          <w:color w:val="auto"/>
          <w:highlight w:val="none"/>
        </w:rPr>
        <w:t>电子邮箱：</w:t>
      </w:r>
      <w:r>
        <w:rPr>
          <w:rFonts w:hint="eastAsia"/>
          <w:color w:val="auto"/>
          <w:highlight w:val="none"/>
          <w:u w:val="single"/>
        </w:rPr>
        <w:t>　　　　　　　　　　　　　　　　　　　　　　　　　　</w:t>
      </w:r>
    </w:p>
    <w:p>
      <w:pPr>
        <w:pStyle w:val="14"/>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pPr>
        <w:pStyle w:val="14"/>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pPr>
        <w:pStyle w:val="14"/>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pPr>
        <w:pStyle w:val="14"/>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napToGrid w:val="0"/>
        <w:spacing w:line="360" w:lineRule="auto"/>
        <w:ind w:firstLine="5280" w:firstLineChars="2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280" w:firstLineChars="2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spacing w:line="360" w:lineRule="auto"/>
        <w:ind w:firstLine="480"/>
        <w:jc w:val="left"/>
        <w:rPr>
          <w:rFonts w:hint="eastAsia" w:ascii="仿宋_GB2312" w:hAnsi="仿宋" w:eastAsia="仿宋_GB2312" w:cs="仿宋_GB2312"/>
          <w:color w:val="auto"/>
          <w:kern w:val="0"/>
          <w:sz w:val="24"/>
          <w:highlight w:val="none"/>
          <w:lang w:val="zh-CN"/>
        </w:rPr>
        <w:sectPr>
          <w:pgSz w:w="11905" w:h="16838"/>
          <w:pgMar w:top="1134" w:right="1134" w:bottom="1134" w:left="1134" w:header="850" w:footer="850" w:gutter="0"/>
          <w:cols w:space="0" w:num="1"/>
          <w:titlePg/>
          <w:docGrid w:linePitch="331" w:charSpace="0"/>
        </w:sectPr>
      </w:pPr>
    </w:p>
    <w:p>
      <w:pPr>
        <w:pStyle w:val="14"/>
        <w:spacing w:line="360" w:lineRule="auto"/>
        <w:ind w:firstLine="562"/>
        <w:jc w:val="left"/>
        <w:rPr>
          <w:rFonts w:hint="eastAsia" w:hAnsi="宋体" w:cs="宋体"/>
          <w:b/>
          <w:color w:val="auto"/>
          <w:sz w:val="28"/>
          <w:szCs w:val="28"/>
          <w:highlight w:val="none"/>
        </w:rPr>
      </w:pPr>
      <w:r>
        <w:rPr>
          <w:rFonts w:hint="eastAsia" w:hAnsi="宋体" w:cs="宋体"/>
          <w:b/>
          <w:color w:val="auto"/>
          <w:sz w:val="28"/>
          <w:szCs w:val="28"/>
          <w:highlight w:val="none"/>
        </w:rPr>
        <w:t>4. 开标一览表的格式：</w:t>
      </w:r>
    </w:p>
    <w:p>
      <w:pPr>
        <w:pStyle w:val="14"/>
        <w:spacing w:line="360" w:lineRule="auto"/>
        <w:ind w:firstLine="602"/>
        <w:jc w:val="center"/>
        <w:rPr>
          <w:b/>
          <w:color w:val="auto"/>
          <w:sz w:val="30"/>
          <w:szCs w:val="30"/>
          <w:highlight w:val="none"/>
        </w:rPr>
      </w:pPr>
      <w:r>
        <w:rPr>
          <w:rFonts w:hint="eastAsia"/>
          <w:b/>
          <w:color w:val="auto"/>
          <w:sz w:val="30"/>
          <w:szCs w:val="30"/>
          <w:highlight w:val="none"/>
        </w:rPr>
        <w:t>开标一览表</w:t>
      </w:r>
    </w:p>
    <w:p>
      <w:pPr>
        <w:snapToGrid w:val="0"/>
        <w:spacing w:before="50" w:after="50"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项目名称：                       </w:t>
      </w:r>
    </w:p>
    <w:p>
      <w:pPr>
        <w:snapToGrid w:val="0"/>
        <w:spacing w:before="50" w:after="50"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项目编号：   </w:t>
      </w:r>
    </w:p>
    <w:p>
      <w:pPr>
        <w:snapToGrid w:val="0"/>
        <w:spacing w:before="50" w:after="50" w:line="360" w:lineRule="auto"/>
        <w:ind w:firstLine="480"/>
        <w:rPr>
          <w:rFonts w:hint="eastAsia" w:ascii="宋体" w:hAnsi="宋体"/>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olor w:val="auto"/>
          <w:sz w:val="24"/>
          <w:highlight w:val="none"/>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234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r>
              <w:rPr>
                <w:rFonts w:hint="eastAsia" w:ascii="宋体" w:hAnsi="宋体"/>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bookmarkStart w:id="487" w:name="OLE_LINK61"/>
            <w:r>
              <w:rPr>
                <w:rFonts w:hint="eastAsia" w:ascii="宋体" w:hAnsi="宋体"/>
                <w:color w:val="auto"/>
                <w:szCs w:val="22"/>
                <w:highlight w:val="none"/>
              </w:rPr>
              <w:t>标的名称</w:t>
            </w:r>
            <w:bookmarkEnd w:id="487"/>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2"/>
                <w:highlight w:val="none"/>
              </w:rPr>
            </w:pPr>
            <w:bookmarkStart w:id="488" w:name="OLE_LINK63"/>
            <w:r>
              <w:rPr>
                <w:rFonts w:hint="eastAsia" w:ascii="宋体" w:hAnsi="宋体"/>
                <w:color w:val="auto"/>
                <w:szCs w:val="22"/>
                <w:highlight w:val="none"/>
              </w:rPr>
              <w:t>服务内容</w:t>
            </w:r>
            <w:bookmarkEnd w:id="488"/>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2"/>
                <w:highlight w:val="none"/>
              </w:rPr>
            </w:pPr>
            <w:bookmarkStart w:id="489" w:name="OLE_LINK62"/>
            <w:r>
              <w:rPr>
                <w:rFonts w:hint="eastAsia" w:ascii="宋体" w:hAnsi="宋体"/>
                <w:color w:val="auto"/>
                <w:szCs w:val="22"/>
                <w:highlight w:val="none"/>
              </w:rPr>
              <w:t>数量及单位</w:t>
            </w:r>
            <w:bookmarkEnd w:id="489"/>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color w:val="auto"/>
                <w:szCs w:val="22"/>
                <w:highlight w:val="none"/>
              </w:rPr>
            </w:pPr>
            <w:r>
              <w:rPr>
                <w:rFonts w:hint="eastAsia" w:ascii="宋体" w:hAnsi="宋体"/>
                <w:color w:val="auto"/>
                <w:szCs w:val="22"/>
                <w:highlight w:val="none"/>
              </w:rPr>
              <w:t>价格优惠率（%）</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r>
              <w:rPr>
                <w:rFonts w:hint="eastAsia" w:ascii="宋体" w:hAnsi="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2"/>
                <w:highlight w:val="none"/>
              </w:rPr>
            </w:pPr>
            <w:r>
              <w:rPr>
                <w:rFonts w:hint="eastAsia" w:ascii="宋体" w:hAnsi="宋体"/>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color w:val="auto"/>
                <w:szCs w:val="22"/>
                <w:highlight w:val="none"/>
              </w:rPr>
            </w:pPr>
            <w:r>
              <w:rPr>
                <w:rFonts w:hint="eastAsia" w:ascii="宋体" w:hAnsi="宋体"/>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r>
              <w:rPr>
                <w:rFonts w:hint="eastAsia" w:ascii="宋体" w:hAnsi="宋体"/>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tcPr>
          <w:p>
            <w:pPr>
              <w:ind w:firstLine="420"/>
              <w:jc w:val="left"/>
              <w:rPr>
                <w:rFonts w:hint="eastAsia" w:ascii="宋体" w:hAnsi="宋体"/>
                <w:color w:val="auto"/>
                <w:szCs w:val="22"/>
                <w:highlight w:val="none"/>
              </w:rPr>
            </w:pPr>
            <w:r>
              <w:rPr>
                <w:rFonts w:hint="eastAsia" w:ascii="宋体" w:hAnsi="宋体"/>
                <w:color w:val="auto"/>
                <w:szCs w:val="21"/>
                <w:highlight w:val="none"/>
              </w:rPr>
              <w:t>服务期限</w:t>
            </w:r>
            <w:r>
              <w:rPr>
                <w:rFonts w:hint="eastAsia" w:ascii="宋体" w:hAnsi="宋体"/>
                <w:color w:val="auto"/>
                <w:szCs w:val="21"/>
                <w:highlight w:val="none"/>
                <w:lang w:eastAsia="zh-CN"/>
              </w:rPr>
              <w:t>（合同有效期）</w:t>
            </w:r>
            <w:r>
              <w:rPr>
                <w:rFonts w:hint="eastAsia" w:ascii="宋体" w:hAnsi="宋体"/>
                <w:color w:val="auto"/>
                <w:szCs w:val="21"/>
                <w:highlight w:val="none"/>
              </w:rPr>
              <w:t>：</w:t>
            </w:r>
          </w:p>
        </w:tc>
      </w:tr>
    </w:tbl>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w:t>
      </w:r>
      <w:r>
        <w:rPr>
          <w:rFonts w:hint="eastAsia" w:ascii="宋体" w:hAnsi="宋体" w:cs="宋体"/>
          <w:color w:val="auto"/>
          <w:szCs w:val="21"/>
          <w:highlight w:val="none"/>
        </w:rPr>
        <w:t>备注除外</w:t>
      </w:r>
      <w:r>
        <w:rPr>
          <w:rFonts w:hint="eastAsia" w:ascii="宋体" w:hAnsi="宋体" w:cs="宋体"/>
          <w:color w:val="auto"/>
          <w:kern w:val="0"/>
          <w:szCs w:val="21"/>
          <w:highlight w:val="none"/>
          <w:lang w:val="zh-CN"/>
        </w:rPr>
        <w:t>）, 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pPr>
        <w:snapToGrid w:val="0"/>
        <w:spacing w:line="360" w:lineRule="auto"/>
        <w:ind w:firstLine="420" w:firstLineChars="200"/>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请</w:t>
      </w:r>
      <w:r>
        <w:rPr>
          <w:rFonts w:hint="eastAsia" w:ascii="宋体" w:hAnsi="宋体" w:cs="宋体"/>
          <w:color w:val="auto"/>
          <w:szCs w:val="21"/>
          <w:highlight w:val="none"/>
        </w:rPr>
        <w:t>根据所投</w:t>
      </w:r>
      <w:r>
        <w:rPr>
          <w:rFonts w:hint="eastAsia" w:hAnsi="宋体" w:cs="宋体"/>
          <w:color w:val="auto"/>
          <w:szCs w:val="21"/>
          <w:highlight w:val="none"/>
        </w:rPr>
        <w:t>服务内容</w:t>
      </w:r>
      <w:r>
        <w:rPr>
          <w:rFonts w:hint="eastAsia" w:ascii="宋体" w:hAnsi="宋体" w:cs="宋体"/>
          <w:color w:val="auto"/>
          <w:szCs w:val="21"/>
          <w:highlight w:val="none"/>
        </w:rPr>
        <w:t>，逐条对应本项目招标文件“第二章 采购需求”中“</w:t>
      </w:r>
      <w:r>
        <w:rPr>
          <w:rFonts w:hint="eastAsia" w:hAnsi="宋体" w:cs="宋体"/>
          <w:color w:val="auto"/>
          <w:szCs w:val="21"/>
          <w:highlight w:val="none"/>
        </w:rPr>
        <w:t>服务要求</w:t>
      </w:r>
      <w:r>
        <w:rPr>
          <w:rFonts w:hint="eastAsia" w:ascii="宋体" w:hAnsi="宋体" w:cs="宋体"/>
          <w:color w:val="auto"/>
          <w:szCs w:val="21"/>
          <w:highlight w:val="none"/>
        </w:rPr>
        <w:t>”的</w:t>
      </w:r>
      <w:r>
        <w:rPr>
          <w:rFonts w:hint="eastAsia" w:hAnsi="宋体" w:cs="宋体"/>
          <w:color w:val="auto"/>
          <w:szCs w:val="21"/>
          <w:highlight w:val="none"/>
        </w:rPr>
        <w:t>内容</w:t>
      </w:r>
      <w:r>
        <w:rPr>
          <w:rFonts w:hint="eastAsia" w:ascii="宋体" w:hAnsi="宋体" w:cs="宋体"/>
          <w:color w:val="auto"/>
          <w:szCs w:val="21"/>
          <w:highlight w:val="none"/>
        </w:rPr>
        <w:t>详细填写相应的具体内容。</w:t>
      </w:r>
    </w:p>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w:t>
      </w:r>
      <w:r>
        <w:rPr>
          <w:rFonts w:hint="eastAsia" w:ascii="宋体" w:hAnsi="宋体" w:cs="宋体"/>
          <w:color w:val="auto"/>
          <w:kern w:val="0"/>
          <w:szCs w:val="21"/>
          <w:highlight w:val="none"/>
        </w:rPr>
        <w:t>人</w:t>
      </w:r>
      <w:r>
        <w:rPr>
          <w:rFonts w:hint="eastAsia" w:ascii="宋体" w:hAnsi="宋体" w:cs="宋体"/>
          <w:color w:val="auto"/>
          <w:kern w:val="0"/>
          <w:szCs w:val="21"/>
          <w:highlight w:val="none"/>
          <w:lang w:val="zh-CN"/>
        </w:rPr>
        <w:t>名称、地址和中标金额，主要中标标的的名称、服务范围、</w:t>
      </w:r>
      <w:r>
        <w:rPr>
          <w:rFonts w:hint="eastAsia" w:hAnsi="宋体" w:cs="宋体"/>
          <w:color w:val="auto"/>
          <w:szCs w:val="21"/>
          <w:highlight w:val="none"/>
        </w:rPr>
        <w:t>服务要求</w:t>
      </w:r>
      <w:r>
        <w:rPr>
          <w:rFonts w:hint="eastAsia" w:ascii="宋体" w:hAnsi="宋体" w:cs="宋体"/>
          <w:color w:val="auto"/>
          <w:kern w:val="0"/>
          <w:szCs w:val="21"/>
          <w:highlight w:val="none"/>
          <w:lang w:val="zh-CN"/>
        </w:rPr>
        <w:t>、服务时间、服务标准等予以公示。</w:t>
      </w:r>
    </w:p>
    <w:p>
      <w:pPr>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0"/>
        <w:ind w:firstLine="420"/>
        <w:rPr>
          <w:rFonts w:hint="eastAsia" w:ascii="宋体" w:hAnsi="宋体" w:cs="宋体"/>
          <w:color w:val="auto"/>
          <w:highlight w:val="none"/>
          <w:lang w:val="zh-CN"/>
        </w:rPr>
      </w:pPr>
    </w:p>
    <w:p>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ind w:firstLine="600"/>
        <w:jc w:val="left"/>
        <w:rPr>
          <w:rFonts w:hint="eastAsia"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pPr>
        <w:snapToGrid w:val="0"/>
        <w:spacing w:before="120" w:beforeLines="50" w:after="50"/>
        <w:ind w:firstLine="562"/>
        <w:jc w:val="center"/>
        <w:outlineLvl w:val="1"/>
        <w:rPr>
          <w:rFonts w:hint="eastAsia" w:ascii="宋体" w:hAnsi="宋体"/>
          <w:b/>
          <w:bCs/>
          <w:color w:val="auto"/>
          <w:sz w:val="28"/>
          <w:szCs w:val="28"/>
          <w:highlight w:val="none"/>
        </w:rPr>
      </w:pPr>
      <w:bookmarkStart w:id="490" w:name="_Toc2783"/>
      <w:r>
        <w:rPr>
          <w:rFonts w:hint="eastAsia" w:ascii="宋体" w:hAnsi="宋体"/>
          <w:b/>
          <w:bCs/>
          <w:color w:val="auto"/>
          <w:sz w:val="28"/>
          <w:szCs w:val="28"/>
          <w:highlight w:val="none"/>
        </w:rPr>
        <w:t>第五节 其他文书、文件格式</w:t>
      </w:r>
      <w:bookmarkEnd w:id="490"/>
    </w:p>
    <w:p>
      <w:pPr>
        <w:pStyle w:val="14"/>
        <w:ind w:firstLine="602"/>
        <w:jc w:val="center"/>
        <w:rPr>
          <w:rFonts w:ascii="Times New Roman" w:hAnsi="Times New Roman"/>
          <w:b/>
          <w:color w:val="auto"/>
          <w:sz w:val="30"/>
          <w:szCs w:val="30"/>
          <w:highlight w:val="none"/>
        </w:rPr>
      </w:pPr>
    </w:p>
    <w:p>
      <w:pPr>
        <w:pStyle w:val="15"/>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1.广西壮族自治区政府采购项目合同验收书的格式：</w:t>
      </w:r>
    </w:p>
    <w:p>
      <w:pPr>
        <w:pStyle w:val="15"/>
        <w:ind w:firstLine="560"/>
        <w:rPr>
          <w:rFonts w:hint="eastAsia" w:ascii="宋体" w:hAnsi="宋体" w:cs="宋体"/>
          <w:color w:val="auto"/>
          <w:kern w:val="0"/>
          <w:sz w:val="28"/>
          <w:szCs w:val="28"/>
          <w:highlight w:val="none"/>
        </w:rPr>
      </w:pPr>
    </w:p>
    <w:p>
      <w:pPr>
        <w:shd w:val="clear" w:color="auto" w:fill="FFFFFF"/>
        <w:spacing w:line="480" w:lineRule="atLeast"/>
        <w:ind w:firstLine="640"/>
        <w:jc w:val="center"/>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pPr>
        <w:shd w:val="clear" w:color="auto" w:fill="FFFFFF"/>
        <w:spacing w:line="480" w:lineRule="atLeast"/>
        <w:ind w:firstLine="640"/>
        <w:jc w:val="center"/>
        <w:rPr>
          <w:rFonts w:hint="eastAsia" w:ascii="宋体" w:hAnsi="宋体" w:cs="宋体"/>
          <w:color w:val="auto"/>
          <w:kern w:val="0"/>
          <w:sz w:val="32"/>
          <w:szCs w:val="32"/>
          <w:highlight w:val="none"/>
        </w:rPr>
      </w:pPr>
    </w:p>
    <w:p>
      <w:pPr>
        <w:shd w:val="clear" w:color="auto" w:fill="FFFFFF"/>
        <w:snapToGrid w:val="0"/>
        <w:spacing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ind w:firstLine="42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ind w:firstLine="420"/>
              <w:jc w:val="left"/>
              <w:rPr>
                <w:rFonts w:hint="eastAsia"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w:t>
            </w:r>
            <w:r>
              <w:rPr>
                <w:rFonts w:ascii="宋体" w:hAnsi="宋体" w:cs="宋体"/>
                <w:color w:val="auto"/>
                <w:kern w:val="0"/>
                <w:szCs w:val="21"/>
                <w:highlight w:val="none"/>
              </w:rPr>
              <w:t>人</w:t>
            </w:r>
            <w:r>
              <w:rPr>
                <w:rFonts w:hint="eastAsia" w:ascii="宋体" w:hAnsi="宋体" w:cs="宋体"/>
                <w:color w:val="auto"/>
                <w:kern w:val="0"/>
                <w:szCs w:val="21"/>
                <w:highlight w:val="none"/>
              </w:rPr>
              <w:t>负责人签字或者盖章：</w:t>
            </w:r>
          </w:p>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pPr>
              <w:spacing w:before="100" w:beforeAutospacing="1" w:after="100" w:afterAutospacing="1" w:line="320" w:lineRule="atLeast"/>
              <w:ind w:firstLine="2730" w:firstLineChars="1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vAlign w:val="center"/>
          </w:tcPr>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pPr>
              <w:spacing w:before="100" w:beforeAutospacing="1" w:after="100" w:afterAutospacing="1" w:line="320" w:lineRule="atLeast"/>
              <w:ind w:firstLine="2520" w:firstLineChars="1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tc>
      </w:tr>
    </w:tbl>
    <w:p>
      <w:pPr>
        <w:pStyle w:val="15"/>
        <w:ind w:firstLine="360"/>
        <w:rPr>
          <w:rFonts w:hint="eastAsia" w:ascii="宋体" w:hAnsi="宋体" w:cs="宋体"/>
          <w:color w:val="auto"/>
          <w:kern w:val="0"/>
          <w:sz w:val="28"/>
          <w:szCs w:val="28"/>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highlight w:val="none"/>
        </w:rPr>
        <w:br w:type="page"/>
      </w:r>
    </w:p>
    <w:p>
      <w:pPr>
        <w:ind w:firstLine="560"/>
        <w:jc w:val="left"/>
        <w:rPr>
          <w:rFonts w:hint="eastAsia" w:ascii="宋体" w:hAnsi="宋体" w:cs="宋体"/>
          <w:color w:val="auto"/>
          <w:highlight w:val="none"/>
        </w:rPr>
      </w:pPr>
      <w:r>
        <w:rPr>
          <w:rFonts w:hint="eastAsia" w:ascii="宋体" w:hAnsi="宋体" w:cs="宋体"/>
          <w:color w:val="auto"/>
          <w:sz w:val="28"/>
          <w:szCs w:val="28"/>
          <w:highlight w:val="none"/>
        </w:rPr>
        <w:t>2.政府采购项目履约保证金退付意见书的格式：</w:t>
      </w:r>
    </w:p>
    <w:p>
      <w:pPr>
        <w:ind w:firstLine="640"/>
        <w:jc w:val="center"/>
        <w:rPr>
          <w:rFonts w:hint="eastAsia" w:ascii="宋体" w:hAnsi="宋体" w:cs="宋体"/>
          <w:color w:val="auto"/>
          <w:sz w:val="32"/>
          <w:szCs w:val="32"/>
          <w:highlight w:val="none"/>
        </w:rPr>
      </w:pPr>
    </w:p>
    <w:p>
      <w:pPr>
        <w:ind w:firstLine="6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ind w:firstLine="720"/>
        <w:jc w:val="center"/>
        <w:rPr>
          <w:rFonts w:hint="eastAsia" w:ascii="宋体" w:hAnsi="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供</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应</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商</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申</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pPr>
              <w:ind w:firstLine="480"/>
              <w:rPr>
                <w:rFonts w:hint="eastAsia"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ind w:firstLine="480"/>
              <w:rPr>
                <w:rFonts w:hint="eastAsia" w:ascii="宋体" w:hAnsi="宋体" w:cs="宋体"/>
                <w:color w:val="auto"/>
                <w:sz w:val="24"/>
                <w:highlight w:val="none"/>
              </w:rPr>
            </w:pPr>
          </w:p>
        </w:tc>
        <w:tc>
          <w:tcPr>
            <w:tcW w:w="8456" w:type="dxa"/>
            <w:vAlign w:val="center"/>
          </w:tcPr>
          <w:p>
            <w:pPr>
              <w:ind w:firstLine="480"/>
              <w:rPr>
                <w:rFonts w:hint="eastAsia"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ind w:firstLine="480"/>
              <w:rPr>
                <w:rFonts w:hint="eastAsia" w:ascii="宋体" w:hAnsi="宋体" w:cs="宋体"/>
                <w:color w:val="auto"/>
                <w:sz w:val="24"/>
                <w:highlight w:val="none"/>
              </w:rPr>
            </w:pPr>
          </w:p>
        </w:tc>
        <w:tc>
          <w:tcPr>
            <w:tcW w:w="8456" w:type="dxa"/>
          </w:tcPr>
          <w:p>
            <w:pPr>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单位名称：</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开户银行：</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账   号：</w:t>
            </w:r>
          </w:p>
          <w:p>
            <w:pPr>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联系人及电话：</w:t>
            </w:r>
          </w:p>
          <w:p>
            <w:pPr>
              <w:spacing w:line="400" w:lineRule="exact"/>
              <w:ind w:firstLine="480"/>
              <w:rPr>
                <w:rFonts w:hint="eastAsia" w:ascii="宋体" w:hAnsi="宋体" w:cs="宋体"/>
                <w:color w:val="auto"/>
                <w:sz w:val="24"/>
                <w:highlight w:val="none"/>
              </w:rPr>
            </w:pPr>
          </w:p>
          <w:p>
            <w:pPr>
              <w:spacing w:line="520" w:lineRule="exact"/>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投标人签章：</w:t>
            </w:r>
          </w:p>
          <w:p>
            <w:pPr>
              <w:spacing w:line="520" w:lineRule="exact"/>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采</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购</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人</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意</w:t>
            </w:r>
          </w:p>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见</w:t>
            </w:r>
          </w:p>
        </w:tc>
        <w:tc>
          <w:tcPr>
            <w:tcW w:w="8456" w:type="dxa"/>
          </w:tcPr>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p>
          <w:p>
            <w:pPr>
              <w:ind w:firstLine="480"/>
              <w:rPr>
                <w:rFonts w:hint="eastAsia" w:ascii="宋体" w:hAnsi="宋体" w:cs="宋体"/>
                <w:color w:val="auto"/>
                <w:sz w:val="24"/>
                <w:highlight w:val="none"/>
              </w:rPr>
            </w:pPr>
          </w:p>
          <w:p>
            <w:pPr>
              <w:spacing w:line="520" w:lineRule="exact"/>
              <w:ind w:firstLine="480"/>
              <w:rPr>
                <w:rFonts w:hint="eastAsia" w:ascii="宋体" w:hAnsi="宋体" w:cs="宋体"/>
                <w:color w:val="auto"/>
                <w:sz w:val="24"/>
                <w:highlight w:val="none"/>
              </w:rPr>
            </w:pPr>
            <w:r>
              <w:rPr>
                <w:rFonts w:hint="eastAsia" w:ascii="宋体" w:hAnsi="宋体" w:cs="宋体"/>
                <w:color w:val="auto"/>
                <w:sz w:val="24"/>
                <w:highlight w:val="none"/>
              </w:rPr>
              <w:t>联系人及电话：                         采购人签章</w:t>
            </w:r>
          </w:p>
          <w:p>
            <w:pPr>
              <w:spacing w:line="520" w:lineRule="exact"/>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ind w:firstLine="480"/>
              <w:jc w:val="center"/>
              <w:rPr>
                <w:rFonts w:hint="eastAsia" w:ascii="宋体" w:hAnsi="宋体" w:cs="宋体"/>
                <w:color w:val="auto"/>
                <w:sz w:val="24"/>
                <w:highlight w:val="none"/>
              </w:rPr>
            </w:pPr>
            <w:r>
              <w:rPr>
                <w:rFonts w:hint="eastAsia" w:ascii="宋体" w:hAnsi="宋体" w:cs="宋体"/>
                <w:color w:val="auto"/>
                <w:sz w:val="24"/>
                <w:highlight w:val="none"/>
              </w:rPr>
              <w:t>备注</w:t>
            </w:r>
          </w:p>
        </w:tc>
        <w:tc>
          <w:tcPr>
            <w:tcW w:w="8456" w:type="dxa"/>
          </w:tcPr>
          <w:p>
            <w:pPr>
              <w:ind w:firstLine="480"/>
              <w:rPr>
                <w:rFonts w:hint="eastAsia" w:ascii="宋体" w:hAnsi="宋体" w:cs="宋体"/>
                <w:color w:val="auto"/>
                <w:sz w:val="24"/>
                <w:highlight w:val="none"/>
              </w:rPr>
            </w:pPr>
          </w:p>
        </w:tc>
      </w:tr>
    </w:tbl>
    <w:p>
      <w:pPr>
        <w:pStyle w:val="10"/>
        <w:ind w:left="420" w:leftChars="114" w:hanging="181" w:hangingChars="100"/>
        <w:rPr>
          <w:rFonts w:hint="eastAsia"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pPr>
        <w:pStyle w:val="14"/>
        <w:snapToGrid w:val="0"/>
        <w:spacing w:before="120" w:after="120"/>
        <w:ind w:firstLine="420"/>
        <w:rPr>
          <w:rFonts w:hint="eastAsia" w:hAnsi="宋体" w:cs="宋体"/>
          <w:color w:val="auto"/>
          <w:highlight w:val="none"/>
        </w:rPr>
      </w:pPr>
    </w:p>
    <w:p>
      <w:pPr>
        <w:snapToGrid w:val="0"/>
        <w:spacing w:before="50" w:after="120" w:afterLines="50" w:line="360" w:lineRule="auto"/>
        <w:ind w:firstLine="400"/>
        <w:jc w:val="left"/>
        <w:rPr>
          <w:color w:val="auto"/>
          <w:sz w:val="20"/>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rPr>
          <w:rFonts w:ascii="Times New Roman" w:hAnsi="Times New Roman"/>
          <w:b/>
          <w:color w:val="auto"/>
          <w:sz w:val="36"/>
          <w:highlight w:val="none"/>
        </w:rPr>
      </w:pPr>
    </w:p>
    <w:p>
      <w:pPr>
        <w:pStyle w:val="14"/>
        <w:tabs>
          <w:tab w:val="left" w:pos="2472"/>
        </w:tabs>
        <w:spacing w:line="460" w:lineRule="exact"/>
        <w:ind w:firstLine="723"/>
        <w:jc w:val="center"/>
        <w:outlineLvl w:val="0"/>
        <w:rPr>
          <w:rFonts w:ascii="Times New Roman" w:hAnsi="Times New Roman"/>
          <w:b/>
          <w:color w:val="auto"/>
          <w:sz w:val="36"/>
          <w:highlight w:val="none"/>
        </w:rPr>
      </w:pPr>
      <w:bookmarkStart w:id="491" w:name="_Toc25113"/>
      <w:bookmarkStart w:id="492" w:name="_Toc17736"/>
      <w:bookmarkStart w:id="493" w:name="_Toc6635"/>
      <w:bookmarkStart w:id="494" w:name="_Toc31310"/>
      <w:bookmarkStart w:id="495" w:name="_Toc18173"/>
      <w:bookmarkStart w:id="496" w:name="_Toc491"/>
      <w:bookmarkStart w:id="497" w:name="_Toc32028"/>
      <w:bookmarkStart w:id="498" w:name="_Toc31429"/>
      <w:bookmarkStart w:id="499" w:name="_Toc11260"/>
      <w:bookmarkStart w:id="500" w:name="_Toc7244"/>
      <w:bookmarkStart w:id="501" w:name="_Toc21753"/>
      <w:bookmarkStart w:id="502" w:name="_Toc2211"/>
      <w:bookmarkStart w:id="503" w:name="_Toc7254"/>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质疑、投诉材料格式</w:t>
      </w:r>
      <w:bookmarkEnd w:id="491"/>
      <w:bookmarkEnd w:id="492"/>
      <w:bookmarkEnd w:id="493"/>
      <w:bookmarkEnd w:id="494"/>
      <w:bookmarkEnd w:id="495"/>
      <w:bookmarkEnd w:id="496"/>
      <w:bookmarkEnd w:id="497"/>
      <w:bookmarkEnd w:id="498"/>
      <w:bookmarkEnd w:id="499"/>
      <w:bookmarkEnd w:id="500"/>
      <w:bookmarkEnd w:id="501"/>
      <w:bookmarkEnd w:id="502"/>
      <w:bookmarkEnd w:id="503"/>
    </w:p>
    <w:p>
      <w:pPr>
        <w:widowControl/>
        <w:spacing w:line="360" w:lineRule="auto"/>
        <w:ind w:firstLine="400"/>
        <w:jc w:val="left"/>
        <w:rPr>
          <w:color w:val="auto"/>
          <w:sz w:val="20"/>
          <w:highlight w:val="none"/>
        </w:rPr>
        <w:sectPr>
          <w:pgSz w:w="11905" w:h="16838"/>
          <w:pgMar w:top="1134" w:right="1134" w:bottom="1134" w:left="1134" w:header="850" w:footer="850" w:gutter="0"/>
          <w:cols w:space="0" w:num="1"/>
          <w:titlePg/>
          <w:docGrid w:linePitch="331" w:charSpace="0"/>
        </w:sectPr>
      </w:pPr>
    </w:p>
    <w:p>
      <w:pPr>
        <w:pStyle w:val="3"/>
        <w:ind w:firstLine="640"/>
        <w:jc w:val="center"/>
        <w:rPr>
          <w:rFonts w:hint="eastAsia" w:ascii="宋体" w:hAnsi="宋体"/>
          <w:b w:val="0"/>
          <w:bCs w:val="0"/>
          <w:color w:val="auto"/>
          <w:highlight w:val="none"/>
        </w:rPr>
      </w:pPr>
      <w:bookmarkStart w:id="504" w:name="_Toc10944"/>
      <w:bookmarkStart w:id="505" w:name="_Toc3458"/>
      <w:bookmarkStart w:id="506" w:name="_Toc22540"/>
      <w:bookmarkStart w:id="507" w:name="_Toc25538"/>
      <w:bookmarkStart w:id="508" w:name="_Toc990"/>
      <w:bookmarkStart w:id="509" w:name="_Toc31800"/>
      <w:bookmarkStart w:id="510" w:name="_Toc22595"/>
      <w:bookmarkStart w:id="511" w:name="_Toc12016"/>
      <w:bookmarkStart w:id="512" w:name="_Toc17610"/>
      <w:bookmarkStart w:id="513" w:name="_Toc15096"/>
      <w:r>
        <w:rPr>
          <w:rFonts w:hint="eastAsia" w:ascii="宋体" w:hAnsi="宋体"/>
          <w:b w:val="0"/>
          <w:bCs w:val="0"/>
          <w:color w:val="auto"/>
          <w:highlight w:val="none"/>
        </w:rPr>
        <w:t>第一节 质疑函（格式）</w:t>
      </w:r>
      <w:bookmarkEnd w:id="504"/>
      <w:bookmarkEnd w:id="505"/>
      <w:bookmarkEnd w:id="506"/>
      <w:bookmarkEnd w:id="507"/>
      <w:bookmarkEnd w:id="508"/>
      <w:bookmarkEnd w:id="509"/>
      <w:bookmarkEnd w:id="510"/>
      <w:bookmarkEnd w:id="511"/>
      <w:bookmarkEnd w:id="512"/>
      <w:bookmarkEnd w:id="513"/>
    </w:p>
    <w:p>
      <w:pPr>
        <w:ind w:firstLine="643"/>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adjustRightInd w:val="0"/>
        <w:snapToGrid w:val="0"/>
        <w:spacing w:before="240" w:beforeLines="100"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514" w:name="PO_3000001867_PM026_5"/>
      <w:r>
        <w:rPr>
          <w:rFonts w:hint="eastAsia" w:ascii="宋体" w:hAnsi="宋体" w:cs="宋体"/>
          <w:color w:val="auto"/>
          <w:sz w:val="24"/>
          <w:highlight w:val="none"/>
          <w:u w:val="dotted"/>
        </w:rPr>
        <w:t xml:space="preserve">                        </w:t>
      </w:r>
      <w:bookmarkEnd w:id="514"/>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质疑事项：</w:t>
      </w:r>
    </w:p>
    <w:p>
      <w:pPr>
        <w:adjustRightInd w:val="0"/>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pPr>
        <w:adjustRightInd w:val="0"/>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pPr>
        <w:adjustRightInd w:val="0"/>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pPr>
        <w:adjustRightInd w:val="0"/>
        <w:snapToGrid w:val="0"/>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p>
    <w:p>
      <w:pPr>
        <w:adjustRightInd w:val="0"/>
        <w:snapToGrid w:val="0"/>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adjustRightInd w:val="0"/>
        <w:snapToGrid w:val="0"/>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 xml:space="preserve">    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宋体" w:hAnsi="宋体" w:cs="宋体"/>
          <w:color w:val="auto"/>
          <w:sz w:val="24"/>
          <w:highlight w:val="none"/>
        </w:rPr>
      </w:pPr>
    </w:p>
    <w:p>
      <w:pPr>
        <w:widowControl/>
        <w:spacing w:line="360" w:lineRule="auto"/>
        <w:ind w:firstLine="480"/>
        <w:jc w:val="left"/>
        <w:rPr>
          <w:rFonts w:hint="eastAsia" w:ascii="宋体" w:hAnsi="宋体" w:cs="宋体"/>
          <w:color w:val="auto"/>
          <w:kern w:val="0"/>
          <w:sz w:val="24"/>
          <w:highlight w:val="none"/>
        </w:rPr>
        <w:sectPr>
          <w:pgSz w:w="11905" w:h="16838"/>
          <w:pgMar w:top="1134" w:right="1134" w:bottom="1134" w:left="1134" w:header="850" w:footer="850" w:gutter="0"/>
          <w:cols w:space="0" w:num="1"/>
          <w:titlePg/>
          <w:docGrid w:linePitch="331" w:charSpace="0"/>
        </w:sectPr>
      </w:pPr>
    </w:p>
    <w:p>
      <w:pPr>
        <w:pStyle w:val="3"/>
        <w:ind w:firstLine="640"/>
        <w:jc w:val="center"/>
        <w:rPr>
          <w:rFonts w:hint="eastAsia" w:ascii="宋体" w:hAnsi="宋体"/>
          <w:b w:val="0"/>
          <w:bCs w:val="0"/>
          <w:color w:val="auto"/>
          <w:highlight w:val="none"/>
        </w:rPr>
      </w:pPr>
      <w:bookmarkStart w:id="515" w:name="_Toc11428"/>
      <w:bookmarkStart w:id="516" w:name="_Toc24568"/>
      <w:bookmarkStart w:id="517" w:name="_Toc8862"/>
      <w:bookmarkStart w:id="518" w:name="_Toc1896"/>
      <w:bookmarkStart w:id="519" w:name="_Toc7549"/>
      <w:bookmarkStart w:id="520" w:name="_Toc32540"/>
      <w:bookmarkStart w:id="521" w:name="_Toc11984"/>
      <w:bookmarkStart w:id="522" w:name="_Toc31203"/>
      <w:bookmarkStart w:id="523" w:name="_Toc24894"/>
      <w:bookmarkStart w:id="524" w:name="_Toc6551"/>
      <w:r>
        <w:rPr>
          <w:rFonts w:hint="eastAsia" w:ascii="宋体" w:hAnsi="宋体"/>
          <w:b w:val="0"/>
          <w:bCs w:val="0"/>
          <w:color w:val="auto"/>
          <w:highlight w:val="none"/>
        </w:rPr>
        <w:t>第二节 投诉书（格式）</w:t>
      </w:r>
      <w:bookmarkEnd w:id="515"/>
      <w:bookmarkEnd w:id="516"/>
      <w:bookmarkEnd w:id="517"/>
      <w:bookmarkEnd w:id="518"/>
      <w:bookmarkEnd w:id="519"/>
      <w:bookmarkEnd w:id="520"/>
      <w:bookmarkEnd w:id="521"/>
      <w:bookmarkEnd w:id="522"/>
      <w:bookmarkEnd w:id="523"/>
      <w:bookmarkEnd w:id="524"/>
    </w:p>
    <w:p>
      <w:pPr>
        <w:ind w:firstLine="643"/>
        <w:jc w:val="center"/>
        <w:rPr>
          <w:rFonts w:hint="eastAsia" w:ascii="宋体" w:hAnsi="宋体"/>
          <w:b/>
          <w:color w:val="auto"/>
          <w:sz w:val="44"/>
          <w:szCs w:val="44"/>
          <w:highlight w:val="none"/>
        </w:rPr>
      </w:pPr>
      <w:r>
        <w:rPr>
          <w:rFonts w:hint="eastAsia" w:ascii="宋体" w:hAnsi="宋体"/>
          <w:b/>
          <w:color w:val="auto"/>
          <w:sz w:val="32"/>
          <w:szCs w:val="32"/>
          <w:highlight w:val="none"/>
        </w:rPr>
        <w:t>投诉书</w:t>
      </w:r>
    </w:p>
    <w:p>
      <w:pPr>
        <w:ind w:firstLine="640"/>
        <w:rPr>
          <w:rFonts w:hint="eastAsia" w:ascii="黑体" w:hAnsi="黑体" w:eastAsia="黑体"/>
          <w:color w:val="auto"/>
          <w:sz w:val="32"/>
          <w:szCs w:val="32"/>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tabs>
          <w:tab w:val="left" w:pos="6510"/>
        </w:tabs>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pPr>
        <w:tabs>
          <w:tab w:val="left" w:pos="6510"/>
        </w:tabs>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525" w:name="PO_3000001867_PM002_12"/>
      <w:r>
        <w:rPr>
          <w:rFonts w:hint="eastAsia" w:ascii="宋体" w:hAnsi="宋体" w:cs="宋体"/>
          <w:color w:val="auto"/>
          <w:sz w:val="24"/>
          <w:highlight w:val="none"/>
          <w:u w:val="dotted"/>
        </w:rPr>
        <w:t xml:space="preserve">                    </w:t>
      </w:r>
      <w:bookmarkEnd w:id="525"/>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526" w:name="PO_3000001867_PM001_9"/>
      <w:r>
        <w:rPr>
          <w:rFonts w:hint="eastAsia" w:ascii="宋体" w:hAnsi="宋体" w:cs="宋体"/>
          <w:color w:val="auto"/>
          <w:sz w:val="24"/>
          <w:highlight w:val="none"/>
          <w:u w:val="dotted"/>
        </w:rPr>
        <w:t xml:space="preserve">                    </w:t>
      </w:r>
      <w:bookmarkEnd w:id="526"/>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527" w:name="PO_3000001867_PM026_6"/>
      <w:r>
        <w:rPr>
          <w:rFonts w:hint="eastAsia" w:ascii="宋体" w:hAnsi="宋体" w:cs="宋体"/>
          <w:color w:val="auto"/>
          <w:sz w:val="24"/>
          <w:highlight w:val="none"/>
          <w:u w:val="dotted"/>
        </w:rPr>
        <w:t xml:space="preserve">                    </w:t>
      </w:r>
      <w:bookmarkEnd w:id="527"/>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ind w:firstLine="480"/>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ind w:firstLine="482"/>
        <w:rPr>
          <w:rFonts w:hint="eastAsia" w:ascii="宋体" w:hAnsi="宋体" w:cs="宋体"/>
          <w:b/>
          <w:color w:val="auto"/>
          <w:sz w:val="24"/>
          <w:highlight w:val="none"/>
        </w:rPr>
      </w:pPr>
    </w:p>
    <w:p>
      <w:pPr>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ind w:firstLine="420"/>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70" w:lineRule="auto"/>
      <w:ind w:left="5890"/>
      <w:rPr>
        <w:sz w:val="14"/>
        <w:szCs w:val="14"/>
      </w:rPr>
    </w:pPr>
    <w:r>
      <w:rPr>
        <w:spacing w:val="-4"/>
        <w:sz w:val="14"/>
        <w:szCs w:val="14"/>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60"/>
      <w:rPr>
        <w:rStyle w:val="27"/>
      </w:rPr>
    </w:pPr>
    <w:r>
      <w:fldChar w:fldCharType="begin"/>
    </w:r>
    <w:r>
      <w:rPr>
        <w:rStyle w:val="27"/>
      </w:rPr>
      <w:instrText xml:space="preserve">PAGE  </w:instrText>
    </w:r>
    <w:r>
      <w:fldChar w:fldCharType="end"/>
    </w:r>
  </w:p>
  <w:p>
    <w:pPr>
      <w:pStyle w:val="15"/>
      <w:ind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fldChar w:fldCharType="begin"/>
                          </w:r>
                          <w:r>
                            <w:rPr>
                              <w:rStyle w:val="27"/>
                            </w:rPr>
                            <w:instrText xml:space="preserve">PAGE  </w:instrText>
                          </w:r>
                          <w:r>
                            <w:fldChar w:fldCharType="separate"/>
                          </w:r>
                          <w:r>
                            <w:rPr>
                              <w:rStyle w:val="27"/>
                            </w:rPr>
                            <w:t>122</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rPr>
                        <w:rStyle w:val="27"/>
                      </w:rPr>
                    </w:pPr>
                    <w:r>
                      <w:fldChar w:fldCharType="begin"/>
                    </w:r>
                    <w:r>
                      <w:rPr>
                        <w:rStyle w:val="27"/>
                      </w:rPr>
                      <w:instrText xml:space="preserve">PAGE  </w:instrText>
                    </w:r>
                    <w:r>
                      <w:fldChar w:fldCharType="separate"/>
                    </w:r>
                    <w:r>
                      <w:rPr>
                        <w:rStyle w:val="27"/>
                      </w:rPr>
                      <w:t>122</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pP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40E83"/>
    <w:multiLevelType w:val="singleLevel"/>
    <w:tmpl w:val="9E640E83"/>
    <w:lvl w:ilvl="0" w:tentative="0">
      <w:start w:val="1"/>
      <w:numFmt w:val="decimal"/>
      <w:suff w:val="nothing"/>
      <w:lvlText w:val="%1）"/>
      <w:lvlJc w:val="left"/>
    </w:lvl>
  </w:abstractNum>
  <w:abstractNum w:abstractNumId="1">
    <w:nsid w:val="C2C91ED5"/>
    <w:multiLevelType w:val="singleLevel"/>
    <w:tmpl w:val="C2C91ED5"/>
    <w:lvl w:ilvl="0" w:tentative="0">
      <w:start w:val="1"/>
      <w:numFmt w:val="decimal"/>
      <w:lvlText w:val="%1)"/>
      <w:lvlJc w:val="left"/>
      <w:pPr>
        <w:tabs>
          <w:tab w:val="left" w:pos="312"/>
        </w:tabs>
      </w:pPr>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E1B110F"/>
    <w:multiLevelType w:val="singleLevel"/>
    <w:tmpl w:val="7E1B110F"/>
    <w:lvl w:ilvl="0" w:tentative="0">
      <w:start w:val="1"/>
      <w:numFmt w:val="decimal"/>
      <w:suff w:val="nothing"/>
      <w:lvlText w:val="（%1）"/>
      <w:lvlJc w:val="left"/>
    </w:lvl>
  </w:abstractNum>
  <w:num w:numId="1">
    <w:abstractNumId w:val="1"/>
  </w:num>
  <w:num w:numId="2">
    <w:abstractNumId w:val="6"/>
  </w:num>
  <w:num w:numId="3">
    <w:abstractNumId w:val="2"/>
  </w:num>
  <w:num w:numId="4">
    <w:abstractNumId w:val="5"/>
    <w:lvlOverride w:ilvl="0">
      <w:startOverride w:val="1"/>
    </w:lvlOverride>
  </w:num>
  <w:num w:numId="5">
    <w:abstractNumId w:val="0"/>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ThhNWU0YTNjMzU4MTAzNDRmOTAwYWQ1NGYwOWMifQ=="/>
  </w:docVars>
  <w:rsids>
    <w:rsidRoot w:val="001D3059"/>
    <w:rsid w:val="00006EEF"/>
    <w:rsid w:val="00040801"/>
    <w:rsid w:val="000522C6"/>
    <w:rsid w:val="000801C7"/>
    <w:rsid w:val="000858FC"/>
    <w:rsid w:val="00092E48"/>
    <w:rsid w:val="000E1A76"/>
    <w:rsid w:val="00151101"/>
    <w:rsid w:val="001A47AF"/>
    <w:rsid w:val="001A6FFA"/>
    <w:rsid w:val="001B7033"/>
    <w:rsid w:val="001D3059"/>
    <w:rsid w:val="0020180B"/>
    <w:rsid w:val="00234687"/>
    <w:rsid w:val="002641F7"/>
    <w:rsid w:val="0026777E"/>
    <w:rsid w:val="00274723"/>
    <w:rsid w:val="00274EE1"/>
    <w:rsid w:val="002750CF"/>
    <w:rsid w:val="00276A99"/>
    <w:rsid w:val="002C6FFE"/>
    <w:rsid w:val="002E1730"/>
    <w:rsid w:val="003003F6"/>
    <w:rsid w:val="00301684"/>
    <w:rsid w:val="003425FF"/>
    <w:rsid w:val="003427D0"/>
    <w:rsid w:val="003471E1"/>
    <w:rsid w:val="00352DE1"/>
    <w:rsid w:val="003550AC"/>
    <w:rsid w:val="00356A24"/>
    <w:rsid w:val="00361F1D"/>
    <w:rsid w:val="003E7965"/>
    <w:rsid w:val="003F23CE"/>
    <w:rsid w:val="00450A55"/>
    <w:rsid w:val="004647AF"/>
    <w:rsid w:val="00496F77"/>
    <w:rsid w:val="004C31D8"/>
    <w:rsid w:val="004D2DC1"/>
    <w:rsid w:val="004F1ECB"/>
    <w:rsid w:val="00504CE1"/>
    <w:rsid w:val="00517963"/>
    <w:rsid w:val="00524AC3"/>
    <w:rsid w:val="00545AE7"/>
    <w:rsid w:val="00553CE2"/>
    <w:rsid w:val="0055580F"/>
    <w:rsid w:val="00564D3D"/>
    <w:rsid w:val="00585D39"/>
    <w:rsid w:val="005931DE"/>
    <w:rsid w:val="005B2CC4"/>
    <w:rsid w:val="005B2FE5"/>
    <w:rsid w:val="005C6ADC"/>
    <w:rsid w:val="005D15A4"/>
    <w:rsid w:val="005D2854"/>
    <w:rsid w:val="005E2F95"/>
    <w:rsid w:val="00610597"/>
    <w:rsid w:val="00633BD5"/>
    <w:rsid w:val="00672D45"/>
    <w:rsid w:val="006C38EF"/>
    <w:rsid w:val="00733B04"/>
    <w:rsid w:val="00735B71"/>
    <w:rsid w:val="00746CEE"/>
    <w:rsid w:val="007575F3"/>
    <w:rsid w:val="00787ABB"/>
    <w:rsid w:val="007A272C"/>
    <w:rsid w:val="007D5E78"/>
    <w:rsid w:val="00807511"/>
    <w:rsid w:val="00826926"/>
    <w:rsid w:val="00834DF5"/>
    <w:rsid w:val="008D7C4E"/>
    <w:rsid w:val="00900CB9"/>
    <w:rsid w:val="009633CD"/>
    <w:rsid w:val="0097161E"/>
    <w:rsid w:val="009719B9"/>
    <w:rsid w:val="00973FB8"/>
    <w:rsid w:val="00994D09"/>
    <w:rsid w:val="009E65FC"/>
    <w:rsid w:val="009F7136"/>
    <w:rsid w:val="00A04B6E"/>
    <w:rsid w:val="00A13342"/>
    <w:rsid w:val="00A34215"/>
    <w:rsid w:val="00A43C52"/>
    <w:rsid w:val="00A53CCC"/>
    <w:rsid w:val="00A61C7C"/>
    <w:rsid w:val="00A91F08"/>
    <w:rsid w:val="00AB7A64"/>
    <w:rsid w:val="00AC2437"/>
    <w:rsid w:val="00AE479F"/>
    <w:rsid w:val="00B11B5C"/>
    <w:rsid w:val="00B32474"/>
    <w:rsid w:val="00B3468A"/>
    <w:rsid w:val="00B54131"/>
    <w:rsid w:val="00B76469"/>
    <w:rsid w:val="00B92181"/>
    <w:rsid w:val="00BB5232"/>
    <w:rsid w:val="00BB607C"/>
    <w:rsid w:val="00BD42CC"/>
    <w:rsid w:val="00BE5382"/>
    <w:rsid w:val="00BF47FC"/>
    <w:rsid w:val="00C1580D"/>
    <w:rsid w:val="00C54624"/>
    <w:rsid w:val="00C621D0"/>
    <w:rsid w:val="00C8021C"/>
    <w:rsid w:val="00CB50FE"/>
    <w:rsid w:val="00CD2F4E"/>
    <w:rsid w:val="00CE72AE"/>
    <w:rsid w:val="00CF07AB"/>
    <w:rsid w:val="00CF3D0F"/>
    <w:rsid w:val="00D02953"/>
    <w:rsid w:val="00D03BFD"/>
    <w:rsid w:val="00D25B74"/>
    <w:rsid w:val="00D26508"/>
    <w:rsid w:val="00D31A20"/>
    <w:rsid w:val="00D47C35"/>
    <w:rsid w:val="00D60D85"/>
    <w:rsid w:val="00D67D32"/>
    <w:rsid w:val="00D838D1"/>
    <w:rsid w:val="00D863D7"/>
    <w:rsid w:val="00D95B39"/>
    <w:rsid w:val="00DB6B5A"/>
    <w:rsid w:val="00DD7D9A"/>
    <w:rsid w:val="00E44F35"/>
    <w:rsid w:val="00E52493"/>
    <w:rsid w:val="00E7792D"/>
    <w:rsid w:val="00E926D2"/>
    <w:rsid w:val="00EB65B9"/>
    <w:rsid w:val="00ED4C83"/>
    <w:rsid w:val="00F06D5B"/>
    <w:rsid w:val="00F275F0"/>
    <w:rsid w:val="00F44F67"/>
    <w:rsid w:val="00F715E2"/>
    <w:rsid w:val="00F80EEF"/>
    <w:rsid w:val="00F820F9"/>
    <w:rsid w:val="00F902A9"/>
    <w:rsid w:val="00F9115E"/>
    <w:rsid w:val="00FF5150"/>
    <w:rsid w:val="01017684"/>
    <w:rsid w:val="010333FC"/>
    <w:rsid w:val="01057082"/>
    <w:rsid w:val="01095920"/>
    <w:rsid w:val="011B02F9"/>
    <w:rsid w:val="012A54D2"/>
    <w:rsid w:val="01395070"/>
    <w:rsid w:val="01401F5A"/>
    <w:rsid w:val="014275A5"/>
    <w:rsid w:val="014E69AF"/>
    <w:rsid w:val="016B34DE"/>
    <w:rsid w:val="01955D51"/>
    <w:rsid w:val="01A72EEF"/>
    <w:rsid w:val="01A73D87"/>
    <w:rsid w:val="01AF4639"/>
    <w:rsid w:val="01B25E25"/>
    <w:rsid w:val="01BE6222"/>
    <w:rsid w:val="01C73E98"/>
    <w:rsid w:val="01C92250"/>
    <w:rsid w:val="01D31020"/>
    <w:rsid w:val="01DA5E9C"/>
    <w:rsid w:val="02055082"/>
    <w:rsid w:val="0224362A"/>
    <w:rsid w:val="022C0957"/>
    <w:rsid w:val="023615AF"/>
    <w:rsid w:val="024C0DD3"/>
    <w:rsid w:val="02753E85"/>
    <w:rsid w:val="027A76EE"/>
    <w:rsid w:val="02810A7C"/>
    <w:rsid w:val="02974B2C"/>
    <w:rsid w:val="029A742D"/>
    <w:rsid w:val="029E5A65"/>
    <w:rsid w:val="02A12ECC"/>
    <w:rsid w:val="02A4476B"/>
    <w:rsid w:val="02BC3862"/>
    <w:rsid w:val="02BE15ED"/>
    <w:rsid w:val="02CC6E30"/>
    <w:rsid w:val="02D01237"/>
    <w:rsid w:val="02D92142"/>
    <w:rsid w:val="02E84657"/>
    <w:rsid w:val="02F13652"/>
    <w:rsid w:val="02F6136A"/>
    <w:rsid w:val="03125B78"/>
    <w:rsid w:val="03157E45"/>
    <w:rsid w:val="03231B33"/>
    <w:rsid w:val="03323B4D"/>
    <w:rsid w:val="033567D7"/>
    <w:rsid w:val="03435D32"/>
    <w:rsid w:val="03492604"/>
    <w:rsid w:val="034A5312"/>
    <w:rsid w:val="03595092"/>
    <w:rsid w:val="035C3D6F"/>
    <w:rsid w:val="036A4118"/>
    <w:rsid w:val="037B5A38"/>
    <w:rsid w:val="038207AB"/>
    <w:rsid w:val="038D16A3"/>
    <w:rsid w:val="038F07B3"/>
    <w:rsid w:val="0394445D"/>
    <w:rsid w:val="039B5B6E"/>
    <w:rsid w:val="03B44E81"/>
    <w:rsid w:val="03B92498"/>
    <w:rsid w:val="03C055D4"/>
    <w:rsid w:val="03D66BA6"/>
    <w:rsid w:val="03F359AA"/>
    <w:rsid w:val="03FA344E"/>
    <w:rsid w:val="04054EA8"/>
    <w:rsid w:val="040A684F"/>
    <w:rsid w:val="040C6A6B"/>
    <w:rsid w:val="041A1188"/>
    <w:rsid w:val="041C7FB9"/>
    <w:rsid w:val="041E6619"/>
    <w:rsid w:val="041F679F"/>
    <w:rsid w:val="04206073"/>
    <w:rsid w:val="04447FB3"/>
    <w:rsid w:val="044A30F0"/>
    <w:rsid w:val="044B5C73"/>
    <w:rsid w:val="045A3428"/>
    <w:rsid w:val="047475DC"/>
    <w:rsid w:val="047B73C0"/>
    <w:rsid w:val="048B7990"/>
    <w:rsid w:val="04975296"/>
    <w:rsid w:val="049A7C20"/>
    <w:rsid w:val="049C74E5"/>
    <w:rsid w:val="04A309D6"/>
    <w:rsid w:val="04A57753"/>
    <w:rsid w:val="04B0389B"/>
    <w:rsid w:val="04C31FAE"/>
    <w:rsid w:val="04E06BD2"/>
    <w:rsid w:val="04E34912"/>
    <w:rsid w:val="04EE6171"/>
    <w:rsid w:val="04F80D9E"/>
    <w:rsid w:val="04FA68C4"/>
    <w:rsid w:val="05353DA0"/>
    <w:rsid w:val="054579FD"/>
    <w:rsid w:val="054D6CFB"/>
    <w:rsid w:val="054F5D32"/>
    <w:rsid w:val="055204AE"/>
    <w:rsid w:val="055E6E53"/>
    <w:rsid w:val="056D44BF"/>
    <w:rsid w:val="056D52E8"/>
    <w:rsid w:val="056E3AC7"/>
    <w:rsid w:val="05737CC1"/>
    <w:rsid w:val="05793C8D"/>
    <w:rsid w:val="05930833"/>
    <w:rsid w:val="05A71B3F"/>
    <w:rsid w:val="05BE24D8"/>
    <w:rsid w:val="05C375FE"/>
    <w:rsid w:val="05EC04F9"/>
    <w:rsid w:val="05F34893"/>
    <w:rsid w:val="06085010"/>
    <w:rsid w:val="060A5367"/>
    <w:rsid w:val="060A5CCA"/>
    <w:rsid w:val="061760BE"/>
    <w:rsid w:val="061F2D22"/>
    <w:rsid w:val="06226A9E"/>
    <w:rsid w:val="062F1835"/>
    <w:rsid w:val="06336531"/>
    <w:rsid w:val="06345BBB"/>
    <w:rsid w:val="06493522"/>
    <w:rsid w:val="06587D46"/>
    <w:rsid w:val="066F5DC3"/>
    <w:rsid w:val="0676474C"/>
    <w:rsid w:val="067B43D7"/>
    <w:rsid w:val="06807F27"/>
    <w:rsid w:val="068C4871"/>
    <w:rsid w:val="069602FF"/>
    <w:rsid w:val="069A035E"/>
    <w:rsid w:val="06A30057"/>
    <w:rsid w:val="06B33557"/>
    <w:rsid w:val="06C47189"/>
    <w:rsid w:val="06C947A0"/>
    <w:rsid w:val="06CB4DDC"/>
    <w:rsid w:val="06D1100B"/>
    <w:rsid w:val="06E8731C"/>
    <w:rsid w:val="06ED4932"/>
    <w:rsid w:val="06F351E6"/>
    <w:rsid w:val="06F62551"/>
    <w:rsid w:val="070C4EFE"/>
    <w:rsid w:val="071426B7"/>
    <w:rsid w:val="071719AF"/>
    <w:rsid w:val="072D0157"/>
    <w:rsid w:val="07300CC3"/>
    <w:rsid w:val="073267E9"/>
    <w:rsid w:val="07397B77"/>
    <w:rsid w:val="073E6F3C"/>
    <w:rsid w:val="07555C9F"/>
    <w:rsid w:val="075D020D"/>
    <w:rsid w:val="07621280"/>
    <w:rsid w:val="07655CFA"/>
    <w:rsid w:val="07812FDE"/>
    <w:rsid w:val="07830F22"/>
    <w:rsid w:val="07852DBD"/>
    <w:rsid w:val="0790327A"/>
    <w:rsid w:val="079379D5"/>
    <w:rsid w:val="079A524B"/>
    <w:rsid w:val="07A428E3"/>
    <w:rsid w:val="07CB185D"/>
    <w:rsid w:val="07DA4E9C"/>
    <w:rsid w:val="07DE427B"/>
    <w:rsid w:val="07E86EA8"/>
    <w:rsid w:val="07EA0E72"/>
    <w:rsid w:val="07EE4E00"/>
    <w:rsid w:val="08093A71"/>
    <w:rsid w:val="08236132"/>
    <w:rsid w:val="08253C58"/>
    <w:rsid w:val="083168C6"/>
    <w:rsid w:val="08512C9F"/>
    <w:rsid w:val="08580653"/>
    <w:rsid w:val="086735A3"/>
    <w:rsid w:val="08762705"/>
    <w:rsid w:val="089F7EAE"/>
    <w:rsid w:val="08A76D34"/>
    <w:rsid w:val="08C90A87"/>
    <w:rsid w:val="08F00221"/>
    <w:rsid w:val="08F71A98"/>
    <w:rsid w:val="08F875BE"/>
    <w:rsid w:val="08FB6F31"/>
    <w:rsid w:val="091D7025"/>
    <w:rsid w:val="092108C3"/>
    <w:rsid w:val="092927AE"/>
    <w:rsid w:val="09412D13"/>
    <w:rsid w:val="094B1DE4"/>
    <w:rsid w:val="09572877"/>
    <w:rsid w:val="095D5673"/>
    <w:rsid w:val="09640C9C"/>
    <w:rsid w:val="097C1490"/>
    <w:rsid w:val="099C619C"/>
    <w:rsid w:val="099E24B2"/>
    <w:rsid w:val="09A552C3"/>
    <w:rsid w:val="09AB0983"/>
    <w:rsid w:val="09CE1116"/>
    <w:rsid w:val="09D83256"/>
    <w:rsid w:val="09DE4A06"/>
    <w:rsid w:val="09E076C7"/>
    <w:rsid w:val="0A187F18"/>
    <w:rsid w:val="0A1977EC"/>
    <w:rsid w:val="0A1E7575"/>
    <w:rsid w:val="0A2013A9"/>
    <w:rsid w:val="0A23066B"/>
    <w:rsid w:val="0A435CEB"/>
    <w:rsid w:val="0A4C7833"/>
    <w:rsid w:val="0A564057"/>
    <w:rsid w:val="0A6749FB"/>
    <w:rsid w:val="0A765A8A"/>
    <w:rsid w:val="0A7B2255"/>
    <w:rsid w:val="0A7F3240"/>
    <w:rsid w:val="0A801619"/>
    <w:rsid w:val="0A813285"/>
    <w:rsid w:val="0A951569"/>
    <w:rsid w:val="0A9F23E7"/>
    <w:rsid w:val="0AA7129C"/>
    <w:rsid w:val="0AA809C6"/>
    <w:rsid w:val="0AAA2B3A"/>
    <w:rsid w:val="0AAA37AF"/>
    <w:rsid w:val="0AAC240E"/>
    <w:rsid w:val="0ABF4545"/>
    <w:rsid w:val="0AC0235E"/>
    <w:rsid w:val="0ACE705D"/>
    <w:rsid w:val="0AD3705F"/>
    <w:rsid w:val="0AE147AE"/>
    <w:rsid w:val="0AF837E4"/>
    <w:rsid w:val="0B05035F"/>
    <w:rsid w:val="0B2B22F5"/>
    <w:rsid w:val="0B41524D"/>
    <w:rsid w:val="0B5140BC"/>
    <w:rsid w:val="0B615CFF"/>
    <w:rsid w:val="0B657B87"/>
    <w:rsid w:val="0B664CB3"/>
    <w:rsid w:val="0B6C18AB"/>
    <w:rsid w:val="0B6D3325"/>
    <w:rsid w:val="0B6E3B68"/>
    <w:rsid w:val="0B7078E0"/>
    <w:rsid w:val="0B720882"/>
    <w:rsid w:val="0B770C6E"/>
    <w:rsid w:val="0B831A63"/>
    <w:rsid w:val="0B8C6DD9"/>
    <w:rsid w:val="0B8F7AB0"/>
    <w:rsid w:val="0BA95626"/>
    <w:rsid w:val="0BC23C9A"/>
    <w:rsid w:val="0BC23F01"/>
    <w:rsid w:val="0BC67500"/>
    <w:rsid w:val="0BC8771C"/>
    <w:rsid w:val="0BCD7E12"/>
    <w:rsid w:val="0BCF5714"/>
    <w:rsid w:val="0BD065D0"/>
    <w:rsid w:val="0C01007F"/>
    <w:rsid w:val="0C1110C3"/>
    <w:rsid w:val="0C1163E6"/>
    <w:rsid w:val="0C197F77"/>
    <w:rsid w:val="0C3953CE"/>
    <w:rsid w:val="0C463AE2"/>
    <w:rsid w:val="0C4A5554"/>
    <w:rsid w:val="0C4C3EA9"/>
    <w:rsid w:val="0C585D0D"/>
    <w:rsid w:val="0C590374"/>
    <w:rsid w:val="0C5A0BD8"/>
    <w:rsid w:val="0C632FA1"/>
    <w:rsid w:val="0C6A2581"/>
    <w:rsid w:val="0C842999"/>
    <w:rsid w:val="0C9D4705"/>
    <w:rsid w:val="0CA041F5"/>
    <w:rsid w:val="0CAA7D1D"/>
    <w:rsid w:val="0CB11409"/>
    <w:rsid w:val="0CB536EF"/>
    <w:rsid w:val="0CB63B54"/>
    <w:rsid w:val="0CC868D4"/>
    <w:rsid w:val="0CDC043F"/>
    <w:rsid w:val="0CE02843"/>
    <w:rsid w:val="0CF54541"/>
    <w:rsid w:val="0CFD33F5"/>
    <w:rsid w:val="0D270B38"/>
    <w:rsid w:val="0D3B1F2E"/>
    <w:rsid w:val="0D3B4AA2"/>
    <w:rsid w:val="0D543F47"/>
    <w:rsid w:val="0D6B4803"/>
    <w:rsid w:val="0D735465"/>
    <w:rsid w:val="0D75742F"/>
    <w:rsid w:val="0D774F56"/>
    <w:rsid w:val="0D837BC4"/>
    <w:rsid w:val="0D863386"/>
    <w:rsid w:val="0D865199"/>
    <w:rsid w:val="0D9269B0"/>
    <w:rsid w:val="0D992AED"/>
    <w:rsid w:val="0D9D0734"/>
    <w:rsid w:val="0DC04213"/>
    <w:rsid w:val="0DDA653B"/>
    <w:rsid w:val="0DDE4FD5"/>
    <w:rsid w:val="0DE638BA"/>
    <w:rsid w:val="0DF577CD"/>
    <w:rsid w:val="0DFE11D3"/>
    <w:rsid w:val="0DFE5677"/>
    <w:rsid w:val="0E06277D"/>
    <w:rsid w:val="0E0F21BC"/>
    <w:rsid w:val="0E1770D6"/>
    <w:rsid w:val="0E250E55"/>
    <w:rsid w:val="0E2B18D5"/>
    <w:rsid w:val="0E2D1AB8"/>
    <w:rsid w:val="0E3218E4"/>
    <w:rsid w:val="0E357E9C"/>
    <w:rsid w:val="0E3966AF"/>
    <w:rsid w:val="0E4D3F08"/>
    <w:rsid w:val="0E73260E"/>
    <w:rsid w:val="0E7E366C"/>
    <w:rsid w:val="0EA55AF2"/>
    <w:rsid w:val="0EA91BC1"/>
    <w:rsid w:val="0EA967E6"/>
    <w:rsid w:val="0ECF2B6F"/>
    <w:rsid w:val="0ED63EFE"/>
    <w:rsid w:val="0EEF6AAD"/>
    <w:rsid w:val="0EFB7D6B"/>
    <w:rsid w:val="0F012419"/>
    <w:rsid w:val="0F035F56"/>
    <w:rsid w:val="0F0F5662"/>
    <w:rsid w:val="0F17197D"/>
    <w:rsid w:val="0F1B7B63"/>
    <w:rsid w:val="0F2C7FC2"/>
    <w:rsid w:val="0F3410B2"/>
    <w:rsid w:val="0F35752E"/>
    <w:rsid w:val="0F3F7CF5"/>
    <w:rsid w:val="0F517A28"/>
    <w:rsid w:val="0F524821"/>
    <w:rsid w:val="0F621C35"/>
    <w:rsid w:val="0F6B1F01"/>
    <w:rsid w:val="0F8266D9"/>
    <w:rsid w:val="0FA638D0"/>
    <w:rsid w:val="0FAC2EB1"/>
    <w:rsid w:val="0FB74DC9"/>
    <w:rsid w:val="0FC14A8A"/>
    <w:rsid w:val="0FDC3796"/>
    <w:rsid w:val="1008428F"/>
    <w:rsid w:val="100A74BB"/>
    <w:rsid w:val="10167F5F"/>
    <w:rsid w:val="101A621B"/>
    <w:rsid w:val="102F0E28"/>
    <w:rsid w:val="10390118"/>
    <w:rsid w:val="103E7FAD"/>
    <w:rsid w:val="10401F77"/>
    <w:rsid w:val="10594DE6"/>
    <w:rsid w:val="106D3EDF"/>
    <w:rsid w:val="10762190"/>
    <w:rsid w:val="109113A8"/>
    <w:rsid w:val="109C2F25"/>
    <w:rsid w:val="10A25EDA"/>
    <w:rsid w:val="10A5002C"/>
    <w:rsid w:val="10BC5AA5"/>
    <w:rsid w:val="10BD35C7"/>
    <w:rsid w:val="10CD30DE"/>
    <w:rsid w:val="10D16E42"/>
    <w:rsid w:val="10D4339F"/>
    <w:rsid w:val="10EE19D3"/>
    <w:rsid w:val="10EF574B"/>
    <w:rsid w:val="11270A41"/>
    <w:rsid w:val="11423ACC"/>
    <w:rsid w:val="11513D10"/>
    <w:rsid w:val="115A7068"/>
    <w:rsid w:val="11635C5A"/>
    <w:rsid w:val="11652FD6"/>
    <w:rsid w:val="1187310D"/>
    <w:rsid w:val="11987B90"/>
    <w:rsid w:val="11A65EF9"/>
    <w:rsid w:val="11D843F8"/>
    <w:rsid w:val="11E46932"/>
    <w:rsid w:val="11EA319D"/>
    <w:rsid w:val="11F56084"/>
    <w:rsid w:val="11F7576D"/>
    <w:rsid w:val="11FE3E97"/>
    <w:rsid w:val="1209283C"/>
    <w:rsid w:val="120D6C92"/>
    <w:rsid w:val="121F5BBC"/>
    <w:rsid w:val="12217B86"/>
    <w:rsid w:val="12371157"/>
    <w:rsid w:val="12372F05"/>
    <w:rsid w:val="124115C4"/>
    <w:rsid w:val="124B075F"/>
    <w:rsid w:val="124B49D0"/>
    <w:rsid w:val="127203E1"/>
    <w:rsid w:val="1299596E"/>
    <w:rsid w:val="129C0FBA"/>
    <w:rsid w:val="12D270D2"/>
    <w:rsid w:val="12D465E0"/>
    <w:rsid w:val="12DE2AB6"/>
    <w:rsid w:val="12E271C4"/>
    <w:rsid w:val="12E50BB3"/>
    <w:rsid w:val="12E63C04"/>
    <w:rsid w:val="12EF7943"/>
    <w:rsid w:val="13004370"/>
    <w:rsid w:val="13160D6D"/>
    <w:rsid w:val="133E565C"/>
    <w:rsid w:val="13634FEF"/>
    <w:rsid w:val="13767A5D"/>
    <w:rsid w:val="1381676B"/>
    <w:rsid w:val="138F5B69"/>
    <w:rsid w:val="13A75E69"/>
    <w:rsid w:val="13AC347F"/>
    <w:rsid w:val="13B011C1"/>
    <w:rsid w:val="13B30CB1"/>
    <w:rsid w:val="13C22CA3"/>
    <w:rsid w:val="13C609E5"/>
    <w:rsid w:val="13C93A45"/>
    <w:rsid w:val="13CC58CF"/>
    <w:rsid w:val="13D529D6"/>
    <w:rsid w:val="13D773DA"/>
    <w:rsid w:val="13E250F3"/>
    <w:rsid w:val="13E64C10"/>
    <w:rsid w:val="13FC4407"/>
    <w:rsid w:val="14005579"/>
    <w:rsid w:val="140B2AA2"/>
    <w:rsid w:val="14333BA0"/>
    <w:rsid w:val="143D057B"/>
    <w:rsid w:val="1448764C"/>
    <w:rsid w:val="144E3925"/>
    <w:rsid w:val="14523C8E"/>
    <w:rsid w:val="145B42F0"/>
    <w:rsid w:val="1460255E"/>
    <w:rsid w:val="14662977"/>
    <w:rsid w:val="14814229"/>
    <w:rsid w:val="1485642A"/>
    <w:rsid w:val="148C55F5"/>
    <w:rsid w:val="149076E2"/>
    <w:rsid w:val="1493579A"/>
    <w:rsid w:val="1494463F"/>
    <w:rsid w:val="14A02656"/>
    <w:rsid w:val="14A8633C"/>
    <w:rsid w:val="14AC28A8"/>
    <w:rsid w:val="14B66A66"/>
    <w:rsid w:val="14BE346A"/>
    <w:rsid w:val="14EF2214"/>
    <w:rsid w:val="14EF5D19"/>
    <w:rsid w:val="15112FB3"/>
    <w:rsid w:val="15170DCC"/>
    <w:rsid w:val="1517629B"/>
    <w:rsid w:val="15376522"/>
    <w:rsid w:val="155D4A89"/>
    <w:rsid w:val="155E4C4D"/>
    <w:rsid w:val="157E55BA"/>
    <w:rsid w:val="158741A4"/>
    <w:rsid w:val="159E63D7"/>
    <w:rsid w:val="15A07014"/>
    <w:rsid w:val="15A71FCF"/>
    <w:rsid w:val="15AF7257"/>
    <w:rsid w:val="15CE73E7"/>
    <w:rsid w:val="15DA6861"/>
    <w:rsid w:val="15E213DA"/>
    <w:rsid w:val="15E2587E"/>
    <w:rsid w:val="15F630D7"/>
    <w:rsid w:val="15F7039E"/>
    <w:rsid w:val="161E4204"/>
    <w:rsid w:val="16223BC9"/>
    <w:rsid w:val="16243806"/>
    <w:rsid w:val="16290DB7"/>
    <w:rsid w:val="162C6AF9"/>
    <w:rsid w:val="163F05DA"/>
    <w:rsid w:val="163F682C"/>
    <w:rsid w:val="16521360"/>
    <w:rsid w:val="16734728"/>
    <w:rsid w:val="168A4F1E"/>
    <w:rsid w:val="168F5F80"/>
    <w:rsid w:val="169D6CED"/>
    <w:rsid w:val="16B014D8"/>
    <w:rsid w:val="16B26B8A"/>
    <w:rsid w:val="16CB4564"/>
    <w:rsid w:val="16CC463A"/>
    <w:rsid w:val="16EB6122"/>
    <w:rsid w:val="16F969DB"/>
    <w:rsid w:val="170F26A3"/>
    <w:rsid w:val="172A6452"/>
    <w:rsid w:val="17367C2F"/>
    <w:rsid w:val="174B2FAF"/>
    <w:rsid w:val="17526FA4"/>
    <w:rsid w:val="176E33DE"/>
    <w:rsid w:val="17884C82"/>
    <w:rsid w:val="178A5D34"/>
    <w:rsid w:val="1795379C"/>
    <w:rsid w:val="17AA5F28"/>
    <w:rsid w:val="17D2750F"/>
    <w:rsid w:val="17DD454F"/>
    <w:rsid w:val="17E841F0"/>
    <w:rsid w:val="18063809"/>
    <w:rsid w:val="180C7C42"/>
    <w:rsid w:val="18226406"/>
    <w:rsid w:val="18253800"/>
    <w:rsid w:val="18267CA4"/>
    <w:rsid w:val="18471274"/>
    <w:rsid w:val="18493992"/>
    <w:rsid w:val="184C6FDF"/>
    <w:rsid w:val="186D58D3"/>
    <w:rsid w:val="187A7D80"/>
    <w:rsid w:val="1881137E"/>
    <w:rsid w:val="18817186"/>
    <w:rsid w:val="188E3A9B"/>
    <w:rsid w:val="18920670"/>
    <w:rsid w:val="18A137CE"/>
    <w:rsid w:val="18A53C2D"/>
    <w:rsid w:val="18B63AC0"/>
    <w:rsid w:val="18D410A2"/>
    <w:rsid w:val="18E66AB2"/>
    <w:rsid w:val="18F57676"/>
    <w:rsid w:val="19097C61"/>
    <w:rsid w:val="19155678"/>
    <w:rsid w:val="191E097B"/>
    <w:rsid w:val="19455539"/>
    <w:rsid w:val="194F7902"/>
    <w:rsid w:val="195B5257"/>
    <w:rsid w:val="19706CFD"/>
    <w:rsid w:val="19795E15"/>
    <w:rsid w:val="19856C4C"/>
    <w:rsid w:val="19B81747"/>
    <w:rsid w:val="19C06AF4"/>
    <w:rsid w:val="19C86B39"/>
    <w:rsid w:val="19CC487B"/>
    <w:rsid w:val="19DC1C4E"/>
    <w:rsid w:val="19DD25E4"/>
    <w:rsid w:val="19E35721"/>
    <w:rsid w:val="19E821E2"/>
    <w:rsid w:val="19FF33EE"/>
    <w:rsid w:val="1A0062D3"/>
    <w:rsid w:val="1A174755"/>
    <w:rsid w:val="1A224809"/>
    <w:rsid w:val="1A253F8B"/>
    <w:rsid w:val="1A3D35ED"/>
    <w:rsid w:val="1A473F02"/>
    <w:rsid w:val="1A4B1C44"/>
    <w:rsid w:val="1A6D3318"/>
    <w:rsid w:val="1A70567B"/>
    <w:rsid w:val="1A774458"/>
    <w:rsid w:val="1A82318C"/>
    <w:rsid w:val="1A846A93"/>
    <w:rsid w:val="1A937147"/>
    <w:rsid w:val="1AA17AB6"/>
    <w:rsid w:val="1AA22304"/>
    <w:rsid w:val="1AA67FC8"/>
    <w:rsid w:val="1AA90718"/>
    <w:rsid w:val="1ABC044C"/>
    <w:rsid w:val="1ABD34B5"/>
    <w:rsid w:val="1ADF2787"/>
    <w:rsid w:val="1AE6196C"/>
    <w:rsid w:val="1AFA66D4"/>
    <w:rsid w:val="1AFF1984"/>
    <w:rsid w:val="1B043BA1"/>
    <w:rsid w:val="1B1A3D35"/>
    <w:rsid w:val="1B280C01"/>
    <w:rsid w:val="1B32070E"/>
    <w:rsid w:val="1B46240B"/>
    <w:rsid w:val="1B487F31"/>
    <w:rsid w:val="1B527002"/>
    <w:rsid w:val="1B612DA1"/>
    <w:rsid w:val="1B66485B"/>
    <w:rsid w:val="1B7156DA"/>
    <w:rsid w:val="1B83540D"/>
    <w:rsid w:val="1B861E51"/>
    <w:rsid w:val="1B8B4540"/>
    <w:rsid w:val="1B8D3B96"/>
    <w:rsid w:val="1B980981"/>
    <w:rsid w:val="1BB27AA1"/>
    <w:rsid w:val="1BC83144"/>
    <w:rsid w:val="1BDB2463"/>
    <w:rsid w:val="1BDE0896"/>
    <w:rsid w:val="1BEA4C7C"/>
    <w:rsid w:val="1BFE2CE6"/>
    <w:rsid w:val="1C116575"/>
    <w:rsid w:val="1C572E1F"/>
    <w:rsid w:val="1C625023"/>
    <w:rsid w:val="1C885DAD"/>
    <w:rsid w:val="1C9121E5"/>
    <w:rsid w:val="1C954CD6"/>
    <w:rsid w:val="1C98798D"/>
    <w:rsid w:val="1C9A0C60"/>
    <w:rsid w:val="1C9B1C69"/>
    <w:rsid w:val="1C9E1A0C"/>
    <w:rsid w:val="1C9E7D2D"/>
    <w:rsid w:val="1CA43733"/>
    <w:rsid w:val="1CAB0B30"/>
    <w:rsid w:val="1CBA6C35"/>
    <w:rsid w:val="1CC57360"/>
    <w:rsid w:val="1CCA5C25"/>
    <w:rsid w:val="1CD001DE"/>
    <w:rsid w:val="1CDA105D"/>
    <w:rsid w:val="1CDC4DD5"/>
    <w:rsid w:val="1CE1063D"/>
    <w:rsid w:val="1D1F6BD8"/>
    <w:rsid w:val="1D271DC8"/>
    <w:rsid w:val="1D4E55A7"/>
    <w:rsid w:val="1D556DBC"/>
    <w:rsid w:val="1D5E1C8E"/>
    <w:rsid w:val="1D6945DD"/>
    <w:rsid w:val="1D7166CD"/>
    <w:rsid w:val="1D81772B"/>
    <w:rsid w:val="1D862F93"/>
    <w:rsid w:val="1D880AB9"/>
    <w:rsid w:val="1D8F418E"/>
    <w:rsid w:val="1D9210BE"/>
    <w:rsid w:val="1D954F84"/>
    <w:rsid w:val="1DB83A1E"/>
    <w:rsid w:val="1DD97567"/>
    <w:rsid w:val="1DE2466D"/>
    <w:rsid w:val="1DF1639C"/>
    <w:rsid w:val="1E037DAC"/>
    <w:rsid w:val="1E122A78"/>
    <w:rsid w:val="1E175EC1"/>
    <w:rsid w:val="1E2A152E"/>
    <w:rsid w:val="1E2A7DC2"/>
    <w:rsid w:val="1E2C3B3A"/>
    <w:rsid w:val="1E2C58E8"/>
    <w:rsid w:val="1E42510C"/>
    <w:rsid w:val="1E55723C"/>
    <w:rsid w:val="1E7A2AF8"/>
    <w:rsid w:val="1EA4279A"/>
    <w:rsid w:val="1EA700B7"/>
    <w:rsid w:val="1EC51899"/>
    <w:rsid w:val="1EE241F9"/>
    <w:rsid w:val="1EED151B"/>
    <w:rsid w:val="1F152A17"/>
    <w:rsid w:val="1F2C36C6"/>
    <w:rsid w:val="1F344FAE"/>
    <w:rsid w:val="1F3C5FFF"/>
    <w:rsid w:val="1F4D4C7E"/>
    <w:rsid w:val="1F4E3E9E"/>
    <w:rsid w:val="1F5275D0"/>
    <w:rsid w:val="1F536EA5"/>
    <w:rsid w:val="1F5A46D7"/>
    <w:rsid w:val="1F6210D9"/>
    <w:rsid w:val="1F640C4B"/>
    <w:rsid w:val="1F777037"/>
    <w:rsid w:val="1F7A18D6"/>
    <w:rsid w:val="1F7C3BBA"/>
    <w:rsid w:val="1F8F4381"/>
    <w:rsid w:val="1F903C55"/>
    <w:rsid w:val="1F9279CD"/>
    <w:rsid w:val="1FC009DE"/>
    <w:rsid w:val="1FC2394D"/>
    <w:rsid w:val="1FCC61E4"/>
    <w:rsid w:val="1FCF2A25"/>
    <w:rsid w:val="1FEC3AE3"/>
    <w:rsid w:val="1FEF6BCD"/>
    <w:rsid w:val="200D12EE"/>
    <w:rsid w:val="201E3957"/>
    <w:rsid w:val="202A5D19"/>
    <w:rsid w:val="203E1903"/>
    <w:rsid w:val="204F1D62"/>
    <w:rsid w:val="206D12E3"/>
    <w:rsid w:val="208539D6"/>
    <w:rsid w:val="208D2FA3"/>
    <w:rsid w:val="20910DC7"/>
    <w:rsid w:val="20924AF0"/>
    <w:rsid w:val="209640CD"/>
    <w:rsid w:val="20967EE2"/>
    <w:rsid w:val="20A5502A"/>
    <w:rsid w:val="20B33D43"/>
    <w:rsid w:val="20B9542D"/>
    <w:rsid w:val="20D3473E"/>
    <w:rsid w:val="20D83B05"/>
    <w:rsid w:val="20DD79A8"/>
    <w:rsid w:val="20E233A0"/>
    <w:rsid w:val="20E3050A"/>
    <w:rsid w:val="20E34258"/>
    <w:rsid w:val="20E56222"/>
    <w:rsid w:val="20E701EC"/>
    <w:rsid w:val="20F12E19"/>
    <w:rsid w:val="20F173F6"/>
    <w:rsid w:val="20F26AE1"/>
    <w:rsid w:val="210E39CB"/>
    <w:rsid w:val="21170006"/>
    <w:rsid w:val="21283337"/>
    <w:rsid w:val="212B632B"/>
    <w:rsid w:val="213B4094"/>
    <w:rsid w:val="213D22F1"/>
    <w:rsid w:val="213D7796"/>
    <w:rsid w:val="21453DE1"/>
    <w:rsid w:val="21471D75"/>
    <w:rsid w:val="215A276C"/>
    <w:rsid w:val="215E6B36"/>
    <w:rsid w:val="216058A9"/>
    <w:rsid w:val="21645399"/>
    <w:rsid w:val="21660D84"/>
    <w:rsid w:val="21667363"/>
    <w:rsid w:val="216B497A"/>
    <w:rsid w:val="21723F5A"/>
    <w:rsid w:val="217D1569"/>
    <w:rsid w:val="218F4798"/>
    <w:rsid w:val="21AB6CB3"/>
    <w:rsid w:val="21B26104"/>
    <w:rsid w:val="21B4139D"/>
    <w:rsid w:val="21BE719F"/>
    <w:rsid w:val="21DA28C2"/>
    <w:rsid w:val="21DC7625"/>
    <w:rsid w:val="21E40288"/>
    <w:rsid w:val="21E92535"/>
    <w:rsid w:val="21EA67DF"/>
    <w:rsid w:val="21EE673B"/>
    <w:rsid w:val="21EF55AB"/>
    <w:rsid w:val="2201708C"/>
    <w:rsid w:val="22160D89"/>
    <w:rsid w:val="22161F45"/>
    <w:rsid w:val="221F7512"/>
    <w:rsid w:val="222A65E3"/>
    <w:rsid w:val="223631D9"/>
    <w:rsid w:val="22421B7E"/>
    <w:rsid w:val="22494C50"/>
    <w:rsid w:val="224F6049"/>
    <w:rsid w:val="22551944"/>
    <w:rsid w:val="225718E5"/>
    <w:rsid w:val="22743D02"/>
    <w:rsid w:val="2279283A"/>
    <w:rsid w:val="22794E74"/>
    <w:rsid w:val="227A5108"/>
    <w:rsid w:val="22833549"/>
    <w:rsid w:val="22857CBD"/>
    <w:rsid w:val="22A068A5"/>
    <w:rsid w:val="22A530BF"/>
    <w:rsid w:val="22AB5DF9"/>
    <w:rsid w:val="22BB723B"/>
    <w:rsid w:val="22C87A6E"/>
    <w:rsid w:val="22CE4F93"/>
    <w:rsid w:val="22DA3051"/>
    <w:rsid w:val="22DC4C58"/>
    <w:rsid w:val="22E4534B"/>
    <w:rsid w:val="22E7772D"/>
    <w:rsid w:val="22F34C27"/>
    <w:rsid w:val="22FB3ADB"/>
    <w:rsid w:val="23236BC0"/>
    <w:rsid w:val="232C67F1"/>
    <w:rsid w:val="232E5C5F"/>
    <w:rsid w:val="2331574F"/>
    <w:rsid w:val="233D2346"/>
    <w:rsid w:val="235F406A"/>
    <w:rsid w:val="23635A76"/>
    <w:rsid w:val="236C49D9"/>
    <w:rsid w:val="237F36A3"/>
    <w:rsid w:val="23A3664D"/>
    <w:rsid w:val="23AD68F9"/>
    <w:rsid w:val="23BC14BC"/>
    <w:rsid w:val="23BD6FE3"/>
    <w:rsid w:val="23C10881"/>
    <w:rsid w:val="23C31EAF"/>
    <w:rsid w:val="23C46C9C"/>
    <w:rsid w:val="23CD5BEA"/>
    <w:rsid w:val="23D46646"/>
    <w:rsid w:val="23DA5DE6"/>
    <w:rsid w:val="23E16DB3"/>
    <w:rsid w:val="23E34C9B"/>
    <w:rsid w:val="23EF07BD"/>
    <w:rsid w:val="23FA0237"/>
    <w:rsid w:val="23FF13A9"/>
    <w:rsid w:val="24001B90"/>
    <w:rsid w:val="240B21ED"/>
    <w:rsid w:val="24174945"/>
    <w:rsid w:val="241F18CE"/>
    <w:rsid w:val="242D3833"/>
    <w:rsid w:val="243F0CE7"/>
    <w:rsid w:val="2446522A"/>
    <w:rsid w:val="244B2840"/>
    <w:rsid w:val="244F7E87"/>
    <w:rsid w:val="24545B99"/>
    <w:rsid w:val="2455046E"/>
    <w:rsid w:val="245C5FE8"/>
    <w:rsid w:val="24604CF1"/>
    <w:rsid w:val="24794EE7"/>
    <w:rsid w:val="2480698E"/>
    <w:rsid w:val="24816B05"/>
    <w:rsid w:val="248A31ED"/>
    <w:rsid w:val="24941690"/>
    <w:rsid w:val="24AD04A8"/>
    <w:rsid w:val="24B57F51"/>
    <w:rsid w:val="24B77ED6"/>
    <w:rsid w:val="24CF590E"/>
    <w:rsid w:val="24DB3BC4"/>
    <w:rsid w:val="24F44C86"/>
    <w:rsid w:val="24FD473D"/>
    <w:rsid w:val="24FD7FDE"/>
    <w:rsid w:val="250F7D12"/>
    <w:rsid w:val="251D5F8B"/>
    <w:rsid w:val="25266258"/>
    <w:rsid w:val="25294E4E"/>
    <w:rsid w:val="253B262F"/>
    <w:rsid w:val="2547125A"/>
    <w:rsid w:val="254F010E"/>
    <w:rsid w:val="25581FF1"/>
    <w:rsid w:val="255B6304"/>
    <w:rsid w:val="25665875"/>
    <w:rsid w:val="256C491B"/>
    <w:rsid w:val="257E2B66"/>
    <w:rsid w:val="25827457"/>
    <w:rsid w:val="258778A8"/>
    <w:rsid w:val="258F5A73"/>
    <w:rsid w:val="25963CA4"/>
    <w:rsid w:val="259A3A7F"/>
    <w:rsid w:val="259E7F73"/>
    <w:rsid w:val="25A62424"/>
    <w:rsid w:val="25AF7C37"/>
    <w:rsid w:val="25B50BFA"/>
    <w:rsid w:val="25CF57C2"/>
    <w:rsid w:val="25E2566C"/>
    <w:rsid w:val="25E50791"/>
    <w:rsid w:val="25FA6BAC"/>
    <w:rsid w:val="26024071"/>
    <w:rsid w:val="261F3F85"/>
    <w:rsid w:val="262A4E03"/>
    <w:rsid w:val="262B5853"/>
    <w:rsid w:val="263C68E5"/>
    <w:rsid w:val="264D464E"/>
    <w:rsid w:val="264E7E89"/>
    <w:rsid w:val="2668592C"/>
    <w:rsid w:val="26775B6F"/>
    <w:rsid w:val="268309C4"/>
    <w:rsid w:val="26A742E8"/>
    <w:rsid w:val="26A953B9"/>
    <w:rsid w:val="26BE3AB0"/>
    <w:rsid w:val="26CF1553"/>
    <w:rsid w:val="26DA0542"/>
    <w:rsid w:val="26ED1E02"/>
    <w:rsid w:val="26F22552"/>
    <w:rsid w:val="26F47803"/>
    <w:rsid w:val="27196C26"/>
    <w:rsid w:val="272258CD"/>
    <w:rsid w:val="27231852"/>
    <w:rsid w:val="273259A9"/>
    <w:rsid w:val="273677D8"/>
    <w:rsid w:val="27380A7A"/>
    <w:rsid w:val="274612B7"/>
    <w:rsid w:val="27503865"/>
    <w:rsid w:val="2752510C"/>
    <w:rsid w:val="275A5F00"/>
    <w:rsid w:val="275D6B12"/>
    <w:rsid w:val="27606603"/>
    <w:rsid w:val="276258F6"/>
    <w:rsid w:val="27771266"/>
    <w:rsid w:val="27897134"/>
    <w:rsid w:val="279938C3"/>
    <w:rsid w:val="279A2560"/>
    <w:rsid w:val="27C43035"/>
    <w:rsid w:val="27DA7DAA"/>
    <w:rsid w:val="27ED433A"/>
    <w:rsid w:val="27EF7C08"/>
    <w:rsid w:val="27F23143"/>
    <w:rsid w:val="28017DE6"/>
    <w:rsid w:val="280451E0"/>
    <w:rsid w:val="28063E8E"/>
    <w:rsid w:val="282E6701"/>
    <w:rsid w:val="28377363"/>
    <w:rsid w:val="283C7070"/>
    <w:rsid w:val="28575C58"/>
    <w:rsid w:val="285D1FED"/>
    <w:rsid w:val="2866443A"/>
    <w:rsid w:val="28790670"/>
    <w:rsid w:val="288D1679"/>
    <w:rsid w:val="289A5B44"/>
    <w:rsid w:val="28A349F9"/>
    <w:rsid w:val="28AC3310"/>
    <w:rsid w:val="28DE3C83"/>
    <w:rsid w:val="28F47C43"/>
    <w:rsid w:val="29095C9F"/>
    <w:rsid w:val="290C194A"/>
    <w:rsid w:val="291B1976"/>
    <w:rsid w:val="291D4F17"/>
    <w:rsid w:val="292145DB"/>
    <w:rsid w:val="292D12B6"/>
    <w:rsid w:val="293D4E4D"/>
    <w:rsid w:val="294855A0"/>
    <w:rsid w:val="294F402B"/>
    <w:rsid w:val="296B6CBA"/>
    <w:rsid w:val="297E7214"/>
    <w:rsid w:val="29837E7C"/>
    <w:rsid w:val="299E3412"/>
    <w:rsid w:val="29AB0C3B"/>
    <w:rsid w:val="29BB4910"/>
    <w:rsid w:val="29CB4750"/>
    <w:rsid w:val="29D46E34"/>
    <w:rsid w:val="29DB234D"/>
    <w:rsid w:val="29DD3939"/>
    <w:rsid w:val="29E654E5"/>
    <w:rsid w:val="2A1F36F3"/>
    <w:rsid w:val="2A2421BD"/>
    <w:rsid w:val="2A247DBB"/>
    <w:rsid w:val="2A2658E2"/>
    <w:rsid w:val="2A2842D3"/>
    <w:rsid w:val="2A297180"/>
    <w:rsid w:val="2A420242"/>
    <w:rsid w:val="2A636FF6"/>
    <w:rsid w:val="2A80573B"/>
    <w:rsid w:val="2A900CF5"/>
    <w:rsid w:val="2A952A67"/>
    <w:rsid w:val="2A9A62D0"/>
    <w:rsid w:val="2AA333D6"/>
    <w:rsid w:val="2AA50EFC"/>
    <w:rsid w:val="2AAF58B8"/>
    <w:rsid w:val="2AC57281"/>
    <w:rsid w:val="2AD27817"/>
    <w:rsid w:val="2ADD7F15"/>
    <w:rsid w:val="2B141BDE"/>
    <w:rsid w:val="2B2067D5"/>
    <w:rsid w:val="2B2333E5"/>
    <w:rsid w:val="2B3B1E66"/>
    <w:rsid w:val="2B3C1135"/>
    <w:rsid w:val="2B4C1378"/>
    <w:rsid w:val="2B4C75CA"/>
    <w:rsid w:val="2B6C1A1A"/>
    <w:rsid w:val="2B6F150A"/>
    <w:rsid w:val="2B732DA8"/>
    <w:rsid w:val="2B770163"/>
    <w:rsid w:val="2B794137"/>
    <w:rsid w:val="2B85488A"/>
    <w:rsid w:val="2B870602"/>
    <w:rsid w:val="2B91392E"/>
    <w:rsid w:val="2B960D99"/>
    <w:rsid w:val="2B9E3F4D"/>
    <w:rsid w:val="2B9E7E17"/>
    <w:rsid w:val="2BB138E5"/>
    <w:rsid w:val="2BBB64FD"/>
    <w:rsid w:val="2BCA4992"/>
    <w:rsid w:val="2BCB247B"/>
    <w:rsid w:val="2BDD6474"/>
    <w:rsid w:val="2BEC4909"/>
    <w:rsid w:val="2C02237E"/>
    <w:rsid w:val="2C165F57"/>
    <w:rsid w:val="2C29790B"/>
    <w:rsid w:val="2C495559"/>
    <w:rsid w:val="2C5A1872"/>
    <w:rsid w:val="2C6B6F77"/>
    <w:rsid w:val="2C7D12B4"/>
    <w:rsid w:val="2C7E7C57"/>
    <w:rsid w:val="2C8D7E9A"/>
    <w:rsid w:val="2CBA0563"/>
    <w:rsid w:val="2CBC0949"/>
    <w:rsid w:val="2CC413E2"/>
    <w:rsid w:val="2CCA7EB6"/>
    <w:rsid w:val="2CDC497D"/>
    <w:rsid w:val="2CED73A5"/>
    <w:rsid w:val="2CF72413"/>
    <w:rsid w:val="2CFB12A7"/>
    <w:rsid w:val="2D014005"/>
    <w:rsid w:val="2D0D2D89"/>
    <w:rsid w:val="2D263E4A"/>
    <w:rsid w:val="2D3347E7"/>
    <w:rsid w:val="2D360531"/>
    <w:rsid w:val="2D426ED6"/>
    <w:rsid w:val="2D4C1B03"/>
    <w:rsid w:val="2D4F33A1"/>
    <w:rsid w:val="2D4F38E3"/>
    <w:rsid w:val="2D5863AE"/>
    <w:rsid w:val="2D6045A9"/>
    <w:rsid w:val="2D6A1F89"/>
    <w:rsid w:val="2D6C3F53"/>
    <w:rsid w:val="2D855553"/>
    <w:rsid w:val="2D8748E9"/>
    <w:rsid w:val="2D9139BA"/>
    <w:rsid w:val="2D960FD0"/>
    <w:rsid w:val="2D9617F6"/>
    <w:rsid w:val="2D9E1C33"/>
    <w:rsid w:val="2DBE7E6A"/>
    <w:rsid w:val="2DC53BCE"/>
    <w:rsid w:val="2DCB0FE4"/>
    <w:rsid w:val="2DDA05BC"/>
    <w:rsid w:val="2DE24215"/>
    <w:rsid w:val="2DE55AB4"/>
    <w:rsid w:val="2DEA131C"/>
    <w:rsid w:val="2DEC5B1F"/>
    <w:rsid w:val="2E00469C"/>
    <w:rsid w:val="2E114AFB"/>
    <w:rsid w:val="2E126FD1"/>
    <w:rsid w:val="2E183793"/>
    <w:rsid w:val="2E21726B"/>
    <w:rsid w:val="2E273353"/>
    <w:rsid w:val="2E3B3926"/>
    <w:rsid w:val="2E3C61C3"/>
    <w:rsid w:val="2E7532C5"/>
    <w:rsid w:val="2E7702E5"/>
    <w:rsid w:val="2E894691"/>
    <w:rsid w:val="2EB16FD1"/>
    <w:rsid w:val="2EB7753B"/>
    <w:rsid w:val="2EE95130"/>
    <w:rsid w:val="2EFA11E4"/>
    <w:rsid w:val="2F0A6C11"/>
    <w:rsid w:val="2F1A79DF"/>
    <w:rsid w:val="2F423753"/>
    <w:rsid w:val="2F4F1437"/>
    <w:rsid w:val="2F575FD4"/>
    <w:rsid w:val="2F6B3D97"/>
    <w:rsid w:val="2F8C13F2"/>
    <w:rsid w:val="2FA4100F"/>
    <w:rsid w:val="2FB87BD1"/>
    <w:rsid w:val="2FD960EE"/>
    <w:rsid w:val="2FF80F0E"/>
    <w:rsid w:val="30006BD5"/>
    <w:rsid w:val="300C557A"/>
    <w:rsid w:val="30110DE2"/>
    <w:rsid w:val="30201B6A"/>
    <w:rsid w:val="302100FF"/>
    <w:rsid w:val="30234671"/>
    <w:rsid w:val="3028480B"/>
    <w:rsid w:val="30316D8E"/>
    <w:rsid w:val="304108B1"/>
    <w:rsid w:val="30427AA5"/>
    <w:rsid w:val="304A60A2"/>
    <w:rsid w:val="305807BF"/>
    <w:rsid w:val="305823F6"/>
    <w:rsid w:val="30605B09"/>
    <w:rsid w:val="3062163D"/>
    <w:rsid w:val="306B5FE8"/>
    <w:rsid w:val="306C257F"/>
    <w:rsid w:val="307817F2"/>
    <w:rsid w:val="307D0225"/>
    <w:rsid w:val="307E46AF"/>
    <w:rsid w:val="307F73DA"/>
    <w:rsid w:val="308710A4"/>
    <w:rsid w:val="30905139"/>
    <w:rsid w:val="30BA3228"/>
    <w:rsid w:val="30CB2D3F"/>
    <w:rsid w:val="30D81EF7"/>
    <w:rsid w:val="30D93356"/>
    <w:rsid w:val="30DA1DD9"/>
    <w:rsid w:val="30DA7426"/>
    <w:rsid w:val="30F2169A"/>
    <w:rsid w:val="30FF0C3A"/>
    <w:rsid w:val="310426F5"/>
    <w:rsid w:val="310821E5"/>
    <w:rsid w:val="311566B0"/>
    <w:rsid w:val="312E32CE"/>
    <w:rsid w:val="31436D79"/>
    <w:rsid w:val="31660CB9"/>
    <w:rsid w:val="318555E4"/>
    <w:rsid w:val="318D2CFD"/>
    <w:rsid w:val="319A0963"/>
    <w:rsid w:val="31A33CBC"/>
    <w:rsid w:val="31CD40BC"/>
    <w:rsid w:val="31E3055C"/>
    <w:rsid w:val="31E56082"/>
    <w:rsid w:val="31E57E30"/>
    <w:rsid w:val="31EF7B28"/>
    <w:rsid w:val="31F521F9"/>
    <w:rsid w:val="32015993"/>
    <w:rsid w:val="32056724"/>
    <w:rsid w:val="32110C25"/>
    <w:rsid w:val="322118FB"/>
    <w:rsid w:val="32242B7A"/>
    <w:rsid w:val="322476CF"/>
    <w:rsid w:val="322A7F39"/>
    <w:rsid w:val="322B55AE"/>
    <w:rsid w:val="32311209"/>
    <w:rsid w:val="32390A38"/>
    <w:rsid w:val="324059AE"/>
    <w:rsid w:val="32456B21"/>
    <w:rsid w:val="324A2389"/>
    <w:rsid w:val="32521B1D"/>
    <w:rsid w:val="325721FB"/>
    <w:rsid w:val="32662F17"/>
    <w:rsid w:val="326A2A2B"/>
    <w:rsid w:val="326C65A7"/>
    <w:rsid w:val="326D5167"/>
    <w:rsid w:val="326E6C1E"/>
    <w:rsid w:val="326E7E26"/>
    <w:rsid w:val="326F06D1"/>
    <w:rsid w:val="328E04C8"/>
    <w:rsid w:val="32935F4F"/>
    <w:rsid w:val="32987720"/>
    <w:rsid w:val="329F5F4A"/>
    <w:rsid w:val="32A2203A"/>
    <w:rsid w:val="32AD00E0"/>
    <w:rsid w:val="32B1065A"/>
    <w:rsid w:val="32B819E9"/>
    <w:rsid w:val="32BB403E"/>
    <w:rsid w:val="32BB6D84"/>
    <w:rsid w:val="32CF7DD0"/>
    <w:rsid w:val="32DD681E"/>
    <w:rsid w:val="32E3590E"/>
    <w:rsid w:val="32E77BD8"/>
    <w:rsid w:val="32EB76C8"/>
    <w:rsid w:val="32F347CF"/>
    <w:rsid w:val="32FA3DAF"/>
    <w:rsid w:val="32FC3D25"/>
    <w:rsid w:val="33042538"/>
    <w:rsid w:val="330B7D6A"/>
    <w:rsid w:val="33136037"/>
    <w:rsid w:val="3316675F"/>
    <w:rsid w:val="332B68CB"/>
    <w:rsid w:val="33305A23"/>
    <w:rsid w:val="33354DE7"/>
    <w:rsid w:val="33370B5F"/>
    <w:rsid w:val="33550FE6"/>
    <w:rsid w:val="335F00B6"/>
    <w:rsid w:val="337218E7"/>
    <w:rsid w:val="337917E5"/>
    <w:rsid w:val="33800A0F"/>
    <w:rsid w:val="338E424C"/>
    <w:rsid w:val="338E62A6"/>
    <w:rsid w:val="33953AD8"/>
    <w:rsid w:val="339B377C"/>
    <w:rsid w:val="33A65CE5"/>
    <w:rsid w:val="33CD5020"/>
    <w:rsid w:val="33D1368F"/>
    <w:rsid w:val="33D51CF0"/>
    <w:rsid w:val="33EA5BD2"/>
    <w:rsid w:val="33EF143A"/>
    <w:rsid w:val="340D2919"/>
    <w:rsid w:val="341449D6"/>
    <w:rsid w:val="34160775"/>
    <w:rsid w:val="344B19D3"/>
    <w:rsid w:val="344F012B"/>
    <w:rsid w:val="345631E3"/>
    <w:rsid w:val="34572A71"/>
    <w:rsid w:val="346A286F"/>
    <w:rsid w:val="348222AE"/>
    <w:rsid w:val="349D7A9E"/>
    <w:rsid w:val="34B410D3"/>
    <w:rsid w:val="34BB41E0"/>
    <w:rsid w:val="34BC4B4B"/>
    <w:rsid w:val="34CA0497"/>
    <w:rsid w:val="34CB78A0"/>
    <w:rsid w:val="34D62F6C"/>
    <w:rsid w:val="34DB376C"/>
    <w:rsid w:val="34F85328"/>
    <w:rsid w:val="34FB796B"/>
    <w:rsid w:val="3507717E"/>
    <w:rsid w:val="350B4052"/>
    <w:rsid w:val="350B5E00"/>
    <w:rsid w:val="350C2D09"/>
    <w:rsid w:val="352B64A2"/>
    <w:rsid w:val="352C5C29"/>
    <w:rsid w:val="354B6B44"/>
    <w:rsid w:val="35573EC3"/>
    <w:rsid w:val="355A0B35"/>
    <w:rsid w:val="35803951"/>
    <w:rsid w:val="35921F76"/>
    <w:rsid w:val="3592350F"/>
    <w:rsid w:val="35A67A5F"/>
    <w:rsid w:val="35C506A4"/>
    <w:rsid w:val="35C74C72"/>
    <w:rsid w:val="35D2500D"/>
    <w:rsid w:val="35D501BC"/>
    <w:rsid w:val="35E01715"/>
    <w:rsid w:val="35E36D7D"/>
    <w:rsid w:val="35E611EC"/>
    <w:rsid w:val="35F44AE6"/>
    <w:rsid w:val="360E4726"/>
    <w:rsid w:val="3615435C"/>
    <w:rsid w:val="361C37F0"/>
    <w:rsid w:val="361E362C"/>
    <w:rsid w:val="363475D8"/>
    <w:rsid w:val="3635774B"/>
    <w:rsid w:val="363838D2"/>
    <w:rsid w:val="3642105E"/>
    <w:rsid w:val="364307A9"/>
    <w:rsid w:val="36453593"/>
    <w:rsid w:val="366A7A0F"/>
    <w:rsid w:val="366E1C81"/>
    <w:rsid w:val="366E4460"/>
    <w:rsid w:val="36773E5D"/>
    <w:rsid w:val="36801F8F"/>
    <w:rsid w:val="36853990"/>
    <w:rsid w:val="369342FF"/>
    <w:rsid w:val="36962041"/>
    <w:rsid w:val="36A05164"/>
    <w:rsid w:val="36AF573D"/>
    <w:rsid w:val="36BB169B"/>
    <w:rsid w:val="36C22E36"/>
    <w:rsid w:val="36CF23CE"/>
    <w:rsid w:val="36D3565B"/>
    <w:rsid w:val="36E0622F"/>
    <w:rsid w:val="36E2757E"/>
    <w:rsid w:val="36E46B3D"/>
    <w:rsid w:val="36E52680"/>
    <w:rsid w:val="36ED3DEE"/>
    <w:rsid w:val="36F143CA"/>
    <w:rsid w:val="36FA25D0"/>
    <w:rsid w:val="3720584E"/>
    <w:rsid w:val="372C6501"/>
    <w:rsid w:val="372E2279"/>
    <w:rsid w:val="373650F3"/>
    <w:rsid w:val="3756532C"/>
    <w:rsid w:val="375B253A"/>
    <w:rsid w:val="375D21A8"/>
    <w:rsid w:val="37620175"/>
    <w:rsid w:val="37767E0B"/>
    <w:rsid w:val="3779039B"/>
    <w:rsid w:val="378123A9"/>
    <w:rsid w:val="378C1F46"/>
    <w:rsid w:val="378E0F6A"/>
    <w:rsid w:val="378E2D18"/>
    <w:rsid w:val="37985D7C"/>
    <w:rsid w:val="379D2F5B"/>
    <w:rsid w:val="37AE6F16"/>
    <w:rsid w:val="37B20CB0"/>
    <w:rsid w:val="37C130EE"/>
    <w:rsid w:val="37CB1876"/>
    <w:rsid w:val="37DC7264"/>
    <w:rsid w:val="37DF1F1A"/>
    <w:rsid w:val="37E34E12"/>
    <w:rsid w:val="37E64902"/>
    <w:rsid w:val="37FB3273"/>
    <w:rsid w:val="38206066"/>
    <w:rsid w:val="3821204D"/>
    <w:rsid w:val="383967AA"/>
    <w:rsid w:val="386115E2"/>
    <w:rsid w:val="3862667F"/>
    <w:rsid w:val="38782879"/>
    <w:rsid w:val="38784659"/>
    <w:rsid w:val="387F5AF8"/>
    <w:rsid w:val="388C54AA"/>
    <w:rsid w:val="38E50D89"/>
    <w:rsid w:val="38F12059"/>
    <w:rsid w:val="39162FC5"/>
    <w:rsid w:val="391D4354"/>
    <w:rsid w:val="391F631E"/>
    <w:rsid w:val="39202096"/>
    <w:rsid w:val="39237490"/>
    <w:rsid w:val="392F4087"/>
    <w:rsid w:val="39361575"/>
    <w:rsid w:val="39455184"/>
    <w:rsid w:val="39455658"/>
    <w:rsid w:val="394C2E8B"/>
    <w:rsid w:val="39513638"/>
    <w:rsid w:val="39534219"/>
    <w:rsid w:val="39726B7C"/>
    <w:rsid w:val="39785A2E"/>
    <w:rsid w:val="398B046C"/>
    <w:rsid w:val="398C1743"/>
    <w:rsid w:val="39900353"/>
    <w:rsid w:val="399B6E57"/>
    <w:rsid w:val="39BF344F"/>
    <w:rsid w:val="39C46B5B"/>
    <w:rsid w:val="39C649EB"/>
    <w:rsid w:val="39C76315"/>
    <w:rsid w:val="39D23390"/>
    <w:rsid w:val="39DD5DE7"/>
    <w:rsid w:val="39EA3076"/>
    <w:rsid w:val="3A2C1123"/>
    <w:rsid w:val="3A395E36"/>
    <w:rsid w:val="3A415E82"/>
    <w:rsid w:val="3A443C96"/>
    <w:rsid w:val="3A5169AB"/>
    <w:rsid w:val="3A59760D"/>
    <w:rsid w:val="3A5E70A9"/>
    <w:rsid w:val="3A605AF2"/>
    <w:rsid w:val="3A750F66"/>
    <w:rsid w:val="3AB0079E"/>
    <w:rsid w:val="3ADE1AAE"/>
    <w:rsid w:val="3AE25855"/>
    <w:rsid w:val="3AE74B3F"/>
    <w:rsid w:val="3AF70BD4"/>
    <w:rsid w:val="3AF92B9E"/>
    <w:rsid w:val="3B0529E3"/>
    <w:rsid w:val="3B0D4642"/>
    <w:rsid w:val="3B0F4170"/>
    <w:rsid w:val="3B332965"/>
    <w:rsid w:val="3B343BD6"/>
    <w:rsid w:val="3B457F98"/>
    <w:rsid w:val="3B4A51A8"/>
    <w:rsid w:val="3B5F3AD4"/>
    <w:rsid w:val="3B6C49BC"/>
    <w:rsid w:val="3B776CDF"/>
    <w:rsid w:val="3B7D37CF"/>
    <w:rsid w:val="3B8A37F6"/>
    <w:rsid w:val="3B985F13"/>
    <w:rsid w:val="3B9A1C8B"/>
    <w:rsid w:val="3BA30382"/>
    <w:rsid w:val="3BA42B0A"/>
    <w:rsid w:val="3BA90194"/>
    <w:rsid w:val="3BAA39EE"/>
    <w:rsid w:val="3BB102CA"/>
    <w:rsid w:val="3BBA232E"/>
    <w:rsid w:val="3BF33A92"/>
    <w:rsid w:val="3C0359A7"/>
    <w:rsid w:val="3C17152E"/>
    <w:rsid w:val="3C1732DC"/>
    <w:rsid w:val="3C2974B3"/>
    <w:rsid w:val="3C3E2F5F"/>
    <w:rsid w:val="3C457F4A"/>
    <w:rsid w:val="3C4B567C"/>
    <w:rsid w:val="3C6F6EC5"/>
    <w:rsid w:val="3C9A4F77"/>
    <w:rsid w:val="3C9C292F"/>
    <w:rsid w:val="3CA11D44"/>
    <w:rsid w:val="3CB12751"/>
    <w:rsid w:val="3CB21257"/>
    <w:rsid w:val="3CB50A1A"/>
    <w:rsid w:val="3CBA010B"/>
    <w:rsid w:val="3CCB0BE1"/>
    <w:rsid w:val="3CD36F28"/>
    <w:rsid w:val="3CDC4526"/>
    <w:rsid w:val="3CEA4A31"/>
    <w:rsid w:val="3D1617E6"/>
    <w:rsid w:val="3D1B32A0"/>
    <w:rsid w:val="3D453E79"/>
    <w:rsid w:val="3D6E6023"/>
    <w:rsid w:val="3D7E4A87"/>
    <w:rsid w:val="3D8E3A72"/>
    <w:rsid w:val="3D9D0801"/>
    <w:rsid w:val="3D9D3CB5"/>
    <w:rsid w:val="3DA43295"/>
    <w:rsid w:val="3DAD3FA9"/>
    <w:rsid w:val="3DBD339D"/>
    <w:rsid w:val="3DC76F84"/>
    <w:rsid w:val="3DD1395F"/>
    <w:rsid w:val="3DD83FB6"/>
    <w:rsid w:val="3DDA0A65"/>
    <w:rsid w:val="3E047890"/>
    <w:rsid w:val="3E281B36"/>
    <w:rsid w:val="3E39371C"/>
    <w:rsid w:val="3E4660FB"/>
    <w:rsid w:val="3E4F3CEB"/>
    <w:rsid w:val="3E622809"/>
    <w:rsid w:val="3E636CAD"/>
    <w:rsid w:val="3E682515"/>
    <w:rsid w:val="3E7C7D6E"/>
    <w:rsid w:val="3E854E75"/>
    <w:rsid w:val="3E8B7A4C"/>
    <w:rsid w:val="3EC66E99"/>
    <w:rsid w:val="3EDA6843"/>
    <w:rsid w:val="3EE020AB"/>
    <w:rsid w:val="3EF54968"/>
    <w:rsid w:val="3F0044FB"/>
    <w:rsid w:val="3F1B0FC1"/>
    <w:rsid w:val="3F2244FB"/>
    <w:rsid w:val="3F246DEE"/>
    <w:rsid w:val="3F283A52"/>
    <w:rsid w:val="3F320B28"/>
    <w:rsid w:val="3F3643C1"/>
    <w:rsid w:val="3F4A0470"/>
    <w:rsid w:val="3F5465F5"/>
    <w:rsid w:val="3F5512BA"/>
    <w:rsid w:val="3F5B3E28"/>
    <w:rsid w:val="3F670307"/>
    <w:rsid w:val="3F6A1E02"/>
    <w:rsid w:val="3F780536"/>
    <w:rsid w:val="3F7D3D9E"/>
    <w:rsid w:val="3F9115F7"/>
    <w:rsid w:val="3F9B06C8"/>
    <w:rsid w:val="3FAC01DF"/>
    <w:rsid w:val="3FB3156E"/>
    <w:rsid w:val="3FC01EDD"/>
    <w:rsid w:val="3FC223F4"/>
    <w:rsid w:val="3FD602BE"/>
    <w:rsid w:val="3FE756BB"/>
    <w:rsid w:val="3FEC4A80"/>
    <w:rsid w:val="3FF43934"/>
    <w:rsid w:val="400468BA"/>
    <w:rsid w:val="400C6ED0"/>
    <w:rsid w:val="40354679"/>
    <w:rsid w:val="40455FBC"/>
    <w:rsid w:val="404B5C4A"/>
    <w:rsid w:val="40520D87"/>
    <w:rsid w:val="406C7709"/>
    <w:rsid w:val="40727B47"/>
    <w:rsid w:val="408B6A6A"/>
    <w:rsid w:val="40941BB3"/>
    <w:rsid w:val="40A45959"/>
    <w:rsid w:val="40AF513B"/>
    <w:rsid w:val="40B03CFF"/>
    <w:rsid w:val="40C74962"/>
    <w:rsid w:val="40CE6BA0"/>
    <w:rsid w:val="40D60483"/>
    <w:rsid w:val="40E37C31"/>
    <w:rsid w:val="40EF446D"/>
    <w:rsid w:val="40FD0A5D"/>
    <w:rsid w:val="411A40CF"/>
    <w:rsid w:val="41263FC1"/>
    <w:rsid w:val="41272213"/>
    <w:rsid w:val="412E149E"/>
    <w:rsid w:val="412F10C8"/>
    <w:rsid w:val="41366D43"/>
    <w:rsid w:val="415117AA"/>
    <w:rsid w:val="4152018A"/>
    <w:rsid w:val="41636FC4"/>
    <w:rsid w:val="416C7DBD"/>
    <w:rsid w:val="41742F7F"/>
    <w:rsid w:val="418778D5"/>
    <w:rsid w:val="418A09F4"/>
    <w:rsid w:val="41A26105"/>
    <w:rsid w:val="41A53138"/>
    <w:rsid w:val="41BB0BAE"/>
    <w:rsid w:val="41CC6917"/>
    <w:rsid w:val="41D63C39"/>
    <w:rsid w:val="41D659E7"/>
    <w:rsid w:val="41DF2AEE"/>
    <w:rsid w:val="41F122DB"/>
    <w:rsid w:val="41FD11C6"/>
    <w:rsid w:val="42116A20"/>
    <w:rsid w:val="422624CB"/>
    <w:rsid w:val="422F7524"/>
    <w:rsid w:val="4234381E"/>
    <w:rsid w:val="423B2F47"/>
    <w:rsid w:val="424010B3"/>
    <w:rsid w:val="42613503"/>
    <w:rsid w:val="42770F78"/>
    <w:rsid w:val="427B0074"/>
    <w:rsid w:val="4286740D"/>
    <w:rsid w:val="42954201"/>
    <w:rsid w:val="429823CB"/>
    <w:rsid w:val="429D5C8C"/>
    <w:rsid w:val="42A02B71"/>
    <w:rsid w:val="42A178EE"/>
    <w:rsid w:val="42BA70B7"/>
    <w:rsid w:val="42C615B8"/>
    <w:rsid w:val="42EF6D61"/>
    <w:rsid w:val="42F671FC"/>
    <w:rsid w:val="42FE0D52"/>
    <w:rsid w:val="43050FCE"/>
    <w:rsid w:val="43091FC6"/>
    <w:rsid w:val="431E7646"/>
    <w:rsid w:val="43364BA2"/>
    <w:rsid w:val="433831AE"/>
    <w:rsid w:val="433B256A"/>
    <w:rsid w:val="433E1A96"/>
    <w:rsid w:val="43413334"/>
    <w:rsid w:val="43460D6B"/>
    <w:rsid w:val="434C41B3"/>
    <w:rsid w:val="434E63AC"/>
    <w:rsid w:val="43505326"/>
    <w:rsid w:val="43566DE0"/>
    <w:rsid w:val="438B0671"/>
    <w:rsid w:val="43AA2C88"/>
    <w:rsid w:val="43C401ED"/>
    <w:rsid w:val="43CF0940"/>
    <w:rsid w:val="43EA577A"/>
    <w:rsid w:val="43F31EC1"/>
    <w:rsid w:val="43FA4C4D"/>
    <w:rsid w:val="43FB1131"/>
    <w:rsid w:val="44071E88"/>
    <w:rsid w:val="440C3942"/>
    <w:rsid w:val="441A2345"/>
    <w:rsid w:val="44332C7D"/>
    <w:rsid w:val="44385910"/>
    <w:rsid w:val="443F0DB6"/>
    <w:rsid w:val="44583A21"/>
    <w:rsid w:val="4458489B"/>
    <w:rsid w:val="445E4478"/>
    <w:rsid w:val="44701436"/>
    <w:rsid w:val="44703ED1"/>
    <w:rsid w:val="4479566D"/>
    <w:rsid w:val="447A4D50"/>
    <w:rsid w:val="447E4A26"/>
    <w:rsid w:val="449F1233"/>
    <w:rsid w:val="44A21BB1"/>
    <w:rsid w:val="44A818BD"/>
    <w:rsid w:val="44B55D88"/>
    <w:rsid w:val="44C91833"/>
    <w:rsid w:val="44D25F7E"/>
    <w:rsid w:val="44D75CFE"/>
    <w:rsid w:val="44DC3315"/>
    <w:rsid w:val="44E471D7"/>
    <w:rsid w:val="44F64696"/>
    <w:rsid w:val="44FE772F"/>
    <w:rsid w:val="45085EB8"/>
    <w:rsid w:val="45091C30"/>
    <w:rsid w:val="451C5E07"/>
    <w:rsid w:val="451E0CB6"/>
    <w:rsid w:val="45244CBC"/>
    <w:rsid w:val="452A2D94"/>
    <w:rsid w:val="45390767"/>
    <w:rsid w:val="453E18DA"/>
    <w:rsid w:val="45500698"/>
    <w:rsid w:val="458F40E0"/>
    <w:rsid w:val="45975B03"/>
    <w:rsid w:val="45997458"/>
    <w:rsid w:val="459B31D0"/>
    <w:rsid w:val="45A55DFD"/>
    <w:rsid w:val="45D43FEC"/>
    <w:rsid w:val="45D4622A"/>
    <w:rsid w:val="45EC7588"/>
    <w:rsid w:val="45F12C0D"/>
    <w:rsid w:val="45F60406"/>
    <w:rsid w:val="45F610F0"/>
    <w:rsid w:val="45F75F2C"/>
    <w:rsid w:val="460348D1"/>
    <w:rsid w:val="46115240"/>
    <w:rsid w:val="46144D30"/>
    <w:rsid w:val="462E0726"/>
    <w:rsid w:val="46340F2E"/>
    <w:rsid w:val="46364CA7"/>
    <w:rsid w:val="4636546B"/>
    <w:rsid w:val="464253F9"/>
    <w:rsid w:val="464B7DBD"/>
    <w:rsid w:val="465F5FAB"/>
    <w:rsid w:val="46603AD2"/>
    <w:rsid w:val="467A6D17"/>
    <w:rsid w:val="4683709C"/>
    <w:rsid w:val="468D3919"/>
    <w:rsid w:val="469553AE"/>
    <w:rsid w:val="469E3730"/>
    <w:rsid w:val="46A936CA"/>
    <w:rsid w:val="46AA5F4A"/>
    <w:rsid w:val="46AF2877"/>
    <w:rsid w:val="46B300A5"/>
    <w:rsid w:val="46B362F7"/>
    <w:rsid w:val="46ED1809"/>
    <w:rsid w:val="46F10BCE"/>
    <w:rsid w:val="46F2234C"/>
    <w:rsid w:val="470D3C59"/>
    <w:rsid w:val="471760F8"/>
    <w:rsid w:val="471A1ED2"/>
    <w:rsid w:val="471F398D"/>
    <w:rsid w:val="473D37D9"/>
    <w:rsid w:val="47435B56"/>
    <w:rsid w:val="47484C91"/>
    <w:rsid w:val="47556684"/>
    <w:rsid w:val="476123B9"/>
    <w:rsid w:val="47615D53"/>
    <w:rsid w:val="476475F1"/>
    <w:rsid w:val="47653A95"/>
    <w:rsid w:val="476615BC"/>
    <w:rsid w:val="476B783C"/>
    <w:rsid w:val="47720309"/>
    <w:rsid w:val="47731896"/>
    <w:rsid w:val="477517FF"/>
    <w:rsid w:val="478009AC"/>
    <w:rsid w:val="478D5F73"/>
    <w:rsid w:val="47905A6E"/>
    <w:rsid w:val="479E48B1"/>
    <w:rsid w:val="479F1F62"/>
    <w:rsid w:val="47A42B87"/>
    <w:rsid w:val="47A67C0A"/>
    <w:rsid w:val="47B03B4D"/>
    <w:rsid w:val="47B265AF"/>
    <w:rsid w:val="47BC742D"/>
    <w:rsid w:val="48021647"/>
    <w:rsid w:val="480768FB"/>
    <w:rsid w:val="48217291"/>
    <w:rsid w:val="482F19AD"/>
    <w:rsid w:val="484A0F00"/>
    <w:rsid w:val="484E4048"/>
    <w:rsid w:val="4851401A"/>
    <w:rsid w:val="48537D92"/>
    <w:rsid w:val="4856518C"/>
    <w:rsid w:val="485853A8"/>
    <w:rsid w:val="48671147"/>
    <w:rsid w:val="48787FAC"/>
    <w:rsid w:val="487E2EFD"/>
    <w:rsid w:val="48805E95"/>
    <w:rsid w:val="4884619D"/>
    <w:rsid w:val="488C2554"/>
    <w:rsid w:val="489839F7"/>
    <w:rsid w:val="489B2F4B"/>
    <w:rsid w:val="48A51C70"/>
    <w:rsid w:val="48BB76E5"/>
    <w:rsid w:val="48C0305C"/>
    <w:rsid w:val="48CF07C1"/>
    <w:rsid w:val="48D1046F"/>
    <w:rsid w:val="48F7696F"/>
    <w:rsid w:val="49025314"/>
    <w:rsid w:val="49170DBF"/>
    <w:rsid w:val="492B03C7"/>
    <w:rsid w:val="49360D0C"/>
    <w:rsid w:val="493865B5"/>
    <w:rsid w:val="493D00FA"/>
    <w:rsid w:val="49455160"/>
    <w:rsid w:val="495B5FAB"/>
    <w:rsid w:val="496C7C8D"/>
    <w:rsid w:val="498469FF"/>
    <w:rsid w:val="498F62DE"/>
    <w:rsid w:val="49903B78"/>
    <w:rsid w:val="49B22896"/>
    <w:rsid w:val="49C5081B"/>
    <w:rsid w:val="49C66341"/>
    <w:rsid w:val="49D92519"/>
    <w:rsid w:val="49DB003F"/>
    <w:rsid w:val="49DF5A21"/>
    <w:rsid w:val="49F17862"/>
    <w:rsid w:val="4A065992"/>
    <w:rsid w:val="4A0F5F3A"/>
    <w:rsid w:val="4A187D2D"/>
    <w:rsid w:val="4A1C41B3"/>
    <w:rsid w:val="4A1E5774"/>
    <w:rsid w:val="4A352B3D"/>
    <w:rsid w:val="4A392FB7"/>
    <w:rsid w:val="4A425141"/>
    <w:rsid w:val="4A435BE4"/>
    <w:rsid w:val="4A49144C"/>
    <w:rsid w:val="4A922048"/>
    <w:rsid w:val="4AA76173"/>
    <w:rsid w:val="4AA9577E"/>
    <w:rsid w:val="4AB8064A"/>
    <w:rsid w:val="4AC408E4"/>
    <w:rsid w:val="4AC863B5"/>
    <w:rsid w:val="4ADD6C7C"/>
    <w:rsid w:val="4AE03433"/>
    <w:rsid w:val="4AE7681C"/>
    <w:rsid w:val="4AF13892"/>
    <w:rsid w:val="4AF3760A"/>
    <w:rsid w:val="4B093E2D"/>
    <w:rsid w:val="4B180E1F"/>
    <w:rsid w:val="4B1E03C0"/>
    <w:rsid w:val="4B3C4B0D"/>
    <w:rsid w:val="4B410C16"/>
    <w:rsid w:val="4B425E9C"/>
    <w:rsid w:val="4B44380D"/>
    <w:rsid w:val="4B5C51AF"/>
    <w:rsid w:val="4B5F25AA"/>
    <w:rsid w:val="4B685902"/>
    <w:rsid w:val="4B7233A0"/>
    <w:rsid w:val="4B73085B"/>
    <w:rsid w:val="4B7F5BCC"/>
    <w:rsid w:val="4B82753C"/>
    <w:rsid w:val="4B9D18E8"/>
    <w:rsid w:val="4BA94BA1"/>
    <w:rsid w:val="4BB30F42"/>
    <w:rsid w:val="4BC114B6"/>
    <w:rsid w:val="4BC17ABD"/>
    <w:rsid w:val="4BEA27BB"/>
    <w:rsid w:val="4BEE18C0"/>
    <w:rsid w:val="4BEF7D2C"/>
    <w:rsid w:val="4BF33563"/>
    <w:rsid w:val="4BF50CB2"/>
    <w:rsid w:val="4C303F46"/>
    <w:rsid w:val="4C3C0B94"/>
    <w:rsid w:val="4C3C5B7B"/>
    <w:rsid w:val="4C4023DB"/>
    <w:rsid w:val="4C4F35BC"/>
    <w:rsid w:val="4C651E42"/>
    <w:rsid w:val="4C6E15BF"/>
    <w:rsid w:val="4C737E6D"/>
    <w:rsid w:val="4C742085"/>
    <w:rsid w:val="4C9108BC"/>
    <w:rsid w:val="4CAB763C"/>
    <w:rsid w:val="4CAF6EB5"/>
    <w:rsid w:val="4CB2054A"/>
    <w:rsid w:val="4CBB4158"/>
    <w:rsid w:val="4CBF59F6"/>
    <w:rsid w:val="4CC65386"/>
    <w:rsid w:val="4CC850B6"/>
    <w:rsid w:val="4CD11285"/>
    <w:rsid w:val="4CDF679D"/>
    <w:rsid w:val="4CE51C30"/>
    <w:rsid w:val="4CF51418"/>
    <w:rsid w:val="4CF97921"/>
    <w:rsid w:val="4CFE0910"/>
    <w:rsid w:val="4D0553D3"/>
    <w:rsid w:val="4D165162"/>
    <w:rsid w:val="4D170BB5"/>
    <w:rsid w:val="4D183358"/>
    <w:rsid w:val="4D330192"/>
    <w:rsid w:val="4D3C7046"/>
    <w:rsid w:val="4D53613E"/>
    <w:rsid w:val="4D574D34"/>
    <w:rsid w:val="4D640565"/>
    <w:rsid w:val="4D704F42"/>
    <w:rsid w:val="4D7213D6"/>
    <w:rsid w:val="4D75367F"/>
    <w:rsid w:val="4D783DF7"/>
    <w:rsid w:val="4D7D140D"/>
    <w:rsid w:val="4DA8648A"/>
    <w:rsid w:val="4DB67C3F"/>
    <w:rsid w:val="4DB93C1C"/>
    <w:rsid w:val="4DBA7F6B"/>
    <w:rsid w:val="4DBB4E26"/>
    <w:rsid w:val="4DBF5582"/>
    <w:rsid w:val="4DDB3C99"/>
    <w:rsid w:val="4DDC3463"/>
    <w:rsid w:val="4DFA1A5F"/>
    <w:rsid w:val="4E050942"/>
    <w:rsid w:val="4E114353"/>
    <w:rsid w:val="4E247E95"/>
    <w:rsid w:val="4E265601"/>
    <w:rsid w:val="4E274294"/>
    <w:rsid w:val="4E2A50F1"/>
    <w:rsid w:val="4E4207B2"/>
    <w:rsid w:val="4E45017D"/>
    <w:rsid w:val="4E4B5BC0"/>
    <w:rsid w:val="4E5649B8"/>
    <w:rsid w:val="4E6F0D56"/>
    <w:rsid w:val="4E730BB5"/>
    <w:rsid w:val="4E9702AC"/>
    <w:rsid w:val="4E994025"/>
    <w:rsid w:val="4EA053B3"/>
    <w:rsid w:val="4EAA6232"/>
    <w:rsid w:val="4EC56BC8"/>
    <w:rsid w:val="4EC84766"/>
    <w:rsid w:val="4ED133E0"/>
    <w:rsid w:val="4EE1639C"/>
    <w:rsid w:val="4EEC684A"/>
    <w:rsid w:val="4EF94B51"/>
    <w:rsid w:val="4F073684"/>
    <w:rsid w:val="4F2A303C"/>
    <w:rsid w:val="4F337FD5"/>
    <w:rsid w:val="4F391364"/>
    <w:rsid w:val="4F455F5A"/>
    <w:rsid w:val="4F4F2ACB"/>
    <w:rsid w:val="4F563CC4"/>
    <w:rsid w:val="4F575F9B"/>
    <w:rsid w:val="4F720DE6"/>
    <w:rsid w:val="4F781E8C"/>
    <w:rsid w:val="4F7A5C1F"/>
    <w:rsid w:val="4F8F33DB"/>
    <w:rsid w:val="4F940DFD"/>
    <w:rsid w:val="4F9D2D1D"/>
    <w:rsid w:val="4FB76E58"/>
    <w:rsid w:val="4FD3073C"/>
    <w:rsid w:val="4FDA48F5"/>
    <w:rsid w:val="4FDD6193"/>
    <w:rsid w:val="4FF8744B"/>
    <w:rsid w:val="4FFB507E"/>
    <w:rsid w:val="4FFC4D55"/>
    <w:rsid w:val="4FFD14A3"/>
    <w:rsid w:val="500876B4"/>
    <w:rsid w:val="501A2F43"/>
    <w:rsid w:val="501C5568"/>
    <w:rsid w:val="50241A99"/>
    <w:rsid w:val="502C31C9"/>
    <w:rsid w:val="503264DF"/>
    <w:rsid w:val="503F1F7D"/>
    <w:rsid w:val="50447FC0"/>
    <w:rsid w:val="504F52E3"/>
    <w:rsid w:val="5051105B"/>
    <w:rsid w:val="50610B72"/>
    <w:rsid w:val="506B19F1"/>
    <w:rsid w:val="50815D87"/>
    <w:rsid w:val="50850D04"/>
    <w:rsid w:val="50875DDA"/>
    <w:rsid w:val="50A67405"/>
    <w:rsid w:val="50BF7A86"/>
    <w:rsid w:val="50E33C7D"/>
    <w:rsid w:val="50F7462E"/>
    <w:rsid w:val="50F814D6"/>
    <w:rsid w:val="50FC2C3C"/>
    <w:rsid w:val="51077EAF"/>
    <w:rsid w:val="510F05CE"/>
    <w:rsid w:val="510F6820"/>
    <w:rsid w:val="512027DB"/>
    <w:rsid w:val="51303345"/>
    <w:rsid w:val="514E7348"/>
    <w:rsid w:val="5165451C"/>
    <w:rsid w:val="517F5754"/>
    <w:rsid w:val="518F7337"/>
    <w:rsid w:val="51B318A1"/>
    <w:rsid w:val="51CA2B07"/>
    <w:rsid w:val="51D574B6"/>
    <w:rsid w:val="51D97625"/>
    <w:rsid w:val="51F85506"/>
    <w:rsid w:val="51F85B08"/>
    <w:rsid w:val="51F85F9C"/>
    <w:rsid w:val="520D40AC"/>
    <w:rsid w:val="52237D21"/>
    <w:rsid w:val="52262073"/>
    <w:rsid w:val="5228116F"/>
    <w:rsid w:val="522B1438"/>
    <w:rsid w:val="523464D5"/>
    <w:rsid w:val="52402F66"/>
    <w:rsid w:val="524B5983"/>
    <w:rsid w:val="526B217C"/>
    <w:rsid w:val="527728CF"/>
    <w:rsid w:val="527777E7"/>
    <w:rsid w:val="527C1C93"/>
    <w:rsid w:val="528374C6"/>
    <w:rsid w:val="528D5C4E"/>
    <w:rsid w:val="528E2E9A"/>
    <w:rsid w:val="52915996"/>
    <w:rsid w:val="52943481"/>
    <w:rsid w:val="52952D55"/>
    <w:rsid w:val="529A036B"/>
    <w:rsid w:val="52A01E26"/>
    <w:rsid w:val="52A124B2"/>
    <w:rsid w:val="52A248C9"/>
    <w:rsid w:val="52A35472"/>
    <w:rsid w:val="52BC6534"/>
    <w:rsid w:val="52BF7E8E"/>
    <w:rsid w:val="52C57282"/>
    <w:rsid w:val="52CB56EE"/>
    <w:rsid w:val="52D10231"/>
    <w:rsid w:val="52EF06B7"/>
    <w:rsid w:val="52F263F9"/>
    <w:rsid w:val="52F440E7"/>
    <w:rsid w:val="52FB705C"/>
    <w:rsid w:val="53364538"/>
    <w:rsid w:val="533E54DE"/>
    <w:rsid w:val="534A1D91"/>
    <w:rsid w:val="53532AF5"/>
    <w:rsid w:val="535624E4"/>
    <w:rsid w:val="535E75EB"/>
    <w:rsid w:val="5363174A"/>
    <w:rsid w:val="536D3630"/>
    <w:rsid w:val="536E3CD2"/>
    <w:rsid w:val="537806AC"/>
    <w:rsid w:val="53781CD0"/>
    <w:rsid w:val="537B63EF"/>
    <w:rsid w:val="53837051"/>
    <w:rsid w:val="539F5DC7"/>
    <w:rsid w:val="53A019B1"/>
    <w:rsid w:val="53BE66B0"/>
    <w:rsid w:val="53D272B4"/>
    <w:rsid w:val="53D8114B"/>
    <w:rsid w:val="53DF697E"/>
    <w:rsid w:val="53E2646E"/>
    <w:rsid w:val="53E429F3"/>
    <w:rsid w:val="53EC2E48"/>
    <w:rsid w:val="53EC7EA7"/>
    <w:rsid w:val="53EF08A4"/>
    <w:rsid w:val="53FC7D3D"/>
    <w:rsid w:val="540463E4"/>
    <w:rsid w:val="541A1764"/>
    <w:rsid w:val="54240834"/>
    <w:rsid w:val="54271E31"/>
    <w:rsid w:val="54444A33"/>
    <w:rsid w:val="544F4B17"/>
    <w:rsid w:val="54532EC8"/>
    <w:rsid w:val="54554E92"/>
    <w:rsid w:val="54690E06"/>
    <w:rsid w:val="546A01E4"/>
    <w:rsid w:val="547D1B69"/>
    <w:rsid w:val="547D3CA1"/>
    <w:rsid w:val="54870940"/>
    <w:rsid w:val="549A78FD"/>
    <w:rsid w:val="549F7EBB"/>
    <w:rsid w:val="54A71544"/>
    <w:rsid w:val="54AA19D8"/>
    <w:rsid w:val="54AD6A7C"/>
    <w:rsid w:val="54B43966"/>
    <w:rsid w:val="54BD75DE"/>
    <w:rsid w:val="54DA0EF3"/>
    <w:rsid w:val="54E03240"/>
    <w:rsid w:val="54E161E6"/>
    <w:rsid w:val="54EA55DA"/>
    <w:rsid w:val="54EA7388"/>
    <w:rsid w:val="55130CF2"/>
    <w:rsid w:val="551C775D"/>
    <w:rsid w:val="55264138"/>
    <w:rsid w:val="552D1C3E"/>
    <w:rsid w:val="55717EF0"/>
    <w:rsid w:val="557B26D6"/>
    <w:rsid w:val="55997370"/>
    <w:rsid w:val="55AA4D69"/>
    <w:rsid w:val="55AE3A1D"/>
    <w:rsid w:val="55B83796"/>
    <w:rsid w:val="55BD62FC"/>
    <w:rsid w:val="55CC08C4"/>
    <w:rsid w:val="55CC2F32"/>
    <w:rsid w:val="55CF4789"/>
    <w:rsid w:val="55E24205"/>
    <w:rsid w:val="55FB55C5"/>
    <w:rsid w:val="55FF3119"/>
    <w:rsid w:val="55FF6E63"/>
    <w:rsid w:val="560E70A6"/>
    <w:rsid w:val="560F5099"/>
    <w:rsid w:val="561F3061"/>
    <w:rsid w:val="56220DA3"/>
    <w:rsid w:val="56244B1C"/>
    <w:rsid w:val="56290606"/>
    <w:rsid w:val="563B08DF"/>
    <w:rsid w:val="56525F39"/>
    <w:rsid w:val="56927CD7"/>
    <w:rsid w:val="56960007"/>
    <w:rsid w:val="569C33FD"/>
    <w:rsid w:val="569F23F4"/>
    <w:rsid w:val="56A67268"/>
    <w:rsid w:val="56AD53E1"/>
    <w:rsid w:val="56B934B6"/>
    <w:rsid w:val="56BC6B02"/>
    <w:rsid w:val="56C41E5B"/>
    <w:rsid w:val="56E17E4B"/>
    <w:rsid w:val="56E562A5"/>
    <w:rsid w:val="56E66E44"/>
    <w:rsid w:val="56F72230"/>
    <w:rsid w:val="56FB1D20"/>
    <w:rsid w:val="56FE536D"/>
    <w:rsid w:val="571177FA"/>
    <w:rsid w:val="571A4D54"/>
    <w:rsid w:val="5728063B"/>
    <w:rsid w:val="57285324"/>
    <w:rsid w:val="572C50A1"/>
    <w:rsid w:val="572E462E"/>
    <w:rsid w:val="574A79DE"/>
    <w:rsid w:val="574E744D"/>
    <w:rsid w:val="57743881"/>
    <w:rsid w:val="57770C7B"/>
    <w:rsid w:val="577F34D8"/>
    <w:rsid w:val="57862A77"/>
    <w:rsid w:val="57923D07"/>
    <w:rsid w:val="57950EBE"/>
    <w:rsid w:val="57B30C6D"/>
    <w:rsid w:val="57B63E99"/>
    <w:rsid w:val="57D26EB7"/>
    <w:rsid w:val="57F64296"/>
    <w:rsid w:val="57FA6FB6"/>
    <w:rsid w:val="580653FD"/>
    <w:rsid w:val="58093FC9"/>
    <w:rsid w:val="580F63AE"/>
    <w:rsid w:val="58136BF6"/>
    <w:rsid w:val="58403763"/>
    <w:rsid w:val="58580AAD"/>
    <w:rsid w:val="585D60C3"/>
    <w:rsid w:val="586B7753"/>
    <w:rsid w:val="58AA581E"/>
    <w:rsid w:val="58BF1D84"/>
    <w:rsid w:val="58D5070A"/>
    <w:rsid w:val="58DA3BB7"/>
    <w:rsid w:val="58E95F87"/>
    <w:rsid w:val="59043E01"/>
    <w:rsid w:val="592B4413"/>
    <w:rsid w:val="592D1A91"/>
    <w:rsid w:val="59494769"/>
    <w:rsid w:val="594C0125"/>
    <w:rsid w:val="5980650D"/>
    <w:rsid w:val="59822285"/>
    <w:rsid w:val="598C17B9"/>
    <w:rsid w:val="5991023B"/>
    <w:rsid w:val="59B30FDF"/>
    <w:rsid w:val="59BB60CF"/>
    <w:rsid w:val="59BD150F"/>
    <w:rsid w:val="59C4289D"/>
    <w:rsid w:val="59CA6DFB"/>
    <w:rsid w:val="59D34D02"/>
    <w:rsid w:val="59DD1553"/>
    <w:rsid w:val="59F12F67"/>
    <w:rsid w:val="5A00764E"/>
    <w:rsid w:val="5A3B2434"/>
    <w:rsid w:val="5A40545C"/>
    <w:rsid w:val="5A4E4EC1"/>
    <w:rsid w:val="5A4E7262"/>
    <w:rsid w:val="5A731BCE"/>
    <w:rsid w:val="5A791DEA"/>
    <w:rsid w:val="5A7C75A7"/>
    <w:rsid w:val="5A831B3A"/>
    <w:rsid w:val="5A871B1D"/>
    <w:rsid w:val="5AED337B"/>
    <w:rsid w:val="5AEE72F1"/>
    <w:rsid w:val="5AF15EDC"/>
    <w:rsid w:val="5B182775"/>
    <w:rsid w:val="5B1C128B"/>
    <w:rsid w:val="5B294982"/>
    <w:rsid w:val="5B323837"/>
    <w:rsid w:val="5B547C51"/>
    <w:rsid w:val="5B5714EF"/>
    <w:rsid w:val="5B6D0D13"/>
    <w:rsid w:val="5B726329"/>
    <w:rsid w:val="5B8322E4"/>
    <w:rsid w:val="5B8F0C89"/>
    <w:rsid w:val="5BAF3908"/>
    <w:rsid w:val="5BB57FC4"/>
    <w:rsid w:val="5BC07095"/>
    <w:rsid w:val="5BC24B08"/>
    <w:rsid w:val="5BE014E5"/>
    <w:rsid w:val="5BE34185"/>
    <w:rsid w:val="5BE645D8"/>
    <w:rsid w:val="5BF31218"/>
    <w:rsid w:val="5BF6728A"/>
    <w:rsid w:val="5BF907F8"/>
    <w:rsid w:val="5BFE1857"/>
    <w:rsid w:val="5BFE7BBD"/>
    <w:rsid w:val="5C083ADA"/>
    <w:rsid w:val="5C0F5EF4"/>
    <w:rsid w:val="5C2018E1"/>
    <w:rsid w:val="5C2A2760"/>
    <w:rsid w:val="5C2B0664"/>
    <w:rsid w:val="5C334D1D"/>
    <w:rsid w:val="5C4C74DD"/>
    <w:rsid w:val="5C6043D4"/>
    <w:rsid w:val="5C6C2D78"/>
    <w:rsid w:val="5C766F57"/>
    <w:rsid w:val="5C7865A7"/>
    <w:rsid w:val="5C7A36E7"/>
    <w:rsid w:val="5C82259C"/>
    <w:rsid w:val="5C9B651E"/>
    <w:rsid w:val="5C9F3A65"/>
    <w:rsid w:val="5CB11B30"/>
    <w:rsid w:val="5CB142B9"/>
    <w:rsid w:val="5CBA7F88"/>
    <w:rsid w:val="5CD03307"/>
    <w:rsid w:val="5CD52EAF"/>
    <w:rsid w:val="5CDA23D8"/>
    <w:rsid w:val="5CF039A9"/>
    <w:rsid w:val="5CF35248"/>
    <w:rsid w:val="5D031354"/>
    <w:rsid w:val="5D041203"/>
    <w:rsid w:val="5D096819"/>
    <w:rsid w:val="5D0C1B5E"/>
    <w:rsid w:val="5D10309F"/>
    <w:rsid w:val="5D1A27D4"/>
    <w:rsid w:val="5D283143"/>
    <w:rsid w:val="5D290C69"/>
    <w:rsid w:val="5D2B4B79"/>
    <w:rsid w:val="5D3D543E"/>
    <w:rsid w:val="5D415FB3"/>
    <w:rsid w:val="5D425978"/>
    <w:rsid w:val="5D4D4958"/>
    <w:rsid w:val="5D5B2280"/>
    <w:rsid w:val="5D69550A"/>
    <w:rsid w:val="5D6F03B3"/>
    <w:rsid w:val="5D706898"/>
    <w:rsid w:val="5D7E3D42"/>
    <w:rsid w:val="5D8C35D1"/>
    <w:rsid w:val="5D8F57D0"/>
    <w:rsid w:val="5D9316C4"/>
    <w:rsid w:val="5D9769EF"/>
    <w:rsid w:val="5D9A56C3"/>
    <w:rsid w:val="5DB17019"/>
    <w:rsid w:val="5DB43D5B"/>
    <w:rsid w:val="5DBB5D65"/>
    <w:rsid w:val="5DC90AF1"/>
    <w:rsid w:val="5DE73612"/>
    <w:rsid w:val="5E1C257C"/>
    <w:rsid w:val="5E1F3CF6"/>
    <w:rsid w:val="5E2733FB"/>
    <w:rsid w:val="5E2E4308"/>
    <w:rsid w:val="5E565CA2"/>
    <w:rsid w:val="5E60690D"/>
    <w:rsid w:val="5E76694E"/>
    <w:rsid w:val="5E7A2598"/>
    <w:rsid w:val="5E7B08D1"/>
    <w:rsid w:val="5E826CA8"/>
    <w:rsid w:val="5E847D30"/>
    <w:rsid w:val="5E8A398A"/>
    <w:rsid w:val="5E8C14B0"/>
    <w:rsid w:val="5E9071F2"/>
    <w:rsid w:val="5EAB0D2C"/>
    <w:rsid w:val="5EBA601D"/>
    <w:rsid w:val="5ED13367"/>
    <w:rsid w:val="5EDD1D0C"/>
    <w:rsid w:val="5EEE5CC7"/>
    <w:rsid w:val="5F025C16"/>
    <w:rsid w:val="5F2B1805"/>
    <w:rsid w:val="5F3C0264"/>
    <w:rsid w:val="5F476193"/>
    <w:rsid w:val="5F486883"/>
    <w:rsid w:val="5F497D13"/>
    <w:rsid w:val="5F4D6DA2"/>
    <w:rsid w:val="5F6146EB"/>
    <w:rsid w:val="5F6D12E1"/>
    <w:rsid w:val="5F8C1295"/>
    <w:rsid w:val="5F984EEC"/>
    <w:rsid w:val="5FA17662"/>
    <w:rsid w:val="5FAE1170"/>
    <w:rsid w:val="5FB76261"/>
    <w:rsid w:val="5FBA204D"/>
    <w:rsid w:val="5FC66C44"/>
    <w:rsid w:val="5FCF3D4A"/>
    <w:rsid w:val="5FE60E0B"/>
    <w:rsid w:val="60013B45"/>
    <w:rsid w:val="60082DB8"/>
    <w:rsid w:val="60123C37"/>
    <w:rsid w:val="6017749F"/>
    <w:rsid w:val="601A205F"/>
    <w:rsid w:val="601E38A3"/>
    <w:rsid w:val="60332D39"/>
    <w:rsid w:val="60397415"/>
    <w:rsid w:val="603B318E"/>
    <w:rsid w:val="603D5158"/>
    <w:rsid w:val="604231D2"/>
    <w:rsid w:val="604A7E95"/>
    <w:rsid w:val="60573113"/>
    <w:rsid w:val="607E307A"/>
    <w:rsid w:val="60870181"/>
    <w:rsid w:val="608A289D"/>
    <w:rsid w:val="60A9595B"/>
    <w:rsid w:val="60AD1EC4"/>
    <w:rsid w:val="60AF1486"/>
    <w:rsid w:val="60B570F7"/>
    <w:rsid w:val="60C05441"/>
    <w:rsid w:val="60CA4511"/>
    <w:rsid w:val="60D56C76"/>
    <w:rsid w:val="60E342E4"/>
    <w:rsid w:val="60EE1FAE"/>
    <w:rsid w:val="60F43811"/>
    <w:rsid w:val="60FF240D"/>
    <w:rsid w:val="61023CAB"/>
    <w:rsid w:val="61082472"/>
    <w:rsid w:val="61113941"/>
    <w:rsid w:val="61151723"/>
    <w:rsid w:val="612260FC"/>
    <w:rsid w:val="61275B89"/>
    <w:rsid w:val="613320B7"/>
    <w:rsid w:val="613432FE"/>
    <w:rsid w:val="614528AC"/>
    <w:rsid w:val="61497B2C"/>
    <w:rsid w:val="61642270"/>
    <w:rsid w:val="61710419"/>
    <w:rsid w:val="6175447D"/>
    <w:rsid w:val="61761FA3"/>
    <w:rsid w:val="61785D1C"/>
    <w:rsid w:val="617B565A"/>
    <w:rsid w:val="617C3A5E"/>
    <w:rsid w:val="617D3332"/>
    <w:rsid w:val="61880654"/>
    <w:rsid w:val="619C5EAE"/>
    <w:rsid w:val="619D6B85"/>
    <w:rsid w:val="61A777C7"/>
    <w:rsid w:val="61B363CD"/>
    <w:rsid w:val="61D75138"/>
    <w:rsid w:val="61DC44FC"/>
    <w:rsid w:val="61F061FA"/>
    <w:rsid w:val="61FB170E"/>
    <w:rsid w:val="62045801"/>
    <w:rsid w:val="62173786"/>
    <w:rsid w:val="621A5025"/>
    <w:rsid w:val="62267D49"/>
    <w:rsid w:val="622F0AD0"/>
    <w:rsid w:val="622F6D22"/>
    <w:rsid w:val="62347E94"/>
    <w:rsid w:val="62351001"/>
    <w:rsid w:val="624502F4"/>
    <w:rsid w:val="624F3EEF"/>
    <w:rsid w:val="62570027"/>
    <w:rsid w:val="625E13B5"/>
    <w:rsid w:val="626A1B25"/>
    <w:rsid w:val="627806C9"/>
    <w:rsid w:val="627D1FD3"/>
    <w:rsid w:val="627D7A8D"/>
    <w:rsid w:val="6280757E"/>
    <w:rsid w:val="629E5C56"/>
    <w:rsid w:val="62A00E16"/>
    <w:rsid w:val="62A96AD4"/>
    <w:rsid w:val="62B14C8D"/>
    <w:rsid w:val="62D14C9E"/>
    <w:rsid w:val="631A52DC"/>
    <w:rsid w:val="631B72A6"/>
    <w:rsid w:val="631F4939"/>
    <w:rsid w:val="633B16F7"/>
    <w:rsid w:val="633F463B"/>
    <w:rsid w:val="635769F1"/>
    <w:rsid w:val="635A009E"/>
    <w:rsid w:val="635A677D"/>
    <w:rsid w:val="636C365E"/>
    <w:rsid w:val="637662A5"/>
    <w:rsid w:val="639F7DC1"/>
    <w:rsid w:val="63B1110F"/>
    <w:rsid w:val="63B21468"/>
    <w:rsid w:val="63B26C24"/>
    <w:rsid w:val="63BA6ABF"/>
    <w:rsid w:val="63C90AB0"/>
    <w:rsid w:val="63C94F54"/>
    <w:rsid w:val="63E678B4"/>
    <w:rsid w:val="63EA36CE"/>
    <w:rsid w:val="63EE313D"/>
    <w:rsid w:val="63F30435"/>
    <w:rsid w:val="63F607D8"/>
    <w:rsid w:val="63F743E1"/>
    <w:rsid w:val="64050ABF"/>
    <w:rsid w:val="641206A9"/>
    <w:rsid w:val="6416019A"/>
    <w:rsid w:val="641A755E"/>
    <w:rsid w:val="641F6922"/>
    <w:rsid w:val="64275151"/>
    <w:rsid w:val="642D1CFD"/>
    <w:rsid w:val="64363468"/>
    <w:rsid w:val="643C633E"/>
    <w:rsid w:val="64406FC4"/>
    <w:rsid w:val="645239A3"/>
    <w:rsid w:val="6468651B"/>
    <w:rsid w:val="64722EF6"/>
    <w:rsid w:val="64813139"/>
    <w:rsid w:val="64875941"/>
    <w:rsid w:val="648C045C"/>
    <w:rsid w:val="64915A72"/>
    <w:rsid w:val="64923598"/>
    <w:rsid w:val="64B27796"/>
    <w:rsid w:val="64B32E2F"/>
    <w:rsid w:val="64B81251"/>
    <w:rsid w:val="64C157D9"/>
    <w:rsid w:val="64CA7FBA"/>
    <w:rsid w:val="64D8451F"/>
    <w:rsid w:val="64D8544F"/>
    <w:rsid w:val="64DD0CB7"/>
    <w:rsid w:val="64DE2339"/>
    <w:rsid w:val="64E2007C"/>
    <w:rsid w:val="64E20B00"/>
    <w:rsid w:val="64E250F2"/>
    <w:rsid w:val="64FF6124"/>
    <w:rsid w:val="6500469F"/>
    <w:rsid w:val="650A659E"/>
    <w:rsid w:val="651F6869"/>
    <w:rsid w:val="65247C56"/>
    <w:rsid w:val="65273CE0"/>
    <w:rsid w:val="65293EFC"/>
    <w:rsid w:val="652C7549"/>
    <w:rsid w:val="652F0DE7"/>
    <w:rsid w:val="65352EBF"/>
    <w:rsid w:val="65362175"/>
    <w:rsid w:val="653814CD"/>
    <w:rsid w:val="653D75CE"/>
    <w:rsid w:val="6546685C"/>
    <w:rsid w:val="6549650D"/>
    <w:rsid w:val="655C6080"/>
    <w:rsid w:val="656A1E1F"/>
    <w:rsid w:val="657B5DDA"/>
    <w:rsid w:val="657F1404"/>
    <w:rsid w:val="6582360D"/>
    <w:rsid w:val="658E5B0E"/>
    <w:rsid w:val="65960E66"/>
    <w:rsid w:val="659F6081"/>
    <w:rsid w:val="65A70C8A"/>
    <w:rsid w:val="65A76324"/>
    <w:rsid w:val="65A823F2"/>
    <w:rsid w:val="65B460C5"/>
    <w:rsid w:val="65B732B6"/>
    <w:rsid w:val="65C21C5B"/>
    <w:rsid w:val="65EA4C34"/>
    <w:rsid w:val="65ED414E"/>
    <w:rsid w:val="65EF4D81"/>
    <w:rsid w:val="65F242EE"/>
    <w:rsid w:val="65F75DA9"/>
    <w:rsid w:val="65FD598B"/>
    <w:rsid w:val="66014531"/>
    <w:rsid w:val="660B53B0"/>
    <w:rsid w:val="661F70AE"/>
    <w:rsid w:val="662A1F26"/>
    <w:rsid w:val="662B7800"/>
    <w:rsid w:val="6639650D"/>
    <w:rsid w:val="66456B14"/>
    <w:rsid w:val="664663E8"/>
    <w:rsid w:val="66534994"/>
    <w:rsid w:val="66540B05"/>
    <w:rsid w:val="665E5A94"/>
    <w:rsid w:val="66620E80"/>
    <w:rsid w:val="667A3C6D"/>
    <w:rsid w:val="66990C0E"/>
    <w:rsid w:val="66AB3EC4"/>
    <w:rsid w:val="66B5420B"/>
    <w:rsid w:val="66C72274"/>
    <w:rsid w:val="66D427C1"/>
    <w:rsid w:val="66E3632D"/>
    <w:rsid w:val="66E53E53"/>
    <w:rsid w:val="66F61BAB"/>
    <w:rsid w:val="670F7889"/>
    <w:rsid w:val="67126567"/>
    <w:rsid w:val="67206456"/>
    <w:rsid w:val="67211260"/>
    <w:rsid w:val="673246AB"/>
    <w:rsid w:val="67371200"/>
    <w:rsid w:val="6744501E"/>
    <w:rsid w:val="67460997"/>
    <w:rsid w:val="676557D9"/>
    <w:rsid w:val="676D705E"/>
    <w:rsid w:val="67770271"/>
    <w:rsid w:val="67837BFF"/>
    <w:rsid w:val="67955334"/>
    <w:rsid w:val="679A2E90"/>
    <w:rsid w:val="67A05B2A"/>
    <w:rsid w:val="67A05FCC"/>
    <w:rsid w:val="67AE06E9"/>
    <w:rsid w:val="67AF7FBD"/>
    <w:rsid w:val="67B217A3"/>
    <w:rsid w:val="67BB4BB4"/>
    <w:rsid w:val="67C049E6"/>
    <w:rsid w:val="67DE2C50"/>
    <w:rsid w:val="67DE7084"/>
    <w:rsid w:val="67DE7597"/>
    <w:rsid w:val="67E833FD"/>
    <w:rsid w:val="67F7300E"/>
    <w:rsid w:val="67FA2F11"/>
    <w:rsid w:val="68016A6B"/>
    <w:rsid w:val="68342E8F"/>
    <w:rsid w:val="68456F93"/>
    <w:rsid w:val="68483D18"/>
    <w:rsid w:val="686E232B"/>
    <w:rsid w:val="687D4BDD"/>
    <w:rsid w:val="6888718C"/>
    <w:rsid w:val="68921DB9"/>
    <w:rsid w:val="68952F54"/>
    <w:rsid w:val="68AA0DA2"/>
    <w:rsid w:val="68CA77A4"/>
    <w:rsid w:val="68CD1043"/>
    <w:rsid w:val="68DC3EFE"/>
    <w:rsid w:val="68E343C2"/>
    <w:rsid w:val="68F07B2B"/>
    <w:rsid w:val="68F6059A"/>
    <w:rsid w:val="68F8398F"/>
    <w:rsid w:val="69125ADB"/>
    <w:rsid w:val="69166546"/>
    <w:rsid w:val="692C5D69"/>
    <w:rsid w:val="69360996"/>
    <w:rsid w:val="694806C9"/>
    <w:rsid w:val="69507B39"/>
    <w:rsid w:val="695157D0"/>
    <w:rsid w:val="6965127B"/>
    <w:rsid w:val="698A6F34"/>
    <w:rsid w:val="698E07D2"/>
    <w:rsid w:val="698E0FEB"/>
    <w:rsid w:val="6998799E"/>
    <w:rsid w:val="699A5808"/>
    <w:rsid w:val="699B3B46"/>
    <w:rsid w:val="699D6C67"/>
    <w:rsid w:val="699E2F11"/>
    <w:rsid w:val="69BA60A3"/>
    <w:rsid w:val="69BD10B7"/>
    <w:rsid w:val="69C212AA"/>
    <w:rsid w:val="69D16911"/>
    <w:rsid w:val="69D41F5D"/>
    <w:rsid w:val="69DD3507"/>
    <w:rsid w:val="69EC374B"/>
    <w:rsid w:val="69F34AD9"/>
    <w:rsid w:val="69FC1BE0"/>
    <w:rsid w:val="69FD6E54"/>
    <w:rsid w:val="69FF522C"/>
    <w:rsid w:val="6A00465A"/>
    <w:rsid w:val="6A0E7DA4"/>
    <w:rsid w:val="6A2922A9"/>
    <w:rsid w:val="6A3053E5"/>
    <w:rsid w:val="6A385B92"/>
    <w:rsid w:val="6A3E6267"/>
    <w:rsid w:val="6A49288A"/>
    <w:rsid w:val="6A582B8E"/>
    <w:rsid w:val="6A5979DE"/>
    <w:rsid w:val="6A7476A4"/>
    <w:rsid w:val="6A8923D3"/>
    <w:rsid w:val="6A8959C7"/>
    <w:rsid w:val="6AAB0F10"/>
    <w:rsid w:val="6AC344AB"/>
    <w:rsid w:val="6AC45C2D"/>
    <w:rsid w:val="6ACB3360"/>
    <w:rsid w:val="6AD2649C"/>
    <w:rsid w:val="6AD55F8D"/>
    <w:rsid w:val="6ADB3525"/>
    <w:rsid w:val="6AF44665"/>
    <w:rsid w:val="6AF9611F"/>
    <w:rsid w:val="6AFB2324"/>
    <w:rsid w:val="6AFE7E7F"/>
    <w:rsid w:val="6B026694"/>
    <w:rsid w:val="6B1940CB"/>
    <w:rsid w:val="6B282560"/>
    <w:rsid w:val="6B476E8A"/>
    <w:rsid w:val="6B4F0144"/>
    <w:rsid w:val="6B574BF4"/>
    <w:rsid w:val="6B5E00BE"/>
    <w:rsid w:val="6B6A614A"/>
    <w:rsid w:val="6B8723B0"/>
    <w:rsid w:val="6B8B2B72"/>
    <w:rsid w:val="6B8D0B95"/>
    <w:rsid w:val="6B96396E"/>
    <w:rsid w:val="6BCB7ABB"/>
    <w:rsid w:val="6BD340AB"/>
    <w:rsid w:val="6BE1670A"/>
    <w:rsid w:val="6BE33DDD"/>
    <w:rsid w:val="6BE7241B"/>
    <w:rsid w:val="6C2460EA"/>
    <w:rsid w:val="6C3170F0"/>
    <w:rsid w:val="6C334D5E"/>
    <w:rsid w:val="6C39194F"/>
    <w:rsid w:val="6C5A0E3F"/>
    <w:rsid w:val="6C5E257D"/>
    <w:rsid w:val="6C635F46"/>
    <w:rsid w:val="6C6B6BA9"/>
    <w:rsid w:val="6C7935DD"/>
    <w:rsid w:val="6C8B2DA7"/>
    <w:rsid w:val="6C8E2897"/>
    <w:rsid w:val="6C922387"/>
    <w:rsid w:val="6C9D4212"/>
    <w:rsid w:val="6CA34594"/>
    <w:rsid w:val="6CA8352E"/>
    <w:rsid w:val="6CB97733"/>
    <w:rsid w:val="6CCB5899"/>
    <w:rsid w:val="6CD13207"/>
    <w:rsid w:val="6CD40BF2"/>
    <w:rsid w:val="6CD725ED"/>
    <w:rsid w:val="6CE40709"/>
    <w:rsid w:val="6CE83440"/>
    <w:rsid w:val="6CE84772"/>
    <w:rsid w:val="6CEA4165"/>
    <w:rsid w:val="6D033285"/>
    <w:rsid w:val="6D0B6A0A"/>
    <w:rsid w:val="6D376AFE"/>
    <w:rsid w:val="6D3A657B"/>
    <w:rsid w:val="6D3B35C4"/>
    <w:rsid w:val="6D45564C"/>
    <w:rsid w:val="6D546223"/>
    <w:rsid w:val="6D6B0BCD"/>
    <w:rsid w:val="6D6C2BD8"/>
    <w:rsid w:val="6D761CA9"/>
    <w:rsid w:val="6D9557A8"/>
    <w:rsid w:val="6DBD3434"/>
    <w:rsid w:val="6DC742B3"/>
    <w:rsid w:val="6DC92F02"/>
    <w:rsid w:val="6DE210EC"/>
    <w:rsid w:val="6DFB0400"/>
    <w:rsid w:val="6E0B4668"/>
    <w:rsid w:val="6E141A2A"/>
    <w:rsid w:val="6E2122B7"/>
    <w:rsid w:val="6E276AFF"/>
    <w:rsid w:val="6E2C13F3"/>
    <w:rsid w:val="6E2C24ED"/>
    <w:rsid w:val="6E2E7E8E"/>
    <w:rsid w:val="6E4476B1"/>
    <w:rsid w:val="6E5042A8"/>
    <w:rsid w:val="6E5509CC"/>
    <w:rsid w:val="6E706BDD"/>
    <w:rsid w:val="6E9258DA"/>
    <w:rsid w:val="6EA05AE1"/>
    <w:rsid w:val="6EA44251"/>
    <w:rsid w:val="6EAB20CD"/>
    <w:rsid w:val="6EBC3132"/>
    <w:rsid w:val="6EBF31DC"/>
    <w:rsid w:val="6EC06318"/>
    <w:rsid w:val="6EC16F54"/>
    <w:rsid w:val="6EC32CCC"/>
    <w:rsid w:val="6EC9405A"/>
    <w:rsid w:val="6ED30A35"/>
    <w:rsid w:val="6EE06FEB"/>
    <w:rsid w:val="6EED307F"/>
    <w:rsid w:val="6EF72976"/>
    <w:rsid w:val="6EF74287"/>
    <w:rsid w:val="6F153218"/>
    <w:rsid w:val="6F1F0ECB"/>
    <w:rsid w:val="6F2667AC"/>
    <w:rsid w:val="6F395FEB"/>
    <w:rsid w:val="6F435BBB"/>
    <w:rsid w:val="6F4854D3"/>
    <w:rsid w:val="6F4B6E55"/>
    <w:rsid w:val="6F53759C"/>
    <w:rsid w:val="6F616041"/>
    <w:rsid w:val="6F76486B"/>
    <w:rsid w:val="6F7B35A7"/>
    <w:rsid w:val="6F810491"/>
    <w:rsid w:val="6F863CF9"/>
    <w:rsid w:val="6F911FBF"/>
    <w:rsid w:val="6F924A6F"/>
    <w:rsid w:val="6F993A2D"/>
    <w:rsid w:val="6F9D2C34"/>
    <w:rsid w:val="6F9E02F2"/>
    <w:rsid w:val="6FA32AFD"/>
    <w:rsid w:val="6FB92D17"/>
    <w:rsid w:val="6FC23436"/>
    <w:rsid w:val="6FE27182"/>
    <w:rsid w:val="6FE55BBD"/>
    <w:rsid w:val="6FEB4920"/>
    <w:rsid w:val="6FF11ABB"/>
    <w:rsid w:val="70131A31"/>
    <w:rsid w:val="702754DC"/>
    <w:rsid w:val="70360A9C"/>
    <w:rsid w:val="70480FAF"/>
    <w:rsid w:val="705160B5"/>
    <w:rsid w:val="705A7660"/>
    <w:rsid w:val="7064228D"/>
    <w:rsid w:val="70666005"/>
    <w:rsid w:val="707B47C4"/>
    <w:rsid w:val="70904E30"/>
    <w:rsid w:val="70945490"/>
    <w:rsid w:val="70967F6C"/>
    <w:rsid w:val="709B4B83"/>
    <w:rsid w:val="70B64C12"/>
    <w:rsid w:val="70BE0022"/>
    <w:rsid w:val="70C11755"/>
    <w:rsid w:val="70C25205"/>
    <w:rsid w:val="70CD4293"/>
    <w:rsid w:val="70DD2618"/>
    <w:rsid w:val="70E6544B"/>
    <w:rsid w:val="70ED0986"/>
    <w:rsid w:val="71193077"/>
    <w:rsid w:val="711C07DB"/>
    <w:rsid w:val="7121200D"/>
    <w:rsid w:val="712324FF"/>
    <w:rsid w:val="71257C6E"/>
    <w:rsid w:val="713124B8"/>
    <w:rsid w:val="713D663A"/>
    <w:rsid w:val="71461992"/>
    <w:rsid w:val="716D79EE"/>
    <w:rsid w:val="717C53B4"/>
    <w:rsid w:val="718458C1"/>
    <w:rsid w:val="71881060"/>
    <w:rsid w:val="71900A0A"/>
    <w:rsid w:val="71900E5F"/>
    <w:rsid w:val="71962969"/>
    <w:rsid w:val="71A1306D"/>
    <w:rsid w:val="71CF0D35"/>
    <w:rsid w:val="71D728C9"/>
    <w:rsid w:val="71E003DD"/>
    <w:rsid w:val="71E116BB"/>
    <w:rsid w:val="71F41383"/>
    <w:rsid w:val="72007D93"/>
    <w:rsid w:val="72021250"/>
    <w:rsid w:val="72037883"/>
    <w:rsid w:val="720F6D7D"/>
    <w:rsid w:val="72161365"/>
    <w:rsid w:val="72323CC5"/>
    <w:rsid w:val="72472963"/>
    <w:rsid w:val="726532FB"/>
    <w:rsid w:val="72670F93"/>
    <w:rsid w:val="72822E9E"/>
    <w:rsid w:val="72907369"/>
    <w:rsid w:val="72950198"/>
    <w:rsid w:val="729E5688"/>
    <w:rsid w:val="72BA43E6"/>
    <w:rsid w:val="72DA4BDC"/>
    <w:rsid w:val="72EA4658"/>
    <w:rsid w:val="72F53670"/>
    <w:rsid w:val="73013DC3"/>
    <w:rsid w:val="73093053"/>
    <w:rsid w:val="731C7E47"/>
    <w:rsid w:val="7320375D"/>
    <w:rsid w:val="733A72D5"/>
    <w:rsid w:val="734075B0"/>
    <w:rsid w:val="736A3999"/>
    <w:rsid w:val="736C23ED"/>
    <w:rsid w:val="736D2365"/>
    <w:rsid w:val="7381650D"/>
    <w:rsid w:val="73836ECE"/>
    <w:rsid w:val="73855907"/>
    <w:rsid w:val="73B057E9"/>
    <w:rsid w:val="73B452D9"/>
    <w:rsid w:val="73C179F6"/>
    <w:rsid w:val="73EB2AF2"/>
    <w:rsid w:val="73EF4563"/>
    <w:rsid w:val="73F53DA6"/>
    <w:rsid w:val="73FE0302"/>
    <w:rsid w:val="73FE47A6"/>
    <w:rsid w:val="740A314B"/>
    <w:rsid w:val="740C6EC3"/>
    <w:rsid w:val="741C6C4C"/>
    <w:rsid w:val="742B4973"/>
    <w:rsid w:val="743261FE"/>
    <w:rsid w:val="74444F9D"/>
    <w:rsid w:val="744B1F30"/>
    <w:rsid w:val="74566390"/>
    <w:rsid w:val="747666B6"/>
    <w:rsid w:val="748725BD"/>
    <w:rsid w:val="74884070"/>
    <w:rsid w:val="748C0004"/>
    <w:rsid w:val="7495532C"/>
    <w:rsid w:val="74A01DFE"/>
    <w:rsid w:val="74A1052B"/>
    <w:rsid w:val="74B00652"/>
    <w:rsid w:val="74C6075E"/>
    <w:rsid w:val="74D86BD2"/>
    <w:rsid w:val="74DB14EF"/>
    <w:rsid w:val="74F109DD"/>
    <w:rsid w:val="74FD680C"/>
    <w:rsid w:val="7509716F"/>
    <w:rsid w:val="751F49D4"/>
    <w:rsid w:val="7521074C"/>
    <w:rsid w:val="75324707"/>
    <w:rsid w:val="753442AC"/>
    <w:rsid w:val="75360195"/>
    <w:rsid w:val="753A180E"/>
    <w:rsid w:val="754601B3"/>
    <w:rsid w:val="75526B58"/>
    <w:rsid w:val="755A26D4"/>
    <w:rsid w:val="75667239"/>
    <w:rsid w:val="756D0B1E"/>
    <w:rsid w:val="757D1D0F"/>
    <w:rsid w:val="758B206A"/>
    <w:rsid w:val="758C01FB"/>
    <w:rsid w:val="75932CCC"/>
    <w:rsid w:val="75A872F9"/>
    <w:rsid w:val="75B3511C"/>
    <w:rsid w:val="75B90231"/>
    <w:rsid w:val="75C17839"/>
    <w:rsid w:val="75CD4430"/>
    <w:rsid w:val="75E01633"/>
    <w:rsid w:val="75E17EDC"/>
    <w:rsid w:val="75E57090"/>
    <w:rsid w:val="75E63744"/>
    <w:rsid w:val="761B4B26"/>
    <w:rsid w:val="761E0167"/>
    <w:rsid w:val="762A3631"/>
    <w:rsid w:val="762B73A9"/>
    <w:rsid w:val="762F10DD"/>
    <w:rsid w:val="76312C11"/>
    <w:rsid w:val="763969A8"/>
    <w:rsid w:val="76426BCC"/>
    <w:rsid w:val="764D731F"/>
    <w:rsid w:val="764F64BE"/>
    <w:rsid w:val="765C57B4"/>
    <w:rsid w:val="765D3A06"/>
    <w:rsid w:val="766052A4"/>
    <w:rsid w:val="76945580"/>
    <w:rsid w:val="76960CC6"/>
    <w:rsid w:val="769B575F"/>
    <w:rsid w:val="76AA651F"/>
    <w:rsid w:val="76B54314"/>
    <w:rsid w:val="76BA0E58"/>
    <w:rsid w:val="76BE180F"/>
    <w:rsid w:val="76E17EFC"/>
    <w:rsid w:val="76E557A9"/>
    <w:rsid w:val="76EC71E8"/>
    <w:rsid w:val="76EF6628"/>
    <w:rsid w:val="76FD2AF3"/>
    <w:rsid w:val="76FD6F97"/>
    <w:rsid w:val="77046D00"/>
    <w:rsid w:val="77130569"/>
    <w:rsid w:val="771C6DDB"/>
    <w:rsid w:val="7746449A"/>
    <w:rsid w:val="774C11E5"/>
    <w:rsid w:val="775546DD"/>
    <w:rsid w:val="77563BDF"/>
    <w:rsid w:val="776155EB"/>
    <w:rsid w:val="7778661E"/>
    <w:rsid w:val="778E5E41"/>
    <w:rsid w:val="77970501"/>
    <w:rsid w:val="779C67B0"/>
    <w:rsid w:val="779E42D6"/>
    <w:rsid w:val="77A64F39"/>
    <w:rsid w:val="77A94A29"/>
    <w:rsid w:val="77C36BAF"/>
    <w:rsid w:val="77C41863"/>
    <w:rsid w:val="77C74EAF"/>
    <w:rsid w:val="77C80D66"/>
    <w:rsid w:val="77CE4E49"/>
    <w:rsid w:val="77CE623E"/>
    <w:rsid w:val="77DD1955"/>
    <w:rsid w:val="77F9775E"/>
    <w:rsid w:val="77FA5285"/>
    <w:rsid w:val="780B56E4"/>
    <w:rsid w:val="781A1483"/>
    <w:rsid w:val="78202F3D"/>
    <w:rsid w:val="78216CB5"/>
    <w:rsid w:val="78424B39"/>
    <w:rsid w:val="78492BFF"/>
    <w:rsid w:val="784A2834"/>
    <w:rsid w:val="7855711F"/>
    <w:rsid w:val="785E75C1"/>
    <w:rsid w:val="786B0DBF"/>
    <w:rsid w:val="786B1CDE"/>
    <w:rsid w:val="78986C8F"/>
    <w:rsid w:val="78A91184"/>
    <w:rsid w:val="78D87374"/>
    <w:rsid w:val="78E21FA1"/>
    <w:rsid w:val="78E52B1B"/>
    <w:rsid w:val="78F316BE"/>
    <w:rsid w:val="78F53EF1"/>
    <w:rsid w:val="78FF0DA4"/>
    <w:rsid w:val="79004B1D"/>
    <w:rsid w:val="79064ACA"/>
    <w:rsid w:val="790F182A"/>
    <w:rsid w:val="79200D68"/>
    <w:rsid w:val="79292803"/>
    <w:rsid w:val="79336CA0"/>
    <w:rsid w:val="793650E7"/>
    <w:rsid w:val="79404045"/>
    <w:rsid w:val="79490272"/>
    <w:rsid w:val="794B1CCF"/>
    <w:rsid w:val="794E1F75"/>
    <w:rsid w:val="795B3C00"/>
    <w:rsid w:val="795F35D8"/>
    <w:rsid w:val="79660E24"/>
    <w:rsid w:val="79694470"/>
    <w:rsid w:val="796E1A86"/>
    <w:rsid w:val="79773031"/>
    <w:rsid w:val="797C23F5"/>
    <w:rsid w:val="79892101"/>
    <w:rsid w:val="798968C0"/>
    <w:rsid w:val="798B2638"/>
    <w:rsid w:val="798E2128"/>
    <w:rsid w:val="799539AD"/>
    <w:rsid w:val="799737F5"/>
    <w:rsid w:val="799E4EDF"/>
    <w:rsid w:val="79A149AA"/>
    <w:rsid w:val="79A47B9E"/>
    <w:rsid w:val="79B04655"/>
    <w:rsid w:val="79B06543"/>
    <w:rsid w:val="79C40791"/>
    <w:rsid w:val="79CB6ED9"/>
    <w:rsid w:val="79D246A0"/>
    <w:rsid w:val="79D86B8E"/>
    <w:rsid w:val="79E1494E"/>
    <w:rsid w:val="79FF3026"/>
    <w:rsid w:val="7A102B3D"/>
    <w:rsid w:val="7A1A1C0E"/>
    <w:rsid w:val="7A2A00A3"/>
    <w:rsid w:val="7A2B7977"/>
    <w:rsid w:val="7A301431"/>
    <w:rsid w:val="7A321E0F"/>
    <w:rsid w:val="7A4D6843"/>
    <w:rsid w:val="7A5C3FD5"/>
    <w:rsid w:val="7A721263"/>
    <w:rsid w:val="7A98300E"/>
    <w:rsid w:val="7AA37E55"/>
    <w:rsid w:val="7AA5597C"/>
    <w:rsid w:val="7AA812CD"/>
    <w:rsid w:val="7AAD65DE"/>
    <w:rsid w:val="7AB756AF"/>
    <w:rsid w:val="7AC758F2"/>
    <w:rsid w:val="7ACE4ED2"/>
    <w:rsid w:val="7ADB139D"/>
    <w:rsid w:val="7AEF309B"/>
    <w:rsid w:val="7AF92282"/>
    <w:rsid w:val="7AFD1314"/>
    <w:rsid w:val="7B09056F"/>
    <w:rsid w:val="7B18439F"/>
    <w:rsid w:val="7B1B3E90"/>
    <w:rsid w:val="7B2241A0"/>
    <w:rsid w:val="7B2A7C2F"/>
    <w:rsid w:val="7B4E5F74"/>
    <w:rsid w:val="7B5B590C"/>
    <w:rsid w:val="7B8657AD"/>
    <w:rsid w:val="7B9E207A"/>
    <w:rsid w:val="7BB21980"/>
    <w:rsid w:val="7BB51BEE"/>
    <w:rsid w:val="7BC13CD3"/>
    <w:rsid w:val="7BC21276"/>
    <w:rsid w:val="7BCB7664"/>
    <w:rsid w:val="7BD16F42"/>
    <w:rsid w:val="7BD209F2"/>
    <w:rsid w:val="7BE2036B"/>
    <w:rsid w:val="7BE73D72"/>
    <w:rsid w:val="7BEB3B74"/>
    <w:rsid w:val="7BEC3136"/>
    <w:rsid w:val="7BF232D8"/>
    <w:rsid w:val="7BFE774C"/>
    <w:rsid w:val="7C0A10B0"/>
    <w:rsid w:val="7C120B35"/>
    <w:rsid w:val="7C2521C4"/>
    <w:rsid w:val="7C266A5E"/>
    <w:rsid w:val="7C280612"/>
    <w:rsid w:val="7C4D471D"/>
    <w:rsid w:val="7C6158D2"/>
    <w:rsid w:val="7C620CEE"/>
    <w:rsid w:val="7C8D6D8B"/>
    <w:rsid w:val="7C952929"/>
    <w:rsid w:val="7C975798"/>
    <w:rsid w:val="7CC43F8D"/>
    <w:rsid w:val="7CC61BD9"/>
    <w:rsid w:val="7CC81220"/>
    <w:rsid w:val="7CD3033B"/>
    <w:rsid w:val="7CD4773D"/>
    <w:rsid w:val="7CDD2498"/>
    <w:rsid w:val="7D020E63"/>
    <w:rsid w:val="7D034BDB"/>
    <w:rsid w:val="7D07647A"/>
    <w:rsid w:val="7D1428F3"/>
    <w:rsid w:val="7D180687"/>
    <w:rsid w:val="7D1C52E3"/>
    <w:rsid w:val="7D1D1A03"/>
    <w:rsid w:val="7D2232B3"/>
    <w:rsid w:val="7D254B52"/>
    <w:rsid w:val="7D2E060E"/>
    <w:rsid w:val="7D2E3FDD"/>
    <w:rsid w:val="7D3714E0"/>
    <w:rsid w:val="7D384885"/>
    <w:rsid w:val="7D3A2618"/>
    <w:rsid w:val="7D405FDE"/>
    <w:rsid w:val="7D53229B"/>
    <w:rsid w:val="7D63567A"/>
    <w:rsid w:val="7D853842"/>
    <w:rsid w:val="7D9D6DDE"/>
    <w:rsid w:val="7D9F232A"/>
    <w:rsid w:val="7DA0067C"/>
    <w:rsid w:val="7DA15765"/>
    <w:rsid w:val="7DAE4B47"/>
    <w:rsid w:val="7DB84B7D"/>
    <w:rsid w:val="7DBA173E"/>
    <w:rsid w:val="7DC03F63"/>
    <w:rsid w:val="7DFF1847"/>
    <w:rsid w:val="7E17093E"/>
    <w:rsid w:val="7E1D7C34"/>
    <w:rsid w:val="7E2719D2"/>
    <w:rsid w:val="7E301C88"/>
    <w:rsid w:val="7E3037AE"/>
    <w:rsid w:val="7E350DC4"/>
    <w:rsid w:val="7E3918F9"/>
    <w:rsid w:val="7E4A06B1"/>
    <w:rsid w:val="7E4C610E"/>
    <w:rsid w:val="7E5706C0"/>
    <w:rsid w:val="7E730C2B"/>
    <w:rsid w:val="7E797FB0"/>
    <w:rsid w:val="7E8A7362"/>
    <w:rsid w:val="7E994133"/>
    <w:rsid w:val="7EA1239A"/>
    <w:rsid w:val="7EC81A6C"/>
    <w:rsid w:val="7ECF1219"/>
    <w:rsid w:val="7ED9582D"/>
    <w:rsid w:val="7EDE76AE"/>
    <w:rsid w:val="7EE50A3C"/>
    <w:rsid w:val="7EFF7C24"/>
    <w:rsid w:val="7F032C71"/>
    <w:rsid w:val="7F21731A"/>
    <w:rsid w:val="7F2B1ECD"/>
    <w:rsid w:val="7F314C43"/>
    <w:rsid w:val="7F354B67"/>
    <w:rsid w:val="7F385010"/>
    <w:rsid w:val="7F66149A"/>
    <w:rsid w:val="7F6862B5"/>
    <w:rsid w:val="7F6B46D4"/>
    <w:rsid w:val="7F807128"/>
    <w:rsid w:val="7F9069BB"/>
    <w:rsid w:val="7F930498"/>
    <w:rsid w:val="7F9E2695"/>
    <w:rsid w:val="7FAE52D2"/>
    <w:rsid w:val="7FB545B0"/>
    <w:rsid w:val="7FC543CA"/>
    <w:rsid w:val="7FE07003"/>
    <w:rsid w:val="7FE07536"/>
    <w:rsid w:val="7FE07989"/>
    <w:rsid w:val="7FF155E8"/>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szCs w:val="20"/>
    </w:rPr>
  </w:style>
  <w:style w:type="paragraph" w:styleId="12">
    <w:name w:val="annotation subject"/>
    <w:basedOn w:val="9"/>
    <w:next w:val="1"/>
    <w:autoRedefine/>
    <w:unhideWhenUsed/>
    <w:qFormat/>
    <w:uiPriority w:val="99"/>
    <w:rPr>
      <w:b/>
      <w:bCs/>
    </w:rPr>
  </w:style>
  <w:style w:type="paragraph" w:styleId="13">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4">
    <w:name w:val="Plain Text"/>
    <w:basedOn w:val="1"/>
    <w:next w:val="7"/>
    <w:autoRedefine/>
    <w:qFormat/>
    <w:uiPriority w:val="0"/>
    <w:rPr>
      <w:rFonts w:ascii="宋体" w:hAnsi="Courier New"/>
      <w:szCs w:val="20"/>
    </w:rPr>
  </w:style>
  <w:style w:type="paragraph" w:styleId="15">
    <w:name w:val="footer"/>
    <w:basedOn w:val="1"/>
    <w:next w:val="1"/>
    <w:autoRedefine/>
    <w:qFormat/>
    <w:uiPriority w:val="0"/>
    <w:pPr>
      <w:tabs>
        <w:tab w:val="center" w:pos="4153"/>
        <w:tab w:val="right" w:pos="8306"/>
      </w:tabs>
      <w:snapToGrid w:val="0"/>
      <w:jc w:val="left"/>
    </w:pPr>
    <w:rPr>
      <w:sz w:val="18"/>
      <w:szCs w:val="18"/>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ind w:left="200" w:hanging="200" w:hangingChars="200"/>
    </w:pPr>
    <w:rPr>
      <w:sz w:val="28"/>
    </w:rPr>
  </w:style>
  <w:style w:type="paragraph" w:styleId="19">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2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2">
    <w:name w:val="Body Text First Indent 2"/>
    <w:basedOn w:val="11"/>
    <w:next w:val="1"/>
    <w:autoRedefine/>
    <w:unhideWhenUsed/>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5"/>
    <w:autoRedefine/>
    <w:qFormat/>
    <w:uiPriority w:val="0"/>
  </w:style>
  <w:style w:type="character" w:styleId="37">
    <w:name w:val="HTML Keyboard"/>
    <w:basedOn w:val="25"/>
    <w:autoRedefine/>
    <w:qFormat/>
    <w:uiPriority w:val="0"/>
    <w:rPr>
      <w:rFonts w:hint="default" w:ascii="monospace" w:hAnsi="monospace" w:eastAsia="monospace" w:cs="monospace"/>
      <w:sz w:val="20"/>
    </w:rPr>
  </w:style>
  <w:style w:type="character" w:styleId="38">
    <w:name w:val="HTML Sample"/>
    <w:basedOn w:val="25"/>
    <w:autoRedefine/>
    <w:qFormat/>
    <w:uiPriority w:val="0"/>
    <w:rPr>
      <w:rFonts w:hint="default" w:ascii="monospace" w:hAnsi="monospace" w:eastAsia="monospace" w:cs="monospace"/>
    </w:rPr>
  </w:style>
  <w:style w:type="character" w:customStyle="1" w:styleId="3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41">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3">
    <w:name w:val="List Paragraph"/>
    <w:basedOn w:val="1"/>
    <w:autoRedefine/>
    <w:qFormat/>
    <w:uiPriority w:val="34"/>
    <w:pPr>
      <w:ind w:firstLine="420" w:firstLineChars="200"/>
    </w:pPr>
  </w:style>
  <w:style w:type="paragraph" w:customStyle="1" w:styleId="44">
    <w:name w:val="表格文字"/>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character" w:customStyle="1" w:styleId="45">
    <w:name w:val="标题 2 字符"/>
    <w:autoRedefine/>
    <w:qFormat/>
    <w:uiPriority w:val="0"/>
    <w:rPr>
      <w:rFonts w:ascii="Arial" w:hAnsi="Arial" w:eastAsia="宋体"/>
      <w:b/>
    </w:rPr>
  </w:style>
  <w:style w:type="character" w:customStyle="1" w:styleId="46">
    <w:name w:val="标题 1 字符"/>
    <w:autoRedefine/>
    <w:qFormat/>
    <w:uiPriority w:val="0"/>
    <w:rPr>
      <w:rFonts w:eastAsia="宋体"/>
      <w:b/>
      <w:kern w:val="44"/>
      <w:sz w:val="24"/>
    </w:rPr>
  </w:style>
  <w:style w:type="paragraph" w:customStyle="1" w:styleId="47">
    <w:name w:val="正文_2"/>
    <w:basedOn w:val="48"/>
    <w:autoRedefine/>
    <w:qFormat/>
    <w:uiPriority w:val="0"/>
    <w:rPr>
      <w:rFonts w:ascii="Calibri" w:hAnsi="Calibri"/>
      <w:szCs w:val="22"/>
    </w:rPr>
  </w:style>
  <w:style w:type="paragraph" w:customStyle="1" w:styleId="48">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layui-layer-tabnow"/>
    <w:basedOn w:val="25"/>
    <w:autoRedefine/>
    <w:qFormat/>
    <w:uiPriority w:val="0"/>
    <w:rPr>
      <w:bdr w:val="single" w:color="CCCCCC" w:sz="6" w:space="0"/>
      <w:shd w:val="clear" w:color="auto" w:fill="FFFFFF"/>
    </w:rPr>
  </w:style>
  <w:style w:type="character" w:customStyle="1" w:styleId="50">
    <w:name w:val="first-child"/>
    <w:basedOn w:val="25"/>
    <w:autoRedefine/>
    <w:qFormat/>
    <w:uiPriority w:val="0"/>
  </w:style>
  <w:style w:type="paragraph" w:customStyle="1" w:styleId="51">
    <w:name w:val="p15"/>
    <w:basedOn w:val="1"/>
    <w:autoRedefine/>
    <w:qFormat/>
    <w:uiPriority w:val="0"/>
    <w:pPr>
      <w:widowControl/>
    </w:pPr>
    <w:rPr>
      <w:rFonts w:ascii="宋体" w:hAnsi="宋体" w:cs="宋体"/>
      <w:kern w:val="0"/>
      <w:szCs w:val="21"/>
    </w:rPr>
  </w:style>
  <w:style w:type="paragraph" w:customStyle="1" w:styleId="5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53">
    <w:name w:val="Table Text"/>
    <w:basedOn w:val="1"/>
    <w:autoRedefine/>
    <w:semiHidden/>
    <w:qFormat/>
    <w:uiPriority w:val="0"/>
    <w:rPr>
      <w:rFonts w:ascii="宋体" w:hAnsi="宋体" w:cs="宋体"/>
      <w:sz w:val="20"/>
      <w:szCs w:val="20"/>
      <w:lang w:eastAsia="en-US"/>
    </w:rPr>
  </w:style>
  <w:style w:type="table" w:customStyle="1" w:styleId="54">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55">
    <w:name w:val="Normal_0_0"/>
    <w:basedOn w:val="47"/>
    <w:autoRedefine/>
    <w:qFormat/>
    <w:uiPriority w:val="0"/>
    <w:rPr>
      <w:rFonts w:cs="宋体"/>
      <w:szCs w:val="21"/>
    </w:rPr>
  </w:style>
  <w:style w:type="paragraph" w:customStyle="1" w:styleId="56">
    <w:name w:val="Normal_1"/>
    <w:basedOn w:val="48"/>
    <w:autoRedefine/>
    <w:qFormat/>
    <w:uiPriority w:val="0"/>
    <w:rPr>
      <w:rFonts w:ascii="Calibri" w:hAnsi="Calibri" w:cs="宋体"/>
      <w:szCs w:val="21"/>
    </w:rPr>
  </w:style>
  <w:style w:type="paragraph" w:customStyle="1" w:styleId="57">
    <w:name w:val="BodyText"/>
    <w:basedOn w:val="1"/>
    <w:autoRedefine/>
    <w:qFormat/>
    <w:uiPriority w:val="0"/>
    <w:pPr>
      <w:spacing w:line="380" w:lineRule="exact"/>
      <w:textAlignment w:val="baseline"/>
    </w:pPr>
    <w:rPr>
      <w:sz w:val="24"/>
    </w:rPr>
  </w:style>
  <w:style w:type="paragraph" w:customStyle="1" w:styleId="5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4"/>
    <w:next w:val="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纯文本_1"/>
    <w:basedOn w:val="6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192</Pages>
  <Words>133145</Words>
  <Characters>139553</Characters>
  <Lines>1364</Lines>
  <Paragraphs>384</Paragraphs>
  <TotalTime>0</TotalTime>
  <ScaleCrop>false</ScaleCrop>
  <LinksUpToDate>false</LinksUpToDate>
  <CharactersWithSpaces>147349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kl</cp:lastModifiedBy>
  <dcterms:modified xsi:type="dcterms:W3CDTF">2025-07-08T00:50:26Z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1EEEF811CA654061A04CA1C58BB23747_13</vt:lpwstr>
  </property>
  <property fmtid="{D5CDD505-2E9C-101B-9397-08002B2CF9AE}" pid="4" name="KSOTemplateDocerSaveRecord">
    <vt:lpwstr>eyJoZGlkIjoiZDZjODg1MDU4MmJlN2UxZDc5NTcxYzVjMmVlNTI2YzgiLCJ1c2VySWQiOiI2NzgzMDQ3MzgifQ==</vt:lpwstr>
  </property>
</Properties>
</file>